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822A9" w14:textId="333D3128" w:rsidR="000D77CB" w:rsidRPr="00ED461D" w:rsidRDefault="000D77CB" w:rsidP="000D77CB">
      <w:pPr>
        <w:rPr>
          <w:rFonts w:ascii="Calibri" w:hAnsi="Calibri" w:cs="Calibri"/>
        </w:rPr>
      </w:pPr>
      <w:r w:rsidRPr="00ED461D">
        <w:rPr>
          <w:rFonts w:ascii="Calibri" w:hAnsi="Calibri" w:cs="Calibri"/>
        </w:rPr>
        <w:t>Bogotá, 1</w:t>
      </w:r>
      <w:r w:rsidR="00CB0531">
        <w:rPr>
          <w:rFonts w:ascii="Calibri" w:hAnsi="Calibri" w:cs="Calibri"/>
        </w:rPr>
        <w:t>7</w:t>
      </w:r>
      <w:r w:rsidRPr="00ED461D">
        <w:rPr>
          <w:rFonts w:ascii="Calibri" w:hAnsi="Calibri" w:cs="Calibri"/>
        </w:rPr>
        <w:t xml:space="preserve"> de </w:t>
      </w:r>
      <w:r w:rsidR="00ED461D">
        <w:rPr>
          <w:rFonts w:ascii="Calibri" w:hAnsi="Calibri" w:cs="Calibri"/>
        </w:rPr>
        <w:t>junio de 2023</w:t>
      </w:r>
    </w:p>
    <w:p w14:paraId="28067B3F" w14:textId="77777777" w:rsidR="000D77CB" w:rsidRPr="00ED461D" w:rsidRDefault="000D77CB" w:rsidP="000D77CB">
      <w:pPr>
        <w:rPr>
          <w:rFonts w:ascii="Calibri" w:hAnsi="Calibri" w:cs="Calibri"/>
        </w:rPr>
      </w:pPr>
    </w:p>
    <w:p w14:paraId="1FC06DE3" w14:textId="0AABC30B" w:rsidR="00ED461D" w:rsidRPr="00ED461D" w:rsidRDefault="00ED461D" w:rsidP="002527DF">
      <w:pPr>
        <w:rPr>
          <w:rFonts w:ascii="Calibri" w:hAnsi="Calibri" w:cs="Calibri"/>
          <w:b/>
        </w:rPr>
      </w:pPr>
    </w:p>
    <w:p w14:paraId="4AA61996" w14:textId="441C21DB" w:rsidR="00ED461D" w:rsidRPr="00ED461D" w:rsidRDefault="00ED461D" w:rsidP="00ED461D">
      <w:pPr>
        <w:rPr>
          <w:rFonts w:ascii="Calibri" w:hAnsi="Calibri" w:cs="Calibri"/>
          <w:szCs w:val="20"/>
        </w:rPr>
      </w:pPr>
      <w:r w:rsidRPr="00ED461D">
        <w:rPr>
          <w:rFonts w:ascii="Calibri" w:hAnsi="Calibri" w:cs="Calibri"/>
          <w:szCs w:val="20"/>
        </w:rPr>
        <w:t>Senador</w:t>
      </w:r>
      <w:r w:rsidR="00684C1C">
        <w:rPr>
          <w:rFonts w:ascii="Calibri" w:hAnsi="Calibri" w:cs="Calibri"/>
          <w:szCs w:val="20"/>
        </w:rPr>
        <w:t xml:space="preserve"> de la República</w:t>
      </w:r>
    </w:p>
    <w:p w14:paraId="613076AB" w14:textId="77777777" w:rsidR="00ED461D" w:rsidRPr="00ED461D" w:rsidRDefault="00ED461D" w:rsidP="00ED461D">
      <w:pPr>
        <w:rPr>
          <w:rFonts w:ascii="Calibri" w:hAnsi="Calibri" w:cs="Calibri"/>
          <w:b/>
          <w:bCs/>
          <w:szCs w:val="20"/>
        </w:rPr>
      </w:pPr>
      <w:r w:rsidRPr="00ED461D">
        <w:rPr>
          <w:rFonts w:ascii="Calibri" w:hAnsi="Calibri" w:cs="Calibri"/>
          <w:b/>
          <w:bCs/>
          <w:szCs w:val="20"/>
        </w:rPr>
        <w:t>ALEXANDER LÓPEZ MAYA</w:t>
      </w:r>
    </w:p>
    <w:p w14:paraId="1B455C89" w14:textId="77777777" w:rsidR="00ED461D" w:rsidRPr="00ED461D" w:rsidRDefault="00ED461D" w:rsidP="00ED461D">
      <w:pPr>
        <w:rPr>
          <w:rFonts w:ascii="Calibri" w:hAnsi="Calibri" w:cs="Calibri"/>
          <w:szCs w:val="20"/>
        </w:rPr>
      </w:pPr>
      <w:r w:rsidRPr="00ED461D">
        <w:rPr>
          <w:rFonts w:ascii="Calibri" w:hAnsi="Calibri" w:cs="Calibri"/>
          <w:szCs w:val="20"/>
        </w:rPr>
        <w:t xml:space="preserve">Presidente </w:t>
      </w:r>
    </w:p>
    <w:p w14:paraId="4EFBA226" w14:textId="77777777" w:rsidR="00ED461D" w:rsidRPr="00ED461D" w:rsidRDefault="00ED461D" w:rsidP="00ED461D">
      <w:pPr>
        <w:rPr>
          <w:rFonts w:ascii="Calibri" w:hAnsi="Calibri" w:cs="Calibri"/>
          <w:szCs w:val="20"/>
        </w:rPr>
      </w:pPr>
      <w:r w:rsidRPr="00ED461D">
        <w:rPr>
          <w:rFonts w:ascii="Calibri" w:hAnsi="Calibri" w:cs="Calibri"/>
          <w:szCs w:val="20"/>
        </w:rPr>
        <w:t>Senado de la República</w:t>
      </w:r>
    </w:p>
    <w:p w14:paraId="2688765B" w14:textId="77777777" w:rsidR="00ED461D" w:rsidRPr="00ED461D" w:rsidRDefault="00ED461D" w:rsidP="00ED461D">
      <w:pPr>
        <w:rPr>
          <w:rFonts w:ascii="Calibri" w:hAnsi="Calibri" w:cs="Calibri"/>
          <w:szCs w:val="20"/>
        </w:rPr>
      </w:pPr>
    </w:p>
    <w:p w14:paraId="5C313FC6" w14:textId="7DD49E1F" w:rsidR="00ED461D" w:rsidRPr="00ED461D" w:rsidRDefault="00ED461D" w:rsidP="00ED461D">
      <w:pPr>
        <w:rPr>
          <w:rFonts w:ascii="Calibri" w:hAnsi="Calibri" w:cs="Calibri"/>
          <w:szCs w:val="20"/>
        </w:rPr>
      </w:pPr>
      <w:r w:rsidRPr="00ED461D">
        <w:rPr>
          <w:rFonts w:ascii="Calibri" w:hAnsi="Calibri" w:cs="Calibri"/>
          <w:szCs w:val="20"/>
        </w:rPr>
        <w:t xml:space="preserve">Representante </w:t>
      </w:r>
      <w:r w:rsidR="00684C1C">
        <w:rPr>
          <w:rFonts w:ascii="Calibri" w:hAnsi="Calibri" w:cs="Calibri"/>
          <w:szCs w:val="20"/>
        </w:rPr>
        <w:t>a la Cámara</w:t>
      </w:r>
    </w:p>
    <w:p w14:paraId="68686A0A" w14:textId="77777777" w:rsidR="00ED461D" w:rsidRPr="00ED461D" w:rsidRDefault="00ED461D" w:rsidP="00ED461D">
      <w:pPr>
        <w:rPr>
          <w:rFonts w:ascii="Calibri" w:hAnsi="Calibri" w:cs="Calibri"/>
          <w:b/>
          <w:bCs/>
          <w:szCs w:val="20"/>
        </w:rPr>
      </w:pPr>
      <w:r w:rsidRPr="00ED461D">
        <w:rPr>
          <w:rFonts w:ascii="Calibri" w:hAnsi="Calibri" w:cs="Calibri"/>
          <w:b/>
          <w:bCs/>
          <w:szCs w:val="20"/>
        </w:rPr>
        <w:t>DAVID RICARDO RACERO MAYORCA</w:t>
      </w:r>
    </w:p>
    <w:p w14:paraId="08B8FD0B" w14:textId="77777777" w:rsidR="00ED461D" w:rsidRPr="00ED461D" w:rsidRDefault="00ED461D" w:rsidP="00ED461D">
      <w:pPr>
        <w:rPr>
          <w:rFonts w:ascii="Calibri" w:hAnsi="Calibri" w:cs="Calibri"/>
          <w:szCs w:val="20"/>
        </w:rPr>
      </w:pPr>
      <w:r w:rsidRPr="00ED461D">
        <w:rPr>
          <w:rFonts w:ascii="Calibri" w:hAnsi="Calibri" w:cs="Calibri"/>
          <w:szCs w:val="20"/>
        </w:rPr>
        <w:t>Presidente</w:t>
      </w:r>
    </w:p>
    <w:p w14:paraId="3BD048B1" w14:textId="77777777" w:rsidR="00ED461D" w:rsidRPr="00ED461D" w:rsidRDefault="00ED461D" w:rsidP="00ED461D">
      <w:pPr>
        <w:rPr>
          <w:rFonts w:ascii="Calibri" w:hAnsi="Calibri" w:cs="Calibri"/>
          <w:szCs w:val="20"/>
        </w:rPr>
      </w:pPr>
      <w:r w:rsidRPr="00ED461D">
        <w:rPr>
          <w:rFonts w:ascii="Calibri" w:hAnsi="Calibri" w:cs="Calibri"/>
          <w:szCs w:val="20"/>
        </w:rPr>
        <w:t>Cámara de Representantes</w:t>
      </w:r>
    </w:p>
    <w:p w14:paraId="04BA4353" w14:textId="77777777" w:rsidR="000D77CB" w:rsidRPr="00ED461D" w:rsidRDefault="000D77CB" w:rsidP="000D77CB">
      <w:pPr>
        <w:pStyle w:val="Default"/>
        <w:jc w:val="both"/>
        <w:rPr>
          <w:rFonts w:ascii="Calibri" w:eastAsia="Arial" w:hAnsi="Calibri" w:cs="Calibri"/>
          <w:b/>
          <w:color w:val="auto"/>
          <w:szCs w:val="22"/>
        </w:rPr>
      </w:pPr>
    </w:p>
    <w:p w14:paraId="78B57CB9" w14:textId="77777777" w:rsidR="000D77CB" w:rsidRPr="00ED461D" w:rsidRDefault="000D77CB" w:rsidP="000D77CB">
      <w:pPr>
        <w:pStyle w:val="Default"/>
        <w:jc w:val="both"/>
        <w:rPr>
          <w:rFonts w:ascii="Calibri" w:eastAsia="Arial" w:hAnsi="Calibri" w:cs="Calibri"/>
          <w:b/>
          <w:color w:val="auto"/>
          <w:sz w:val="22"/>
          <w:szCs w:val="22"/>
        </w:rPr>
      </w:pPr>
    </w:p>
    <w:p w14:paraId="3FB181F0" w14:textId="2EC1692C" w:rsidR="00ED461D" w:rsidRPr="004D6339" w:rsidRDefault="00ED461D" w:rsidP="00ED461D">
      <w:pPr>
        <w:spacing w:line="276" w:lineRule="auto"/>
        <w:ind w:left="993" w:hanging="992"/>
        <w:rPr>
          <w:rFonts w:ascii="Calibri" w:hAnsi="Calibri" w:cs="Calibri"/>
          <w:bCs/>
        </w:rPr>
      </w:pPr>
      <w:r w:rsidRPr="004D6339">
        <w:rPr>
          <w:rFonts w:ascii="Calibri" w:hAnsi="Calibri" w:cs="Calibri"/>
          <w:b/>
        </w:rPr>
        <w:t>Asunto:</w:t>
      </w:r>
      <w:r w:rsidRPr="004D6339">
        <w:rPr>
          <w:rFonts w:ascii="Calibri" w:hAnsi="Calibri" w:cs="Calibri"/>
          <w:b/>
        </w:rPr>
        <w:tab/>
      </w:r>
      <w:r w:rsidRPr="004D6339">
        <w:rPr>
          <w:rFonts w:ascii="Calibri" w:hAnsi="Calibri" w:cs="Calibri"/>
        </w:rPr>
        <w:t xml:space="preserve">Informe de </w:t>
      </w:r>
      <w:r>
        <w:rPr>
          <w:rFonts w:ascii="Calibri" w:hAnsi="Calibri" w:cs="Calibri"/>
        </w:rPr>
        <w:t>Conciliación de</w:t>
      </w:r>
      <w:r w:rsidRPr="004D6339">
        <w:rPr>
          <w:rFonts w:ascii="Calibri" w:hAnsi="Calibri" w:cs="Calibri"/>
        </w:rPr>
        <w:t xml:space="preserve">l </w:t>
      </w:r>
      <w:bookmarkStart w:id="0" w:name="_Hlk55934336"/>
      <w:r w:rsidRPr="004D6339">
        <w:rPr>
          <w:rFonts w:ascii="Calibri" w:hAnsi="Calibri" w:cs="Calibri"/>
          <w:bCs/>
        </w:rPr>
        <w:t xml:space="preserve">Proyecto de Ley Estatutaria 111 de 2022 Senado </w:t>
      </w:r>
      <w:r w:rsidR="00AB3611">
        <w:rPr>
          <w:rFonts w:ascii="Calibri" w:hAnsi="Calibri" w:cs="Calibri"/>
          <w:bCs/>
        </w:rPr>
        <w:t xml:space="preserve">- </w:t>
      </w:r>
      <w:r w:rsidR="00AB3611" w:rsidRPr="004D6339">
        <w:rPr>
          <w:rFonts w:ascii="Calibri" w:hAnsi="Calibri" w:cs="Calibri"/>
          <w:bCs/>
        </w:rPr>
        <w:t>418 de 2023 Cá</w:t>
      </w:r>
      <w:r w:rsidR="00AB3611">
        <w:rPr>
          <w:rFonts w:ascii="Calibri" w:hAnsi="Calibri" w:cs="Calibri"/>
          <w:bCs/>
        </w:rPr>
        <w:t>mara</w:t>
      </w:r>
      <w:r w:rsidR="00AB3611" w:rsidRPr="004D6339">
        <w:rPr>
          <w:rFonts w:ascii="Calibri" w:hAnsi="Calibri" w:cs="Calibri"/>
          <w:bCs/>
        </w:rPr>
        <w:t xml:space="preserve"> </w:t>
      </w:r>
      <w:r w:rsidRPr="004D6339">
        <w:rPr>
          <w:rFonts w:ascii="Calibri" w:hAnsi="Calibri" w:cs="Calibri"/>
          <w:bCs/>
        </w:rPr>
        <w:t>acumulado con el Proye</w:t>
      </w:r>
      <w:r w:rsidR="00AB3611">
        <w:rPr>
          <w:rFonts w:ascii="Calibri" w:hAnsi="Calibri" w:cs="Calibri"/>
          <w:bCs/>
        </w:rPr>
        <w:t xml:space="preserve">cto de Ley 141 de 2022 Senado </w:t>
      </w:r>
      <w:r w:rsidRPr="004D6339">
        <w:rPr>
          <w:rFonts w:ascii="Calibri" w:hAnsi="Calibri" w:cs="Calibri"/>
          <w:bCs/>
        </w:rPr>
        <w:t>“</w:t>
      </w:r>
      <w:r w:rsidRPr="004D6339">
        <w:rPr>
          <w:rFonts w:ascii="Calibri" w:hAnsi="Calibri" w:cs="Calibri"/>
          <w:bCs/>
          <w:i/>
        </w:rPr>
        <w:t>Por la cual se expide el Código Electoral Colombiano y se dictan otras disposiciones</w:t>
      </w:r>
      <w:r w:rsidRPr="004D6339">
        <w:rPr>
          <w:rFonts w:ascii="Calibri" w:hAnsi="Calibri" w:cs="Calibri"/>
          <w:bCs/>
        </w:rPr>
        <w:t>”.</w:t>
      </w:r>
    </w:p>
    <w:bookmarkEnd w:id="0"/>
    <w:p w14:paraId="086B1438" w14:textId="5C150A78" w:rsidR="00ED461D" w:rsidRPr="004D6339" w:rsidRDefault="00ED461D" w:rsidP="00ED461D">
      <w:pPr>
        <w:spacing w:line="276" w:lineRule="auto"/>
        <w:rPr>
          <w:rFonts w:ascii="Calibri" w:hAnsi="Calibri" w:cs="Calibri"/>
          <w:bCs/>
        </w:rPr>
      </w:pPr>
    </w:p>
    <w:p w14:paraId="0EF35B60" w14:textId="0991F993" w:rsidR="00ED461D" w:rsidRPr="004D6339" w:rsidRDefault="00ED461D" w:rsidP="00ED461D">
      <w:pPr>
        <w:spacing w:line="276" w:lineRule="auto"/>
        <w:rPr>
          <w:rFonts w:ascii="Calibri" w:hAnsi="Calibri" w:cs="Calibri"/>
          <w:bCs/>
        </w:rPr>
      </w:pPr>
      <w:r>
        <w:rPr>
          <w:rFonts w:ascii="Calibri" w:hAnsi="Calibri" w:cs="Calibri"/>
          <w:bCs/>
        </w:rPr>
        <w:t>Respet</w:t>
      </w:r>
      <w:r w:rsidRPr="004D6339">
        <w:rPr>
          <w:rFonts w:ascii="Calibri" w:hAnsi="Calibri" w:cs="Calibri"/>
          <w:bCs/>
        </w:rPr>
        <w:t>ado</w:t>
      </w:r>
      <w:r>
        <w:rPr>
          <w:rFonts w:ascii="Calibri" w:hAnsi="Calibri" w:cs="Calibri"/>
          <w:bCs/>
        </w:rPr>
        <w:t>s</w:t>
      </w:r>
      <w:r w:rsidRPr="004D6339">
        <w:rPr>
          <w:rFonts w:ascii="Calibri" w:hAnsi="Calibri" w:cs="Calibri"/>
          <w:bCs/>
        </w:rPr>
        <w:t xml:space="preserve"> Presidente</w:t>
      </w:r>
      <w:r>
        <w:rPr>
          <w:rFonts w:ascii="Calibri" w:hAnsi="Calibri" w:cs="Calibri"/>
          <w:bCs/>
        </w:rPr>
        <w:t>s</w:t>
      </w:r>
      <w:r w:rsidRPr="004D6339">
        <w:rPr>
          <w:rFonts w:ascii="Calibri" w:hAnsi="Calibri" w:cs="Calibri"/>
          <w:bCs/>
        </w:rPr>
        <w:t>,</w:t>
      </w:r>
    </w:p>
    <w:p w14:paraId="290519BD" w14:textId="77777777" w:rsidR="00ED461D" w:rsidRPr="004D6339" w:rsidRDefault="00ED461D" w:rsidP="00ED461D">
      <w:pPr>
        <w:spacing w:line="276" w:lineRule="auto"/>
        <w:rPr>
          <w:rFonts w:ascii="Calibri" w:hAnsi="Calibri" w:cs="Calibri"/>
          <w:bCs/>
        </w:rPr>
      </w:pPr>
    </w:p>
    <w:p w14:paraId="76975B2E" w14:textId="2BE49106" w:rsidR="00ED461D" w:rsidRPr="00ED461D" w:rsidRDefault="00ED461D" w:rsidP="00ED461D">
      <w:pPr>
        <w:spacing w:line="276" w:lineRule="auto"/>
        <w:rPr>
          <w:rFonts w:ascii="Calibri" w:hAnsi="Calibri" w:cs="Calibri"/>
          <w:bCs/>
        </w:rPr>
      </w:pPr>
      <w:r w:rsidRPr="004D6339">
        <w:rPr>
          <w:rFonts w:ascii="Calibri" w:hAnsi="Calibri" w:cs="Calibri"/>
          <w:bCs/>
        </w:rPr>
        <w:t xml:space="preserve">De manera atenta, </w:t>
      </w:r>
      <w:r>
        <w:rPr>
          <w:rFonts w:ascii="Calibri" w:hAnsi="Calibri" w:cs="Calibri"/>
          <w:bCs/>
        </w:rPr>
        <w:t xml:space="preserve">en atención a la designación que nos hicieren las mesas directivas del Senado de la República y la Cámara de Representantes, </w:t>
      </w:r>
      <w:r w:rsidRPr="00ED461D">
        <w:rPr>
          <w:rFonts w:ascii="Calibri" w:hAnsi="Calibri" w:cs="Calibri"/>
        </w:rPr>
        <w:t xml:space="preserve">y de conformidad con los artículos 161 de la Constitución Política y 186 y siguientes de la Ley 5° de 1992, los suscritos Congresistas, </w:t>
      </w:r>
      <w:r>
        <w:rPr>
          <w:rFonts w:ascii="Calibri" w:hAnsi="Calibri" w:cs="Calibri"/>
          <w:bCs/>
        </w:rPr>
        <w:t xml:space="preserve">ponemos a consideración de los miembros de las dos Corporaciones </w:t>
      </w:r>
      <w:r w:rsidRPr="004D6339">
        <w:rPr>
          <w:rFonts w:ascii="Calibri" w:hAnsi="Calibri" w:cs="Calibri"/>
          <w:bCs/>
        </w:rPr>
        <w:t xml:space="preserve">el </w:t>
      </w:r>
      <w:r>
        <w:rPr>
          <w:rFonts w:ascii="Calibri" w:hAnsi="Calibri" w:cs="Calibri"/>
          <w:bCs/>
        </w:rPr>
        <w:t xml:space="preserve">presente </w:t>
      </w:r>
      <w:r w:rsidRPr="004D6339">
        <w:rPr>
          <w:rFonts w:ascii="Calibri" w:hAnsi="Calibri" w:cs="Calibri"/>
        </w:rPr>
        <w:t xml:space="preserve">Informe de </w:t>
      </w:r>
      <w:r>
        <w:rPr>
          <w:rFonts w:ascii="Calibri" w:hAnsi="Calibri" w:cs="Calibri"/>
        </w:rPr>
        <w:t>Conciliación</w:t>
      </w:r>
      <w:r w:rsidRPr="004D6339">
        <w:rPr>
          <w:rFonts w:ascii="Calibri" w:hAnsi="Calibri" w:cs="Calibri"/>
        </w:rPr>
        <w:t xml:space="preserve"> al </w:t>
      </w:r>
      <w:r w:rsidR="008E7D36">
        <w:rPr>
          <w:rFonts w:ascii="Calibri" w:hAnsi="Calibri" w:cs="Calibri"/>
          <w:bCs/>
        </w:rPr>
        <w:t>Proyecto de Ley Estatutaria citado en la línea de asunto, a fin de que estas células legislativas tomen las decisiones que consideren.</w:t>
      </w:r>
    </w:p>
    <w:p w14:paraId="6E5D64E6" w14:textId="77777777" w:rsidR="000D77CB" w:rsidRPr="00ED461D" w:rsidRDefault="000D77CB" w:rsidP="000D77CB">
      <w:pPr>
        <w:rPr>
          <w:rFonts w:ascii="Calibri" w:hAnsi="Calibri" w:cs="Calibri"/>
        </w:rPr>
      </w:pPr>
    </w:p>
    <w:p w14:paraId="0FF4C52B" w14:textId="73B7F006" w:rsidR="000D77CB" w:rsidRPr="00ED461D" w:rsidRDefault="002527DF" w:rsidP="000D77CB">
      <w:pPr>
        <w:rPr>
          <w:rFonts w:ascii="Calibri" w:hAnsi="Calibri" w:cs="Calibri"/>
        </w:rPr>
      </w:pPr>
      <w:r>
        <w:rPr>
          <w:rFonts w:ascii="Calibri" w:hAnsi="Calibri" w:cs="Calibri"/>
        </w:rPr>
        <w:t>Cordi</w:t>
      </w:r>
      <w:r w:rsidR="000D77CB" w:rsidRPr="00ED461D">
        <w:rPr>
          <w:rFonts w:ascii="Calibri" w:hAnsi="Calibri" w:cs="Calibri"/>
        </w:rPr>
        <w:t>a</w:t>
      </w:r>
      <w:r>
        <w:rPr>
          <w:rFonts w:ascii="Calibri" w:hAnsi="Calibri" w:cs="Calibri"/>
        </w:rPr>
        <w:t>l</w:t>
      </w:r>
      <w:r w:rsidR="000D77CB" w:rsidRPr="00ED461D">
        <w:rPr>
          <w:rFonts w:ascii="Calibri" w:hAnsi="Calibri" w:cs="Calibri"/>
        </w:rPr>
        <w:t xml:space="preserve">mente,  </w:t>
      </w:r>
    </w:p>
    <w:tbl>
      <w:tblPr>
        <w:tblW w:w="0" w:type="auto"/>
        <w:jc w:val="center"/>
        <w:tblLook w:val="04A0" w:firstRow="1" w:lastRow="0" w:firstColumn="1" w:lastColumn="0" w:noHBand="0" w:noVBand="1"/>
      </w:tblPr>
      <w:tblGrid>
        <w:gridCol w:w="4419"/>
        <w:gridCol w:w="4409"/>
      </w:tblGrid>
      <w:tr w:rsidR="008A0268" w:rsidRPr="00ED461D" w14:paraId="6BEF8CD7" w14:textId="77777777" w:rsidTr="00ED461D">
        <w:trPr>
          <w:trHeight w:val="1928"/>
          <w:jc w:val="center"/>
        </w:trPr>
        <w:tc>
          <w:tcPr>
            <w:tcW w:w="4419" w:type="dxa"/>
            <w:shd w:val="clear" w:color="auto" w:fill="auto"/>
            <w:vAlign w:val="bottom"/>
          </w:tcPr>
          <w:p w14:paraId="13DEBD9B" w14:textId="2609CDBA" w:rsidR="008A0268" w:rsidRPr="00ED461D" w:rsidRDefault="000E2F42" w:rsidP="00ED461D">
            <w:pPr>
              <w:jc w:val="center"/>
              <w:rPr>
                <w:rFonts w:ascii="Calibri" w:hAnsi="Calibri" w:cs="Calibri"/>
                <w:b/>
                <w:bCs/>
                <w:spacing w:val="-2"/>
              </w:rPr>
            </w:pPr>
            <w:r>
              <w:rPr>
                <w:rFonts w:ascii="Calibri" w:hAnsi="Calibri" w:cs="Calibri"/>
                <w:b/>
                <w:bCs/>
                <w:spacing w:val="-2"/>
              </w:rPr>
              <w:t>ALEJANDRO VEGA PÉ</w:t>
            </w:r>
            <w:r w:rsidR="00ED461D" w:rsidRPr="00ED461D">
              <w:rPr>
                <w:rFonts w:ascii="Calibri" w:hAnsi="Calibri" w:cs="Calibri"/>
                <w:b/>
                <w:bCs/>
                <w:spacing w:val="-2"/>
              </w:rPr>
              <w:t>REZ</w:t>
            </w:r>
          </w:p>
          <w:p w14:paraId="631C962F" w14:textId="04E513A4" w:rsidR="008A0268" w:rsidRPr="00ED461D" w:rsidRDefault="008A0268" w:rsidP="00ED461D">
            <w:pPr>
              <w:jc w:val="center"/>
              <w:rPr>
                <w:rFonts w:ascii="Calibri" w:hAnsi="Calibri" w:cs="Calibri"/>
                <w:b/>
                <w:bCs/>
                <w:spacing w:val="-2"/>
              </w:rPr>
            </w:pPr>
            <w:r w:rsidRPr="00ED461D">
              <w:rPr>
                <w:rFonts w:ascii="Calibri" w:hAnsi="Calibri" w:cs="Calibri"/>
                <w:b/>
                <w:bCs/>
                <w:spacing w:val="-2"/>
              </w:rPr>
              <w:t>Senador</w:t>
            </w:r>
            <w:r w:rsidR="00684C1C">
              <w:rPr>
                <w:rFonts w:ascii="Calibri" w:hAnsi="Calibri" w:cs="Calibri"/>
                <w:b/>
                <w:bCs/>
                <w:spacing w:val="-2"/>
              </w:rPr>
              <w:t xml:space="preserve"> de </w:t>
            </w:r>
            <w:r w:rsidR="00684C1C" w:rsidRPr="00684C1C">
              <w:rPr>
                <w:rFonts w:ascii="Calibri" w:hAnsi="Calibri" w:cs="Calibri"/>
                <w:b/>
                <w:szCs w:val="20"/>
              </w:rPr>
              <w:t>la República</w:t>
            </w:r>
          </w:p>
        </w:tc>
        <w:tc>
          <w:tcPr>
            <w:tcW w:w="4409" w:type="dxa"/>
            <w:shd w:val="clear" w:color="auto" w:fill="auto"/>
            <w:vAlign w:val="bottom"/>
          </w:tcPr>
          <w:p w14:paraId="3D5D0691" w14:textId="0D00AA1B" w:rsidR="008A0268" w:rsidRPr="00ED461D" w:rsidRDefault="002527DF" w:rsidP="00ED461D">
            <w:pPr>
              <w:pStyle w:val="Normal1"/>
              <w:spacing w:after="0" w:line="240" w:lineRule="auto"/>
              <w:jc w:val="center"/>
              <w:rPr>
                <w:rFonts w:eastAsia="Arial"/>
                <w:b/>
              </w:rPr>
            </w:pPr>
            <w:r w:rsidRPr="002527DF">
              <w:rPr>
                <w:rFonts w:eastAsia="Arial"/>
                <w:b/>
              </w:rPr>
              <w:t>ALFREDO RAFAEL DELUQUE ZULETA</w:t>
            </w:r>
          </w:p>
          <w:p w14:paraId="34D1B3E8" w14:textId="57496D9B" w:rsidR="008A0268" w:rsidRPr="00ED461D" w:rsidRDefault="008A0268" w:rsidP="00ED461D">
            <w:pPr>
              <w:pStyle w:val="Normal1"/>
              <w:spacing w:after="0" w:line="240" w:lineRule="auto"/>
              <w:jc w:val="center"/>
              <w:rPr>
                <w:rFonts w:eastAsia="Arial"/>
                <w:b/>
              </w:rPr>
            </w:pPr>
            <w:r w:rsidRPr="00ED461D">
              <w:rPr>
                <w:rFonts w:eastAsia="Arial"/>
                <w:b/>
              </w:rPr>
              <w:t>Senador</w:t>
            </w:r>
            <w:r w:rsidR="00684C1C">
              <w:rPr>
                <w:b/>
                <w:bCs/>
                <w:spacing w:val="-2"/>
              </w:rPr>
              <w:t xml:space="preserve"> de </w:t>
            </w:r>
            <w:r w:rsidR="00684C1C" w:rsidRPr="00684C1C">
              <w:rPr>
                <w:b/>
                <w:szCs w:val="20"/>
              </w:rPr>
              <w:t>la República</w:t>
            </w:r>
          </w:p>
        </w:tc>
      </w:tr>
      <w:tr w:rsidR="008A0268" w:rsidRPr="00ED461D" w14:paraId="4C716EBB" w14:textId="77777777" w:rsidTr="00ED461D">
        <w:trPr>
          <w:trHeight w:val="1928"/>
          <w:jc w:val="center"/>
        </w:trPr>
        <w:tc>
          <w:tcPr>
            <w:tcW w:w="4419" w:type="dxa"/>
            <w:shd w:val="clear" w:color="auto" w:fill="auto"/>
            <w:vAlign w:val="bottom"/>
          </w:tcPr>
          <w:p w14:paraId="5FFB11D5" w14:textId="1484295F" w:rsidR="008A0268" w:rsidRPr="00ED461D" w:rsidRDefault="008A0268" w:rsidP="00ED461D">
            <w:pPr>
              <w:jc w:val="center"/>
              <w:rPr>
                <w:rFonts w:ascii="Calibri" w:hAnsi="Calibri" w:cs="Calibri"/>
                <w:b/>
                <w:bCs/>
                <w:spacing w:val="-2"/>
              </w:rPr>
            </w:pPr>
          </w:p>
          <w:p w14:paraId="3DE810CA" w14:textId="12018D70" w:rsidR="008A0268" w:rsidRPr="00ED461D" w:rsidRDefault="002527DF" w:rsidP="00ED461D">
            <w:pPr>
              <w:jc w:val="center"/>
              <w:rPr>
                <w:rFonts w:ascii="Calibri" w:hAnsi="Calibri" w:cs="Calibri"/>
                <w:b/>
                <w:bCs/>
                <w:spacing w:val="-2"/>
              </w:rPr>
            </w:pPr>
            <w:r w:rsidRPr="002527DF">
              <w:rPr>
                <w:rFonts w:ascii="Calibri" w:hAnsi="Calibri" w:cs="Calibri"/>
                <w:b/>
                <w:bCs/>
                <w:spacing w:val="-2"/>
              </w:rPr>
              <w:t>JUAN DANIEL PEÑUELA</w:t>
            </w:r>
            <w:r w:rsidR="00510AD9">
              <w:rPr>
                <w:rFonts w:ascii="Calibri" w:hAnsi="Calibri" w:cs="Calibri"/>
                <w:b/>
                <w:bCs/>
                <w:spacing w:val="-2"/>
              </w:rPr>
              <w:t xml:space="preserve"> CALVACHE</w:t>
            </w:r>
          </w:p>
          <w:p w14:paraId="0AD8EB41" w14:textId="77777777" w:rsidR="008A0268" w:rsidRPr="00ED461D" w:rsidRDefault="008A0268" w:rsidP="00ED461D">
            <w:pPr>
              <w:jc w:val="center"/>
              <w:rPr>
                <w:rFonts w:ascii="Calibri" w:hAnsi="Calibri" w:cs="Calibri"/>
                <w:b/>
                <w:bCs/>
                <w:spacing w:val="-2"/>
              </w:rPr>
            </w:pPr>
            <w:r w:rsidRPr="00ED461D">
              <w:rPr>
                <w:rFonts w:ascii="Calibri" w:hAnsi="Calibri" w:cs="Calibri"/>
                <w:b/>
                <w:bCs/>
                <w:spacing w:val="-2"/>
              </w:rPr>
              <w:t xml:space="preserve">Representante </w:t>
            </w:r>
            <w:r w:rsidRPr="00ED461D">
              <w:rPr>
                <w:rFonts w:ascii="Calibri" w:hAnsi="Calibri" w:cs="Calibri"/>
                <w:b/>
              </w:rPr>
              <w:t>a la Cámara</w:t>
            </w:r>
          </w:p>
        </w:tc>
        <w:tc>
          <w:tcPr>
            <w:tcW w:w="4409" w:type="dxa"/>
            <w:shd w:val="clear" w:color="auto" w:fill="auto"/>
            <w:vAlign w:val="bottom"/>
          </w:tcPr>
          <w:p w14:paraId="3EC5D63C" w14:textId="77777777" w:rsidR="008A0268" w:rsidRPr="00ED461D" w:rsidRDefault="008A0268" w:rsidP="00ED461D">
            <w:pPr>
              <w:pStyle w:val="Normal1"/>
              <w:spacing w:after="0" w:line="240" w:lineRule="auto"/>
              <w:jc w:val="center"/>
              <w:rPr>
                <w:rFonts w:eastAsia="Arial"/>
                <w:b/>
              </w:rPr>
            </w:pPr>
          </w:p>
          <w:p w14:paraId="46B8896C" w14:textId="2D33E420" w:rsidR="008A0268" w:rsidRPr="00ED461D" w:rsidRDefault="008A0268" w:rsidP="00ED461D">
            <w:pPr>
              <w:pStyle w:val="Normal1"/>
              <w:spacing w:after="0" w:line="240" w:lineRule="auto"/>
              <w:jc w:val="center"/>
              <w:rPr>
                <w:rFonts w:eastAsia="Arial"/>
                <w:b/>
              </w:rPr>
            </w:pPr>
          </w:p>
          <w:p w14:paraId="307CD4F8" w14:textId="29C94C24" w:rsidR="008A0268" w:rsidRPr="00ED461D" w:rsidRDefault="002527DF" w:rsidP="00ED461D">
            <w:pPr>
              <w:pStyle w:val="Normal1"/>
              <w:spacing w:after="0" w:line="240" w:lineRule="auto"/>
              <w:jc w:val="center"/>
              <w:rPr>
                <w:rFonts w:eastAsia="Arial"/>
                <w:b/>
              </w:rPr>
            </w:pPr>
            <w:r w:rsidRPr="002527DF">
              <w:rPr>
                <w:rFonts w:eastAsia="Arial"/>
                <w:b/>
              </w:rPr>
              <w:t>JORGE ELIÉCER TAMAYO MARULANDA</w:t>
            </w:r>
          </w:p>
          <w:p w14:paraId="4002F4AD" w14:textId="77777777" w:rsidR="008A0268" w:rsidRPr="00ED461D" w:rsidRDefault="008A0268" w:rsidP="00ED461D">
            <w:pPr>
              <w:pStyle w:val="Normal1"/>
              <w:spacing w:after="0" w:line="240" w:lineRule="auto"/>
              <w:jc w:val="center"/>
              <w:rPr>
                <w:rFonts w:eastAsia="Arial"/>
              </w:rPr>
            </w:pPr>
            <w:r w:rsidRPr="00ED461D">
              <w:rPr>
                <w:rFonts w:eastAsia="Arial"/>
                <w:b/>
              </w:rPr>
              <w:t>Representante a la Cámara</w:t>
            </w:r>
          </w:p>
        </w:tc>
      </w:tr>
    </w:tbl>
    <w:p w14:paraId="31D53ECE" w14:textId="77777777" w:rsidR="000D77CB" w:rsidRPr="00ED461D" w:rsidRDefault="000D77CB" w:rsidP="000D77CB">
      <w:pPr>
        <w:rPr>
          <w:rFonts w:ascii="Calibri" w:hAnsi="Calibri" w:cs="Calibri"/>
          <w:b/>
          <w:bCs/>
          <w:lang w:val="es-CO"/>
        </w:rPr>
      </w:pPr>
      <w:r w:rsidRPr="00ED461D">
        <w:rPr>
          <w:rFonts w:ascii="Calibri" w:hAnsi="Calibri" w:cs="Calibri"/>
          <w:b/>
          <w:bCs/>
          <w:lang w:val="es-CO"/>
        </w:rPr>
        <w:br w:type="page"/>
      </w:r>
    </w:p>
    <w:p w14:paraId="5CD740C6" w14:textId="0114B9F8" w:rsidR="000D77CB" w:rsidRPr="008E7D36" w:rsidRDefault="000D77CB" w:rsidP="002527DF">
      <w:pPr>
        <w:pStyle w:val="Ttulo2"/>
        <w:jc w:val="center"/>
        <w:rPr>
          <w:sz w:val="22"/>
          <w:szCs w:val="22"/>
        </w:rPr>
      </w:pPr>
      <w:r w:rsidRPr="002527DF">
        <w:rPr>
          <w:sz w:val="22"/>
          <w:szCs w:val="22"/>
        </w:rPr>
        <w:lastRenderedPageBreak/>
        <w:t xml:space="preserve">INFORME DE CONCILIACIÓN </w:t>
      </w:r>
      <w:r w:rsidR="008E7D36">
        <w:rPr>
          <w:sz w:val="22"/>
          <w:szCs w:val="22"/>
        </w:rPr>
        <w:t>A</w:t>
      </w:r>
      <w:r w:rsidRPr="002527DF">
        <w:rPr>
          <w:sz w:val="22"/>
          <w:szCs w:val="22"/>
        </w:rPr>
        <w:t xml:space="preserve">L </w:t>
      </w:r>
      <w:r w:rsidR="008E7D36">
        <w:rPr>
          <w:sz w:val="22"/>
          <w:szCs w:val="22"/>
        </w:rPr>
        <w:t>PROYECTO DE LEY ESTATUTARIA</w:t>
      </w:r>
      <w:r w:rsidR="00AB3611">
        <w:rPr>
          <w:sz w:val="22"/>
          <w:szCs w:val="22"/>
        </w:rPr>
        <w:t xml:space="preserve"> </w:t>
      </w:r>
      <w:r w:rsidR="00AB3611" w:rsidRPr="004D6339">
        <w:rPr>
          <w:bCs/>
          <w:sz w:val="22"/>
          <w:szCs w:val="22"/>
        </w:rPr>
        <w:t>111 DE 2022 SENADO</w:t>
      </w:r>
      <w:r w:rsidR="00AB3611">
        <w:rPr>
          <w:bCs/>
          <w:sz w:val="22"/>
          <w:szCs w:val="22"/>
        </w:rPr>
        <w:t xml:space="preserve"> -</w:t>
      </w:r>
      <w:r w:rsidR="00AB3611" w:rsidRPr="004D6339">
        <w:rPr>
          <w:bCs/>
          <w:sz w:val="22"/>
          <w:szCs w:val="22"/>
        </w:rPr>
        <w:t xml:space="preserve">418 de 2023 CÁMARA ACUMULADO CON EL PROYECTO DE LEY 141 DE 2022 SENADO - </w:t>
      </w:r>
      <w:r w:rsidR="00AB3611">
        <w:rPr>
          <w:bCs/>
          <w:sz w:val="22"/>
          <w:szCs w:val="22"/>
        </w:rPr>
        <w:br/>
      </w:r>
      <w:r w:rsidR="008E7D36" w:rsidRPr="008E7D36">
        <w:rPr>
          <w:bCs/>
          <w:sz w:val="22"/>
          <w:szCs w:val="22"/>
        </w:rPr>
        <w:t>“POR LA CUAL SE EXPIDE EL CÓDIGO ELECTORAL COLOMBIANO Y SE DICTAN OTRAS DISPOSICIONES”.</w:t>
      </w:r>
    </w:p>
    <w:p w14:paraId="48DCC0E6" w14:textId="09F4CF6B" w:rsidR="000D77CB" w:rsidRDefault="000D77CB" w:rsidP="000D77CB">
      <w:pPr>
        <w:jc w:val="center"/>
        <w:rPr>
          <w:rFonts w:ascii="Calibri" w:hAnsi="Calibri" w:cs="Calibri"/>
          <w:b/>
          <w:bCs/>
        </w:rPr>
      </w:pPr>
    </w:p>
    <w:p w14:paraId="3BD4989C" w14:textId="18F29A7B" w:rsidR="00ED461D" w:rsidRPr="002527DF" w:rsidRDefault="00ED461D" w:rsidP="002527DF">
      <w:pPr>
        <w:pStyle w:val="Ttulo3"/>
        <w:numPr>
          <w:ilvl w:val="0"/>
          <w:numId w:val="218"/>
        </w:numPr>
        <w:rPr>
          <w:sz w:val="22"/>
          <w:szCs w:val="22"/>
        </w:rPr>
      </w:pPr>
      <w:r w:rsidRPr="002527DF">
        <w:rPr>
          <w:sz w:val="22"/>
          <w:szCs w:val="22"/>
        </w:rPr>
        <w:t xml:space="preserve">Designación de </w:t>
      </w:r>
      <w:r w:rsidRPr="002527DF">
        <w:rPr>
          <w:bCs/>
          <w:sz w:val="22"/>
          <w:szCs w:val="22"/>
        </w:rPr>
        <w:t>los</w:t>
      </w:r>
      <w:r w:rsidRPr="002527DF">
        <w:rPr>
          <w:sz w:val="22"/>
          <w:szCs w:val="22"/>
        </w:rPr>
        <w:t xml:space="preserve"> integrantes de las comisiones de mediación para la conciliación.</w:t>
      </w:r>
    </w:p>
    <w:p w14:paraId="13A1D0D6" w14:textId="4586A5EB" w:rsidR="00ED461D" w:rsidRPr="00ED461D" w:rsidRDefault="00ED461D" w:rsidP="00ED461D">
      <w:pPr>
        <w:spacing w:line="276" w:lineRule="auto"/>
        <w:rPr>
          <w:rFonts w:ascii="Calibri" w:hAnsi="Calibri" w:cs="Calibri"/>
          <w:b/>
        </w:rPr>
      </w:pPr>
    </w:p>
    <w:p w14:paraId="41D56601" w14:textId="4137CFF2" w:rsidR="00ED461D" w:rsidRDefault="00ED461D" w:rsidP="00ED461D">
      <w:pPr>
        <w:spacing w:line="276" w:lineRule="auto"/>
        <w:rPr>
          <w:rFonts w:ascii="Calibri" w:hAnsi="Calibri" w:cs="Calibri"/>
        </w:rPr>
      </w:pPr>
      <w:r>
        <w:rPr>
          <w:rFonts w:ascii="Calibri" w:hAnsi="Calibri" w:cs="Calibri"/>
        </w:rPr>
        <w:t>La Mesa directiva del</w:t>
      </w:r>
      <w:r w:rsidRPr="004D6339">
        <w:rPr>
          <w:rFonts w:ascii="Calibri" w:hAnsi="Calibri" w:cs="Calibri"/>
        </w:rPr>
        <w:t xml:space="preserve"> </w:t>
      </w:r>
      <w:r>
        <w:rPr>
          <w:rFonts w:ascii="Calibri" w:hAnsi="Calibri" w:cs="Calibri"/>
        </w:rPr>
        <w:t>H. Senado de la República</w:t>
      </w:r>
      <w:r w:rsidRPr="004D6339">
        <w:rPr>
          <w:rFonts w:ascii="Calibri" w:hAnsi="Calibri" w:cs="Calibri"/>
        </w:rPr>
        <w:t xml:space="preserve">, </w:t>
      </w:r>
      <w:r>
        <w:rPr>
          <w:rFonts w:ascii="Calibri" w:hAnsi="Calibri" w:cs="Calibri"/>
        </w:rPr>
        <w:t xml:space="preserve">mediante oficio suscrito por el Secretario General, Dr. Gregorio Eljach Pacheco del 16 de junio de 2023, </w:t>
      </w:r>
      <w:r w:rsidRPr="004D6339">
        <w:rPr>
          <w:rFonts w:ascii="Calibri" w:hAnsi="Calibri" w:cs="Calibri"/>
        </w:rPr>
        <w:t xml:space="preserve">designó </w:t>
      </w:r>
      <w:r>
        <w:rPr>
          <w:rFonts w:ascii="Calibri" w:hAnsi="Calibri" w:cs="Calibri"/>
        </w:rPr>
        <w:t xml:space="preserve">como conciliadores a </w:t>
      </w:r>
      <w:r w:rsidRPr="004D6339">
        <w:rPr>
          <w:rFonts w:ascii="Calibri" w:hAnsi="Calibri" w:cs="Calibri"/>
        </w:rPr>
        <w:t>los</w:t>
      </w:r>
      <w:r>
        <w:rPr>
          <w:rFonts w:ascii="Calibri" w:hAnsi="Calibri" w:cs="Calibri"/>
        </w:rPr>
        <w:t xml:space="preserve"> Senadores Alejandro Vega Pérez y Alfredo Rafael Deluque Zuleta, quienes tuvieron a su cargo la coordinación de la ponencia de</w:t>
      </w:r>
      <w:r w:rsidR="002527DF">
        <w:rPr>
          <w:rFonts w:ascii="Calibri" w:hAnsi="Calibri" w:cs="Calibri"/>
        </w:rPr>
        <w:t>l</w:t>
      </w:r>
      <w:r>
        <w:rPr>
          <w:rFonts w:ascii="Calibri" w:hAnsi="Calibri" w:cs="Calibri"/>
        </w:rPr>
        <w:t xml:space="preserve"> </w:t>
      </w:r>
      <w:r w:rsidR="002527DF">
        <w:rPr>
          <w:rFonts w:ascii="Calibri" w:hAnsi="Calibri" w:cs="Calibri"/>
        </w:rPr>
        <w:t>Proyecto</w:t>
      </w:r>
      <w:r>
        <w:rPr>
          <w:rFonts w:ascii="Calibri" w:hAnsi="Calibri" w:cs="Calibri"/>
        </w:rPr>
        <w:t xml:space="preserve"> de Ley </w:t>
      </w:r>
      <w:r w:rsidR="00AB3611">
        <w:rPr>
          <w:rFonts w:ascii="Calibri" w:hAnsi="Calibri" w:cs="Calibri"/>
        </w:rPr>
        <w:t>durante el trámite</w:t>
      </w:r>
      <w:r>
        <w:rPr>
          <w:rFonts w:ascii="Calibri" w:hAnsi="Calibri" w:cs="Calibri"/>
        </w:rPr>
        <w:t xml:space="preserve"> en el Senado de la República.</w:t>
      </w:r>
    </w:p>
    <w:p w14:paraId="739D9980" w14:textId="63669894" w:rsidR="00ED461D" w:rsidRDefault="00ED461D" w:rsidP="00ED461D">
      <w:pPr>
        <w:spacing w:line="276" w:lineRule="auto"/>
        <w:rPr>
          <w:rFonts w:ascii="Calibri" w:hAnsi="Calibri" w:cs="Calibri"/>
        </w:rPr>
      </w:pPr>
    </w:p>
    <w:p w14:paraId="57E110A5" w14:textId="623AFDD0" w:rsidR="000D77CB" w:rsidRPr="002527DF" w:rsidRDefault="00ED461D" w:rsidP="002527DF">
      <w:pPr>
        <w:spacing w:line="276" w:lineRule="auto"/>
        <w:rPr>
          <w:rFonts w:ascii="Calibri" w:hAnsi="Calibri" w:cs="Calibri"/>
        </w:rPr>
      </w:pPr>
      <w:r>
        <w:rPr>
          <w:rFonts w:ascii="Calibri" w:hAnsi="Calibri" w:cs="Calibri"/>
        </w:rPr>
        <w:t>Por su parte, la Mesa directiva</w:t>
      </w:r>
      <w:r w:rsidRPr="004D6339">
        <w:rPr>
          <w:rFonts w:ascii="Calibri" w:hAnsi="Calibri" w:cs="Calibri"/>
        </w:rPr>
        <w:t xml:space="preserve"> de la </w:t>
      </w:r>
      <w:r>
        <w:rPr>
          <w:rFonts w:ascii="Calibri" w:hAnsi="Calibri" w:cs="Calibri"/>
        </w:rPr>
        <w:t xml:space="preserve">H. </w:t>
      </w:r>
      <w:r w:rsidRPr="004D6339">
        <w:rPr>
          <w:rFonts w:ascii="Calibri" w:hAnsi="Calibri" w:cs="Calibri"/>
        </w:rPr>
        <w:t xml:space="preserve">Cámara de Representantes, </w:t>
      </w:r>
      <w:r>
        <w:rPr>
          <w:rFonts w:ascii="Calibri" w:hAnsi="Calibri" w:cs="Calibri"/>
        </w:rPr>
        <w:t xml:space="preserve">durante la sesión Plenaria del 17 de junio de 2023, </w:t>
      </w:r>
      <w:r w:rsidRPr="004D6339">
        <w:rPr>
          <w:rFonts w:ascii="Calibri" w:hAnsi="Calibri" w:cs="Calibri"/>
        </w:rPr>
        <w:t xml:space="preserve">designó </w:t>
      </w:r>
      <w:r>
        <w:rPr>
          <w:rFonts w:ascii="Calibri" w:hAnsi="Calibri" w:cs="Calibri"/>
        </w:rPr>
        <w:t xml:space="preserve">como conciliadores a </w:t>
      </w:r>
      <w:r w:rsidRPr="004D6339">
        <w:rPr>
          <w:rFonts w:ascii="Calibri" w:hAnsi="Calibri" w:cs="Calibri"/>
        </w:rPr>
        <w:t xml:space="preserve">los </w:t>
      </w:r>
      <w:r>
        <w:rPr>
          <w:rFonts w:ascii="Calibri" w:hAnsi="Calibri" w:cs="Calibri"/>
        </w:rPr>
        <w:t xml:space="preserve">Representantes a la Cámara </w:t>
      </w:r>
      <w:r w:rsidRPr="004D6339">
        <w:rPr>
          <w:rFonts w:ascii="Calibri" w:hAnsi="Calibri" w:cs="Calibri"/>
        </w:rPr>
        <w:t xml:space="preserve">Juan Daniel Peñuela </w:t>
      </w:r>
      <w:r>
        <w:rPr>
          <w:rFonts w:ascii="Calibri" w:hAnsi="Calibri" w:cs="Calibri"/>
        </w:rPr>
        <w:t xml:space="preserve">y </w:t>
      </w:r>
      <w:r w:rsidRPr="00ED461D">
        <w:rPr>
          <w:rFonts w:ascii="Calibri" w:hAnsi="Calibri" w:cs="Calibri"/>
        </w:rPr>
        <w:t>Jorge Eliécer Tamayo Marulanda</w:t>
      </w:r>
      <w:r>
        <w:rPr>
          <w:rFonts w:ascii="Calibri" w:hAnsi="Calibri" w:cs="Calibri"/>
        </w:rPr>
        <w:t xml:space="preserve">, quienes fungieron como coordinador ponente y ponente, respectivamente, </w:t>
      </w:r>
      <w:r w:rsidR="002527DF">
        <w:rPr>
          <w:rFonts w:ascii="Calibri" w:hAnsi="Calibri" w:cs="Calibri"/>
        </w:rPr>
        <w:t xml:space="preserve">del Proyecto </w:t>
      </w:r>
      <w:r>
        <w:rPr>
          <w:rFonts w:ascii="Calibri" w:hAnsi="Calibri" w:cs="Calibri"/>
        </w:rPr>
        <w:t xml:space="preserve">de Ley en </w:t>
      </w:r>
      <w:r w:rsidR="00AB3611">
        <w:rPr>
          <w:rFonts w:ascii="Calibri" w:hAnsi="Calibri" w:cs="Calibri"/>
        </w:rPr>
        <w:t xml:space="preserve">el trámite que se surtió </w:t>
      </w:r>
      <w:r w:rsidR="002527DF">
        <w:rPr>
          <w:rFonts w:ascii="Calibri" w:hAnsi="Calibri" w:cs="Calibri"/>
        </w:rPr>
        <w:t xml:space="preserve">en </w:t>
      </w:r>
      <w:r w:rsidR="00AB3611">
        <w:rPr>
          <w:rFonts w:ascii="Calibri" w:hAnsi="Calibri" w:cs="Calibri"/>
        </w:rPr>
        <w:t>la Cámara de Representantes</w:t>
      </w:r>
      <w:r w:rsidR="002527DF">
        <w:rPr>
          <w:rFonts w:ascii="Calibri" w:hAnsi="Calibri" w:cs="Calibri"/>
        </w:rPr>
        <w:t>.</w:t>
      </w:r>
    </w:p>
    <w:p w14:paraId="704862A7" w14:textId="67115E2C" w:rsidR="000D77CB" w:rsidRPr="002527DF" w:rsidRDefault="00ED461D" w:rsidP="002527DF">
      <w:pPr>
        <w:pStyle w:val="Ttulo3"/>
        <w:numPr>
          <w:ilvl w:val="0"/>
          <w:numId w:val="218"/>
        </w:numPr>
        <w:rPr>
          <w:bCs/>
          <w:sz w:val="22"/>
        </w:rPr>
      </w:pPr>
      <w:r w:rsidRPr="002527DF">
        <w:rPr>
          <w:bCs/>
          <w:sz w:val="22"/>
        </w:rPr>
        <w:t>Conciliación de los textos aprobados en las plenarias del Senado de la República y de la Cámara de Representantes.</w:t>
      </w:r>
    </w:p>
    <w:p w14:paraId="23FDA345" w14:textId="77777777" w:rsidR="000D77CB" w:rsidRPr="00ED461D" w:rsidRDefault="000D77CB" w:rsidP="000D77CB">
      <w:pPr>
        <w:pStyle w:val="Prrafodelista"/>
        <w:ind w:left="1080"/>
        <w:rPr>
          <w:rFonts w:ascii="Calibri" w:hAnsi="Calibri" w:cs="Calibri"/>
        </w:rPr>
      </w:pPr>
    </w:p>
    <w:p w14:paraId="546D589E" w14:textId="75CD66A6" w:rsidR="000D77CB" w:rsidRPr="00ED461D" w:rsidRDefault="000D77CB" w:rsidP="00510AD9">
      <w:pPr>
        <w:spacing w:line="276" w:lineRule="auto"/>
        <w:rPr>
          <w:rFonts w:ascii="Calibri" w:hAnsi="Calibri" w:cs="Calibri"/>
        </w:rPr>
      </w:pPr>
      <w:r w:rsidRPr="00ED461D">
        <w:rPr>
          <w:rFonts w:ascii="Calibri" w:hAnsi="Calibri" w:cs="Calibri"/>
        </w:rPr>
        <w:t xml:space="preserve">Con el fin de dar cumplimiento a la designación, los integrantes de la Comisión de Conciliación procedimos a realizar un estudio comparativo de los textos aprobados en la Plenaria del Honorable Senado de la República y de la Honorable Cámara de Representantes. De dicha revisión </w:t>
      </w:r>
      <w:r w:rsidR="0063754C" w:rsidRPr="00ED461D">
        <w:rPr>
          <w:rFonts w:ascii="Calibri" w:hAnsi="Calibri" w:cs="Calibri"/>
        </w:rPr>
        <w:t xml:space="preserve">se encontraron </w:t>
      </w:r>
      <w:r w:rsidRPr="00ED461D">
        <w:rPr>
          <w:rFonts w:ascii="Calibri" w:hAnsi="Calibri" w:cs="Calibri"/>
        </w:rPr>
        <w:t>diferencia</w:t>
      </w:r>
      <w:r w:rsidR="0063754C" w:rsidRPr="00ED461D">
        <w:rPr>
          <w:rFonts w:ascii="Calibri" w:hAnsi="Calibri" w:cs="Calibri"/>
        </w:rPr>
        <w:t>s</w:t>
      </w:r>
      <w:r w:rsidRPr="00ED461D">
        <w:rPr>
          <w:rFonts w:ascii="Calibri" w:hAnsi="Calibri" w:cs="Calibri"/>
        </w:rPr>
        <w:t xml:space="preserve"> entre los textos que fueron aprobados en cada una de las Cámaras</w:t>
      </w:r>
      <w:r w:rsidR="004C4B6B">
        <w:rPr>
          <w:rFonts w:ascii="Calibri" w:hAnsi="Calibri" w:cs="Calibri"/>
        </w:rPr>
        <w:t xml:space="preserve">, por lo cual no fue posible acoger la integralidad del texto aprobado por una u otra Corporación y, en su lugar, </w:t>
      </w:r>
      <w:r w:rsidR="00510AD9">
        <w:rPr>
          <w:rFonts w:ascii="Calibri" w:hAnsi="Calibri" w:cs="Calibri"/>
        </w:rPr>
        <w:t xml:space="preserve">con el objetivo de entregar un texto armónico, </w:t>
      </w:r>
      <w:r w:rsidR="004C4B6B">
        <w:rPr>
          <w:rFonts w:ascii="Calibri" w:hAnsi="Calibri" w:cs="Calibri"/>
        </w:rPr>
        <w:t>se acogieron artículos de una u otra habiendo analizando</w:t>
      </w:r>
      <w:r w:rsidR="00510AD9">
        <w:rPr>
          <w:rFonts w:ascii="Calibri" w:hAnsi="Calibri" w:cs="Calibri"/>
        </w:rPr>
        <w:t xml:space="preserve"> minuciosamente cada una de las divergencias</w:t>
      </w:r>
      <w:r w:rsidR="000338FA">
        <w:rPr>
          <w:rFonts w:ascii="Calibri" w:hAnsi="Calibri" w:cs="Calibri"/>
        </w:rPr>
        <w:t xml:space="preserve"> de contenido</w:t>
      </w:r>
      <w:r w:rsidRPr="00ED461D">
        <w:rPr>
          <w:rFonts w:ascii="Calibri" w:hAnsi="Calibri" w:cs="Calibri"/>
        </w:rPr>
        <w:t xml:space="preserve">. </w:t>
      </w:r>
    </w:p>
    <w:p w14:paraId="01ED9B57" w14:textId="77777777" w:rsidR="000D77CB" w:rsidRPr="00ED461D" w:rsidRDefault="000D77CB" w:rsidP="000D77CB">
      <w:pPr>
        <w:ind w:left="284"/>
        <w:rPr>
          <w:rFonts w:ascii="Calibri" w:hAnsi="Calibri" w:cs="Calibri"/>
        </w:rPr>
      </w:pPr>
    </w:p>
    <w:p w14:paraId="136D0856" w14:textId="3DBD59DE" w:rsidR="000D77CB" w:rsidRDefault="004C4B6B" w:rsidP="00510AD9">
      <w:pPr>
        <w:spacing w:line="276" w:lineRule="auto"/>
        <w:rPr>
          <w:rFonts w:ascii="Calibri" w:hAnsi="Calibri" w:cs="Calibri"/>
        </w:rPr>
      </w:pPr>
      <w:r>
        <w:rPr>
          <w:rFonts w:ascii="Calibri" w:hAnsi="Calibri" w:cs="Calibri"/>
        </w:rPr>
        <w:t xml:space="preserve">Así las cosas, el resultado de dicho análisis se evidencia </w:t>
      </w:r>
      <w:r w:rsidR="0063754C" w:rsidRPr="00ED461D">
        <w:rPr>
          <w:rFonts w:ascii="Calibri" w:hAnsi="Calibri" w:cs="Calibri"/>
        </w:rPr>
        <w:t xml:space="preserve">en la tabla que </w:t>
      </w:r>
      <w:r>
        <w:rPr>
          <w:rFonts w:ascii="Calibri" w:hAnsi="Calibri" w:cs="Calibri"/>
        </w:rPr>
        <w:t xml:space="preserve">se presenta </w:t>
      </w:r>
      <w:r w:rsidR="000D77CB" w:rsidRPr="00ED461D">
        <w:rPr>
          <w:rFonts w:ascii="Calibri" w:hAnsi="Calibri" w:cs="Calibri"/>
        </w:rPr>
        <w:t>a continuación</w:t>
      </w:r>
      <w:r w:rsidR="00AB3611">
        <w:rPr>
          <w:rFonts w:ascii="Calibri" w:hAnsi="Calibri" w:cs="Calibri"/>
        </w:rPr>
        <w:t xml:space="preserve">. </w:t>
      </w:r>
      <w:r>
        <w:rPr>
          <w:rFonts w:ascii="Calibri" w:hAnsi="Calibri" w:cs="Calibri"/>
        </w:rPr>
        <w:t>Teniendo en consideración</w:t>
      </w:r>
      <w:r w:rsidRPr="00AB3611">
        <w:rPr>
          <w:rFonts w:ascii="Calibri" w:hAnsi="Calibri" w:cs="Calibri"/>
        </w:rPr>
        <w:t xml:space="preserve"> que </w:t>
      </w:r>
      <w:r>
        <w:rPr>
          <w:rFonts w:ascii="Calibri" w:hAnsi="Calibri" w:cs="Calibri"/>
        </w:rPr>
        <w:t xml:space="preserve">algunos de </w:t>
      </w:r>
      <w:r w:rsidRPr="00AB3611">
        <w:rPr>
          <w:rFonts w:ascii="Calibri" w:hAnsi="Calibri" w:cs="Calibri"/>
        </w:rPr>
        <w:t xml:space="preserve">los cambios efectuados al </w:t>
      </w:r>
      <w:r>
        <w:rPr>
          <w:rFonts w:ascii="Calibri" w:hAnsi="Calibri" w:cs="Calibri"/>
        </w:rPr>
        <w:t>P</w:t>
      </w:r>
      <w:r w:rsidRPr="00AB3611">
        <w:rPr>
          <w:rFonts w:ascii="Calibri" w:hAnsi="Calibri" w:cs="Calibri"/>
        </w:rPr>
        <w:t xml:space="preserve">royecto </w:t>
      </w:r>
      <w:r>
        <w:rPr>
          <w:rFonts w:ascii="Calibri" w:hAnsi="Calibri" w:cs="Calibri"/>
        </w:rPr>
        <w:t xml:space="preserve">de Ley </w:t>
      </w:r>
      <w:r w:rsidRPr="00AB3611">
        <w:rPr>
          <w:rFonts w:ascii="Calibri" w:hAnsi="Calibri" w:cs="Calibri"/>
        </w:rPr>
        <w:t xml:space="preserve">en el transcurso </w:t>
      </w:r>
      <w:r>
        <w:rPr>
          <w:rFonts w:ascii="Calibri" w:hAnsi="Calibri" w:cs="Calibri"/>
        </w:rPr>
        <w:t>del trámite implicaron una modificación en</w:t>
      </w:r>
      <w:r w:rsidRPr="00AB3611">
        <w:rPr>
          <w:rFonts w:ascii="Calibri" w:hAnsi="Calibri" w:cs="Calibri"/>
        </w:rPr>
        <w:t xml:space="preserve"> la numeración y el</w:t>
      </w:r>
      <w:r>
        <w:rPr>
          <w:rFonts w:ascii="Calibri" w:hAnsi="Calibri" w:cs="Calibri"/>
        </w:rPr>
        <w:t xml:space="preserve"> contenido de varios artículos, </w:t>
      </w:r>
      <w:r w:rsidRPr="00AB3611">
        <w:rPr>
          <w:rFonts w:ascii="Calibri" w:hAnsi="Calibri" w:cs="Calibri"/>
        </w:rPr>
        <w:t xml:space="preserve">en aras de facilitar </w:t>
      </w:r>
      <w:r>
        <w:rPr>
          <w:rFonts w:ascii="Calibri" w:hAnsi="Calibri" w:cs="Calibri"/>
        </w:rPr>
        <w:t>la lectura y</w:t>
      </w:r>
      <w:r w:rsidRPr="00AB3611">
        <w:rPr>
          <w:rFonts w:ascii="Calibri" w:hAnsi="Calibri" w:cs="Calibri"/>
        </w:rPr>
        <w:t xml:space="preserve"> comprensión </w:t>
      </w:r>
      <w:r>
        <w:rPr>
          <w:rFonts w:ascii="Calibri" w:hAnsi="Calibri" w:cs="Calibri"/>
        </w:rPr>
        <w:t xml:space="preserve">del Proyecto </w:t>
      </w:r>
      <w:r w:rsidRPr="00AB3611">
        <w:rPr>
          <w:rFonts w:ascii="Calibri" w:hAnsi="Calibri" w:cs="Calibri"/>
        </w:rPr>
        <w:t>por parte de los miembros de ambas Corporaciones</w:t>
      </w:r>
      <w:r>
        <w:rPr>
          <w:rFonts w:ascii="Calibri" w:hAnsi="Calibri" w:cs="Calibri"/>
        </w:rPr>
        <w:t>,</w:t>
      </w:r>
      <w:r w:rsidR="00AB3611">
        <w:rPr>
          <w:rFonts w:ascii="Calibri" w:hAnsi="Calibri" w:cs="Calibri"/>
        </w:rPr>
        <w:t xml:space="preserve"> </w:t>
      </w:r>
      <w:r>
        <w:rPr>
          <w:rFonts w:ascii="Calibri" w:hAnsi="Calibri" w:cs="Calibri"/>
        </w:rPr>
        <w:t>en el análisis que aquí se presenta se hace una correspondencia temática de los artículos en los casos que fue necesario.</w:t>
      </w:r>
    </w:p>
    <w:p w14:paraId="14DF04F7" w14:textId="77777777" w:rsidR="00AB3611" w:rsidRPr="00ED461D" w:rsidRDefault="00AB3611" w:rsidP="000D77CB">
      <w:pPr>
        <w:rPr>
          <w:rFonts w:ascii="Calibri" w:hAnsi="Calibri" w:cs="Calibri"/>
        </w:rPr>
      </w:pPr>
    </w:p>
    <w:p w14:paraId="71E6E912" w14:textId="77777777" w:rsidR="000D77CB" w:rsidRPr="00ED461D" w:rsidRDefault="000D77CB" w:rsidP="00894BC9">
      <w:pPr>
        <w:spacing w:line="276" w:lineRule="auto"/>
        <w:jc w:val="center"/>
        <w:rPr>
          <w:rFonts w:ascii="Calibri" w:hAnsi="Calibri" w:cs="Calibri"/>
          <w:b/>
        </w:rPr>
      </w:pPr>
    </w:p>
    <w:p w14:paraId="50BB60DB" w14:textId="1D9C3C15" w:rsidR="0093628B" w:rsidRPr="00ED461D" w:rsidRDefault="0093628B" w:rsidP="002918DA">
      <w:pPr>
        <w:pStyle w:val="Sinespaciado"/>
        <w:jc w:val="both"/>
        <w:rPr>
          <w:rFonts w:ascii="Calibri" w:hAnsi="Calibri" w:cs="Calibri"/>
        </w:rPr>
        <w:sectPr w:rsidR="0093628B" w:rsidRPr="00ED461D" w:rsidSect="005E1B11">
          <w:headerReference w:type="default" r:id="rId7"/>
          <w:footerReference w:type="default" r:id="rId8"/>
          <w:pgSz w:w="12242" w:h="15842" w:code="1"/>
          <w:pgMar w:top="1843" w:right="1701" w:bottom="1701" w:left="1701" w:header="851" w:footer="0" w:gutter="0"/>
          <w:cols w:space="708"/>
          <w:docGrid w:linePitch="360"/>
        </w:sectPr>
      </w:pPr>
    </w:p>
    <w:p w14:paraId="3FE04E22" w14:textId="6E960269" w:rsidR="000D77CB" w:rsidRPr="00ED461D" w:rsidRDefault="000D77CB" w:rsidP="002918DA">
      <w:pPr>
        <w:pStyle w:val="Sinespaciado"/>
        <w:jc w:val="both"/>
        <w:rPr>
          <w:rFonts w:ascii="Calibri" w:hAnsi="Calibri" w:cs="Calibri"/>
        </w:rPr>
      </w:pPr>
    </w:p>
    <w:tbl>
      <w:tblPr>
        <w:tblW w:w="12874" w:type="dxa"/>
        <w:tblCellMar>
          <w:left w:w="70" w:type="dxa"/>
          <w:right w:w="70" w:type="dxa"/>
        </w:tblCellMar>
        <w:tblLook w:val="04A0" w:firstRow="1" w:lastRow="0" w:firstColumn="1" w:lastColumn="0" w:noHBand="0" w:noVBand="1"/>
      </w:tblPr>
      <w:tblGrid>
        <w:gridCol w:w="3798"/>
        <w:gridCol w:w="3798"/>
        <w:gridCol w:w="3798"/>
        <w:gridCol w:w="1480"/>
      </w:tblGrid>
      <w:tr w:rsidR="00222F34" w:rsidRPr="00222F34" w14:paraId="5A44C2EC" w14:textId="77777777" w:rsidTr="00222F34">
        <w:trPr>
          <w:trHeight w:val="1200"/>
          <w:tblHeader/>
        </w:trPr>
        <w:tc>
          <w:tcPr>
            <w:tcW w:w="37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9CE643" w14:textId="77777777" w:rsidR="00222F34" w:rsidRPr="00222F34" w:rsidRDefault="00222F34" w:rsidP="00222F34">
            <w:pPr>
              <w:widowControl/>
              <w:autoSpaceDE/>
              <w:autoSpaceDN/>
              <w:jc w:val="center"/>
              <w:rPr>
                <w:rFonts w:ascii="Calibri" w:eastAsia="Times New Roman" w:hAnsi="Calibri" w:cs="Calibri"/>
                <w:b/>
                <w:bCs/>
                <w:color w:val="000000"/>
                <w:sz w:val="16"/>
                <w:szCs w:val="18"/>
                <w:lang w:val="es-CO" w:eastAsia="es-CO" w:bidi="ar-SA"/>
              </w:rPr>
            </w:pPr>
            <w:r w:rsidRPr="00222F34">
              <w:rPr>
                <w:rFonts w:ascii="Calibri" w:eastAsia="Times New Roman" w:hAnsi="Calibri" w:cs="Calibri"/>
                <w:b/>
                <w:bCs/>
                <w:color w:val="000000"/>
                <w:sz w:val="16"/>
                <w:szCs w:val="18"/>
                <w:lang w:val="es-CO" w:eastAsia="es-CO" w:bidi="ar-SA"/>
              </w:rPr>
              <w:t>TEXTO APROBADO EN SEGUNDO DEBATE EN PLENARIA DE SENADO AL PROYECTO DE LEY ESTATUTARIA N° 418 DE 2023 CÁMARA – 111 DE 2022 SENADO ACUMULADO CON EL PROYECTO DE LEY ESTATUTARIA N° 141 DE 2022 SENADO - “POR LA CUAL SE EXPIDE EL CÓDIGO ELECTORAL COLOMBIANO Y SE DICTAN OTRAS DISPOSICIONES”</w:t>
            </w:r>
          </w:p>
        </w:tc>
        <w:tc>
          <w:tcPr>
            <w:tcW w:w="3798" w:type="dxa"/>
            <w:tcBorders>
              <w:top w:val="single" w:sz="4" w:space="0" w:color="000000"/>
              <w:left w:val="nil"/>
              <w:bottom w:val="single" w:sz="4" w:space="0" w:color="000000"/>
              <w:right w:val="single" w:sz="4" w:space="0" w:color="000000"/>
            </w:tcBorders>
            <w:shd w:val="clear" w:color="auto" w:fill="F2F2F2" w:themeFill="background1" w:themeFillShade="F2"/>
            <w:hideMark/>
          </w:tcPr>
          <w:p w14:paraId="733A8881" w14:textId="77777777" w:rsidR="00222F34" w:rsidRPr="00222F34" w:rsidRDefault="00222F34" w:rsidP="00222F34">
            <w:pPr>
              <w:widowControl/>
              <w:autoSpaceDE/>
              <w:autoSpaceDN/>
              <w:jc w:val="center"/>
              <w:rPr>
                <w:rFonts w:ascii="Calibri" w:eastAsia="Times New Roman" w:hAnsi="Calibri" w:cs="Calibri"/>
                <w:b/>
                <w:bCs/>
                <w:color w:val="000000"/>
                <w:sz w:val="16"/>
                <w:szCs w:val="18"/>
                <w:lang w:val="es-CO" w:eastAsia="es-CO" w:bidi="ar-SA"/>
              </w:rPr>
            </w:pPr>
            <w:r w:rsidRPr="00222F34">
              <w:rPr>
                <w:rFonts w:ascii="Calibri" w:eastAsia="Times New Roman" w:hAnsi="Calibri" w:cs="Calibri"/>
                <w:b/>
                <w:bCs/>
                <w:color w:val="000000"/>
                <w:sz w:val="16"/>
                <w:szCs w:val="18"/>
                <w:lang w:val="es-CO" w:eastAsia="es-CO" w:bidi="ar-SA"/>
              </w:rPr>
              <w:t>TEXTO APROBADO EN SEGUNDO DEBATE EN PLENARIA DE CÁMARA AL PROYECTO DE LEY ESTATUTARIA N° 418 DE 2023 CÁMARA – 111 DE 2022 SENADO ACUMULADO CON EL PROYECTO DE LEY ESTATUTARIA N° 141 DE 2022 SENADO - “POR LA CUAL SE EXPIDE EL CÓDIGO ELECTORAL COLOMBIANO Y SE DICTAN OTRAS DISPOSICIONES”</w:t>
            </w:r>
          </w:p>
        </w:tc>
        <w:tc>
          <w:tcPr>
            <w:tcW w:w="3798" w:type="dxa"/>
            <w:tcBorders>
              <w:top w:val="single" w:sz="4" w:space="0" w:color="000000"/>
              <w:left w:val="nil"/>
              <w:bottom w:val="single" w:sz="4" w:space="0" w:color="000000"/>
              <w:right w:val="single" w:sz="4" w:space="0" w:color="000000"/>
            </w:tcBorders>
            <w:shd w:val="clear" w:color="auto" w:fill="F2F2F2" w:themeFill="background1" w:themeFillShade="F2"/>
            <w:hideMark/>
          </w:tcPr>
          <w:p w14:paraId="2793B9D8" w14:textId="77777777" w:rsidR="00222F34" w:rsidRPr="00222F34" w:rsidRDefault="00222F34" w:rsidP="00222F34">
            <w:pPr>
              <w:widowControl/>
              <w:autoSpaceDE/>
              <w:autoSpaceDN/>
              <w:jc w:val="center"/>
              <w:rPr>
                <w:rFonts w:ascii="Calibri" w:eastAsia="Times New Roman" w:hAnsi="Calibri" w:cs="Calibri"/>
                <w:b/>
                <w:bCs/>
                <w:color w:val="000000"/>
                <w:sz w:val="16"/>
                <w:szCs w:val="18"/>
                <w:lang w:val="es-CO" w:eastAsia="es-CO" w:bidi="ar-SA"/>
              </w:rPr>
            </w:pPr>
            <w:r w:rsidRPr="00222F34">
              <w:rPr>
                <w:rFonts w:ascii="Calibri" w:eastAsia="Times New Roman" w:hAnsi="Calibri" w:cs="Calibri"/>
                <w:b/>
                <w:bCs/>
                <w:color w:val="000000"/>
                <w:sz w:val="16"/>
                <w:szCs w:val="18"/>
                <w:lang w:val="es-CO" w:eastAsia="es-CO" w:bidi="ar-SA"/>
              </w:rPr>
              <w:t>TEXTO CONCILIADO AL PROYECTO DE LEY ESTATUTARIA N° 418 DE 2023 CÁMARA – 111 DE 2022 SENADO ACUMULADO CON EL PROYECTO DE LEY ESTATUTARIA N° 141 DE 2022 SENADO - “POR LA CUAL SE EXPIDE EL CÓDIGO ELECTORAL COLOMBIANO Y SE DICTAN OTRAS DISPOSICIONES”</w:t>
            </w:r>
          </w:p>
        </w:tc>
        <w:tc>
          <w:tcPr>
            <w:tcW w:w="1480" w:type="dxa"/>
            <w:tcBorders>
              <w:top w:val="single" w:sz="4" w:space="0" w:color="000000"/>
              <w:left w:val="nil"/>
              <w:bottom w:val="single" w:sz="4" w:space="0" w:color="000000"/>
              <w:right w:val="single" w:sz="4" w:space="0" w:color="000000"/>
            </w:tcBorders>
            <w:shd w:val="clear" w:color="auto" w:fill="F2F2F2" w:themeFill="background1" w:themeFillShade="F2"/>
            <w:vAlign w:val="center"/>
            <w:hideMark/>
          </w:tcPr>
          <w:p w14:paraId="694D6C68" w14:textId="77777777" w:rsidR="00222F34" w:rsidRPr="00222F34" w:rsidRDefault="00222F34" w:rsidP="00222F34">
            <w:pPr>
              <w:widowControl/>
              <w:autoSpaceDE/>
              <w:autoSpaceDN/>
              <w:jc w:val="center"/>
              <w:rPr>
                <w:rFonts w:ascii="Calibri" w:eastAsia="Times New Roman" w:hAnsi="Calibri" w:cs="Calibri"/>
                <w:b/>
                <w:bCs/>
                <w:color w:val="000000"/>
                <w:sz w:val="16"/>
                <w:szCs w:val="18"/>
                <w:lang w:val="es-CO" w:eastAsia="es-CO" w:bidi="ar-SA"/>
              </w:rPr>
            </w:pPr>
            <w:r w:rsidRPr="00222F34">
              <w:rPr>
                <w:rFonts w:ascii="Calibri" w:eastAsia="Times New Roman" w:hAnsi="Calibri" w:cs="Calibri"/>
                <w:b/>
                <w:bCs/>
                <w:color w:val="000000"/>
                <w:sz w:val="16"/>
                <w:szCs w:val="18"/>
                <w:lang w:val="es-CO" w:eastAsia="es-CO" w:bidi="ar-SA"/>
              </w:rPr>
              <w:t>TEXTO ACOGIDO</w:t>
            </w:r>
          </w:p>
        </w:tc>
      </w:tr>
      <w:tr w:rsidR="00222F34" w:rsidRPr="00222F34" w14:paraId="5644E31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1AF6BC3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EL CONGRESO DE LA REPÚBLICA</w:t>
            </w:r>
          </w:p>
        </w:tc>
        <w:tc>
          <w:tcPr>
            <w:tcW w:w="3798" w:type="dxa"/>
            <w:tcBorders>
              <w:top w:val="nil"/>
              <w:left w:val="nil"/>
              <w:bottom w:val="single" w:sz="4" w:space="0" w:color="000000"/>
              <w:right w:val="single" w:sz="4" w:space="0" w:color="000000"/>
            </w:tcBorders>
            <w:shd w:val="clear" w:color="000000" w:fill="FFFFFF"/>
            <w:hideMark/>
          </w:tcPr>
          <w:p w14:paraId="069F53B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EL CONGRESO DE LA REPÚBLICA</w:t>
            </w:r>
          </w:p>
        </w:tc>
        <w:tc>
          <w:tcPr>
            <w:tcW w:w="3798" w:type="dxa"/>
            <w:tcBorders>
              <w:top w:val="nil"/>
              <w:left w:val="nil"/>
              <w:bottom w:val="single" w:sz="4" w:space="0" w:color="000000"/>
              <w:right w:val="single" w:sz="4" w:space="0" w:color="000000"/>
            </w:tcBorders>
            <w:shd w:val="clear" w:color="000000" w:fill="FFFFFF"/>
            <w:hideMark/>
          </w:tcPr>
          <w:p w14:paraId="295B3CC5"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EL CONGRESO DE LA REPÚBLICA</w:t>
            </w:r>
          </w:p>
        </w:tc>
        <w:tc>
          <w:tcPr>
            <w:tcW w:w="1480" w:type="dxa"/>
            <w:tcBorders>
              <w:top w:val="nil"/>
              <w:left w:val="nil"/>
              <w:bottom w:val="single" w:sz="4" w:space="0" w:color="000000"/>
              <w:right w:val="single" w:sz="4" w:space="0" w:color="000000"/>
            </w:tcBorders>
            <w:shd w:val="clear" w:color="000000" w:fill="FFFFFF"/>
            <w:hideMark/>
          </w:tcPr>
          <w:p w14:paraId="2C37084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07EBCF6"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BC96AD0"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DECRETA:</w:t>
            </w:r>
          </w:p>
        </w:tc>
        <w:tc>
          <w:tcPr>
            <w:tcW w:w="3798" w:type="dxa"/>
            <w:tcBorders>
              <w:top w:val="nil"/>
              <w:left w:val="nil"/>
              <w:bottom w:val="single" w:sz="4" w:space="0" w:color="000000"/>
              <w:right w:val="single" w:sz="4" w:space="0" w:color="000000"/>
            </w:tcBorders>
            <w:shd w:val="clear" w:color="000000" w:fill="FFFFFF"/>
            <w:hideMark/>
          </w:tcPr>
          <w:p w14:paraId="69136588"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DECRETA:</w:t>
            </w:r>
          </w:p>
        </w:tc>
        <w:tc>
          <w:tcPr>
            <w:tcW w:w="3798" w:type="dxa"/>
            <w:tcBorders>
              <w:top w:val="nil"/>
              <w:left w:val="nil"/>
              <w:bottom w:val="single" w:sz="4" w:space="0" w:color="000000"/>
              <w:right w:val="single" w:sz="4" w:space="0" w:color="000000"/>
            </w:tcBorders>
            <w:shd w:val="clear" w:color="000000" w:fill="FFFFFF"/>
            <w:hideMark/>
          </w:tcPr>
          <w:p w14:paraId="282B068C"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DECRETA:</w:t>
            </w:r>
          </w:p>
        </w:tc>
        <w:tc>
          <w:tcPr>
            <w:tcW w:w="1480" w:type="dxa"/>
            <w:tcBorders>
              <w:top w:val="nil"/>
              <w:left w:val="nil"/>
              <w:bottom w:val="single" w:sz="4" w:space="0" w:color="000000"/>
              <w:right w:val="single" w:sz="4" w:space="0" w:color="000000"/>
            </w:tcBorders>
            <w:shd w:val="clear" w:color="000000" w:fill="FFFFFF"/>
            <w:hideMark/>
          </w:tcPr>
          <w:p w14:paraId="15A6F12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5B179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9240800"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PRELIMINAR</w:t>
            </w:r>
          </w:p>
        </w:tc>
        <w:tc>
          <w:tcPr>
            <w:tcW w:w="3798" w:type="dxa"/>
            <w:tcBorders>
              <w:top w:val="nil"/>
              <w:left w:val="nil"/>
              <w:bottom w:val="nil"/>
              <w:right w:val="single" w:sz="4" w:space="0" w:color="000000"/>
            </w:tcBorders>
            <w:shd w:val="clear" w:color="000000" w:fill="FFFFFF"/>
            <w:hideMark/>
          </w:tcPr>
          <w:p w14:paraId="5653D1A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PRELIMINAR</w:t>
            </w:r>
          </w:p>
        </w:tc>
        <w:tc>
          <w:tcPr>
            <w:tcW w:w="3798" w:type="dxa"/>
            <w:tcBorders>
              <w:top w:val="nil"/>
              <w:left w:val="nil"/>
              <w:bottom w:val="nil"/>
              <w:right w:val="single" w:sz="4" w:space="0" w:color="000000"/>
            </w:tcBorders>
            <w:shd w:val="clear" w:color="000000" w:fill="FFFFFF"/>
            <w:hideMark/>
          </w:tcPr>
          <w:p w14:paraId="689EAB7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PRELIMINAR</w:t>
            </w:r>
          </w:p>
        </w:tc>
        <w:tc>
          <w:tcPr>
            <w:tcW w:w="1480" w:type="dxa"/>
            <w:tcBorders>
              <w:top w:val="nil"/>
              <w:left w:val="nil"/>
              <w:bottom w:val="nil"/>
              <w:right w:val="single" w:sz="4" w:space="0" w:color="000000"/>
            </w:tcBorders>
            <w:shd w:val="clear" w:color="000000" w:fill="FFFFFF"/>
            <w:hideMark/>
          </w:tcPr>
          <w:p w14:paraId="2A25C09D" w14:textId="7EA2E0CA"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r w:rsidR="00222F34" w:rsidRPr="00222F34">
              <w:rPr>
                <w:rFonts w:ascii="Calibri" w:eastAsia="Times New Roman" w:hAnsi="Calibri" w:cs="Calibri"/>
                <w:color w:val="000000"/>
                <w:lang w:val="es-CO" w:eastAsia="es-CO" w:bidi="ar-SA"/>
              </w:rPr>
              <w:t xml:space="preserve"> </w:t>
            </w:r>
          </w:p>
        </w:tc>
      </w:tr>
      <w:tr w:rsidR="00222F34" w:rsidRPr="00222F34" w14:paraId="65957BF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12A4931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tc>
        <w:tc>
          <w:tcPr>
            <w:tcW w:w="3798" w:type="dxa"/>
            <w:tcBorders>
              <w:top w:val="nil"/>
              <w:left w:val="nil"/>
              <w:bottom w:val="single" w:sz="4" w:space="0" w:color="000000"/>
              <w:right w:val="single" w:sz="4" w:space="0" w:color="000000"/>
            </w:tcBorders>
            <w:shd w:val="clear" w:color="000000" w:fill="FFFFFF"/>
            <w:hideMark/>
          </w:tcPr>
          <w:p w14:paraId="4EAB724E"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tc>
        <w:tc>
          <w:tcPr>
            <w:tcW w:w="3798" w:type="dxa"/>
            <w:tcBorders>
              <w:top w:val="nil"/>
              <w:left w:val="nil"/>
              <w:bottom w:val="single" w:sz="4" w:space="0" w:color="000000"/>
              <w:right w:val="single" w:sz="4" w:space="0" w:color="000000"/>
            </w:tcBorders>
            <w:shd w:val="clear" w:color="000000" w:fill="FFFFFF"/>
            <w:hideMark/>
          </w:tcPr>
          <w:p w14:paraId="224D06D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tc>
        <w:tc>
          <w:tcPr>
            <w:tcW w:w="1480" w:type="dxa"/>
            <w:tcBorders>
              <w:top w:val="nil"/>
              <w:left w:val="nil"/>
              <w:bottom w:val="single" w:sz="4" w:space="0" w:color="000000"/>
              <w:right w:val="single" w:sz="4" w:space="0" w:color="000000"/>
            </w:tcBorders>
            <w:shd w:val="clear" w:color="000000" w:fill="FFFFFF"/>
            <w:hideMark/>
          </w:tcPr>
          <w:p w14:paraId="000BF3D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F9A4EDB" w14:textId="77777777" w:rsidTr="00222F34">
        <w:trPr>
          <w:trHeight w:val="2100"/>
        </w:trPr>
        <w:tc>
          <w:tcPr>
            <w:tcW w:w="3798" w:type="dxa"/>
            <w:tcBorders>
              <w:top w:val="nil"/>
              <w:left w:val="single" w:sz="4" w:space="0" w:color="000000"/>
              <w:bottom w:val="single" w:sz="4" w:space="0" w:color="000000"/>
              <w:right w:val="single" w:sz="4" w:space="0" w:color="000000"/>
            </w:tcBorders>
            <w:shd w:val="clear" w:color="000000" w:fill="FFFFFF"/>
            <w:hideMark/>
          </w:tcPr>
          <w:p w14:paraId="32C22AF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 Objeto.</w:t>
            </w:r>
            <w:r w:rsidRPr="00222F34">
              <w:rPr>
                <w:rFonts w:ascii="Calibri" w:eastAsia="Times New Roman" w:hAnsi="Calibri" w:cs="Calibri"/>
                <w:color w:val="000000"/>
                <w:lang w:val="es-CO" w:eastAsia="es-CO" w:bidi="ar-SA"/>
              </w:rPr>
              <w:t xml:space="preserve"> El presente código tiene por objeto regular el derecho constitucional fundamental a elegir y ser elegido, las atribuciones de las autoridades públicas que ejercen funciones electorales y de los particulares cuando la ejerzan transitoriamente, como también los procedimientos para su ejercicio, con el fin de asegurar que el proceso electoral, el resultado de las elecciones y las demás manifestaciones de la participación política electoral representen con fidelidad, autenticidad, imparcialidad, transparencia, efectividad, la voluntad de sus titulares.</w:t>
            </w:r>
          </w:p>
        </w:tc>
        <w:tc>
          <w:tcPr>
            <w:tcW w:w="3798" w:type="dxa"/>
            <w:tcBorders>
              <w:top w:val="nil"/>
              <w:left w:val="nil"/>
              <w:bottom w:val="single" w:sz="4" w:space="0" w:color="000000"/>
              <w:right w:val="single" w:sz="4" w:space="0" w:color="000000"/>
            </w:tcBorders>
            <w:shd w:val="clear" w:color="000000" w:fill="FFFFFF"/>
            <w:hideMark/>
          </w:tcPr>
          <w:p w14:paraId="5DF74AF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 Objeto.</w:t>
            </w:r>
            <w:r w:rsidRPr="00222F34">
              <w:rPr>
                <w:rFonts w:ascii="Calibri" w:eastAsia="Times New Roman" w:hAnsi="Calibri" w:cs="Calibri"/>
                <w:color w:val="000000"/>
                <w:lang w:val="es-CO" w:eastAsia="es-CO" w:bidi="ar-SA"/>
              </w:rPr>
              <w:t xml:space="preserve"> El presente código tiene por objeto regular el derecho constitucional fundamental a elegir y ser elegido, las atribuciones de las autoridades públicas que ejercen funciones electorales y de los particulares cuando la ejerzan transitoriamente, así como lo relacionado con su ejercicio, con el fin de garantizar las dinámicas previo y durante el proceso electoral, el resultado de las elecciones y las demás manifestaciones de la participación política electoral representen con fidelidad, autenticidad, imparcialidad, transparencia, efectividad, la voluntad de sus titulares.</w:t>
            </w:r>
          </w:p>
        </w:tc>
        <w:tc>
          <w:tcPr>
            <w:tcW w:w="3798" w:type="dxa"/>
            <w:tcBorders>
              <w:top w:val="nil"/>
              <w:left w:val="nil"/>
              <w:bottom w:val="single" w:sz="4" w:space="0" w:color="000000"/>
              <w:right w:val="single" w:sz="4" w:space="0" w:color="000000"/>
            </w:tcBorders>
            <w:shd w:val="clear" w:color="000000" w:fill="FFFFFF"/>
            <w:hideMark/>
          </w:tcPr>
          <w:p w14:paraId="73034AD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 Objeto.</w:t>
            </w:r>
            <w:r w:rsidRPr="00222F34">
              <w:rPr>
                <w:rFonts w:ascii="Calibri" w:eastAsia="Times New Roman" w:hAnsi="Calibri" w:cs="Calibri"/>
                <w:color w:val="000000"/>
                <w:lang w:val="es-CO" w:eastAsia="es-CO" w:bidi="ar-SA"/>
              </w:rPr>
              <w:t xml:space="preserve"> El presente código tiene por objeto regular el derecho constitucional fundamental a elegir y ser elegido, las atribuciones de las autoridades públicas que ejercen funciones electorales y de los particulares cuando la ejerzan transitoriamente, como también los procedimientos para su ejercicio, con el fin de asegurar que el proceso electoral, el resultado de las elecciones y las demás manifestaciones de la participación política electoral representen con fidelidad, autenticidad, imparcialidad, transparencia, efectividad, la voluntad de sus titulares.</w:t>
            </w:r>
          </w:p>
        </w:tc>
        <w:tc>
          <w:tcPr>
            <w:tcW w:w="1480" w:type="dxa"/>
            <w:tcBorders>
              <w:top w:val="nil"/>
              <w:left w:val="nil"/>
              <w:bottom w:val="single" w:sz="4" w:space="0" w:color="000000"/>
              <w:right w:val="single" w:sz="4" w:space="0" w:color="000000"/>
            </w:tcBorders>
            <w:shd w:val="clear" w:color="000000" w:fill="FFFFFF"/>
            <w:hideMark/>
          </w:tcPr>
          <w:p w14:paraId="605A9F33" w14:textId="6FDEF858"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4AF68C30" w14:textId="77777777" w:rsidTr="00CA11B1">
        <w:trPr>
          <w:trHeight w:val="521"/>
        </w:trPr>
        <w:tc>
          <w:tcPr>
            <w:tcW w:w="3798" w:type="dxa"/>
            <w:tcBorders>
              <w:top w:val="nil"/>
              <w:left w:val="single" w:sz="4" w:space="0" w:color="000000"/>
              <w:bottom w:val="nil"/>
              <w:right w:val="single" w:sz="4" w:space="0" w:color="000000"/>
            </w:tcBorders>
            <w:shd w:val="clear" w:color="000000" w:fill="FFFFFF"/>
            <w:hideMark/>
          </w:tcPr>
          <w:p w14:paraId="2DCFED8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 Ámbito de aplicación.</w:t>
            </w:r>
            <w:r w:rsidRPr="00222F34">
              <w:rPr>
                <w:rFonts w:ascii="Calibri" w:eastAsia="Times New Roman" w:hAnsi="Calibri" w:cs="Calibri"/>
                <w:color w:val="000000"/>
                <w:lang w:val="es-CO" w:eastAsia="es-CO" w:bidi="ar-SA"/>
              </w:rPr>
              <w:t xml:space="preserve"> Las disposiciones de este código se aplicarán a los actos y procesos electorales mediante los cuales se eligen cargos, corporaciones y autoridades de elección popular, para las consultas de organizaciones políticas y, de manera </w:t>
            </w:r>
            <w:r w:rsidRPr="00222F34">
              <w:rPr>
                <w:rFonts w:ascii="Calibri" w:eastAsia="Times New Roman" w:hAnsi="Calibri" w:cs="Calibri"/>
                <w:color w:val="000000"/>
                <w:lang w:val="es-CO" w:eastAsia="es-CO" w:bidi="ar-SA"/>
              </w:rPr>
              <w:lastRenderedPageBreak/>
              <w:t>complementaria, para los mecanismos de participación ciudadana previstos en la Constitución y la ley.</w:t>
            </w:r>
          </w:p>
        </w:tc>
        <w:tc>
          <w:tcPr>
            <w:tcW w:w="3798" w:type="dxa"/>
            <w:tcBorders>
              <w:top w:val="nil"/>
              <w:left w:val="nil"/>
              <w:bottom w:val="nil"/>
              <w:right w:val="single" w:sz="4" w:space="0" w:color="000000"/>
            </w:tcBorders>
            <w:shd w:val="clear" w:color="00FF00" w:fill="FFFFFF"/>
            <w:hideMark/>
          </w:tcPr>
          <w:p w14:paraId="1CD8BA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 Ámbito de aplicación.</w:t>
            </w:r>
            <w:r w:rsidRPr="00222F34">
              <w:rPr>
                <w:rFonts w:ascii="Calibri" w:eastAsia="Times New Roman" w:hAnsi="Calibri" w:cs="Calibri"/>
                <w:color w:val="000000"/>
                <w:lang w:val="es-CO" w:eastAsia="es-CO" w:bidi="ar-SA"/>
              </w:rPr>
              <w:t xml:space="preserve"> Las disposiciones de este código se aplicarán a los actos y procesos electorales mediante los cuales se eligen cargos, corporaciones y autoridades de elección popular, para las consultas de organizaciones políticas y, de manera </w:t>
            </w:r>
            <w:r w:rsidRPr="00222F34">
              <w:rPr>
                <w:rFonts w:ascii="Calibri" w:eastAsia="Times New Roman" w:hAnsi="Calibri" w:cs="Calibri"/>
                <w:color w:val="000000"/>
                <w:lang w:val="es-CO" w:eastAsia="es-CO" w:bidi="ar-SA"/>
              </w:rPr>
              <w:lastRenderedPageBreak/>
              <w:t>complementaria, para los mecanismos de participación ciudadana previstos en la Constitución y la ley.</w:t>
            </w:r>
          </w:p>
        </w:tc>
        <w:tc>
          <w:tcPr>
            <w:tcW w:w="3798" w:type="dxa"/>
            <w:tcBorders>
              <w:top w:val="nil"/>
              <w:left w:val="nil"/>
              <w:bottom w:val="nil"/>
              <w:right w:val="single" w:sz="4" w:space="0" w:color="000000"/>
            </w:tcBorders>
            <w:shd w:val="clear" w:color="00FF00" w:fill="FFFFFF"/>
            <w:hideMark/>
          </w:tcPr>
          <w:p w14:paraId="416456E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 Ámbito de aplicación.</w:t>
            </w:r>
            <w:r w:rsidRPr="00222F34">
              <w:rPr>
                <w:rFonts w:ascii="Calibri" w:eastAsia="Times New Roman" w:hAnsi="Calibri" w:cs="Calibri"/>
                <w:color w:val="000000"/>
                <w:lang w:val="es-CO" w:eastAsia="es-CO" w:bidi="ar-SA"/>
              </w:rPr>
              <w:t xml:space="preserve"> Las disposiciones de este código se aplicarán a los actos y procesos electorales mediante los cuales se eligen cargos, corporaciones y autoridades de elección popular, para las consultas de organizaciones políticas y, de manera </w:t>
            </w:r>
            <w:r w:rsidRPr="00222F34">
              <w:rPr>
                <w:rFonts w:ascii="Calibri" w:eastAsia="Times New Roman" w:hAnsi="Calibri" w:cs="Calibri"/>
                <w:color w:val="000000"/>
                <w:lang w:val="es-CO" w:eastAsia="es-CO" w:bidi="ar-SA"/>
              </w:rPr>
              <w:lastRenderedPageBreak/>
              <w:t>complementaria, para los mecanismos de participación ciudadana previstos en la Constitución y la ley.</w:t>
            </w:r>
          </w:p>
        </w:tc>
        <w:tc>
          <w:tcPr>
            <w:tcW w:w="1480" w:type="dxa"/>
            <w:tcBorders>
              <w:top w:val="nil"/>
              <w:left w:val="nil"/>
              <w:bottom w:val="nil"/>
              <w:right w:val="single" w:sz="4" w:space="0" w:color="000000"/>
            </w:tcBorders>
            <w:shd w:val="clear" w:color="000000" w:fill="FFFFFF"/>
            <w:hideMark/>
          </w:tcPr>
          <w:p w14:paraId="4167ECDC" w14:textId="589B86E8"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40DEE97F"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F6CE63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Son actos electorales aquellos que surgen del ejercicio de la función electoral, mediante los cuales se expresa y declara la voluntad de los ciudadanos y/o de los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 y representativa.</w:t>
            </w:r>
          </w:p>
        </w:tc>
        <w:tc>
          <w:tcPr>
            <w:tcW w:w="3798" w:type="dxa"/>
            <w:tcBorders>
              <w:top w:val="nil"/>
              <w:left w:val="nil"/>
              <w:bottom w:val="nil"/>
              <w:right w:val="single" w:sz="4" w:space="0" w:color="000000"/>
            </w:tcBorders>
            <w:shd w:val="clear" w:color="00FF00" w:fill="FFFFFF"/>
            <w:hideMark/>
          </w:tcPr>
          <w:p w14:paraId="3FC9224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Son actos electorales aquellos que surgen del ejercicio de la función electoral, mediante los cuales se expresa y declara la voluntad de los ciudadanos y las ciudadanas y/o de los y las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 y representativa.</w:t>
            </w:r>
          </w:p>
        </w:tc>
        <w:tc>
          <w:tcPr>
            <w:tcW w:w="3798" w:type="dxa"/>
            <w:tcBorders>
              <w:top w:val="nil"/>
              <w:left w:val="nil"/>
              <w:bottom w:val="nil"/>
              <w:right w:val="single" w:sz="4" w:space="0" w:color="000000"/>
            </w:tcBorders>
            <w:shd w:val="clear" w:color="00FF00" w:fill="FFFFFF"/>
            <w:hideMark/>
          </w:tcPr>
          <w:p w14:paraId="2234C42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Son actos electorales aquellos que surgen del ejercicio de la función electoral, mediante los cuales se expresa y declara la voluntad de los ciudadanos y las ciudadanas y/o de los y las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 y representativa.</w:t>
            </w:r>
          </w:p>
        </w:tc>
        <w:tc>
          <w:tcPr>
            <w:tcW w:w="1480" w:type="dxa"/>
            <w:tcBorders>
              <w:top w:val="nil"/>
              <w:left w:val="nil"/>
              <w:bottom w:val="nil"/>
              <w:right w:val="single" w:sz="4" w:space="0" w:color="000000"/>
            </w:tcBorders>
            <w:shd w:val="clear" w:color="000000" w:fill="FFFFFF"/>
            <w:hideMark/>
          </w:tcPr>
          <w:p w14:paraId="5D55D5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E53BB0" w14:textId="77777777" w:rsidTr="00222F34">
        <w:trPr>
          <w:trHeight w:val="1800"/>
        </w:trPr>
        <w:tc>
          <w:tcPr>
            <w:tcW w:w="3798" w:type="dxa"/>
            <w:tcBorders>
              <w:top w:val="nil"/>
              <w:left w:val="single" w:sz="4" w:space="0" w:color="000000"/>
              <w:bottom w:val="nil"/>
              <w:right w:val="single" w:sz="4" w:space="0" w:color="000000"/>
            </w:tcBorders>
            <w:shd w:val="clear" w:color="FFC000" w:fill="FFFFFF"/>
            <w:hideMark/>
          </w:tcPr>
          <w:p w14:paraId="42B08D0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0A1FCC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También son actos electorales aquellos que surgen del ejercicio de la función electoral de las víctimas en cumplimiento del Punto Dos del acuerdo de paz, en el entendido de que la construcción y consolidación de la paz, en el marco del fin del conflicto, requiere de una ampliación democrática que permita que surjan nuevas fuerzas en el escenario político para enriquecer el debate y la deliberación alrededor de los grandes problemas nacionales.</w:t>
            </w:r>
          </w:p>
        </w:tc>
        <w:tc>
          <w:tcPr>
            <w:tcW w:w="3798" w:type="dxa"/>
            <w:tcBorders>
              <w:top w:val="nil"/>
              <w:left w:val="nil"/>
              <w:bottom w:val="nil"/>
              <w:right w:val="single" w:sz="4" w:space="0" w:color="000000"/>
            </w:tcBorders>
            <w:shd w:val="clear" w:color="00FF00" w:fill="FFFFFF"/>
            <w:hideMark/>
          </w:tcPr>
          <w:p w14:paraId="00E29A5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También son actos electorales aquellos que surgen del ejercicio de la función electoral de las víctimas en cumplimiento del Punto Dos del acuerdo de paz, en el entendido de que la construcción y consolidación de la paz, en el marco del fin del conflicto, requiere de una ampliación democrática que permita que surjan nuevas fuerzas en el escenario político para enriquecer el debate y la deliberación alrededor de los grandes problemas nacionales.</w:t>
            </w:r>
          </w:p>
        </w:tc>
        <w:tc>
          <w:tcPr>
            <w:tcW w:w="1480" w:type="dxa"/>
            <w:tcBorders>
              <w:top w:val="nil"/>
              <w:left w:val="nil"/>
              <w:bottom w:val="nil"/>
              <w:right w:val="single" w:sz="4" w:space="0" w:color="000000"/>
            </w:tcBorders>
            <w:shd w:val="clear" w:color="000000" w:fill="FFFFFF"/>
            <w:hideMark/>
          </w:tcPr>
          <w:p w14:paraId="10468EE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7A1FAB3"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FFC000" w:fill="FFFFFF"/>
            <w:hideMark/>
          </w:tcPr>
          <w:p w14:paraId="5E2FB95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67E75F6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acto que declara la elección de las 16 Circunscripciones Transitorias Especiales de Paz – CITREP en la Cámara de Representantes, en cumplimiento del Acuerdo Final para la Terminación del Conflicto y la Construcción de una Paz estable y duradera, se entenderá como un acto de contenido electoral.</w:t>
            </w:r>
          </w:p>
        </w:tc>
        <w:tc>
          <w:tcPr>
            <w:tcW w:w="3798" w:type="dxa"/>
            <w:tcBorders>
              <w:top w:val="nil"/>
              <w:left w:val="nil"/>
              <w:bottom w:val="single" w:sz="4" w:space="0" w:color="000000"/>
              <w:right w:val="single" w:sz="4" w:space="0" w:color="000000"/>
            </w:tcBorders>
            <w:shd w:val="clear" w:color="00FF00" w:fill="FFFFFF"/>
            <w:hideMark/>
          </w:tcPr>
          <w:p w14:paraId="3244EA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acto que declara la elección de las 16 Circunscripciones Transitorias Especiales de Paz – CITREP en la Cámara de Representantes, en cumplimiento del Acuerdo Final para la Terminación del Conflicto y la Construcción de una Paz estable y duradera, se entenderá como un acto de contenido electoral.</w:t>
            </w:r>
          </w:p>
        </w:tc>
        <w:tc>
          <w:tcPr>
            <w:tcW w:w="1480" w:type="dxa"/>
            <w:tcBorders>
              <w:top w:val="nil"/>
              <w:left w:val="nil"/>
              <w:bottom w:val="single" w:sz="4" w:space="0" w:color="000000"/>
              <w:right w:val="single" w:sz="4" w:space="0" w:color="000000"/>
            </w:tcBorders>
            <w:shd w:val="clear" w:color="000000" w:fill="FFFFFF"/>
            <w:hideMark/>
          </w:tcPr>
          <w:p w14:paraId="18ED03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42C7DC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C1B8010"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PRIMERA</w:t>
            </w:r>
          </w:p>
        </w:tc>
        <w:tc>
          <w:tcPr>
            <w:tcW w:w="3798" w:type="dxa"/>
            <w:tcBorders>
              <w:top w:val="nil"/>
              <w:left w:val="nil"/>
              <w:bottom w:val="nil"/>
              <w:right w:val="single" w:sz="4" w:space="0" w:color="000000"/>
            </w:tcBorders>
            <w:shd w:val="clear" w:color="000000" w:fill="FFFFFF"/>
            <w:hideMark/>
          </w:tcPr>
          <w:p w14:paraId="460CDA40"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PRIMERA</w:t>
            </w:r>
          </w:p>
        </w:tc>
        <w:tc>
          <w:tcPr>
            <w:tcW w:w="3798" w:type="dxa"/>
            <w:tcBorders>
              <w:top w:val="nil"/>
              <w:left w:val="nil"/>
              <w:bottom w:val="nil"/>
              <w:right w:val="single" w:sz="4" w:space="0" w:color="000000"/>
            </w:tcBorders>
            <w:shd w:val="clear" w:color="000000" w:fill="FFFFFF"/>
            <w:hideMark/>
          </w:tcPr>
          <w:p w14:paraId="761DAD93"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PRIMERA</w:t>
            </w:r>
          </w:p>
        </w:tc>
        <w:tc>
          <w:tcPr>
            <w:tcW w:w="1480" w:type="dxa"/>
            <w:tcBorders>
              <w:top w:val="nil"/>
              <w:left w:val="nil"/>
              <w:bottom w:val="nil"/>
              <w:right w:val="single" w:sz="4" w:space="0" w:color="000000"/>
            </w:tcBorders>
            <w:shd w:val="clear" w:color="000000" w:fill="FFFFFF"/>
            <w:hideMark/>
          </w:tcPr>
          <w:p w14:paraId="6B98E8E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E3295B6"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19E1FF41"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ORGANIZACIÓN ELECTORAL Y SU CONFORMACIÓN</w:t>
            </w:r>
          </w:p>
        </w:tc>
        <w:tc>
          <w:tcPr>
            <w:tcW w:w="3798" w:type="dxa"/>
            <w:tcBorders>
              <w:top w:val="nil"/>
              <w:left w:val="nil"/>
              <w:bottom w:val="single" w:sz="4" w:space="0" w:color="000000"/>
              <w:right w:val="single" w:sz="4" w:space="0" w:color="000000"/>
            </w:tcBorders>
            <w:shd w:val="clear" w:color="000000" w:fill="FFFFFF"/>
            <w:hideMark/>
          </w:tcPr>
          <w:p w14:paraId="0E0A30CA"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ORGANIZACIÓN ELECTORAL Y SU CONFORMACIÓN</w:t>
            </w:r>
          </w:p>
        </w:tc>
        <w:tc>
          <w:tcPr>
            <w:tcW w:w="3798" w:type="dxa"/>
            <w:tcBorders>
              <w:top w:val="nil"/>
              <w:left w:val="nil"/>
              <w:bottom w:val="single" w:sz="4" w:space="0" w:color="000000"/>
              <w:right w:val="single" w:sz="4" w:space="0" w:color="000000"/>
            </w:tcBorders>
            <w:shd w:val="clear" w:color="000000" w:fill="FFFFFF"/>
            <w:hideMark/>
          </w:tcPr>
          <w:p w14:paraId="37FE767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ORGANIZACIÓN ELECTORAL Y SU CONFORMACIÓN</w:t>
            </w:r>
          </w:p>
        </w:tc>
        <w:tc>
          <w:tcPr>
            <w:tcW w:w="1480" w:type="dxa"/>
            <w:tcBorders>
              <w:top w:val="nil"/>
              <w:left w:val="nil"/>
              <w:bottom w:val="single" w:sz="4" w:space="0" w:color="000000"/>
              <w:right w:val="single" w:sz="4" w:space="0" w:color="000000"/>
            </w:tcBorders>
            <w:shd w:val="clear" w:color="000000" w:fill="FFFFFF"/>
            <w:hideMark/>
          </w:tcPr>
          <w:p w14:paraId="3814BA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B4F9B7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5A62CC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 Conformación.</w:t>
            </w:r>
            <w:r w:rsidRPr="00222F34">
              <w:rPr>
                <w:rFonts w:ascii="Calibri" w:eastAsia="Times New Roman" w:hAnsi="Calibri" w:cs="Calibri"/>
                <w:color w:val="000000"/>
                <w:lang w:val="es-CO" w:eastAsia="es-CO" w:bidi="ar-SA"/>
              </w:rPr>
              <w:t xml:space="preserve"> La Organización Electoral estará conformada por el Consejo Nacional Electoral y la Registraduría Nacional del Estado Civil. </w:t>
            </w:r>
          </w:p>
        </w:tc>
        <w:tc>
          <w:tcPr>
            <w:tcW w:w="3798" w:type="dxa"/>
            <w:tcBorders>
              <w:top w:val="nil"/>
              <w:left w:val="nil"/>
              <w:bottom w:val="nil"/>
              <w:right w:val="single" w:sz="4" w:space="0" w:color="000000"/>
            </w:tcBorders>
            <w:shd w:val="clear" w:color="00FF00" w:fill="FFFFFF"/>
            <w:hideMark/>
          </w:tcPr>
          <w:p w14:paraId="13118B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 Conformación.</w:t>
            </w:r>
            <w:r w:rsidRPr="00222F34">
              <w:rPr>
                <w:rFonts w:ascii="Calibri" w:eastAsia="Times New Roman" w:hAnsi="Calibri" w:cs="Calibri"/>
                <w:color w:val="000000"/>
                <w:lang w:val="es-CO" w:eastAsia="es-CO" w:bidi="ar-SA"/>
              </w:rPr>
              <w:t xml:space="preserve"> La Organización Electoral estará conformada por el Consejo Nacional Electoral y la Registraduría Nacional del Estado Civil.</w:t>
            </w:r>
          </w:p>
        </w:tc>
        <w:tc>
          <w:tcPr>
            <w:tcW w:w="3798" w:type="dxa"/>
            <w:tcBorders>
              <w:top w:val="nil"/>
              <w:left w:val="nil"/>
              <w:bottom w:val="nil"/>
              <w:right w:val="single" w:sz="4" w:space="0" w:color="000000"/>
            </w:tcBorders>
            <w:shd w:val="clear" w:color="00FF00" w:fill="FFFFFF"/>
            <w:hideMark/>
          </w:tcPr>
          <w:p w14:paraId="232029A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 Conformación.</w:t>
            </w:r>
            <w:r w:rsidRPr="00222F34">
              <w:rPr>
                <w:rFonts w:ascii="Calibri" w:eastAsia="Times New Roman" w:hAnsi="Calibri" w:cs="Calibri"/>
                <w:color w:val="000000"/>
                <w:lang w:val="es-CO" w:eastAsia="es-CO" w:bidi="ar-SA"/>
              </w:rPr>
              <w:t xml:space="preserve"> La Organización Electoral estará conformada por el Consejo Nacional Electoral y la Registraduría Nacional del Estado Civil.</w:t>
            </w:r>
          </w:p>
        </w:tc>
        <w:tc>
          <w:tcPr>
            <w:tcW w:w="1480" w:type="dxa"/>
            <w:tcBorders>
              <w:top w:val="nil"/>
              <w:left w:val="nil"/>
              <w:bottom w:val="nil"/>
              <w:right w:val="single" w:sz="4" w:space="0" w:color="000000"/>
            </w:tcBorders>
            <w:shd w:val="clear" w:color="000000" w:fill="FFFFFF"/>
            <w:hideMark/>
          </w:tcPr>
          <w:p w14:paraId="23EAA1D8" w14:textId="6B438E47"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4B7AF89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80BB5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Organización Electoral estará a cargo de: </w:t>
            </w:r>
          </w:p>
        </w:tc>
        <w:tc>
          <w:tcPr>
            <w:tcW w:w="3798" w:type="dxa"/>
            <w:tcBorders>
              <w:top w:val="nil"/>
              <w:left w:val="nil"/>
              <w:bottom w:val="nil"/>
              <w:right w:val="single" w:sz="4" w:space="0" w:color="000000"/>
            </w:tcBorders>
            <w:shd w:val="clear" w:color="00FF00" w:fill="FFFFFF"/>
            <w:hideMark/>
          </w:tcPr>
          <w:p w14:paraId="345186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estará a cargo de:</w:t>
            </w:r>
          </w:p>
        </w:tc>
        <w:tc>
          <w:tcPr>
            <w:tcW w:w="3798" w:type="dxa"/>
            <w:tcBorders>
              <w:top w:val="nil"/>
              <w:left w:val="nil"/>
              <w:bottom w:val="nil"/>
              <w:right w:val="single" w:sz="4" w:space="0" w:color="000000"/>
            </w:tcBorders>
            <w:shd w:val="clear" w:color="00FF00" w:fill="FFFFFF"/>
            <w:hideMark/>
          </w:tcPr>
          <w:p w14:paraId="36A948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estará a cargo de:</w:t>
            </w:r>
          </w:p>
        </w:tc>
        <w:tc>
          <w:tcPr>
            <w:tcW w:w="1480" w:type="dxa"/>
            <w:tcBorders>
              <w:top w:val="nil"/>
              <w:left w:val="nil"/>
              <w:bottom w:val="nil"/>
              <w:right w:val="single" w:sz="4" w:space="0" w:color="000000"/>
            </w:tcBorders>
            <w:shd w:val="clear" w:color="000000" w:fill="FFFFFF"/>
            <w:hideMark/>
          </w:tcPr>
          <w:p w14:paraId="173E48C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8377D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7A0CF0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Los magistrados del Consejo Nacional Electoral.</w:t>
            </w:r>
          </w:p>
        </w:tc>
        <w:tc>
          <w:tcPr>
            <w:tcW w:w="3798" w:type="dxa"/>
            <w:tcBorders>
              <w:top w:val="nil"/>
              <w:left w:val="nil"/>
              <w:bottom w:val="nil"/>
              <w:right w:val="single" w:sz="4" w:space="0" w:color="000000"/>
            </w:tcBorders>
            <w:shd w:val="clear" w:color="00FF00" w:fill="FFFFFF"/>
            <w:hideMark/>
          </w:tcPr>
          <w:p w14:paraId="7F33A6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Los magistrados del Consejo Nacional Electoral.</w:t>
            </w:r>
          </w:p>
        </w:tc>
        <w:tc>
          <w:tcPr>
            <w:tcW w:w="3798" w:type="dxa"/>
            <w:tcBorders>
              <w:top w:val="nil"/>
              <w:left w:val="nil"/>
              <w:bottom w:val="nil"/>
              <w:right w:val="single" w:sz="4" w:space="0" w:color="000000"/>
            </w:tcBorders>
            <w:shd w:val="clear" w:color="00FF00" w:fill="FFFFFF"/>
            <w:hideMark/>
          </w:tcPr>
          <w:p w14:paraId="7B80830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Los magistrados del Consejo Nacional Electoral.</w:t>
            </w:r>
          </w:p>
        </w:tc>
        <w:tc>
          <w:tcPr>
            <w:tcW w:w="1480" w:type="dxa"/>
            <w:tcBorders>
              <w:top w:val="nil"/>
              <w:left w:val="nil"/>
              <w:bottom w:val="nil"/>
              <w:right w:val="single" w:sz="4" w:space="0" w:color="000000"/>
            </w:tcBorders>
            <w:shd w:val="clear" w:color="000000" w:fill="FFFFFF"/>
            <w:hideMark/>
          </w:tcPr>
          <w:p w14:paraId="0C2EE13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852883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79A34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El registrador Nacional del Estado Civil </w:t>
            </w:r>
          </w:p>
        </w:tc>
        <w:tc>
          <w:tcPr>
            <w:tcW w:w="3798" w:type="dxa"/>
            <w:tcBorders>
              <w:top w:val="nil"/>
              <w:left w:val="nil"/>
              <w:bottom w:val="nil"/>
              <w:right w:val="single" w:sz="4" w:space="0" w:color="000000"/>
            </w:tcBorders>
            <w:shd w:val="clear" w:color="00FF00" w:fill="FFFFFF"/>
            <w:hideMark/>
          </w:tcPr>
          <w:p w14:paraId="31DEC1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El registrador Nacional del Estado Civil </w:t>
            </w:r>
          </w:p>
        </w:tc>
        <w:tc>
          <w:tcPr>
            <w:tcW w:w="3798" w:type="dxa"/>
            <w:tcBorders>
              <w:top w:val="nil"/>
              <w:left w:val="nil"/>
              <w:bottom w:val="nil"/>
              <w:right w:val="single" w:sz="4" w:space="0" w:color="000000"/>
            </w:tcBorders>
            <w:shd w:val="clear" w:color="00FF00" w:fill="FFFFFF"/>
            <w:hideMark/>
          </w:tcPr>
          <w:p w14:paraId="49C4EC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El registrador Nacional del Estado Civil </w:t>
            </w:r>
          </w:p>
        </w:tc>
        <w:tc>
          <w:tcPr>
            <w:tcW w:w="1480" w:type="dxa"/>
            <w:tcBorders>
              <w:top w:val="nil"/>
              <w:left w:val="nil"/>
              <w:bottom w:val="nil"/>
              <w:right w:val="single" w:sz="4" w:space="0" w:color="000000"/>
            </w:tcBorders>
            <w:shd w:val="clear" w:color="000000" w:fill="FFFFFF"/>
            <w:hideMark/>
          </w:tcPr>
          <w:p w14:paraId="22B802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72E43E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1416F9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Los registradores distritales del Estado Civil de Bogotá D.C.  </w:t>
            </w:r>
          </w:p>
        </w:tc>
        <w:tc>
          <w:tcPr>
            <w:tcW w:w="3798" w:type="dxa"/>
            <w:tcBorders>
              <w:top w:val="nil"/>
              <w:left w:val="nil"/>
              <w:bottom w:val="nil"/>
              <w:right w:val="single" w:sz="4" w:space="0" w:color="000000"/>
            </w:tcBorders>
            <w:shd w:val="clear" w:color="00FF00" w:fill="FFFFFF"/>
            <w:hideMark/>
          </w:tcPr>
          <w:p w14:paraId="2662CF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Los registradores distritales del Estado Civil de Bogotá D.C.  </w:t>
            </w:r>
          </w:p>
        </w:tc>
        <w:tc>
          <w:tcPr>
            <w:tcW w:w="3798" w:type="dxa"/>
            <w:tcBorders>
              <w:top w:val="nil"/>
              <w:left w:val="nil"/>
              <w:bottom w:val="nil"/>
              <w:right w:val="single" w:sz="4" w:space="0" w:color="000000"/>
            </w:tcBorders>
            <w:shd w:val="clear" w:color="00FF00" w:fill="FFFFFF"/>
            <w:hideMark/>
          </w:tcPr>
          <w:p w14:paraId="37B094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Los registradores distritales del Estado Civil de Bogotá D.C.  </w:t>
            </w:r>
          </w:p>
        </w:tc>
        <w:tc>
          <w:tcPr>
            <w:tcW w:w="1480" w:type="dxa"/>
            <w:tcBorders>
              <w:top w:val="nil"/>
              <w:left w:val="nil"/>
              <w:bottom w:val="nil"/>
              <w:right w:val="single" w:sz="4" w:space="0" w:color="000000"/>
            </w:tcBorders>
            <w:shd w:val="clear" w:color="000000" w:fill="FFFFFF"/>
            <w:hideMark/>
          </w:tcPr>
          <w:p w14:paraId="0C4C53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DC9C96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4F0D7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567612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registradores departamentales del Estado Civíl, uno por departamento.</w:t>
            </w:r>
          </w:p>
        </w:tc>
        <w:tc>
          <w:tcPr>
            <w:tcW w:w="3798" w:type="dxa"/>
            <w:tcBorders>
              <w:top w:val="nil"/>
              <w:left w:val="nil"/>
              <w:bottom w:val="nil"/>
              <w:right w:val="single" w:sz="4" w:space="0" w:color="000000"/>
            </w:tcBorders>
            <w:shd w:val="clear" w:color="00FF00" w:fill="FFFFFF"/>
            <w:hideMark/>
          </w:tcPr>
          <w:p w14:paraId="0A9E01A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registradores departamentales del Estado Civíl, uno por departamento.</w:t>
            </w:r>
          </w:p>
        </w:tc>
        <w:tc>
          <w:tcPr>
            <w:tcW w:w="1480" w:type="dxa"/>
            <w:tcBorders>
              <w:top w:val="nil"/>
              <w:left w:val="nil"/>
              <w:bottom w:val="nil"/>
              <w:right w:val="single" w:sz="4" w:space="0" w:color="000000"/>
            </w:tcBorders>
            <w:shd w:val="clear" w:color="000000" w:fill="FFFFFF"/>
            <w:hideMark/>
          </w:tcPr>
          <w:p w14:paraId="6AB1B0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5D6834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140F1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Los delegados seccionales en registro civil e identificación y en lo electoral. </w:t>
            </w:r>
          </w:p>
        </w:tc>
        <w:tc>
          <w:tcPr>
            <w:tcW w:w="3798" w:type="dxa"/>
            <w:tcBorders>
              <w:top w:val="nil"/>
              <w:left w:val="nil"/>
              <w:bottom w:val="nil"/>
              <w:right w:val="single" w:sz="4" w:space="0" w:color="000000"/>
            </w:tcBorders>
            <w:shd w:val="clear" w:color="00FF00" w:fill="FFFFFF"/>
            <w:hideMark/>
          </w:tcPr>
          <w:p w14:paraId="338A11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Los delegados seccionales en registro civil e identificación y en lo electoral.</w:t>
            </w:r>
          </w:p>
        </w:tc>
        <w:tc>
          <w:tcPr>
            <w:tcW w:w="3798" w:type="dxa"/>
            <w:tcBorders>
              <w:top w:val="nil"/>
              <w:left w:val="nil"/>
              <w:bottom w:val="nil"/>
              <w:right w:val="single" w:sz="4" w:space="0" w:color="000000"/>
            </w:tcBorders>
            <w:shd w:val="clear" w:color="00FF00" w:fill="FFFFFF"/>
            <w:hideMark/>
          </w:tcPr>
          <w:p w14:paraId="52C7B00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Los delegados seccionales en registro civil e identificación y en lo electoral.</w:t>
            </w:r>
          </w:p>
        </w:tc>
        <w:tc>
          <w:tcPr>
            <w:tcW w:w="1480" w:type="dxa"/>
            <w:tcBorders>
              <w:top w:val="nil"/>
              <w:left w:val="nil"/>
              <w:bottom w:val="nil"/>
              <w:right w:val="single" w:sz="4" w:space="0" w:color="000000"/>
            </w:tcBorders>
            <w:shd w:val="clear" w:color="000000" w:fill="FFFFFF"/>
            <w:hideMark/>
          </w:tcPr>
          <w:p w14:paraId="51B849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1C2B5E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17757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Los registradores especiales, municipales y auxiliares del Estado Civil. </w:t>
            </w:r>
          </w:p>
        </w:tc>
        <w:tc>
          <w:tcPr>
            <w:tcW w:w="3798" w:type="dxa"/>
            <w:tcBorders>
              <w:top w:val="nil"/>
              <w:left w:val="nil"/>
              <w:bottom w:val="nil"/>
              <w:right w:val="single" w:sz="4" w:space="0" w:color="000000"/>
            </w:tcBorders>
            <w:shd w:val="clear" w:color="00FF00" w:fill="FFFFFF"/>
            <w:hideMark/>
          </w:tcPr>
          <w:p w14:paraId="4A5229F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registradores especiales, municipales y auxiliares del Estado Civil.</w:t>
            </w:r>
          </w:p>
        </w:tc>
        <w:tc>
          <w:tcPr>
            <w:tcW w:w="3798" w:type="dxa"/>
            <w:tcBorders>
              <w:top w:val="nil"/>
              <w:left w:val="nil"/>
              <w:bottom w:val="nil"/>
              <w:right w:val="single" w:sz="4" w:space="0" w:color="000000"/>
            </w:tcBorders>
            <w:shd w:val="clear" w:color="00FF00" w:fill="FFFFFF"/>
            <w:hideMark/>
          </w:tcPr>
          <w:p w14:paraId="4D1FD53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registradores especiales, municipales y auxiliares del Estado Civil.</w:t>
            </w:r>
          </w:p>
        </w:tc>
        <w:tc>
          <w:tcPr>
            <w:tcW w:w="1480" w:type="dxa"/>
            <w:tcBorders>
              <w:top w:val="nil"/>
              <w:left w:val="nil"/>
              <w:bottom w:val="nil"/>
              <w:right w:val="single" w:sz="4" w:space="0" w:color="000000"/>
            </w:tcBorders>
            <w:shd w:val="clear" w:color="000000" w:fill="FFFFFF"/>
            <w:hideMark/>
          </w:tcPr>
          <w:p w14:paraId="5942C6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2AF44F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5C8961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Los delegados de puesto de los registradores distritales, especiales, municipales del Estado Civil. </w:t>
            </w:r>
          </w:p>
        </w:tc>
        <w:tc>
          <w:tcPr>
            <w:tcW w:w="3798" w:type="dxa"/>
            <w:tcBorders>
              <w:top w:val="nil"/>
              <w:left w:val="nil"/>
              <w:bottom w:val="nil"/>
              <w:right w:val="single" w:sz="4" w:space="0" w:color="000000"/>
            </w:tcBorders>
            <w:shd w:val="clear" w:color="00FF00" w:fill="FFFFFF"/>
            <w:hideMark/>
          </w:tcPr>
          <w:p w14:paraId="0B32B4E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7.Los delegados de puesto de los registradores distritales, especiales, municipales del Estado Civil.</w:t>
            </w:r>
          </w:p>
        </w:tc>
        <w:tc>
          <w:tcPr>
            <w:tcW w:w="3798" w:type="dxa"/>
            <w:tcBorders>
              <w:top w:val="nil"/>
              <w:left w:val="nil"/>
              <w:bottom w:val="nil"/>
              <w:right w:val="single" w:sz="4" w:space="0" w:color="000000"/>
            </w:tcBorders>
            <w:shd w:val="clear" w:color="00FF00" w:fill="FFFFFF"/>
            <w:hideMark/>
          </w:tcPr>
          <w:p w14:paraId="3353569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7.Los delegados de puesto de los registradores distritales, especiales, municipales del Estado Civil.</w:t>
            </w:r>
          </w:p>
        </w:tc>
        <w:tc>
          <w:tcPr>
            <w:tcW w:w="1480" w:type="dxa"/>
            <w:tcBorders>
              <w:top w:val="nil"/>
              <w:left w:val="nil"/>
              <w:bottom w:val="nil"/>
              <w:right w:val="single" w:sz="4" w:space="0" w:color="000000"/>
            </w:tcBorders>
            <w:shd w:val="clear" w:color="000000" w:fill="FFFFFF"/>
            <w:hideMark/>
          </w:tcPr>
          <w:p w14:paraId="1F2CBF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5E92F4A" w14:textId="77777777" w:rsidTr="00222F34">
        <w:trPr>
          <w:trHeight w:val="2100"/>
        </w:trPr>
        <w:tc>
          <w:tcPr>
            <w:tcW w:w="3798" w:type="dxa"/>
            <w:tcBorders>
              <w:top w:val="nil"/>
              <w:left w:val="single" w:sz="4" w:space="0" w:color="000000"/>
              <w:bottom w:val="single" w:sz="4" w:space="0" w:color="000000"/>
              <w:right w:val="single" w:sz="4" w:space="0" w:color="000000"/>
            </w:tcBorders>
            <w:shd w:val="clear" w:color="000000" w:fill="FFFFFF"/>
            <w:hideMark/>
          </w:tcPr>
          <w:p w14:paraId="68F692B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FF00" w:fill="FFFFFF"/>
            <w:hideMark/>
          </w:tcPr>
          <w:p w14:paraId="5667A3D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asegurar el derecho de la mujer a la adecuada y efectiva participación a que tiene derecho en todos los niveles de las ramas y demás órganos del poder público, dar cumplimiento al mandato constitucional y promover la participación de la mujer en las instancias de toma de decisión, el Consejo Nacional Electoral estará conformado de un porcentaje mínimo del treinta porciento (30%) de mujeres en los cargos de máximo nivel decisorio y un mínimo del treinta por ciento (30%)de mujeres en cargos de otros niveles decisorios.</w:t>
            </w:r>
          </w:p>
        </w:tc>
        <w:tc>
          <w:tcPr>
            <w:tcW w:w="3798" w:type="dxa"/>
            <w:tcBorders>
              <w:top w:val="nil"/>
              <w:left w:val="nil"/>
              <w:bottom w:val="single" w:sz="4" w:space="0" w:color="000000"/>
              <w:right w:val="single" w:sz="4" w:space="0" w:color="000000"/>
            </w:tcBorders>
            <w:shd w:val="clear" w:color="000000" w:fill="FFFFFF"/>
            <w:hideMark/>
          </w:tcPr>
          <w:p w14:paraId="61063B43" w14:textId="06F4D990"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asegurar el derecho de la mujer a la adecuada y efectiva participación a que tiene derecho en todos los niveles de las ramas y demás órganos del poder público, dar cumplimiento al mandato constitucional y promover la participación de la mujer en las instancias de toma de decisión, el Consejo Nacional Electoral estará conformado de un porcentaje mínimo del treinta porciento (30%) de mujeres en los cargos de máximo nivel decisorio y un mínimo del treinta por ciento (30%)de mujeres en cargos de otros niveles decisorios.</w:t>
            </w:r>
          </w:p>
        </w:tc>
        <w:tc>
          <w:tcPr>
            <w:tcW w:w="1480" w:type="dxa"/>
            <w:tcBorders>
              <w:top w:val="nil"/>
              <w:left w:val="nil"/>
              <w:bottom w:val="single" w:sz="4" w:space="0" w:color="000000"/>
              <w:right w:val="single" w:sz="4" w:space="0" w:color="000000"/>
            </w:tcBorders>
            <w:shd w:val="clear" w:color="000000" w:fill="FFFFFF"/>
            <w:hideMark/>
          </w:tcPr>
          <w:p w14:paraId="471C5B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631A25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DC7E812"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tc>
        <w:tc>
          <w:tcPr>
            <w:tcW w:w="3798" w:type="dxa"/>
            <w:tcBorders>
              <w:top w:val="nil"/>
              <w:left w:val="nil"/>
              <w:bottom w:val="nil"/>
              <w:right w:val="single" w:sz="4" w:space="0" w:color="000000"/>
            </w:tcBorders>
            <w:shd w:val="clear" w:color="000000" w:fill="FFFFFF"/>
            <w:hideMark/>
          </w:tcPr>
          <w:p w14:paraId="791EF19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tc>
        <w:tc>
          <w:tcPr>
            <w:tcW w:w="3798" w:type="dxa"/>
            <w:tcBorders>
              <w:top w:val="nil"/>
              <w:left w:val="nil"/>
              <w:bottom w:val="nil"/>
              <w:right w:val="single" w:sz="4" w:space="0" w:color="000000"/>
            </w:tcBorders>
            <w:shd w:val="clear" w:color="000000" w:fill="FFFFFF"/>
            <w:hideMark/>
          </w:tcPr>
          <w:p w14:paraId="33276C8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tc>
        <w:tc>
          <w:tcPr>
            <w:tcW w:w="1480" w:type="dxa"/>
            <w:tcBorders>
              <w:top w:val="nil"/>
              <w:left w:val="nil"/>
              <w:bottom w:val="nil"/>
              <w:right w:val="single" w:sz="4" w:space="0" w:color="000000"/>
            </w:tcBorders>
            <w:shd w:val="clear" w:color="000000" w:fill="FFFFFF"/>
            <w:hideMark/>
          </w:tcPr>
          <w:p w14:paraId="0A7C1B58" w14:textId="77777777" w:rsidR="00222F34" w:rsidRPr="00222F34" w:rsidRDefault="00222F34" w:rsidP="00222F34">
            <w:pPr>
              <w:widowControl/>
              <w:autoSpaceDE/>
              <w:autoSpaceDN/>
              <w:jc w:val="center"/>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6068F9C"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492D8CE4"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Consejo Nacional Electoral</w:t>
            </w:r>
          </w:p>
        </w:tc>
        <w:tc>
          <w:tcPr>
            <w:tcW w:w="3798" w:type="dxa"/>
            <w:tcBorders>
              <w:top w:val="nil"/>
              <w:left w:val="nil"/>
              <w:bottom w:val="single" w:sz="4" w:space="0" w:color="000000"/>
              <w:right w:val="single" w:sz="4" w:space="0" w:color="000000"/>
            </w:tcBorders>
            <w:shd w:val="clear" w:color="000000" w:fill="FFFFFF"/>
            <w:hideMark/>
          </w:tcPr>
          <w:p w14:paraId="7382E3E3"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Consejo Nacional Electoral</w:t>
            </w:r>
          </w:p>
        </w:tc>
        <w:tc>
          <w:tcPr>
            <w:tcW w:w="3798" w:type="dxa"/>
            <w:tcBorders>
              <w:top w:val="nil"/>
              <w:left w:val="nil"/>
              <w:bottom w:val="single" w:sz="4" w:space="0" w:color="000000"/>
              <w:right w:val="single" w:sz="4" w:space="0" w:color="000000"/>
            </w:tcBorders>
            <w:shd w:val="clear" w:color="000000" w:fill="FFFFFF"/>
            <w:hideMark/>
          </w:tcPr>
          <w:p w14:paraId="7F6D6C3A"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Consejo Nacional Electoral</w:t>
            </w:r>
          </w:p>
        </w:tc>
        <w:tc>
          <w:tcPr>
            <w:tcW w:w="1480" w:type="dxa"/>
            <w:tcBorders>
              <w:top w:val="nil"/>
              <w:left w:val="nil"/>
              <w:bottom w:val="single" w:sz="4" w:space="0" w:color="000000"/>
              <w:right w:val="single" w:sz="4" w:space="0" w:color="000000"/>
            </w:tcBorders>
            <w:shd w:val="clear" w:color="000000" w:fill="FFFFFF"/>
            <w:hideMark/>
          </w:tcPr>
          <w:p w14:paraId="23DDFB83" w14:textId="77777777" w:rsidR="00222F34" w:rsidRPr="00222F34" w:rsidRDefault="00222F34" w:rsidP="00222F34">
            <w:pPr>
              <w:widowControl/>
              <w:autoSpaceDE/>
              <w:autoSpaceDN/>
              <w:jc w:val="center"/>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C72F469"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4BFFDE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 Del Consejo Nacional Electoral.</w:t>
            </w:r>
            <w:r w:rsidRPr="00222F34">
              <w:rPr>
                <w:rFonts w:ascii="Calibri" w:eastAsia="Times New Roman" w:hAnsi="Calibri" w:cs="Calibri"/>
                <w:color w:val="000000"/>
                <w:lang w:val="es-CO" w:eastAsia="es-CO" w:bidi="ar-SA"/>
              </w:rPr>
              <w:t xml:space="preserve"> El Consejo Nacional Electoral tendrá a su cargo la suprema inspección, vigilancia y control de la Organización Electoral y gozará de personería jurídica autonomía administrativa y presupuestal en los términos del artículo 265 de la Constitución Política, la ley, los Decretos 2085 y 2086 de 2019 o normas que las modifiquen, deroguen o </w:t>
            </w:r>
            <w:r w:rsidRPr="00222F34">
              <w:rPr>
                <w:rFonts w:ascii="Calibri" w:eastAsia="Times New Roman" w:hAnsi="Calibri" w:cs="Calibri"/>
                <w:color w:val="000000"/>
                <w:lang w:val="es-CO" w:eastAsia="es-CO" w:bidi="ar-SA"/>
              </w:rPr>
              <w:lastRenderedPageBreak/>
              <w:t>complementen, y será una sección del Presupuesto General de la Nación.</w:t>
            </w:r>
          </w:p>
        </w:tc>
        <w:tc>
          <w:tcPr>
            <w:tcW w:w="3798" w:type="dxa"/>
            <w:tcBorders>
              <w:top w:val="nil"/>
              <w:left w:val="nil"/>
              <w:bottom w:val="nil"/>
              <w:right w:val="single" w:sz="4" w:space="0" w:color="000000"/>
            </w:tcBorders>
            <w:shd w:val="clear" w:color="000000" w:fill="FFFFFF"/>
            <w:hideMark/>
          </w:tcPr>
          <w:p w14:paraId="247D7E6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4. Del Consejo Nacional Electoral.</w:t>
            </w:r>
            <w:r w:rsidRPr="00222F34">
              <w:rPr>
                <w:rFonts w:ascii="Calibri" w:eastAsia="Times New Roman" w:hAnsi="Calibri" w:cs="Calibri"/>
                <w:color w:val="000000"/>
                <w:lang w:val="es-CO" w:eastAsia="es-CO" w:bidi="ar-SA"/>
              </w:rPr>
              <w:t xml:space="preserve"> El Consejo Nacional Electoral tendrá a su cargo la suprema inspección, vigilancia y control de la Organización Electoral y gozará de personería jurídica autonomía administrativa y presupuestal en los términos del artículo 265 de la Constitución Política, la ley, los Decretos 2085 y 2086 de 2019 o normas que las modifiquen, deroguen o </w:t>
            </w:r>
            <w:r w:rsidRPr="00222F34">
              <w:rPr>
                <w:rFonts w:ascii="Calibri" w:eastAsia="Times New Roman" w:hAnsi="Calibri" w:cs="Calibri"/>
                <w:color w:val="000000"/>
                <w:lang w:val="es-CO" w:eastAsia="es-CO" w:bidi="ar-SA"/>
              </w:rPr>
              <w:lastRenderedPageBreak/>
              <w:t>complementen, y será una sección del Presupuesto General de la Nación.</w:t>
            </w:r>
          </w:p>
        </w:tc>
        <w:tc>
          <w:tcPr>
            <w:tcW w:w="3798" w:type="dxa"/>
            <w:tcBorders>
              <w:top w:val="nil"/>
              <w:left w:val="nil"/>
              <w:bottom w:val="nil"/>
              <w:right w:val="single" w:sz="4" w:space="0" w:color="000000"/>
            </w:tcBorders>
            <w:shd w:val="clear" w:color="000000" w:fill="FFFFFF"/>
            <w:hideMark/>
          </w:tcPr>
          <w:p w14:paraId="7D66572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4. Del Consejo Nacional Electoral.</w:t>
            </w:r>
            <w:r w:rsidRPr="00222F34">
              <w:rPr>
                <w:rFonts w:ascii="Calibri" w:eastAsia="Times New Roman" w:hAnsi="Calibri" w:cs="Calibri"/>
                <w:color w:val="000000"/>
                <w:lang w:val="es-CO" w:eastAsia="es-CO" w:bidi="ar-SA"/>
              </w:rPr>
              <w:t xml:space="preserve"> El Consejo Nacional Electoral tendrá a su cargo la suprema inspección, vigilancia y control de la Organización Electoral y gozará de personería jurídica autonomía administrativa y presupuestal en los términos del artículo 265 de la Constitución Política, la ley, los Decretos 2085 y 2086 de 2019 o normas que las modifiquen, deroguen o </w:t>
            </w:r>
            <w:r w:rsidRPr="00222F34">
              <w:rPr>
                <w:rFonts w:ascii="Calibri" w:eastAsia="Times New Roman" w:hAnsi="Calibri" w:cs="Calibri"/>
                <w:color w:val="000000"/>
                <w:lang w:val="es-CO" w:eastAsia="es-CO" w:bidi="ar-SA"/>
              </w:rPr>
              <w:lastRenderedPageBreak/>
              <w:t>complementen, y será una sección del Presupuesto General de la Nación.</w:t>
            </w:r>
          </w:p>
        </w:tc>
        <w:tc>
          <w:tcPr>
            <w:tcW w:w="1480" w:type="dxa"/>
            <w:tcBorders>
              <w:top w:val="nil"/>
              <w:left w:val="nil"/>
              <w:bottom w:val="nil"/>
              <w:right w:val="single" w:sz="4" w:space="0" w:color="000000"/>
            </w:tcBorders>
            <w:shd w:val="clear" w:color="000000" w:fill="FFFFFF"/>
            <w:hideMark/>
          </w:tcPr>
          <w:p w14:paraId="5A2A8667" w14:textId="79CE3794"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222F34" w:rsidRPr="00222F34" w14:paraId="030D7DA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117359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el ejercicio de estas atribuciones cumplirá las funciones que le asignen la Constitución Política y las leyes, y expedirá las medidas necesarias para el debido cumplimiento de estas y de los decretos que las reglamenten. </w:t>
            </w:r>
          </w:p>
        </w:tc>
        <w:tc>
          <w:tcPr>
            <w:tcW w:w="3798" w:type="dxa"/>
            <w:tcBorders>
              <w:top w:val="nil"/>
              <w:left w:val="nil"/>
              <w:bottom w:val="nil"/>
              <w:right w:val="single" w:sz="4" w:space="0" w:color="000000"/>
            </w:tcBorders>
            <w:shd w:val="clear" w:color="000000" w:fill="FFFFFF"/>
            <w:hideMark/>
          </w:tcPr>
          <w:p w14:paraId="026EB1D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ejercicio de estas atribuciones cumplirá las funciones que le asignen la Constitución Política y las leyes, y expedirá las medidas necesarias para el debido cumplimiento de estas y de los decretos que las reglamenten.</w:t>
            </w:r>
          </w:p>
        </w:tc>
        <w:tc>
          <w:tcPr>
            <w:tcW w:w="3798" w:type="dxa"/>
            <w:tcBorders>
              <w:top w:val="nil"/>
              <w:left w:val="nil"/>
              <w:bottom w:val="nil"/>
              <w:right w:val="single" w:sz="4" w:space="0" w:color="000000"/>
            </w:tcBorders>
            <w:shd w:val="clear" w:color="000000" w:fill="FFFFFF"/>
            <w:hideMark/>
          </w:tcPr>
          <w:p w14:paraId="6BA9B82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ejercicio de estas atribuciones cumplirá las funciones que le asignen la Constitución Política y las leyes, y expedirá las medidas necesarias para el debido cumplimiento de estas y de los decretos que las reglamenten.</w:t>
            </w:r>
          </w:p>
        </w:tc>
        <w:tc>
          <w:tcPr>
            <w:tcW w:w="1480" w:type="dxa"/>
            <w:tcBorders>
              <w:top w:val="nil"/>
              <w:left w:val="nil"/>
              <w:bottom w:val="nil"/>
              <w:right w:val="single" w:sz="4" w:space="0" w:color="000000"/>
            </w:tcBorders>
            <w:shd w:val="clear" w:color="000000" w:fill="FFFFFF"/>
            <w:hideMark/>
          </w:tcPr>
          <w:p w14:paraId="690BC1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5225D62"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379AC01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46C925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w:t>
            </w:r>
            <w:r w:rsidRPr="00222F34">
              <w:rPr>
                <w:rFonts w:ascii="Calibri" w:eastAsia="Times New Roman" w:hAnsi="Calibri" w:cs="Calibri"/>
                <w:color w:val="000000"/>
                <w:lang w:val="es-CO" w:eastAsia="es-CO" w:bidi="ar-SA"/>
              </w:rPr>
              <w:t>Quien ostente la presidencia del Consejo Nacional Electoral tendrá la atribución de llevar la vocería y representación legal de la entidad o quien haga sus veces, según su reglamento interno.</w:t>
            </w:r>
          </w:p>
        </w:tc>
        <w:tc>
          <w:tcPr>
            <w:tcW w:w="3798" w:type="dxa"/>
            <w:tcBorders>
              <w:top w:val="nil"/>
              <w:left w:val="nil"/>
              <w:bottom w:val="single" w:sz="4" w:space="0" w:color="000000"/>
              <w:right w:val="single" w:sz="4" w:space="0" w:color="000000"/>
            </w:tcBorders>
            <w:shd w:val="clear" w:color="000000" w:fill="FFFFFF"/>
            <w:hideMark/>
          </w:tcPr>
          <w:p w14:paraId="2DA41D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w:t>
            </w:r>
            <w:r w:rsidRPr="00222F34">
              <w:rPr>
                <w:rFonts w:ascii="Calibri" w:eastAsia="Times New Roman" w:hAnsi="Calibri" w:cs="Calibri"/>
                <w:color w:val="000000"/>
                <w:lang w:val="es-CO" w:eastAsia="es-CO" w:bidi="ar-SA"/>
              </w:rPr>
              <w:t>Quien ostente la presidencia del Consejo Nacional Electoral tendrá la atribución de llevar la vocería y representación legal de la entidad o quien haga sus veces, según su reglamento interno.</w:t>
            </w:r>
          </w:p>
        </w:tc>
        <w:tc>
          <w:tcPr>
            <w:tcW w:w="1480" w:type="dxa"/>
            <w:tcBorders>
              <w:top w:val="nil"/>
              <w:left w:val="nil"/>
              <w:bottom w:val="single" w:sz="4" w:space="0" w:color="000000"/>
              <w:right w:val="single" w:sz="4" w:space="0" w:color="000000"/>
            </w:tcBorders>
            <w:shd w:val="clear" w:color="000000" w:fill="FFFFFF"/>
            <w:hideMark/>
          </w:tcPr>
          <w:p w14:paraId="0C1AA46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C212D1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265618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 Funciones del Consejo Nacional Electoral.</w:t>
            </w:r>
            <w:r w:rsidRPr="00222F34">
              <w:rPr>
                <w:rFonts w:ascii="Calibri" w:eastAsia="Times New Roman" w:hAnsi="Calibri" w:cs="Calibri"/>
                <w:color w:val="000000"/>
                <w:lang w:val="es-CO" w:eastAsia="es-CO" w:bidi="ar-SA"/>
              </w:rPr>
              <w:t xml:space="preserve"> El Consejo Nacional Electoral, además de las atribuciones establecidas en el artículo 265 de la Constitución Política, tendrá a su cargo las siguientes funciones: </w:t>
            </w:r>
          </w:p>
        </w:tc>
        <w:tc>
          <w:tcPr>
            <w:tcW w:w="3798" w:type="dxa"/>
            <w:tcBorders>
              <w:top w:val="nil"/>
              <w:left w:val="nil"/>
              <w:bottom w:val="nil"/>
              <w:right w:val="single" w:sz="4" w:space="0" w:color="000000"/>
            </w:tcBorders>
            <w:shd w:val="clear" w:color="00FF00" w:fill="FFFFFF"/>
            <w:hideMark/>
          </w:tcPr>
          <w:p w14:paraId="465A50B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 Funciones del Consejo Nacional Electoral.</w:t>
            </w:r>
            <w:r w:rsidRPr="00222F34">
              <w:rPr>
                <w:rFonts w:ascii="Calibri" w:eastAsia="Times New Roman" w:hAnsi="Calibri" w:cs="Calibri"/>
                <w:color w:val="000000"/>
                <w:lang w:val="es-CO" w:eastAsia="es-CO" w:bidi="ar-SA"/>
              </w:rPr>
              <w:t xml:space="preserve"> El Consejo Nacional Electoral, además de las atribuciones establecidas en el artículo 265 de la Constitución Política, tendrá a su cargo las siguientes funciones: </w:t>
            </w:r>
          </w:p>
        </w:tc>
        <w:tc>
          <w:tcPr>
            <w:tcW w:w="3798" w:type="dxa"/>
            <w:tcBorders>
              <w:top w:val="nil"/>
              <w:left w:val="nil"/>
              <w:bottom w:val="nil"/>
              <w:right w:val="single" w:sz="4" w:space="0" w:color="000000"/>
            </w:tcBorders>
            <w:shd w:val="clear" w:color="00FF00" w:fill="FFFFFF"/>
            <w:hideMark/>
          </w:tcPr>
          <w:p w14:paraId="11D7D89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 Funciones del Consejo Nacional Electoral.</w:t>
            </w:r>
            <w:r w:rsidRPr="00222F34">
              <w:rPr>
                <w:rFonts w:ascii="Calibri" w:eastAsia="Times New Roman" w:hAnsi="Calibri" w:cs="Calibri"/>
                <w:color w:val="000000"/>
                <w:lang w:val="es-CO" w:eastAsia="es-CO" w:bidi="ar-SA"/>
              </w:rPr>
              <w:t xml:space="preserve"> El Consejo Nacional Electoral, además de las atribuciones establecidas en el artículo 265 de la Constitución Política, tendrá a su cargo las siguientes funciones: </w:t>
            </w:r>
          </w:p>
        </w:tc>
        <w:tc>
          <w:tcPr>
            <w:tcW w:w="1480" w:type="dxa"/>
            <w:tcBorders>
              <w:top w:val="nil"/>
              <w:left w:val="nil"/>
              <w:bottom w:val="nil"/>
              <w:right w:val="single" w:sz="4" w:space="0" w:color="000000"/>
            </w:tcBorders>
            <w:shd w:val="clear" w:color="000000" w:fill="FFFFFF"/>
            <w:hideMark/>
          </w:tcPr>
          <w:p w14:paraId="209E1891" w14:textId="175A043B"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con ajuste de redacción en el numeral 11.</w:t>
            </w:r>
          </w:p>
        </w:tc>
      </w:tr>
      <w:tr w:rsidR="00222F34" w:rsidRPr="00222F34" w14:paraId="760B495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FCCCBD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Quien ostente la Presidencia del Consejo Nacional Electoral tendrá la atribución de llevar la vocería y representación legal de la entidad. </w:t>
            </w:r>
          </w:p>
        </w:tc>
        <w:tc>
          <w:tcPr>
            <w:tcW w:w="3798" w:type="dxa"/>
            <w:tcBorders>
              <w:top w:val="nil"/>
              <w:left w:val="nil"/>
              <w:bottom w:val="nil"/>
              <w:right w:val="single" w:sz="4" w:space="0" w:color="000000"/>
            </w:tcBorders>
            <w:shd w:val="clear" w:color="00FF00" w:fill="FFFFFF"/>
            <w:hideMark/>
          </w:tcPr>
          <w:p w14:paraId="7EB3C46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vocería y representación legal de la entidad estará a cargo de quien tenga las funciones de Presidente o quien haga sus veces.</w:t>
            </w:r>
          </w:p>
        </w:tc>
        <w:tc>
          <w:tcPr>
            <w:tcW w:w="3798" w:type="dxa"/>
            <w:tcBorders>
              <w:top w:val="nil"/>
              <w:left w:val="nil"/>
              <w:bottom w:val="nil"/>
              <w:right w:val="single" w:sz="4" w:space="0" w:color="000000"/>
            </w:tcBorders>
            <w:shd w:val="clear" w:color="00FF00" w:fill="FFFFFF"/>
            <w:hideMark/>
          </w:tcPr>
          <w:p w14:paraId="5182751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vocería y representación legal de la entidad estará a cargo de quien tenga las funciones de Presidente o quien haga sus veces.</w:t>
            </w:r>
          </w:p>
        </w:tc>
        <w:tc>
          <w:tcPr>
            <w:tcW w:w="1480" w:type="dxa"/>
            <w:tcBorders>
              <w:top w:val="nil"/>
              <w:left w:val="nil"/>
              <w:bottom w:val="nil"/>
              <w:right w:val="single" w:sz="4" w:space="0" w:color="000000"/>
            </w:tcBorders>
            <w:shd w:val="clear" w:color="000000" w:fill="FFFFFF"/>
            <w:hideMark/>
          </w:tcPr>
          <w:p w14:paraId="14D2CC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1501B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A09EB9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Aplicar el régimen sancionatorio a los partidos, movimientos políticos, grupos significativos de ciudadanos y organizaciones sociales que ejerzan el derecho de postulación a los candidatos, gerentes de campaña, auditores internos de los partidos y a las directivas de las campañas electorales. </w:t>
            </w:r>
          </w:p>
        </w:tc>
        <w:tc>
          <w:tcPr>
            <w:tcW w:w="3798" w:type="dxa"/>
            <w:tcBorders>
              <w:top w:val="nil"/>
              <w:left w:val="nil"/>
              <w:bottom w:val="nil"/>
              <w:right w:val="single" w:sz="4" w:space="0" w:color="000000"/>
            </w:tcBorders>
            <w:shd w:val="clear" w:color="00FF00" w:fill="FFFFFF"/>
            <w:hideMark/>
          </w:tcPr>
          <w:p w14:paraId="599F0C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Aplicar el régimen sancionatorio a los partidos, movimientos políticos, grupos significativos de ciudadanos y organizaciones sociales que ejerzan el derecho de postulación a los candidatos, gerentes de campaña, auditores internos de los partidos y a las directivas de las campañas electorales.</w:t>
            </w:r>
          </w:p>
        </w:tc>
        <w:tc>
          <w:tcPr>
            <w:tcW w:w="3798" w:type="dxa"/>
            <w:tcBorders>
              <w:top w:val="nil"/>
              <w:left w:val="nil"/>
              <w:bottom w:val="nil"/>
              <w:right w:val="single" w:sz="4" w:space="0" w:color="000000"/>
            </w:tcBorders>
            <w:shd w:val="clear" w:color="00FF00" w:fill="FFFFFF"/>
            <w:hideMark/>
          </w:tcPr>
          <w:p w14:paraId="45BC74E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Aplicar el régimen sancionatorio a los partidos, movimientos políticos, grupos significativos de ciudadanos y organizaciones sociales que ejerzan el derecho de postulación a los candidatos, gerentes de campaña, auditores internos de los partidos y a las directivas de las campañas electorales.</w:t>
            </w:r>
          </w:p>
        </w:tc>
        <w:tc>
          <w:tcPr>
            <w:tcW w:w="1480" w:type="dxa"/>
            <w:tcBorders>
              <w:top w:val="nil"/>
              <w:left w:val="nil"/>
              <w:bottom w:val="nil"/>
              <w:right w:val="single" w:sz="4" w:space="0" w:color="000000"/>
            </w:tcBorders>
            <w:shd w:val="clear" w:color="000000" w:fill="FFFFFF"/>
            <w:hideMark/>
          </w:tcPr>
          <w:p w14:paraId="69DE02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804B21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1EF94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Aplicar el régimen sancionatorio a los particulares que incumplan la normatividad electoral, cuando no esté atribuida expresamente por la ley a otra autoridad para hacerlo.</w:t>
            </w:r>
          </w:p>
        </w:tc>
        <w:tc>
          <w:tcPr>
            <w:tcW w:w="3798" w:type="dxa"/>
            <w:tcBorders>
              <w:top w:val="nil"/>
              <w:left w:val="nil"/>
              <w:bottom w:val="nil"/>
              <w:right w:val="single" w:sz="4" w:space="0" w:color="000000"/>
            </w:tcBorders>
            <w:shd w:val="clear" w:color="00FF00" w:fill="FFFFFF"/>
            <w:hideMark/>
          </w:tcPr>
          <w:p w14:paraId="2F14AC9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Aplicar el régimen sancionatorio a los particulares que incumplan la normatividad electoral, cuando no esté atribuida expresamente por la ley a otra autoridad para hacerlo.</w:t>
            </w:r>
          </w:p>
        </w:tc>
        <w:tc>
          <w:tcPr>
            <w:tcW w:w="3798" w:type="dxa"/>
            <w:tcBorders>
              <w:top w:val="nil"/>
              <w:left w:val="nil"/>
              <w:bottom w:val="nil"/>
              <w:right w:val="single" w:sz="4" w:space="0" w:color="000000"/>
            </w:tcBorders>
            <w:shd w:val="clear" w:color="00FF00" w:fill="FFFFFF"/>
            <w:hideMark/>
          </w:tcPr>
          <w:p w14:paraId="472DC45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Aplicar el régimen sancionatorio a los particulares que incumplan la normatividad electoral, cuando no esté atribuida expresamente por la ley a otra autoridad para hacerlo.</w:t>
            </w:r>
          </w:p>
        </w:tc>
        <w:tc>
          <w:tcPr>
            <w:tcW w:w="1480" w:type="dxa"/>
            <w:tcBorders>
              <w:top w:val="nil"/>
              <w:left w:val="nil"/>
              <w:bottom w:val="nil"/>
              <w:right w:val="single" w:sz="4" w:space="0" w:color="000000"/>
            </w:tcBorders>
            <w:shd w:val="clear" w:color="000000" w:fill="FFFFFF"/>
            <w:hideMark/>
          </w:tcPr>
          <w:p w14:paraId="41D2333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1B06BA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73194D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Resolver las reclamaciones en contra de las disposiciones contenidas en los estatutos contrarias a la Constitución Política, así como de las designaciones de directivos de partidos y movimientos políticos realizadas sin el cumplimiento de los estatutos. </w:t>
            </w:r>
          </w:p>
        </w:tc>
        <w:tc>
          <w:tcPr>
            <w:tcW w:w="3798" w:type="dxa"/>
            <w:tcBorders>
              <w:top w:val="nil"/>
              <w:left w:val="nil"/>
              <w:bottom w:val="nil"/>
              <w:right w:val="single" w:sz="4" w:space="0" w:color="000000"/>
            </w:tcBorders>
            <w:shd w:val="clear" w:color="00FF00" w:fill="FFFFFF"/>
            <w:hideMark/>
          </w:tcPr>
          <w:p w14:paraId="3426FC0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las reclamaciones en contra de las disposiciones contenidas en los estatutos de partidos y movimientos políticos contrarias a la Constitución Política, así como de las designaciones de directivos de partidos y movimientos políticos realizadas sin el cumplimiento de los estatutos.</w:t>
            </w:r>
          </w:p>
        </w:tc>
        <w:tc>
          <w:tcPr>
            <w:tcW w:w="3798" w:type="dxa"/>
            <w:tcBorders>
              <w:top w:val="nil"/>
              <w:left w:val="nil"/>
              <w:bottom w:val="nil"/>
              <w:right w:val="single" w:sz="4" w:space="0" w:color="000000"/>
            </w:tcBorders>
            <w:shd w:val="clear" w:color="00FF00" w:fill="FFFFFF"/>
            <w:hideMark/>
          </w:tcPr>
          <w:p w14:paraId="56A06E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las reclamaciones en contra de las disposiciones contenidas en los estatutos de partidos y movimientos políticos contrarias a la Constitución Política, así como de las designaciones de directivos de partidos y movimientos políticos realizadas sin el cumplimiento de los estatutos.</w:t>
            </w:r>
          </w:p>
        </w:tc>
        <w:tc>
          <w:tcPr>
            <w:tcW w:w="1480" w:type="dxa"/>
            <w:tcBorders>
              <w:top w:val="nil"/>
              <w:left w:val="nil"/>
              <w:bottom w:val="nil"/>
              <w:right w:val="single" w:sz="4" w:space="0" w:color="000000"/>
            </w:tcBorders>
            <w:shd w:val="clear" w:color="000000" w:fill="FFFFFF"/>
            <w:hideMark/>
          </w:tcPr>
          <w:p w14:paraId="63C257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77C258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81FE2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Resolver las impugnaciones contra las decisiones de los órganos de control de los partidos y/o movimientos políticos por violación al régimen disciplinario de los directivos. </w:t>
            </w:r>
          </w:p>
        </w:tc>
        <w:tc>
          <w:tcPr>
            <w:tcW w:w="3798" w:type="dxa"/>
            <w:tcBorders>
              <w:top w:val="nil"/>
              <w:left w:val="nil"/>
              <w:bottom w:val="nil"/>
              <w:right w:val="single" w:sz="4" w:space="0" w:color="000000"/>
            </w:tcBorders>
            <w:shd w:val="clear" w:color="00FF00" w:fill="FFFFFF"/>
            <w:hideMark/>
          </w:tcPr>
          <w:p w14:paraId="5A36BA1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las impugnaciones contra las decisiones de los órganos de control de los partidos y/o movimientos políticos por violación al régimen disciplinario de los directivos.</w:t>
            </w:r>
          </w:p>
        </w:tc>
        <w:tc>
          <w:tcPr>
            <w:tcW w:w="3798" w:type="dxa"/>
            <w:tcBorders>
              <w:top w:val="nil"/>
              <w:left w:val="nil"/>
              <w:bottom w:val="nil"/>
              <w:right w:val="single" w:sz="4" w:space="0" w:color="000000"/>
            </w:tcBorders>
            <w:shd w:val="clear" w:color="00FF00" w:fill="FFFFFF"/>
            <w:hideMark/>
          </w:tcPr>
          <w:p w14:paraId="008ECBB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las impugnaciones contra las decisiones de los órganos de control de los partidos y/o movimientos políticos por violación al régimen disciplinario de los directivos.</w:t>
            </w:r>
          </w:p>
        </w:tc>
        <w:tc>
          <w:tcPr>
            <w:tcW w:w="1480" w:type="dxa"/>
            <w:tcBorders>
              <w:top w:val="nil"/>
              <w:left w:val="nil"/>
              <w:bottom w:val="nil"/>
              <w:right w:val="single" w:sz="4" w:space="0" w:color="000000"/>
            </w:tcBorders>
            <w:shd w:val="clear" w:color="000000" w:fill="FFFFFF"/>
            <w:hideMark/>
          </w:tcPr>
          <w:p w14:paraId="012A1B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88B04F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0B8D0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Llevar el registro de partidos, movimientos, agrupaciones políticas, de sus directivos y de sus afiliados y militantes. </w:t>
            </w:r>
          </w:p>
        </w:tc>
        <w:tc>
          <w:tcPr>
            <w:tcW w:w="3798" w:type="dxa"/>
            <w:tcBorders>
              <w:top w:val="nil"/>
              <w:left w:val="nil"/>
              <w:bottom w:val="nil"/>
              <w:right w:val="single" w:sz="4" w:space="0" w:color="000000"/>
            </w:tcBorders>
            <w:shd w:val="clear" w:color="00FF00" w:fill="FFFFFF"/>
            <w:hideMark/>
          </w:tcPr>
          <w:p w14:paraId="4D30D86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Llevar el registro de partidos, movimientos, agrupaciones políticas, de sus directivos y de sus afiliados y militantes, con el propósito de realizar consultas internas e interpartidistas por </w:t>
            </w:r>
            <w:r w:rsidRPr="00222F34">
              <w:rPr>
                <w:rFonts w:ascii="Calibri" w:eastAsia="Times New Roman" w:hAnsi="Calibri" w:cs="Calibri"/>
                <w:color w:val="000000"/>
                <w:lang w:val="es-CO" w:eastAsia="es-CO" w:bidi="ar-SA"/>
              </w:rPr>
              <w:lastRenderedPageBreak/>
              <w:t>parte de los partidos y organizaciones políticas.</w:t>
            </w:r>
          </w:p>
        </w:tc>
        <w:tc>
          <w:tcPr>
            <w:tcW w:w="3798" w:type="dxa"/>
            <w:tcBorders>
              <w:top w:val="nil"/>
              <w:left w:val="nil"/>
              <w:bottom w:val="nil"/>
              <w:right w:val="single" w:sz="4" w:space="0" w:color="000000"/>
            </w:tcBorders>
            <w:shd w:val="clear" w:color="00FF00" w:fill="FFFFFF"/>
            <w:hideMark/>
          </w:tcPr>
          <w:p w14:paraId="65EB549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Llevar el registro de partidos, movimientos, agrupaciones políticas, de sus directivos y de sus afiliados y militantes, con el propósito de realizar consultas internas e interpartidistas por </w:t>
            </w:r>
            <w:r w:rsidRPr="00222F34">
              <w:rPr>
                <w:rFonts w:ascii="Calibri" w:eastAsia="Times New Roman" w:hAnsi="Calibri" w:cs="Calibri"/>
                <w:color w:val="000000"/>
                <w:lang w:val="es-CO" w:eastAsia="es-CO" w:bidi="ar-SA"/>
              </w:rPr>
              <w:lastRenderedPageBreak/>
              <w:t>parte de los partidos y organizaciones políticas.</w:t>
            </w:r>
          </w:p>
        </w:tc>
        <w:tc>
          <w:tcPr>
            <w:tcW w:w="1480" w:type="dxa"/>
            <w:tcBorders>
              <w:top w:val="nil"/>
              <w:left w:val="nil"/>
              <w:bottom w:val="nil"/>
              <w:right w:val="single" w:sz="4" w:space="0" w:color="000000"/>
            </w:tcBorders>
            <w:shd w:val="clear" w:color="000000" w:fill="FFFFFF"/>
            <w:hideMark/>
          </w:tcPr>
          <w:p w14:paraId="10181F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5C9E3C4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849C9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Realizar el escrutinio de las consultas internas, populares e interpartidistas ante solicitud de organizaciones políticas. </w:t>
            </w:r>
          </w:p>
        </w:tc>
        <w:tc>
          <w:tcPr>
            <w:tcW w:w="3798" w:type="dxa"/>
            <w:tcBorders>
              <w:top w:val="nil"/>
              <w:left w:val="nil"/>
              <w:bottom w:val="nil"/>
              <w:right w:val="single" w:sz="4" w:space="0" w:color="000000"/>
            </w:tcBorders>
            <w:shd w:val="clear" w:color="00FF00" w:fill="FFFFFF"/>
            <w:hideMark/>
          </w:tcPr>
          <w:p w14:paraId="21CF8A0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Realizar el escrutinio de las consultas internas, populares e interpartidistas ante solicitud de organizaciones políticas.</w:t>
            </w:r>
          </w:p>
        </w:tc>
        <w:tc>
          <w:tcPr>
            <w:tcW w:w="3798" w:type="dxa"/>
            <w:tcBorders>
              <w:top w:val="nil"/>
              <w:left w:val="nil"/>
              <w:bottom w:val="nil"/>
              <w:right w:val="single" w:sz="4" w:space="0" w:color="000000"/>
            </w:tcBorders>
            <w:shd w:val="clear" w:color="00FF00" w:fill="FFFFFF"/>
            <w:hideMark/>
          </w:tcPr>
          <w:p w14:paraId="31EFE0A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Realizar el escrutinio de las consultas internas, populares e interpartidistas ante solicitud de organizaciones políticas.</w:t>
            </w:r>
          </w:p>
        </w:tc>
        <w:tc>
          <w:tcPr>
            <w:tcW w:w="1480" w:type="dxa"/>
            <w:tcBorders>
              <w:top w:val="nil"/>
              <w:left w:val="nil"/>
              <w:bottom w:val="nil"/>
              <w:right w:val="single" w:sz="4" w:space="0" w:color="000000"/>
            </w:tcBorders>
            <w:shd w:val="clear" w:color="000000" w:fill="FFFFFF"/>
            <w:hideMark/>
          </w:tcPr>
          <w:p w14:paraId="5A8934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BD98B8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D7B1E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De oficio o vía impugnación dejar sin efecto la inscripción irregular de las cédulas de ciudadanía y actualizaciones en el censo electoral, por violación al ordenamiento jurídico. </w:t>
            </w:r>
          </w:p>
        </w:tc>
        <w:tc>
          <w:tcPr>
            <w:tcW w:w="3798" w:type="dxa"/>
            <w:tcBorders>
              <w:top w:val="nil"/>
              <w:left w:val="nil"/>
              <w:bottom w:val="nil"/>
              <w:right w:val="single" w:sz="4" w:space="0" w:color="000000"/>
            </w:tcBorders>
            <w:shd w:val="clear" w:color="00FF00" w:fill="FFFFFF"/>
            <w:hideMark/>
          </w:tcPr>
          <w:p w14:paraId="375587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De oficio o vía impugnación dejar sin efecto la inscripción irregular de las cédulas de ciudadanía y actualizaciones en el censo electoral, por violación al ordenamiento jurídico.</w:t>
            </w:r>
          </w:p>
        </w:tc>
        <w:tc>
          <w:tcPr>
            <w:tcW w:w="3798" w:type="dxa"/>
            <w:tcBorders>
              <w:top w:val="nil"/>
              <w:left w:val="nil"/>
              <w:bottom w:val="nil"/>
              <w:right w:val="single" w:sz="4" w:space="0" w:color="000000"/>
            </w:tcBorders>
            <w:shd w:val="clear" w:color="00FF00" w:fill="FFFFFF"/>
            <w:hideMark/>
          </w:tcPr>
          <w:p w14:paraId="6740F3B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De oficio o vía impugnación dejar sin efecto la inscripción irregular de las cédulas de ciudadanía y actualizaciones en el censo electoral, por violación al ordenamiento jurídico.</w:t>
            </w:r>
          </w:p>
        </w:tc>
        <w:tc>
          <w:tcPr>
            <w:tcW w:w="1480" w:type="dxa"/>
            <w:tcBorders>
              <w:top w:val="nil"/>
              <w:left w:val="nil"/>
              <w:bottom w:val="nil"/>
              <w:right w:val="single" w:sz="4" w:space="0" w:color="000000"/>
            </w:tcBorders>
            <w:shd w:val="clear" w:color="000000" w:fill="FFFFFF"/>
            <w:hideMark/>
          </w:tcPr>
          <w:p w14:paraId="41D2B79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986CC5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3CA569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Conocer y decidir los recursos que se interpongan contra las decisiones de la comisión escrutadora departamental; resolver sus desacuerdos, llenar sus vacíos, omisiones en las decisiones de las peticiones legalmente presentadas, y efectuar la declaratoria de elección de tales circunscripciones. </w:t>
            </w:r>
          </w:p>
        </w:tc>
        <w:tc>
          <w:tcPr>
            <w:tcW w:w="3798" w:type="dxa"/>
            <w:tcBorders>
              <w:top w:val="nil"/>
              <w:left w:val="nil"/>
              <w:bottom w:val="nil"/>
              <w:right w:val="single" w:sz="4" w:space="0" w:color="000000"/>
            </w:tcBorders>
            <w:shd w:val="clear" w:color="00FF00" w:fill="FFFFFF"/>
            <w:hideMark/>
          </w:tcPr>
          <w:p w14:paraId="3468C09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Conocer y decidir los recursos que se interpongan contra las decisiones de la comisión escrutadora departamental y General de Bogotá D.C.; resolver sus desacuerdos, llenar sus vacíos, omisiones en las decisiones de las peticiones legalmente presentadas, y efectuar la declaratoria de elección de tales circunscripciones.</w:t>
            </w:r>
          </w:p>
        </w:tc>
        <w:tc>
          <w:tcPr>
            <w:tcW w:w="3798" w:type="dxa"/>
            <w:tcBorders>
              <w:top w:val="nil"/>
              <w:left w:val="nil"/>
              <w:bottom w:val="nil"/>
              <w:right w:val="single" w:sz="4" w:space="0" w:color="000000"/>
            </w:tcBorders>
            <w:shd w:val="clear" w:color="00FF00" w:fill="FFFFFF"/>
            <w:hideMark/>
          </w:tcPr>
          <w:p w14:paraId="31B028C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Conocer y decidir los recursos que se interpongan contra las decisiones de la comisión escrutadora departamental y General de Bogotá D.C.; resolver sus desacuerdos, llenar sus vacíos, omisiones en las decisiones de las peticiones legalmente presentadas, y efectuar la declaratoria de elección de tales circunscripciones.</w:t>
            </w:r>
          </w:p>
        </w:tc>
        <w:tc>
          <w:tcPr>
            <w:tcW w:w="1480" w:type="dxa"/>
            <w:tcBorders>
              <w:top w:val="nil"/>
              <w:left w:val="nil"/>
              <w:bottom w:val="nil"/>
              <w:right w:val="single" w:sz="4" w:space="0" w:color="000000"/>
            </w:tcBorders>
            <w:shd w:val="clear" w:color="000000" w:fill="FFFFFF"/>
            <w:hideMark/>
          </w:tcPr>
          <w:p w14:paraId="4E18692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1B95D2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35B0B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Efectuar el escrutinio general de toda votación nacional, hacer la declaratoria de elección y expedir las credenciales pertinentes de quienes resulten electos.</w:t>
            </w:r>
          </w:p>
        </w:tc>
        <w:tc>
          <w:tcPr>
            <w:tcW w:w="3798" w:type="dxa"/>
            <w:tcBorders>
              <w:top w:val="nil"/>
              <w:left w:val="nil"/>
              <w:bottom w:val="nil"/>
              <w:right w:val="single" w:sz="4" w:space="0" w:color="000000"/>
            </w:tcBorders>
            <w:shd w:val="clear" w:color="00FF00" w:fill="FFFFFF"/>
            <w:hideMark/>
          </w:tcPr>
          <w:p w14:paraId="36DF1A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Efectuar el escrutinio general de toda votación nacional, hacer la declaratoria de elección y expedir las credenciales pertinentes de quienes resulten electos.</w:t>
            </w:r>
          </w:p>
        </w:tc>
        <w:tc>
          <w:tcPr>
            <w:tcW w:w="3798" w:type="dxa"/>
            <w:tcBorders>
              <w:top w:val="nil"/>
              <w:left w:val="nil"/>
              <w:bottom w:val="nil"/>
              <w:right w:val="single" w:sz="4" w:space="0" w:color="000000"/>
            </w:tcBorders>
            <w:shd w:val="clear" w:color="00FF00" w:fill="FFFFFF"/>
            <w:hideMark/>
          </w:tcPr>
          <w:p w14:paraId="281A81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Efectuar el escrutinio general de toda votación nacional, hacer la declaratoria de elección y expedir las credenciales pertinentes de quienes resulten electos.</w:t>
            </w:r>
          </w:p>
        </w:tc>
        <w:tc>
          <w:tcPr>
            <w:tcW w:w="1480" w:type="dxa"/>
            <w:tcBorders>
              <w:top w:val="nil"/>
              <w:left w:val="nil"/>
              <w:bottom w:val="nil"/>
              <w:right w:val="single" w:sz="4" w:space="0" w:color="000000"/>
            </w:tcBorders>
            <w:shd w:val="clear" w:color="000000" w:fill="FFFFFF"/>
            <w:hideMark/>
          </w:tcPr>
          <w:p w14:paraId="1BF42E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A2DFE37"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F37118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11. Por solicitud motivada del candidato o de los partidos, movimientos políticos y grupos significativos de ciudadanos, revisar los escrutinios y los documentos electorales concernientes a cualquiera de las etapas del proceso administrativo de elección, con el objeto de garantizar la verdad de los resultados. No obstante, esto no implica el reemplazo de las funciones de la comisión escrutadora municipal, distrital o departamental, ni el estudio de los respectivos recursos. </w:t>
            </w:r>
          </w:p>
        </w:tc>
        <w:tc>
          <w:tcPr>
            <w:tcW w:w="3798" w:type="dxa"/>
            <w:tcBorders>
              <w:top w:val="nil"/>
              <w:left w:val="nil"/>
              <w:bottom w:val="nil"/>
              <w:right w:val="single" w:sz="4" w:space="0" w:color="000000"/>
            </w:tcBorders>
            <w:shd w:val="clear" w:color="00FF00" w:fill="FFFFFF"/>
            <w:hideMark/>
          </w:tcPr>
          <w:p w14:paraId="3EA7837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Por solicitud motivada del candidato o candidata de los partidos, movimientos políticos y grupos significativos de ciudadanos y ciudadanas, revisar los escrutinios y los documentos electorales concernientes a cualquiera de las etapas del proceso administrativo de elección, con el objeto de garantizar la verdad de los resultados. No obstante, esto no implica el reemplazo de las funciones de la comisión escrutadora zonal, municipal, distrital, departamental o general de Bogotá D.C., ni el estudio de los respectivos recursos.</w:t>
            </w:r>
          </w:p>
        </w:tc>
        <w:tc>
          <w:tcPr>
            <w:tcW w:w="3798" w:type="dxa"/>
            <w:tcBorders>
              <w:top w:val="nil"/>
              <w:left w:val="nil"/>
              <w:bottom w:val="nil"/>
              <w:right w:val="single" w:sz="4" w:space="0" w:color="000000"/>
            </w:tcBorders>
            <w:shd w:val="clear" w:color="00FF00" w:fill="FFFFFF"/>
            <w:hideMark/>
          </w:tcPr>
          <w:p w14:paraId="3B6C4C6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Por solicitud motivada del candidato o candidata</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de los partidos, movimientos políticos y grupos significativos de ciudadanos y ciudadanas, revisar los escrutinios y los documentos electorales concernientes a cualquiera de las etapas del proceso administrativo de elección, con el objeto de garantizar la verdad de los resultados. No obstante, esto no implica el reemplazo de las funciones de la comisión escrutadora zonal, municipal, distrital, departamental o general de Bogotá D.C., ni el estudio de los respectivos recursos.</w:t>
            </w:r>
          </w:p>
        </w:tc>
        <w:tc>
          <w:tcPr>
            <w:tcW w:w="1480" w:type="dxa"/>
            <w:tcBorders>
              <w:top w:val="nil"/>
              <w:left w:val="nil"/>
              <w:bottom w:val="nil"/>
              <w:right w:val="single" w:sz="4" w:space="0" w:color="000000"/>
            </w:tcBorders>
            <w:shd w:val="clear" w:color="000000" w:fill="FFFFFF"/>
            <w:hideMark/>
          </w:tcPr>
          <w:p w14:paraId="44BB8D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679E2B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17E7F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 </w:t>
            </w:r>
          </w:p>
        </w:tc>
        <w:tc>
          <w:tcPr>
            <w:tcW w:w="3798" w:type="dxa"/>
            <w:tcBorders>
              <w:top w:val="nil"/>
              <w:left w:val="nil"/>
              <w:bottom w:val="nil"/>
              <w:right w:val="single" w:sz="4" w:space="0" w:color="000000"/>
            </w:tcBorders>
            <w:shd w:val="clear" w:color="00FF00" w:fill="FFFFFF"/>
            <w:hideMark/>
          </w:tcPr>
          <w:p w14:paraId="6CFB183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tc>
        <w:tc>
          <w:tcPr>
            <w:tcW w:w="3798" w:type="dxa"/>
            <w:tcBorders>
              <w:top w:val="nil"/>
              <w:left w:val="nil"/>
              <w:bottom w:val="nil"/>
              <w:right w:val="single" w:sz="4" w:space="0" w:color="000000"/>
            </w:tcBorders>
            <w:shd w:val="clear" w:color="00FF00" w:fill="FFFFFF"/>
            <w:hideMark/>
          </w:tcPr>
          <w:p w14:paraId="77DE0B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tc>
        <w:tc>
          <w:tcPr>
            <w:tcW w:w="1480" w:type="dxa"/>
            <w:tcBorders>
              <w:top w:val="nil"/>
              <w:left w:val="nil"/>
              <w:bottom w:val="nil"/>
              <w:right w:val="single" w:sz="4" w:space="0" w:color="000000"/>
            </w:tcBorders>
            <w:shd w:val="clear" w:color="000000" w:fill="FFFFFF"/>
            <w:hideMark/>
          </w:tcPr>
          <w:p w14:paraId="1C5D686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D00EE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CFAAC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Nombrar, a través de su presidente, a sus servidores públicos, crear grupos internos de trabajo, contratar, elaborar su presupuesto, ordenar el gasto y </w:t>
            </w:r>
            <w:r w:rsidRPr="00222F34">
              <w:rPr>
                <w:rFonts w:ascii="Calibri" w:eastAsia="Times New Roman" w:hAnsi="Calibri" w:cs="Calibri"/>
                <w:color w:val="000000"/>
                <w:lang w:val="es-CO" w:eastAsia="es-CO" w:bidi="ar-SA"/>
              </w:rPr>
              <w:lastRenderedPageBreak/>
              <w:t xml:space="preserve">definir todos los aspectos relacionados con el cumplimiento de sus funciones. </w:t>
            </w:r>
          </w:p>
        </w:tc>
        <w:tc>
          <w:tcPr>
            <w:tcW w:w="3798" w:type="dxa"/>
            <w:tcBorders>
              <w:top w:val="nil"/>
              <w:left w:val="nil"/>
              <w:bottom w:val="nil"/>
              <w:right w:val="single" w:sz="4" w:space="0" w:color="000000"/>
            </w:tcBorders>
            <w:shd w:val="clear" w:color="00FF00" w:fill="FFFFFF"/>
            <w:hideMark/>
          </w:tcPr>
          <w:p w14:paraId="47C6913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13. Nombrar, a través de su presidente, a sus servidores públicos, crear grupos internos de trabajo, contratar, elaborar su presupuesto, ordenar el gasto y </w:t>
            </w:r>
            <w:r w:rsidRPr="00222F34">
              <w:rPr>
                <w:rFonts w:ascii="Calibri" w:eastAsia="Times New Roman" w:hAnsi="Calibri" w:cs="Calibri"/>
                <w:color w:val="000000"/>
                <w:lang w:val="es-CO" w:eastAsia="es-CO" w:bidi="ar-SA"/>
              </w:rPr>
              <w:lastRenderedPageBreak/>
              <w:t>definir todos los aspectos relacionados con el cumplimiento de sus funciones.</w:t>
            </w:r>
          </w:p>
        </w:tc>
        <w:tc>
          <w:tcPr>
            <w:tcW w:w="3798" w:type="dxa"/>
            <w:tcBorders>
              <w:top w:val="nil"/>
              <w:left w:val="nil"/>
              <w:bottom w:val="nil"/>
              <w:right w:val="single" w:sz="4" w:space="0" w:color="000000"/>
            </w:tcBorders>
            <w:shd w:val="clear" w:color="00FF00" w:fill="FFFFFF"/>
            <w:hideMark/>
          </w:tcPr>
          <w:p w14:paraId="27BD0F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13. Nombrar, a través de su presidente, a sus servidores públicos, crear grupos internos de trabajo, contratar, elaborar su presupuesto, ordenar el gasto y </w:t>
            </w:r>
            <w:r w:rsidRPr="00222F34">
              <w:rPr>
                <w:rFonts w:ascii="Calibri" w:eastAsia="Times New Roman" w:hAnsi="Calibri" w:cs="Calibri"/>
                <w:color w:val="000000"/>
                <w:lang w:val="es-CO" w:eastAsia="es-CO" w:bidi="ar-SA"/>
              </w:rPr>
              <w:lastRenderedPageBreak/>
              <w:t>definir todos los aspectos relacionados con el cumplimiento de sus funciones.</w:t>
            </w:r>
          </w:p>
        </w:tc>
        <w:tc>
          <w:tcPr>
            <w:tcW w:w="1480" w:type="dxa"/>
            <w:tcBorders>
              <w:top w:val="nil"/>
              <w:left w:val="nil"/>
              <w:bottom w:val="nil"/>
              <w:right w:val="single" w:sz="4" w:space="0" w:color="000000"/>
            </w:tcBorders>
            <w:shd w:val="clear" w:color="000000" w:fill="FFFFFF"/>
            <w:hideMark/>
          </w:tcPr>
          <w:p w14:paraId="1AF9D79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330D665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1D867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14. Crear, fusionar y suprimir cargos correspondientes del Consejo Nacional Electoral. </w:t>
            </w:r>
          </w:p>
        </w:tc>
        <w:tc>
          <w:tcPr>
            <w:tcW w:w="3798" w:type="dxa"/>
            <w:tcBorders>
              <w:top w:val="nil"/>
              <w:left w:val="nil"/>
              <w:bottom w:val="nil"/>
              <w:right w:val="single" w:sz="4" w:space="0" w:color="000000"/>
            </w:tcBorders>
            <w:shd w:val="clear" w:color="00FF00" w:fill="FFFFFF"/>
            <w:hideMark/>
          </w:tcPr>
          <w:p w14:paraId="561A5E6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Crear, fusionar y suprimir cargos correspondientes del Consejo Nacional Electoral.</w:t>
            </w:r>
          </w:p>
        </w:tc>
        <w:tc>
          <w:tcPr>
            <w:tcW w:w="3798" w:type="dxa"/>
            <w:tcBorders>
              <w:top w:val="nil"/>
              <w:left w:val="nil"/>
              <w:bottom w:val="nil"/>
              <w:right w:val="single" w:sz="4" w:space="0" w:color="000000"/>
            </w:tcBorders>
            <w:shd w:val="clear" w:color="00FF00" w:fill="FFFFFF"/>
            <w:hideMark/>
          </w:tcPr>
          <w:p w14:paraId="4CA47B2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Crear, fusionar y suprimir cargos correspondientes del Consejo Nacional Electoral.</w:t>
            </w:r>
          </w:p>
        </w:tc>
        <w:tc>
          <w:tcPr>
            <w:tcW w:w="1480" w:type="dxa"/>
            <w:tcBorders>
              <w:top w:val="nil"/>
              <w:left w:val="nil"/>
              <w:bottom w:val="nil"/>
              <w:right w:val="single" w:sz="4" w:space="0" w:color="000000"/>
            </w:tcBorders>
            <w:shd w:val="clear" w:color="000000" w:fill="FFFFFF"/>
            <w:hideMark/>
          </w:tcPr>
          <w:p w14:paraId="5D16141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37F129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41AC82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Conformar la Junta Directiva del Fondo Rotatorio del Consejo Nacional Electoral y aprobar su presupuesto. </w:t>
            </w:r>
          </w:p>
        </w:tc>
        <w:tc>
          <w:tcPr>
            <w:tcW w:w="3798" w:type="dxa"/>
            <w:tcBorders>
              <w:top w:val="nil"/>
              <w:left w:val="nil"/>
              <w:bottom w:val="nil"/>
              <w:right w:val="single" w:sz="4" w:space="0" w:color="000000"/>
            </w:tcBorders>
            <w:shd w:val="clear" w:color="00FF00" w:fill="FFFFFF"/>
            <w:hideMark/>
          </w:tcPr>
          <w:p w14:paraId="327C754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Conformar la Junta Directiva del Fondo Rotatorio del Consejo Nacional Electoral y aprobar su presupuesto.</w:t>
            </w:r>
          </w:p>
        </w:tc>
        <w:tc>
          <w:tcPr>
            <w:tcW w:w="3798" w:type="dxa"/>
            <w:tcBorders>
              <w:top w:val="nil"/>
              <w:left w:val="nil"/>
              <w:bottom w:val="nil"/>
              <w:right w:val="single" w:sz="4" w:space="0" w:color="000000"/>
            </w:tcBorders>
            <w:shd w:val="clear" w:color="00FF00" w:fill="FFFFFF"/>
            <w:hideMark/>
          </w:tcPr>
          <w:p w14:paraId="6BAAFB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Conformar la Junta Directiva del Fondo Rotatorio del Consejo Nacional Electoral y aprobar su presupuesto.</w:t>
            </w:r>
          </w:p>
        </w:tc>
        <w:tc>
          <w:tcPr>
            <w:tcW w:w="1480" w:type="dxa"/>
            <w:tcBorders>
              <w:top w:val="nil"/>
              <w:left w:val="nil"/>
              <w:bottom w:val="nil"/>
              <w:right w:val="single" w:sz="4" w:space="0" w:color="000000"/>
            </w:tcBorders>
            <w:shd w:val="clear" w:color="000000" w:fill="FFFFFF"/>
            <w:hideMark/>
          </w:tcPr>
          <w:p w14:paraId="1974DE4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FA38AF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CF926C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16. Servir de cuerpo consultivo del Gobierno y el Congreso de la República, para la emisión de conceptos en materia electoral y recomendar proyectos de decreto y proyectos de ley. </w:t>
            </w:r>
          </w:p>
        </w:tc>
        <w:tc>
          <w:tcPr>
            <w:tcW w:w="3798" w:type="dxa"/>
            <w:tcBorders>
              <w:top w:val="nil"/>
              <w:left w:val="nil"/>
              <w:bottom w:val="nil"/>
              <w:right w:val="single" w:sz="4" w:space="0" w:color="000000"/>
            </w:tcBorders>
            <w:shd w:val="clear" w:color="00FF00" w:fill="FFFFFF"/>
            <w:hideMark/>
          </w:tcPr>
          <w:p w14:paraId="6D51D77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Servir de cuerpo consultivo del Gobierno y el Congreso de la República, para la emisión de conceptos en materia electoral y recomendar proyectos de decreto y proyectos de ley.</w:t>
            </w:r>
          </w:p>
        </w:tc>
        <w:tc>
          <w:tcPr>
            <w:tcW w:w="3798" w:type="dxa"/>
            <w:tcBorders>
              <w:top w:val="nil"/>
              <w:left w:val="nil"/>
              <w:bottom w:val="nil"/>
              <w:right w:val="single" w:sz="4" w:space="0" w:color="000000"/>
            </w:tcBorders>
            <w:shd w:val="clear" w:color="00FF00" w:fill="FFFFFF"/>
            <w:hideMark/>
          </w:tcPr>
          <w:p w14:paraId="77C4DA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Servir de cuerpo consultivo del Gobierno y el Congreso de la República, para la emisión de conceptos en materia electoral y recomendar proyectos de decreto y proyectos de ley.</w:t>
            </w:r>
          </w:p>
        </w:tc>
        <w:tc>
          <w:tcPr>
            <w:tcW w:w="1480" w:type="dxa"/>
            <w:tcBorders>
              <w:top w:val="nil"/>
              <w:left w:val="nil"/>
              <w:bottom w:val="nil"/>
              <w:right w:val="single" w:sz="4" w:space="0" w:color="000000"/>
            </w:tcBorders>
            <w:shd w:val="clear" w:color="000000" w:fill="FFFFFF"/>
            <w:hideMark/>
          </w:tcPr>
          <w:p w14:paraId="560DEF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293091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017D01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17. Reglamentar los asuntos de su competencia, cuando la Constitución y ley así lo determine. </w:t>
            </w:r>
          </w:p>
        </w:tc>
        <w:tc>
          <w:tcPr>
            <w:tcW w:w="3798" w:type="dxa"/>
            <w:tcBorders>
              <w:top w:val="nil"/>
              <w:left w:val="nil"/>
              <w:bottom w:val="nil"/>
              <w:right w:val="single" w:sz="4" w:space="0" w:color="000000"/>
            </w:tcBorders>
            <w:shd w:val="clear" w:color="00FF00" w:fill="FFFFFF"/>
            <w:hideMark/>
          </w:tcPr>
          <w:p w14:paraId="5C970DF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Reglamentar los asuntos de su competencia, cuando la Constitución y ley así lo determine.</w:t>
            </w:r>
          </w:p>
        </w:tc>
        <w:tc>
          <w:tcPr>
            <w:tcW w:w="3798" w:type="dxa"/>
            <w:tcBorders>
              <w:top w:val="nil"/>
              <w:left w:val="nil"/>
              <w:bottom w:val="nil"/>
              <w:right w:val="single" w:sz="4" w:space="0" w:color="000000"/>
            </w:tcBorders>
            <w:shd w:val="clear" w:color="00FF00" w:fill="FFFFFF"/>
            <w:hideMark/>
          </w:tcPr>
          <w:p w14:paraId="29FEE6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Reglamentar los asuntos de su competencia, cuando la Constitución y ley así lo determine.</w:t>
            </w:r>
          </w:p>
        </w:tc>
        <w:tc>
          <w:tcPr>
            <w:tcW w:w="1480" w:type="dxa"/>
            <w:tcBorders>
              <w:top w:val="nil"/>
              <w:left w:val="nil"/>
              <w:bottom w:val="nil"/>
              <w:right w:val="single" w:sz="4" w:space="0" w:color="000000"/>
            </w:tcBorders>
            <w:shd w:val="clear" w:color="000000" w:fill="FFFFFF"/>
            <w:hideMark/>
          </w:tcPr>
          <w:p w14:paraId="32CBE16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861907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DD11EB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18. Celebrar convenios de cooperación y ser miembro de organismos internacionales gubernamentales y no gubernamentales en asuntos de democracia, elecciones, de participación ciudadana y de observación electoral. </w:t>
            </w:r>
          </w:p>
        </w:tc>
        <w:tc>
          <w:tcPr>
            <w:tcW w:w="3798" w:type="dxa"/>
            <w:tcBorders>
              <w:top w:val="nil"/>
              <w:left w:val="nil"/>
              <w:bottom w:val="nil"/>
              <w:right w:val="single" w:sz="4" w:space="0" w:color="000000"/>
            </w:tcBorders>
            <w:shd w:val="clear" w:color="00FF00" w:fill="FFFFFF"/>
            <w:hideMark/>
          </w:tcPr>
          <w:p w14:paraId="0A94E88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Celebrar convenios de cooperación y ser miembro de organismos internacionales gubernamentales y no gubernamentales en asuntos de democracia, elecciones, de participación ciudadana y de observación electoral.</w:t>
            </w:r>
          </w:p>
        </w:tc>
        <w:tc>
          <w:tcPr>
            <w:tcW w:w="3798" w:type="dxa"/>
            <w:tcBorders>
              <w:top w:val="nil"/>
              <w:left w:val="nil"/>
              <w:bottom w:val="nil"/>
              <w:right w:val="single" w:sz="4" w:space="0" w:color="000000"/>
            </w:tcBorders>
            <w:shd w:val="clear" w:color="00FF00" w:fill="FFFFFF"/>
            <w:hideMark/>
          </w:tcPr>
          <w:p w14:paraId="0DA9D2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Celebrar convenios de cooperación y ser miembro de organismos internacionales gubernamentales y no gubernamentales en asuntos de democracia, elecciones, de participación ciudadana y de observación electoral.</w:t>
            </w:r>
          </w:p>
        </w:tc>
        <w:tc>
          <w:tcPr>
            <w:tcW w:w="1480" w:type="dxa"/>
            <w:tcBorders>
              <w:top w:val="nil"/>
              <w:left w:val="nil"/>
              <w:bottom w:val="nil"/>
              <w:right w:val="single" w:sz="4" w:space="0" w:color="000000"/>
            </w:tcBorders>
            <w:shd w:val="clear" w:color="000000" w:fill="FFFFFF"/>
            <w:hideMark/>
          </w:tcPr>
          <w:p w14:paraId="4703D07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BC0652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1EF1A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19. Reunirse por derecho propio cuando lo estime conveniente de manera presencial o remota, de acuerdo con su reglamento interno. </w:t>
            </w:r>
          </w:p>
        </w:tc>
        <w:tc>
          <w:tcPr>
            <w:tcW w:w="3798" w:type="dxa"/>
            <w:tcBorders>
              <w:top w:val="nil"/>
              <w:left w:val="nil"/>
              <w:bottom w:val="nil"/>
              <w:right w:val="single" w:sz="4" w:space="0" w:color="000000"/>
            </w:tcBorders>
            <w:shd w:val="clear" w:color="00FF00" w:fill="FFFFFF"/>
            <w:hideMark/>
          </w:tcPr>
          <w:p w14:paraId="5CE2914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19. Reunirse por derecho propio cuando lo estime conveniente de manera presencial o remota, de acuerdo con su reglamento interno.</w:t>
            </w:r>
          </w:p>
        </w:tc>
        <w:tc>
          <w:tcPr>
            <w:tcW w:w="3798" w:type="dxa"/>
            <w:tcBorders>
              <w:top w:val="nil"/>
              <w:left w:val="nil"/>
              <w:bottom w:val="nil"/>
              <w:right w:val="single" w:sz="4" w:space="0" w:color="000000"/>
            </w:tcBorders>
            <w:shd w:val="clear" w:color="00FF00" w:fill="FFFFFF"/>
            <w:hideMark/>
          </w:tcPr>
          <w:p w14:paraId="7AEBC32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19. Reunirse por derecho propio cuando lo estime conveniente de manera presencial o remota, de acuerdo con su reglamento interno.</w:t>
            </w:r>
          </w:p>
        </w:tc>
        <w:tc>
          <w:tcPr>
            <w:tcW w:w="1480" w:type="dxa"/>
            <w:tcBorders>
              <w:top w:val="nil"/>
              <w:left w:val="nil"/>
              <w:bottom w:val="nil"/>
              <w:right w:val="single" w:sz="4" w:space="0" w:color="000000"/>
            </w:tcBorders>
            <w:shd w:val="clear" w:color="000000" w:fill="FFFFFF"/>
            <w:hideMark/>
          </w:tcPr>
          <w:p w14:paraId="41AAAD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04E2DC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EF4D8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20. Presentar proyectos de ley en el marco de sus competencias. </w:t>
            </w:r>
          </w:p>
        </w:tc>
        <w:tc>
          <w:tcPr>
            <w:tcW w:w="3798" w:type="dxa"/>
            <w:tcBorders>
              <w:top w:val="nil"/>
              <w:left w:val="nil"/>
              <w:bottom w:val="nil"/>
              <w:right w:val="single" w:sz="4" w:space="0" w:color="000000"/>
            </w:tcBorders>
            <w:shd w:val="clear" w:color="00FF00" w:fill="FFFFFF"/>
            <w:hideMark/>
          </w:tcPr>
          <w:p w14:paraId="0226E44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20. Presentar proyectos de ley en el marco de sus competencias.</w:t>
            </w:r>
          </w:p>
        </w:tc>
        <w:tc>
          <w:tcPr>
            <w:tcW w:w="3798" w:type="dxa"/>
            <w:tcBorders>
              <w:top w:val="nil"/>
              <w:left w:val="nil"/>
              <w:bottom w:val="nil"/>
              <w:right w:val="single" w:sz="4" w:space="0" w:color="000000"/>
            </w:tcBorders>
            <w:shd w:val="clear" w:color="00FF00" w:fill="FFFFFF"/>
            <w:hideMark/>
          </w:tcPr>
          <w:p w14:paraId="290FC76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20. Presentar proyectos de ley en el marco de sus competencias.</w:t>
            </w:r>
          </w:p>
        </w:tc>
        <w:tc>
          <w:tcPr>
            <w:tcW w:w="1480" w:type="dxa"/>
            <w:tcBorders>
              <w:top w:val="nil"/>
              <w:left w:val="nil"/>
              <w:bottom w:val="nil"/>
              <w:right w:val="single" w:sz="4" w:space="0" w:color="000000"/>
            </w:tcBorders>
            <w:shd w:val="clear" w:color="000000" w:fill="FFFFFF"/>
            <w:hideMark/>
          </w:tcPr>
          <w:p w14:paraId="5D61142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92BEF8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23FD5F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21. Dar posesión al registrador Nacional del Estado Civil. </w:t>
            </w:r>
          </w:p>
        </w:tc>
        <w:tc>
          <w:tcPr>
            <w:tcW w:w="3798" w:type="dxa"/>
            <w:tcBorders>
              <w:top w:val="nil"/>
              <w:left w:val="nil"/>
              <w:bottom w:val="nil"/>
              <w:right w:val="single" w:sz="4" w:space="0" w:color="000000"/>
            </w:tcBorders>
            <w:shd w:val="clear" w:color="00FF00" w:fill="FFFFFF"/>
            <w:hideMark/>
          </w:tcPr>
          <w:p w14:paraId="65FFF2B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21. Dar posesión al registrador Nacional del Estado Civil.</w:t>
            </w:r>
          </w:p>
        </w:tc>
        <w:tc>
          <w:tcPr>
            <w:tcW w:w="3798" w:type="dxa"/>
            <w:tcBorders>
              <w:top w:val="nil"/>
              <w:left w:val="nil"/>
              <w:bottom w:val="nil"/>
              <w:right w:val="single" w:sz="4" w:space="0" w:color="000000"/>
            </w:tcBorders>
            <w:shd w:val="clear" w:color="00FF00" w:fill="FFFFFF"/>
            <w:hideMark/>
          </w:tcPr>
          <w:p w14:paraId="27103B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21. Dar posesión al registrador Nacional del Estado Civil.</w:t>
            </w:r>
          </w:p>
        </w:tc>
        <w:tc>
          <w:tcPr>
            <w:tcW w:w="1480" w:type="dxa"/>
            <w:tcBorders>
              <w:top w:val="nil"/>
              <w:left w:val="nil"/>
              <w:bottom w:val="nil"/>
              <w:right w:val="single" w:sz="4" w:space="0" w:color="000000"/>
            </w:tcBorders>
            <w:shd w:val="clear" w:color="000000" w:fill="FFFFFF"/>
            <w:hideMark/>
          </w:tcPr>
          <w:p w14:paraId="34CAF52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265524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591BCE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22. Convocar previa citación a Sala Plena al registrador Nacional del Estado Civil.</w:t>
            </w:r>
          </w:p>
        </w:tc>
        <w:tc>
          <w:tcPr>
            <w:tcW w:w="3798" w:type="dxa"/>
            <w:tcBorders>
              <w:top w:val="nil"/>
              <w:left w:val="nil"/>
              <w:bottom w:val="nil"/>
              <w:right w:val="single" w:sz="4" w:space="0" w:color="000000"/>
            </w:tcBorders>
            <w:shd w:val="clear" w:color="00FF00" w:fill="FFFFFF"/>
            <w:hideMark/>
          </w:tcPr>
          <w:p w14:paraId="5308CB1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22. Convocar previa citación a Sala Plena al registrador Nacional del Estado Civil.</w:t>
            </w:r>
          </w:p>
        </w:tc>
        <w:tc>
          <w:tcPr>
            <w:tcW w:w="3798" w:type="dxa"/>
            <w:tcBorders>
              <w:top w:val="nil"/>
              <w:left w:val="nil"/>
              <w:bottom w:val="nil"/>
              <w:right w:val="single" w:sz="4" w:space="0" w:color="000000"/>
            </w:tcBorders>
            <w:shd w:val="clear" w:color="00FF00" w:fill="FFFFFF"/>
            <w:hideMark/>
          </w:tcPr>
          <w:p w14:paraId="13646E7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22. Convocar previa citación a Sala Plena al registrador Nacional del Estado Civil.</w:t>
            </w:r>
          </w:p>
        </w:tc>
        <w:tc>
          <w:tcPr>
            <w:tcW w:w="1480" w:type="dxa"/>
            <w:tcBorders>
              <w:top w:val="nil"/>
              <w:left w:val="nil"/>
              <w:bottom w:val="nil"/>
              <w:right w:val="single" w:sz="4" w:space="0" w:color="000000"/>
            </w:tcBorders>
            <w:shd w:val="clear" w:color="000000" w:fill="FFFFFF"/>
            <w:hideMark/>
          </w:tcPr>
          <w:p w14:paraId="0EEF03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C6414C4"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0411A03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23. Reconocer dentro de los ciento ochenta (180) días calendario a la fecha de las elecciones, el derecho de reposición de gastos a las organizaciones políticas que inscriban candidatos para cargos de elección popular (gobernadores, alcaldes) y cargos de corporaciones públicas de elección popular (asambleas, concejos y juntas administradoras locales). El incumplimiento de esta función por causas no objetivas será falta disciplinaria y del reconocimiento de intereses de mora a la tasa máxima legal vigente. El pago del valor reconocido estará supeditado al cumplimiento de los trámites presupuestales correspondientes ante el Ministerio de Hacienda y Crédito Público.</w:t>
            </w:r>
          </w:p>
        </w:tc>
        <w:tc>
          <w:tcPr>
            <w:tcW w:w="3798" w:type="dxa"/>
            <w:tcBorders>
              <w:top w:val="nil"/>
              <w:left w:val="nil"/>
              <w:bottom w:val="nil"/>
              <w:right w:val="single" w:sz="4" w:space="0" w:color="000000"/>
            </w:tcBorders>
            <w:shd w:val="clear" w:color="00FF00" w:fill="FFFFFF"/>
            <w:hideMark/>
          </w:tcPr>
          <w:p w14:paraId="333D44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23. Reconocer dentro de los ciento ochenta (180) días calendario a la fecha de las elecciones, el derecho de reposición de gastos a las organizaciones políticas que inscriban candidatos para cargos uninominales y corporaciones públicas de elección popular. El incumplimiento de esta función por causas no objetivas será falta disciplinaria y del reconocimiento de intereses de mora a la tasa máxima legal vigente.</w:t>
            </w:r>
          </w:p>
        </w:tc>
        <w:tc>
          <w:tcPr>
            <w:tcW w:w="3798" w:type="dxa"/>
            <w:tcBorders>
              <w:top w:val="nil"/>
              <w:left w:val="nil"/>
              <w:bottom w:val="nil"/>
              <w:right w:val="single" w:sz="4" w:space="0" w:color="000000"/>
            </w:tcBorders>
            <w:shd w:val="clear" w:color="00FF00" w:fill="FFFFFF"/>
            <w:hideMark/>
          </w:tcPr>
          <w:p w14:paraId="50776C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23. Reconocer dentro de los ciento ochenta (180) días calendario a la fecha de las elecciones, el derecho de reposición de gastos a las organizaciones políticas que inscriban candidatos para cargos uninominales y corporaciones públicas de elección popular. El incumplimiento de esta función por causas no objetivas será falta disciplinaria y del reconocimiento de intereses de mora a la tasa máxima legal vigente.</w:t>
            </w:r>
          </w:p>
        </w:tc>
        <w:tc>
          <w:tcPr>
            <w:tcW w:w="1480" w:type="dxa"/>
            <w:tcBorders>
              <w:top w:val="nil"/>
              <w:left w:val="nil"/>
              <w:bottom w:val="nil"/>
              <w:right w:val="single" w:sz="4" w:space="0" w:color="000000"/>
            </w:tcBorders>
            <w:shd w:val="clear" w:color="000000" w:fill="FFFFFF"/>
            <w:hideMark/>
          </w:tcPr>
          <w:p w14:paraId="108369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E8D010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67D628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24. Resolver los recursos de queja que se le presenten en el marco de los escrutinios que practican los delegados del Consejo Nacional Electoral.</w:t>
            </w:r>
          </w:p>
        </w:tc>
        <w:tc>
          <w:tcPr>
            <w:tcW w:w="3798" w:type="dxa"/>
            <w:tcBorders>
              <w:top w:val="nil"/>
              <w:left w:val="nil"/>
              <w:bottom w:val="nil"/>
              <w:right w:val="single" w:sz="4" w:space="0" w:color="000000"/>
            </w:tcBorders>
            <w:shd w:val="clear" w:color="00FF00" w:fill="FFFFFF"/>
            <w:hideMark/>
          </w:tcPr>
          <w:p w14:paraId="53394E7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24. Resolver los recursos de queja que se le presenten en el marco de los escrutinios que practican los delegados del Consejo Nacional Electoral.</w:t>
            </w:r>
          </w:p>
        </w:tc>
        <w:tc>
          <w:tcPr>
            <w:tcW w:w="3798" w:type="dxa"/>
            <w:tcBorders>
              <w:top w:val="nil"/>
              <w:left w:val="nil"/>
              <w:bottom w:val="nil"/>
              <w:right w:val="single" w:sz="4" w:space="0" w:color="000000"/>
            </w:tcBorders>
            <w:shd w:val="clear" w:color="00FF00" w:fill="FFFFFF"/>
            <w:hideMark/>
          </w:tcPr>
          <w:p w14:paraId="58836C3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24. Resolver los recursos de queja que se le presenten en el marco de los escrutinios que practican los delegados del Consejo Nacional Electoral.</w:t>
            </w:r>
          </w:p>
        </w:tc>
        <w:tc>
          <w:tcPr>
            <w:tcW w:w="1480" w:type="dxa"/>
            <w:tcBorders>
              <w:top w:val="nil"/>
              <w:left w:val="nil"/>
              <w:bottom w:val="nil"/>
              <w:right w:val="single" w:sz="4" w:space="0" w:color="000000"/>
            </w:tcBorders>
            <w:shd w:val="clear" w:color="000000" w:fill="FFFFFF"/>
            <w:hideMark/>
          </w:tcPr>
          <w:p w14:paraId="44DB5D0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EB194A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26E47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25. Adoptar las medidas necesarias para verificar el cumplimiento y eficacia de las acciones afirmativas dispuestas en la legislación en favor de la participación </w:t>
            </w:r>
            <w:r w:rsidRPr="00222F34">
              <w:rPr>
                <w:rFonts w:ascii="Calibri" w:eastAsia="Times New Roman" w:hAnsi="Calibri" w:cs="Calibri"/>
                <w:color w:val="000000"/>
                <w:lang w:val="es-CO" w:eastAsia="es-CO" w:bidi="ar-SA"/>
              </w:rPr>
              <w:lastRenderedPageBreak/>
              <w:t xml:space="preserve">política de las mujeres y demás poblaciones subrepresentadas. </w:t>
            </w:r>
          </w:p>
        </w:tc>
        <w:tc>
          <w:tcPr>
            <w:tcW w:w="3798" w:type="dxa"/>
            <w:tcBorders>
              <w:top w:val="nil"/>
              <w:left w:val="nil"/>
              <w:bottom w:val="nil"/>
              <w:right w:val="single" w:sz="4" w:space="0" w:color="000000"/>
            </w:tcBorders>
            <w:shd w:val="clear" w:color="00FF00" w:fill="FFFFFF"/>
            <w:hideMark/>
          </w:tcPr>
          <w:p w14:paraId="0BB277A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25. Adoptar las medidas necesarias para verificar el cumplimiento y eficacia de las acciones afirmativas dispuestas en la legislación en favor de la participación </w:t>
            </w:r>
            <w:r w:rsidRPr="00222F34">
              <w:rPr>
                <w:rFonts w:ascii="Calibri" w:eastAsia="Times New Roman" w:hAnsi="Calibri" w:cs="Calibri"/>
                <w:color w:val="000000"/>
                <w:lang w:val="es-CO" w:eastAsia="es-CO" w:bidi="ar-SA"/>
              </w:rPr>
              <w:lastRenderedPageBreak/>
              <w:t>política de las mujeres y demás poblaciones subrepresentadas.</w:t>
            </w:r>
          </w:p>
        </w:tc>
        <w:tc>
          <w:tcPr>
            <w:tcW w:w="3798" w:type="dxa"/>
            <w:tcBorders>
              <w:top w:val="nil"/>
              <w:left w:val="nil"/>
              <w:bottom w:val="nil"/>
              <w:right w:val="single" w:sz="4" w:space="0" w:color="000000"/>
            </w:tcBorders>
            <w:shd w:val="clear" w:color="00FF00" w:fill="FFFFFF"/>
            <w:hideMark/>
          </w:tcPr>
          <w:p w14:paraId="58A4B59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25. Adoptar las medidas necesarias para verificar el cumplimiento y eficacia de las acciones afirmativas dispuestas en la legislación en favor de la participación </w:t>
            </w:r>
            <w:r w:rsidRPr="00222F34">
              <w:rPr>
                <w:rFonts w:ascii="Calibri" w:eastAsia="Times New Roman" w:hAnsi="Calibri" w:cs="Calibri"/>
                <w:color w:val="000000"/>
                <w:lang w:val="es-CO" w:eastAsia="es-CO" w:bidi="ar-SA"/>
              </w:rPr>
              <w:lastRenderedPageBreak/>
              <w:t>política de las mujeres y demás poblaciones subrepresentadas.</w:t>
            </w:r>
          </w:p>
        </w:tc>
        <w:tc>
          <w:tcPr>
            <w:tcW w:w="1480" w:type="dxa"/>
            <w:tcBorders>
              <w:top w:val="nil"/>
              <w:left w:val="nil"/>
              <w:bottom w:val="nil"/>
              <w:right w:val="single" w:sz="4" w:space="0" w:color="000000"/>
            </w:tcBorders>
            <w:shd w:val="clear" w:color="000000" w:fill="FFFFFF"/>
            <w:hideMark/>
          </w:tcPr>
          <w:p w14:paraId="41D7CBC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62B1E5A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DA0416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26. Administrar el software de escrutinio nacional y su innovación tecnológica. </w:t>
            </w:r>
          </w:p>
        </w:tc>
        <w:tc>
          <w:tcPr>
            <w:tcW w:w="3798" w:type="dxa"/>
            <w:tcBorders>
              <w:top w:val="nil"/>
              <w:left w:val="nil"/>
              <w:bottom w:val="nil"/>
              <w:right w:val="single" w:sz="4" w:space="0" w:color="000000"/>
            </w:tcBorders>
            <w:shd w:val="clear" w:color="00FF00" w:fill="FFFFFF"/>
            <w:hideMark/>
          </w:tcPr>
          <w:p w14:paraId="17F8EC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26. Administrar el software de escrutinio nacional y su innovación tecnológica.</w:t>
            </w:r>
          </w:p>
        </w:tc>
        <w:tc>
          <w:tcPr>
            <w:tcW w:w="3798" w:type="dxa"/>
            <w:tcBorders>
              <w:top w:val="nil"/>
              <w:left w:val="nil"/>
              <w:bottom w:val="nil"/>
              <w:right w:val="single" w:sz="4" w:space="0" w:color="000000"/>
            </w:tcBorders>
            <w:shd w:val="clear" w:color="00FF00" w:fill="FFFFFF"/>
            <w:hideMark/>
          </w:tcPr>
          <w:p w14:paraId="4382739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26. Administrar el software de escrutinio nacional y su innovación tecnológica.</w:t>
            </w:r>
          </w:p>
        </w:tc>
        <w:tc>
          <w:tcPr>
            <w:tcW w:w="1480" w:type="dxa"/>
            <w:tcBorders>
              <w:top w:val="nil"/>
              <w:left w:val="nil"/>
              <w:bottom w:val="nil"/>
              <w:right w:val="single" w:sz="4" w:space="0" w:color="000000"/>
            </w:tcBorders>
            <w:shd w:val="clear" w:color="000000" w:fill="FFFFFF"/>
            <w:hideMark/>
          </w:tcPr>
          <w:p w14:paraId="7E9985E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B681F30"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DC3F42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27. Impulsar y celebrar los convenios con instituciones de educación superior nacionales e internacionales con el acompañamiento del Ministerio de Ciencia, Tecnología e Innovación necesarios para el diseño y desarrollo de herramientas tecnológicas que permitan hacer más eficiente y transparente el proceso electoral. </w:t>
            </w:r>
          </w:p>
        </w:tc>
        <w:tc>
          <w:tcPr>
            <w:tcW w:w="3798" w:type="dxa"/>
            <w:tcBorders>
              <w:top w:val="nil"/>
              <w:left w:val="nil"/>
              <w:bottom w:val="nil"/>
              <w:right w:val="single" w:sz="4" w:space="0" w:color="000000"/>
            </w:tcBorders>
            <w:shd w:val="clear" w:color="00FF00" w:fill="FFFFFF"/>
            <w:hideMark/>
          </w:tcPr>
          <w:p w14:paraId="4179AC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27. Impulsar y celebrar los convenios con instituciones de educación superior nacionales e internacionales y con institutos u organizaciones no gubernamentales sin ánimo de lucro que promueven la democracia, el desarrollo de procesos electorales y la defensa de los derechos humanos con el acompañamiento del Ministerio de Ciencia, Tecnología e Innovación necesarios para el diseño y desarrollo de herramientas tecnológicas que permitan hacer más eficiente y transparente el proceso electoral.</w:t>
            </w:r>
          </w:p>
        </w:tc>
        <w:tc>
          <w:tcPr>
            <w:tcW w:w="3798" w:type="dxa"/>
            <w:tcBorders>
              <w:top w:val="nil"/>
              <w:left w:val="nil"/>
              <w:bottom w:val="nil"/>
              <w:right w:val="single" w:sz="4" w:space="0" w:color="000000"/>
            </w:tcBorders>
            <w:shd w:val="clear" w:color="00FF00" w:fill="FFFFFF"/>
            <w:hideMark/>
          </w:tcPr>
          <w:p w14:paraId="73DF20C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27. Impulsar y celebrar los convenios con instituciones de educación superior nacionales e internacionales y con institutos u organizaciones no gubernamentales sin ánimo de lucro que promueven la democracia, el desarrollo de procesos electorales y la defensa de los derechos humanos con el acompañamiento del Ministerio de Ciencia, Tecnología e Innovación necesarios para el diseño y desarrollo de herramientas tecnológicas que permitan hacer más eficiente y transparente el proceso electoral.</w:t>
            </w:r>
          </w:p>
        </w:tc>
        <w:tc>
          <w:tcPr>
            <w:tcW w:w="1480" w:type="dxa"/>
            <w:tcBorders>
              <w:top w:val="nil"/>
              <w:left w:val="nil"/>
              <w:bottom w:val="nil"/>
              <w:right w:val="single" w:sz="4" w:space="0" w:color="000000"/>
            </w:tcBorders>
            <w:shd w:val="clear" w:color="000000" w:fill="FFFFFF"/>
            <w:hideMark/>
          </w:tcPr>
          <w:p w14:paraId="51FA53A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CC4F6C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4812F0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28. Promover una cultura de la no violencia en el marco del ejercicio de los derechos políticos y electorales de las mujeres, y sancionar las conductas que constituyan violencia contra mujeres en política. </w:t>
            </w:r>
          </w:p>
        </w:tc>
        <w:tc>
          <w:tcPr>
            <w:tcW w:w="3798" w:type="dxa"/>
            <w:tcBorders>
              <w:top w:val="nil"/>
              <w:left w:val="nil"/>
              <w:bottom w:val="nil"/>
              <w:right w:val="single" w:sz="4" w:space="0" w:color="000000"/>
            </w:tcBorders>
            <w:shd w:val="clear" w:color="00FF00" w:fill="FFFFFF"/>
            <w:hideMark/>
          </w:tcPr>
          <w:p w14:paraId="5AF6216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28. Promover una cultura de la no violencia en el marco del ejercicio de los derechos políticos y electorales de las mujeres, y sancionar las conductas que constituyan violencia contra mujeres en política.</w:t>
            </w:r>
          </w:p>
        </w:tc>
        <w:tc>
          <w:tcPr>
            <w:tcW w:w="3798" w:type="dxa"/>
            <w:tcBorders>
              <w:top w:val="nil"/>
              <w:left w:val="nil"/>
              <w:bottom w:val="nil"/>
              <w:right w:val="single" w:sz="4" w:space="0" w:color="000000"/>
            </w:tcBorders>
            <w:shd w:val="clear" w:color="00FF00" w:fill="FFFFFF"/>
            <w:hideMark/>
          </w:tcPr>
          <w:p w14:paraId="2F6BF13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28. Promover una cultura de la no violencia en el marco del ejercicio de los derechos políticos y electorales de las mujeres, y sancionar las conductas que constituyan violencia contra mujeres en política.</w:t>
            </w:r>
          </w:p>
        </w:tc>
        <w:tc>
          <w:tcPr>
            <w:tcW w:w="1480" w:type="dxa"/>
            <w:tcBorders>
              <w:top w:val="nil"/>
              <w:left w:val="nil"/>
              <w:bottom w:val="nil"/>
              <w:right w:val="single" w:sz="4" w:space="0" w:color="000000"/>
            </w:tcBorders>
            <w:shd w:val="clear" w:color="000000" w:fill="FFFFFF"/>
            <w:hideMark/>
          </w:tcPr>
          <w:p w14:paraId="5B1196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000A31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B3C94C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29. Designar a sus miembros de la comisión escrutadora distrital y departamental.</w:t>
            </w:r>
          </w:p>
        </w:tc>
        <w:tc>
          <w:tcPr>
            <w:tcW w:w="3798" w:type="dxa"/>
            <w:tcBorders>
              <w:top w:val="nil"/>
              <w:left w:val="nil"/>
              <w:bottom w:val="nil"/>
              <w:right w:val="single" w:sz="4" w:space="0" w:color="000000"/>
            </w:tcBorders>
            <w:shd w:val="clear" w:color="00FF00" w:fill="FFFFFF"/>
            <w:hideMark/>
          </w:tcPr>
          <w:p w14:paraId="1E235CC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29. Designar a sus miembros de la comisión escrutadora General de Bogotá D.C y departamental.</w:t>
            </w:r>
          </w:p>
        </w:tc>
        <w:tc>
          <w:tcPr>
            <w:tcW w:w="3798" w:type="dxa"/>
            <w:tcBorders>
              <w:top w:val="nil"/>
              <w:left w:val="nil"/>
              <w:bottom w:val="nil"/>
              <w:right w:val="single" w:sz="4" w:space="0" w:color="000000"/>
            </w:tcBorders>
            <w:shd w:val="clear" w:color="00FF00" w:fill="FFFFFF"/>
            <w:hideMark/>
          </w:tcPr>
          <w:p w14:paraId="4DAAD54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29. Designar a sus miembros de la comisión escrutadora General de Bogotá D.C y departamental.</w:t>
            </w:r>
          </w:p>
        </w:tc>
        <w:tc>
          <w:tcPr>
            <w:tcW w:w="1480" w:type="dxa"/>
            <w:tcBorders>
              <w:top w:val="nil"/>
              <w:left w:val="nil"/>
              <w:bottom w:val="nil"/>
              <w:right w:val="single" w:sz="4" w:space="0" w:color="000000"/>
            </w:tcBorders>
            <w:shd w:val="clear" w:color="000000" w:fill="FFFFFF"/>
            <w:hideMark/>
          </w:tcPr>
          <w:p w14:paraId="2DC5956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CD1EC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37DCF6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0C8A435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30. Realizar rendición pública de cuentas que le permita al ciudadano contar con las herramientas necesarias para el control social a lo público.</w:t>
            </w:r>
          </w:p>
        </w:tc>
        <w:tc>
          <w:tcPr>
            <w:tcW w:w="3798" w:type="dxa"/>
            <w:tcBorders>
              <w:top w:val="nil"/>
              <w:left w:val="nil"/>
              <w:bottom w:val="nil"/>
              <w:right w:val="single" w:sz="4" w:space="0" w:color="000000"/>
            </w:tcBorders>
            <w:shd w:val="clear" w:color="00FF00" w:fill="FFFFFF"/>
            <w:hideMark/>
          </w:tcPr>
          <w:p w14:paraId="2F4523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30. Realizar rendición pública de cuentas que le permita al ciudadano contar con las herramientas necesarias para el control social a lo público.</w:t>
            </w:r>
          </w:p>
        </w:tc>
        <w:tc>
          <w:tcPr>
            <w:tcW w:w="1480" w:type="dxa"/>
            <w:tcBorders>
              <w:top w:val="nil"/>
              <w:left w:val="nil"/>
              <w:bottom w:val="nil"/>
              <w:right w:val="single" w:sz="4" w:space="0" w:color="000000"/>
            </w:tcBorders>
            <w:shd w:val="clear" w:color="000000" w:fill="FFFFFF"/>
            <w:hideMark/>
          </w:tcPr>
          <w:p w14:paraId="0A8079C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A747388" w14:textId="77777777" w:rsidTr="00222F34">
        <w:trPr>
          <w:trHeight w:val="3300"/>
        </w:trPr>
        <w:tc>
          <w:tcPr>
            <w:tcW w:w="3798" w:type="dxa"/>
            <w:tcBorders>
              <w:top w:val="nil"/>
              <w:left w:val="single" w:sz="4" w:space="0" w:color="000000"/>
              <w:bottom w:val="nil"/>
              <w:right w:val="single" w:sz="4" w:space="0" w:color="000000"/>
            </w:tcBorders>
            <w:shd w:val="clear" w:color="000000" w:fill="FFFFFF"/>
            <w:hideMark/>
          </w:tcPr>
          <w:p w14:paraId="4122EE2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 El plazo establecido para el pago del valor reconocido a los partidos y movimientos políticos, estará sujeto al cumplimiento de los trámites presupuestales correspondientes, por parte del Ministerio de Hacienda y Crédito Público, así como previa asignación del Plan Anualizado de Caja a dicha entidad.</w:t>
            </w:r>
          </w:p>
        </w:tc>
        <w:tc>
          <w:tcPr>
            <w:tcW w:w="3798" w:type="dxa"/>
            <w:tcBorders>
              <w:top w:val="nil"/>
              <w:left w:val="nil"/>
              <w:bottom w:val="nil"/>
              <w:right w:val="single" w:sz="4" w:space="0" w:color="000000"/>
            </w:tcBorders>
            <w:shd w:val="clear" w:color="00FF00" w:fill="FFFFFF"/>
            <w:hideMark/>
          </w:tcPr>
          <w:p w14:paraId="7416D54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 El plazo establecido para el pago del valor reconocido a los partidos y movimientos políticos estará sujeto al cumplimiento de los trámites presupuestales correspondientes, por parte del Ministerio de Hacienda y Crédito Público.</w:t>
            </w:r>
          </w:p>
        </w:tc>
        <w:tc>
          <w:tcPr>
            <w:tcW w:w="3798" w:type="dxa"/>
            <w:tcBorders>
              <w:top w:val="nil"/>
              <w:left w:val="nil"/>
              <w:bottom w:val="nil"/>
              <w:right w:val="single" w:sz="4" w:space="0" w:color="000000"/>
            </w:tcBorders>
            <w:shd w:val="clear" w:color="00FF00" w:fill="FFFFFF"/>
            <w:hideMark/>
          </w:tcPr>
          <w:p w14:paraId="2B0135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 El plazo establecido para el pago del valor reconocido a los partidos y movimientos políticos estará sujeto al cumplimiento de los trámites presupuestales correspondientes, por parte del Ministerio de Hacienda y Crédito Público.</w:t>
            </w:r>
          </w:p>
        </w:tc>
        <w:tc>
          <w:tcPr>
            <w:tcW w:w="1480" w:type="dxa"/>
            <w:tcBorders>
              <w:top w:val="nil"/>
              <w:left w:val="nil"/>
              <w:bottom w:val="nil"/>
              <w:right w:val="single" w:sz="4" w:space="0" w:color="000000"/>
            </w:tcBorders>
            <w:shd w:val="clear" w:color="000000" w:fill="FFFFFF"/>
            <w:hideMark/>
          </w:tcPr>
          <w:p w14:paraId="6861C94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6991D58"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080D2B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  </w:t>
            </w:r>
          </w:p>
        </w:tc>
        <w:tc>
          <w:tcPr>
            <w:tcW w:w="3798" w:type="dxa"/>
            <w:tcBorders>
              <w:top w:val="nil"/>
              <w:left w:val="nil"/>
              <w:bottom w:val="nil"/>
              <w:right w:val="single" w:sz="4" w:space="0" w:color="000000"/>
            </w:tcBorders>
            <w:shd w:val="clear" w:color="00FF00" w:fill="FFFFFF"/>
            <w:hideMark/>
          </w:tcPr>
          <w:p w14:paraId="59218E8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w:t>
            </w:r>
          </w:p>
        </w:tc>
        <w:tc>
          <w:tcPr>
            <w:tcW w:w="3798" w:type="dxa"/>
            <w:tcBorders>
              <w:top w:val="nil"/>
              <w:left w:val="nil"/>
              <w:bottom w:val="nil"/>
              <w:right w:val="single" w:sz="4" w:space="0" w:color="000000"/>
            </w:tcBorders>
            <w:shd w:val="clear" w:color="00FF00" w:fill="FFFFFF"/>
            <w:hideMark/>
          </w:tcPr>
          <w:p w14:paraId="776694A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w:t>
            </w:r>
          </w:p>
        </w:tc>
        <w:tc>
          <w:tcPr>
            <w:tcW w:w="1480" w:type="dxa"/>
            <w:tcBorders>
              <w:top w:val="nil"/>
              <w:left w:val="nil"/>
              <w:bottom w:val="nil"/>
              <w:right w:val="single" w:sz="4" w:space="0" w:color="000000"/>
            </w:tcBorders>
            <w:shd w:val="clear" w:color="000000" w:fill="FFFFFF"/>
            <w:hideMark/>
          </w:tcPr>
          <w:p w14:paraId="3561DE4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7DAF5E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B075A6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Consejo Nacional Electoral proveerá lo pertinente para que los partidos y movimientos políticos reciban la financiación del Estado mediante el sistema de reposición por votos válidos obtenidos, manteniendo para ello el valor en pesos constantes vigente. Igualmente, asumirá el costo de las pólizas de seguro cuando se trate de anticipos. </w:t>
            </w:r>
          </w:p>
        </w:tc>
        <w:tc>
          <w:tcPr>
            <w:tcW w:w="3798" w:type="dxa"/>
            <w:tcBorders>
              <w:top w:val="nil"/>
              <w:left w:val="nil"/>
              <w:bottom w:val="nil"/>
              <w:right w:val="single" w:sz="4" w:space="0" w:color="000000"/>
            </w:tcBorders>
            <w:shd w:val="clear" w:color="00FF00" w:fill="FFFFFF"/>
            <w:hideMark/>
          </w:tcPr>
          <w:p w14:paraId="2423624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Consejo Nacional Electoral proveerá lo pertinente para que los partidos y movimientos políticos reciban la financiación del Estado mediante el sistema de reposición por votos válidos obtenidos, manteniendo para ello el valor en pesos constantes vigente. Igualmente, asumirá el costo de las pólizas de seguro cuando se trate de anticipos.</w:t>
            </w:r>
          </w:p>
        </w:tc>
        <w:tc>
          <w:tcPr>
            <w:tcW w:w="3798" w:type="dxa"/>
            <w:tcBorders>
              <w:top w:val="nil"/>
              <w:left w:val="nil"/>
              <w:bottom w:val="nil"/>
              <w:right w:val="single" w:sz="4" w:space="0" w:color="000000"/>
            </w:tcBorders>
            <w:shd w:val="clear" w:color="00FF00" w:fill="FFFFFF"/>
            <w:hideMark/>
          </w:tcPr>
          <w:p w14:paraId="7C7D2C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Consejo Nacional Electoral proveerá lo pertinente para que los partidos y movimientos políticos reciban la financiación del Estado mediante el sistema de reposición por votos válidos obtenidos, manteniendo para ello el valor en pesos constantes vigente. Igualmente, asumirá el costo de las pólizas de seguro cuando se trate de anticipos.</w:t>
            </w:r>
          </w:p>
        </w:tc>
        <w:tc>
          <w:tcPr>
            <w:tcW w:w="1480" w:type="dxa"/>
            <w:tcBorders>
              <w:top w:val="nil"/>
              <w:left w:val="nil"/>
              <w:bottom w:val="nil"/>
              <w:right w:val="single" w:sz="4" w:space="0" w:color="000000"/>
            </w:tcBorders>
            <w:shd w:val="clear" w:color="000000" w:fill="FFFFFF"/>
            <w:hideMark/>
          </w:tcPr>
          <w:p w14:paraId="6929E8F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E49269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618F5F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realizará el proceso de revisión, certificación, reconocimiento y pago de la reposición por gastos de campaña a los candidatos al concejo de los municipios de sexta categoría, en un plazo máximo de seis </w:t>
            </w:r>
            <w:r w:rsidRPr="00222F34">
              <w:rPr>
                <w:rFonts w:ascii="Calibri" w:eastAsia="Times New Roman" w:hAnsi="Calibri" w:cs="Calibri"/>
                <w:color w:val="000000"/>
                <w:lang w:val="es-CO" w:eastAsia="es-CO" w:bidi="ar-SA"/>
              </w:rPr>
              <w:lastRenderedPageBreak/>
              <w:t xml:space="preserve">(6) meses siguientes a la presentación de los respectivos informes de ingresos y gastos de campaña.  </w:t>
            </w:r>
          </w:p>
        </w:tc>
        <w:tc>
          <w:tcPr>
            <w:tcW w:w="3798" w:type="dxa"/>
            <w:tcBorders>
              <w:top w:val="nil"/>
              <w:left w:val="nil"/>
              <w:bottom w:val="nil"/>
              <w:right w:val="single" w:sz="4" w:space="0" w:color="000000"/>
            </w:tcBorders>
            <w:shd w:val="clear" w:color="FFC000" w:fill="FFFFFF"/>
            <w:hideMark/>
          </w:tcPr>
          <w:p w14:paraId="36A0C40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nil"/>
              <w:right w:val="single" w:sz="4" w:space="0" w:color="000000"/>
            </w:tcBorders>
            <w:shd w:val="clear" w:color="FFC000" w:fill="FFFFFF"/>
            <w:hideMark/>
          </w:tcPr>
          <w:p w14:paraId="508DC69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6A078A1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E5DD6BD"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759417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 así como previa asignación del Plan Anualizado de Caja a dicha entidad.  </w:t>
            </w:r>
          </w:p>
        </w:tc>
        <w:tc>
          <w:tcPr>
            <w:tcW w:w="3798" w:type="dxa"/>
            <w:tcBorders>
              <w:top w:val="nil"/>
              <w:left w:val="nil"/>
              <w:bottom w:val="nil"/>
              <w:right w:val="single" w:sz="4" w:space="0" w:color="000000"/>
            </w:tcBorders>
            <w:shd w:val="clear" w:color="00FF00" w:fill="FFFFFF"/>
            <w:hideMark/>
          </w:tcPr>
          <w:p w14:paraId="56318CA8" w14:textId="3DD0289D" w:rsidR="00222F34" w:rsidRPr="00222F34" w:rsidRDefault="00222F34" w:rsidP="008C7250">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 xml:space="preserve"> 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w:t>
            </w:r>
          </w:p>
        </w:tc>
        <w:tc>
          <w:tcPr>
            <w:tcW w:w="3798" w:type="dxa"/>
            <w:tcBorders>
              <w:top w:val="nil"/>
              <w:left w:val="nil"/>
              <w:bottom w:val="nil"/>
              <w:right w:val="single" w:sz="4" w:space="0" w:color="000000"/>
            </w:tcBorders>
            <w:shd w:val="clear" w:color="00FF00" w:fill="FFFFFF"/>
            <w:hideMark/>
          </w:tcPr>
          <w:p w14:paraId="45EDF0BB" w14:textId="64457BCC" w:rsidR="00222F34" w:rsidRPr="00222F34" w:rsidRDefault="00222F34" w:rsidP="008C7250">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 xml:space="preserve"> 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w:t>
            </w:r>
          </w:p>
        </w:tc>
        <w:tc>
          <w:tcPr>
            <w:tcW w:w="1480" w:type="dxa"/>
            <w:tcBorders>
              <w:top w:val="nil"/>
              <w:left w:val="nil"/>
              <w:bottom w:val="nil"/>
              <w:right w:val="single" w:sz="4" w:space="0" w:color="000000"/>
            </w:tcBorders>
            <w:shd w:val="clear" w:color="000000" w:fill="FFFFFF"/>
            <w:hideMark/>
          </w:tcPr>
          <w:p w14:paraId="54391EC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44D716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103D77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El Consejo Nacional Electoral en los procesos administrativos sancionatorios y en los procesos que adelante sobre revocatoria de inscripción de candidatos deberá garantizar la doble instancia, y la separación entre las fases de instrucción y la de decisión. </w:t>
            </w:r>
          </w:p>
        </w:tc>
        <w:tc>
          <w:tcPr>
            <w:tcW w:w="3798" w:type="dxa"/>
            <w:tcBorders>
              <w:top w:val="nil"/>
              <w:left w:val="nil"/>
              <w:bottom w:val="nil"/>
              <w:right w:val="single" w:sz="4" w:space="0" w:color="000000"/>
            </w:tcBorders>
            <w:shd w:val="clear" w:color="00FF00" w:fill="FFFFFF"/>
            <w:hideMark/>
          </w:tcPr>
          <w:p w14:paraId="6B6DE3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El Consejo Nacional Electoral en los procesos administrativos sancionatorios y en los procesos que adelante sobre revocatoria de inscripción de candidatos deberá garantizar la doble instancia, y la separación entre las fases de instrucción y la de decisión.</w:t>
            </w:r>
          </w:p>
        </w:tc>
        <w:tc>
          <w:tcPr>
            <w:tcW w:w="3798" w:type="dxa"/>
            <w:tcBorders>
              <w:top w:val="nil"/>
              <w:left w:val="nil"/>
              <w:bottom w:val="nil"/>
              <w:right w:val="single" w:sz="4" w:space="0" w:color="000000"/>
            </w:tcBorders>
            <w:shd w:val="clear" w:color="00FF00" w:fill="FFFFFF"/>
            <w:hideMark/>
          </w:tcPr>
          <w:p w14:paraId="71AB1B2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El Consejo Nacional Electoral en los procesos administrativos sancionatorios y en los procesos que adelante sobre revocatoria de inscripción de candidatos deberá garantizar la doble instancia, y la separación entre las fases de instrucción y la de decisión.</w:t>
            </w:r>
          </w:p>
        </w:tc>
        <w:tc>
          <w:tcPr>
            <w:tcW w:w="1480" w:type="dxa"/>
            <w:tcBorders>
              <w:top w:val="nil"/>
              <w:left w:val="nil"/>
              <w:bottom w:val="nil"/>
              <w:right w:val="single" w:sz="4" w:space="0" w:color="000000"/>
            </w:tcBorders>
            <w:shd w:val="clear" w:color="000000" w:fill="FFFFFF"/>
            <w:hideMark/>
          </w:tcPr>
          <w:p w14:paraId="4C3D3C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329F77D"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0A04F50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esto podrá modificar su reglamento interno para crear salas de instrucción, unipersonales o plurales, de primera y de segunda instancia, atendiendo una conformación impar y manteniendo el esquema de nueve (9) magistrados, pero </w:t>
            </w:r>
            <w:r w:rsidRPr="00222F34">
              <w:rPr>
                <w:rFonts w:ascii="Calibri" w:eastAsia="Times New Roman" w:hAnsi="Calibri" w:cs="Calibri"/>
                <w:color w:val="000000"/>
                <w:lang w:val="es-CO" w:eastAsia="es-CO" w:bidi="ar-SA"/>
              </w:rPr>
              <w:lastRenderedPageBreak/>
              <w:t xml:space="preserve">separados en cada una de las fases e instancias. </w:t>
            </w:r>
          </w:p>
        </w:tc>
        <w:tc>
          <w:tcPr>
            <w:tcW w:w="3798" w:type="dxa"/>
            <w:tcBorders>
              <w:top w:val="nil"/>
              <w:left w:val="nil"/>
              <w:bottom w:val="single" w:sz="4" w:space="0" w:color="000000"/>
              <w:right w:val="single" w:sz="4" w:space="0" w:color="000000"/>
            </w:tcBorders>
            <w:shd w:val="clear" w:color="00FF00" w:fill="FFFFFF"/>
            <w:hideMark/>
          </w:tcPr>
          <w:p w14:paraId="7B3901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esto podrá modificar su reglamento interno para crear salas de instrucción, unipersonales o plurales, de primera y de segunda instancia, atendiendo una conformación impar y manteniendo el esquema de nueve (9) magistrados, pero </w:t>
            </w:r>
            <w:r w:rsidRPr="00222F34">
              <w:rPr>
                <w:rFonts w:ascii="Calibri" w:eastAsia="Times New Roman" w:hAnsi="Calibri" w:cs="Calibri"/>
                <w:color w:val="000000"/>
                <w:lang w:val="es-CO" w:eastAsia="es-CO" w:bidi="ar-SA"/>
              </w:rPr>
              <w:lastRenderedPageBreak/>
              <w:t>separados en cada una de las fases e instancias.</w:t>
            </w:r>
          </w:p>
        </w:tc>
        <w:tc>
          <w:tcPr>
            <w:tcW w:w="3798" w:type="dxa"/>
            <w:tcBorders>
              <w:top w:val="nil"/>
              <w:left w:val="nil"/>
              <w:bottom w:val="single" w:sz="4" w:space="0" w:color="000000"/>
              <w:right w:val="single" w:sz="4" w:space="0" w:color="000000"/>
            </w:tcBorders>
            <w:shd w:val="clear" w:color="00FF00" w:fill="FFFFFF"/>
            <w:hideMark/>
          </w:tcPr>
          <w:p w14:paraId="54FF7F0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esto podrá modificar su reglamento interno para crear salas de instrucción, unipersonales o plurales, de primera y de segunda instancia, atendiendo una conformación impar y manteniendo el esquema de nueve (9) magistrados, pero </w:t>
            </w:r>
            <w:r w:rsidRPr="00222F34">
              <w:rPr>
                <w:rFonts w:ascii="Calibri" w:eastAsia="Times New Roman" w:hAnsi="Calibri" w:cs="Calibri"/>
                <w:color w:val="000000"/>
                <w:lang w:val="es-CO" w:eastAsia="es-CO" w:bidi="ar-SA"/>
              </w:rPr>
              <w:lastRenderedPageBreak/>
              <w:t>separados en cada una de las fases e instancias.</w:t>
            </w:r>
          </w:p>
        </w:tc>
        <w:tc>
          <w:tcPr>
            <w:tcW w:w="1480" w:type="dxa"/>
            <w:tcBorders>
              <w:top w:val="nil"/>
              <w:left w:val="nil"/>
              <w:bottom w:val="single" w:sz="4" w:space="0" w:color="000000"/>
              <w:right w:val="single" w:sz="4" w:space="0" w:color="000000"/>
            </w:tcBorders>
            <w:shd w:val="clear" w:color="000000" w:fill="FFFFFF"/>
            <w:hideMark/>
          </w:tcPr>
          <w:p w14:paraId="68B8588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3ADA8C9F" w14:textId="77777777" w:rsidTr="00222F34">
        <w:trPr>
          <w:trHeight w:val="3000"/>
        </w:trPr>
        <w:tc>
          <w:tcPr>
            <w:tcW w:w="3798" w:type="dxa"/>
            <w:tcBorders>
              <w:top w:val="nil"/>
              <w:left w:val="single" w:sz="4" w:space="0" w:color="000000"/>
              <w:bottom w:val="single" w:sz="4" w:space="0" w:color="000000"/>
              <w:right w:val="single" w:sz="4" w:space="0" w:color="000000"/>
            </w:tcBorders>
            <w:shd w:val="clear" w:color="000000" w:fill="FFFFFF"/>
            <w:hideMark/>
          </w:tcPr>
          <w:p w14:paraId="7C0816D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5D619B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6</w:t>
            </w:r>
            <w:r w:rsidRPr="00222F34">
              <w:rPr>
                <w:rFonts w:ascii="Calibri" w:eastAsia="Times New Roman" w:hAnsi="Calibri" w:cs="Calibri"/>
                <w:color w:val="000000"/>
                <w:lang w:val="es-CO" w:eastAsia="es-CO" w:bidi="ar-SA"/>
              </w:rPr>
              <w:t xml:space="preserve">. Para efectos del cumplimiento de lo establecido en el numeral 28 del presente artículo, el Consejo Nacional Electoral en coordinación con el Ministerio de la Igualdad deberá contar con una comisión con la experticia y estudios en la previsión, atención y erradicación de las violencias basadas en género. </w:t>
            </w:r>
            <w:r w:rsidRPr="00222F34">
              <w:rPr>
                <w:rFonts w:ascii="Calibri" w:eastAsia="Times New Roman" w:hAnsi="Calibri" w:cs="Calibri"/>
                <w:color w:val="000000"/>
                <w:lang w:val="es-CO" w:eastAsia="es-CO" w:bidi="ar-SA"/>
              </w:rPr>
              <w:br/>
            </w: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Frente a las disposiciones contenidas en el presente artículo se tendrán en cuenta las organizaciones, consejos comunitarios, resguardos y/o autoridades indígenas y las Kumpañy legalmente constituidas que trata el acto legislativo 02 de 2021 por medio de la cual se crean 16 circunscripciones transitorias especiales de paz para la Cámara de Representantes, en los periodos 2022-2026 y 2026-2030.</w:t>
            </w:r>
          </w:p>
        </w:tc>
        <w:tc>
          <w:tcPr>
            <w:tcW w:w="3798" w:type="dxa"/>
            <w:tcBorders>
              <w:top w:val="nil"/>
              <w:left w:val="nil"/>
              <w:bottom w:val="single" w:sz="4" w:space="0" w:color="000000"/>
              <w:right w:val="single" w:sz="4" w:space="0" w:color="000000"/>
            </w:tcBorders>
            <w:shd w:val="clear" w:color="00FF00" w:fill="FFFFFF"/>
            <w:hideMark/>
          </w:tcPr>
          <w:p w14:paraId="04AA0DF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6</w:t>
            </w:r>
            <w:r w:rsidRPr="00222F34">
              <w:rPr>
                <w:rFonts w:ascii="Calibri" w:eastAsia="Times New Roman" w:hAnsi="Calibri" w:cs="Calibri"/>
                <w:color w:val="000000"/>
                <w:lang w:val="es-CO" w:eastAsia="es-CO" w:bidi="ar-SA"/>
              </w:rPr>
              <w:t xml:space="preserve">. Para efectos del cumplimiento de lo establecido en el numeral 28 del presente artículo, el Consejo Nacional Electoral en coordinación con el Ministerio de la Igualdad deberá contar con una comisión con la experticia y estudios en la previsión, atención y erradicación de las violencias basadas en género. </w:t>
            </w:r>
            <w:r w:rsidRPr="00222F34">
              <w:rPr>
                <w:rFonts w:ascii="Calibri" w:eastAsia="Times New Roman" w:hAnsi="Calibri" w:cs="Calibri"/>
                <w:color w:val="000000"/>
                <w:lang w:val="es-CO" w:eastAsia="es-CO" w:bidi="ar-SA"/>
              </w:rPr>
              <w:br/>
            </w: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Frente a las disposiciones contenidas en el presente artículo se tendrán en cuenta las organizaciones, consejos comunitarios, resguardos y/o autoridades indígenas y las Kumpañy legalmente constituidas que trata el acto legislativo 02 de 2021 por medio de la cual se crean 16 circunscripciones transitorias especiales de paz para la Cámara de Representantes, en los periodos 2022-2026 y 2026-2030.</w:t>
            </w:r>
          </w:p>
        </w:tc>
        <w:tc>
          <w:tcPr>
            <w:tcW w:w="1480" w:type="dxa"/>
            <w:tcBorders>
              <w:top w:val="nil"/>
              <w:left w:val="nil"/>
              <w:bottom w:val="nil"/>
              <w:right w:val="single" w:sz="4" w:space="0" w:color="000000"/>
            </w:tcBorders>
            <w:shd w:val="clear" w:color="000000" w:fill="FFFFFF"/>
            <w:hideMark/>
          </w:tcPr>
          <w:p w14:paraId="0AE629B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20B05EB"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D518C5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6. Posesión.</w:t>
            </w:r>
            <w:r w:rsidRPr="00222F34">
              <w:rPr>
                <w:rFonts w:ascii="Calibri" w:eastAsia="Times New Roman" w:hAnsi="Calibri" w:cs="Calibri"/>
                <w:color w:val="000000"/>
                <w:lang w:val="es-CO" w:eastAsia="es-CO" w:bidi="ar-SA"/>
              </w:rPr>
              <w:t xml:space="preserve"> Los miembros del Consejo Nacional Electoral serán elegidos por el Congreso de la República en pleno para un período de cuatro años que comenzará desde el primero de septiembre inmediatamente siguiente a la iniciación de cada uno de los respectivos períodos constitucionales del Congreso y no podrán ser reelegidos. Los magistrados del Consejo Nacional Electoral se posesionarán ante el Presidente de la República.</w:t>
            </w:r>
          </w:p>
        </w:tc>
        <w:tc>
          <w:tcPr>
            <w:tcW w:w="3798" w:type="dxa"/>
            <w:tcBorders>
              <w:top w:val="nil"/>
              <w:left w:val="nil"/>
              <w:bottom w:val="single" w:sz="4" w:space="0" w:color="000000"/>
              <w:right w:val="single" w:sz="4" w:space="0" w:color="000000"/>
            </w:tcBorders>
            <w:shd w:val="clear" w:color="000000" w:fill="FFFFFF"/>
            <w:hideMark/>
          </w:tcPr>
          <w:p w14:paraId="6C8305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 Posesión.</w:t>
            </w:r>
            <w:r w:rsidRPr="00222F34">
              <w:rPr>
                <w:rFonts w:ascii="Calibri" w:eastAsia="Times New Roman" w:hAnsi="Calibri" w:cs="Calibri"/>
                <w:color w:val="000000"/>
                <w:lang w:val="es-CO" w:eastAsia="es-CO" w:bidi="ar-SA"/>
              </w:rPr>
              <w:t xml:space="preserve"> Los miembros del Consejo Nacional Electoral serán elegidos por el Congreso de la República en pleno para un período de cuatro años que comenzará desde el primero de septiembre inmediatamente siguiente a la iniciación de cada uno de los respectivos períodos constitucionales del Congreso y no podrán ser reelegidos. Los magistrados del Consejo Nacional Electoral se posesionarán ante el Presidente de la República.</w:t>
            </w:r>
          </w:p>
        </w:tc>
        <w:tc>
          <w:tcPr>
            <w:tcW w:w="3798" w:type="dxa"/>
            <w:tcBorders>
              <w:top w:val="nil"/>
              <w:left w:val="nil"/>
              <w:bottom w:val="single" w:sz="4" w:space="0" w:color="000000"/>
              <w:right w:val="single" w:sz="4" w:space="0" w:color="000000"/>
            </w:tcBorders>
            <w:shd w:val="clear" w:color="000000" w:fill="FFFFFF"/>
            <w:hideMark/>
          </w:tcPr>
          <w:p w14:paraId="798396D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 Posesión.</w:t>
            </w:r>
            <w:r w:rsidRPr="00222F34">
              <w:rPr>
                <w:rFonts w:ascii="Calibri" w:eastAsia="Times New Roman" w:hAnsi="Calibri" w:cs="Calibri"/>
                <w:color w:val="000000"/>
                <w:lang w:val="es-CO" w:eastAsia="es-CO" w:bidi="ar-SA"/>
              </w:rPr>
              <w:t xml:space="preserve"> Los miembros del Consejo Nacional Electoral serán elegidos por el Congreso de la República en pleno para un período de cuatro años que comenzará desde el primero de septiembre inmediatamente siguiente a la iniciación de cada uno de los respectivos períodos constitucionales del Congreso y no podrán ser reelegidos. Los magistrados del Consejo Nacional Electoral se posesionarán ante el Presidente de la República.</w:t>
            </w:r>
          </w:p>
        </w:tc>
        <w:tc>
          <w:tcPr>
            <w:tcW w:w="1480" w:type="dxa"/>
            <w:tcBorders>
              <w:top w:val="single" w:sz="4" w:space="0" w:color="000000"/>
              <w:left w:val="nil"/>
              <w:bottom w:val="nil"/>
              <w:right w:val="single" w:sz="4" w:space="0" w:color="000000"/>
            </w:tcBorders>
            <w:shd w:val="clear" w:color="000000" w:fill="FFFFFF"/>
            <w:hideMark/>
          </w:tcPr>
          <w:p w14:paraId="483DB30E" w14:textId="4F223149"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5B802EE1"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7BEEB61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7. Convocatoria.</w:t>
            </w:r>
            <w:r w:rsidRPr="00222F34">
              <w:rPr>
                <w:rFonts w:ascii="Calibri" w:eastAsia="Times New Roman" w:hAnsi="Calibri" w:cs="Calibri"/>
                <w:color w:val="000000"/>
                <w:lang w:val="es-CO" w:eastAsia="es-CO" w:bidi="ar-SA"/>
              </w:rPr>
              <w:t xml:space="preserve"> 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 </w:t>
            </w:r>
          </w:p>
        </w:tc>
        <w:tc>
          <w:tcPr>
            <w:tcW w:w="3798" w:type="dxa"/>
            <w:tcBorders>
              <w:top w:val="nil"/>
              <w:left w:val="nil"/>
              <w:bottom w:val="single" w:sz="4" w:space="0" w:color="000000"/>
              <w:right w:val="single" w:sz="4" w:space="0" w:color="000000"/>
            </w:tcBorders>
            <w:shd w:val="clear" w:color="000000" w:fill="FFFFFF"/>
            <w:hideMark/>
          </w:tcPr>
          <w:p w14:paraId="0FCBEF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 Convocatoria. </w:t>
            </w:r>
            <w:r w:rsidRPr="00222F34">
              <w:rPr>
                <w:rFonts w:ascii="Calibri" w:eastAsia="Times New Roman" w:hAnsi="Calibri" w:cs="Calibri"/>
                <w:color w:val="000000"/>
                <w:lang w:val="es-CO" w:eastAsia="es-CO" w:bidi="ar-SA"/>
              </w:rPr>
              <w:t>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w:t>
            </w:r>
          </w:p>
        </w:tc>
        <w:tc>
          <w:tcPr>
            <w:tcW w:w="3798" w:type="dxa"/>
            <w:tcBorders>
              <w:top w:val="nil"/>
              <w:left w:val="nil"/>
              <w:bottom w:val="single" w:sz="4" w:space="0" w:color="000000"/>
              <w:right w:val="single" w:sz="4" w:space="0" w:color="000000"/>
            </w:tcBorders>
            <w:shd w:val="clear" w:color="000000" w:fill="FFFFFF"/>
            <w:hideMark/>
          </w:tcPr>
          <w:p w14:paraId="1DAE7CA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 Convocatoria. </w:t>
            </w:r>
            <w:r w:rsidRPr="00222F34">
              <w:rPr>
                <w:rFonts w:ascii="Calibri" w:eastAsia="Times New Roman" w:hAnsi="Calibri" w:cs="Calibri"/>
                <w:color w:val="000000"/>
                <w:lang w:val="es-CO" w:eastAsia="es-CO" w:bidi="ar-SA"/>
              </w:rPr>
              <w:t>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w:t>
            </w:r>
          </w:p>
        </w:tc>
        <w:tc>
          <w:tcPr>
            <w:tcW w:w="1480" w:type="dxa"/>
            <w:tcBorders>
              <w:top w:val="single" w:sz="4" w:space="0" w:color="000000"/>
              <w:left w:val="nil"/>
              <w:bottom w:val="nil"/>
              <w:right w:val="single" w:sz="4" w:space="0" w:color="000000"/>
            </w:tcBorders>
            <w:shd w:val="clear" w:color="000000" w:fill="FFFFFF"/>
            <w:hideMark/>
          </w:tcPr>
          <w:p w14:paraId="49F1C786" w14:textId="6BF0FCDF"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71FBC46B"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5F93475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ARTICULO 8. Quórum.</w:t>
            </w:r>
            <w:r w:rsidRPr="00222F34">
              <w:rPr>
                <w:rFonts w:ascii="Calibri" w:eastAsia="Times New Roman" w:hAnsi="Calibri" w:cs="Calibri"/>
                <w:color w:val="000000"/>
                <w:lang w:val="es-CO" w:eastAsia="es-CO" w:bidi="ar-SA"/>
              </w:rPr>
              <w:t xml:space="preserve"> En las sesiones del Consejo Nacional Electoral el quórum para deliberar será el de la mitad más uno de los miembros que integran la corporación, y las decisiones en todos los casos se adoptarán por las dos terceras partes de los integrantes de la misma. </w:t>
            </w:r>
          </w:p>
        </w:tc>
        <w:tc>
          <w:tcPr>
            <w:tcW w:w="3798" w:type="dxa"/>
            <w:tcBorders>
              <w:top w:val="nil"/>
              <w:left w:val="nil"/>
              <w:bottom w:val="single" w:sz="4" w:space="0" w:color="000000"/>
              <w:right w:val="single" w:sz="4" w:space="0" w:color="000000"/>
            </w:tcBorders>
            <w:shd w:val="clear" w:color="000000" w:fill="FFFFFF"/>
            <w:hideMark/>
          </w:tcPr>
          <w:p w14:paraId="30252A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 Quórum.</w:t>
            </w:r>
            <w:r w:rsidRPr="00222F34">
              <w:rPr>
                <w:rFonts w:ascii="Calibri" w:eastAsia="Times New Roman" w:hAnsi="Calibri" w:cs="Calibri"/>
                <w:color w:val="000000"/>
                <w:lang w:val="es-CO" w:eastAsia="es-CO" w:bidi="ar-SA"/>
              </w:rPr>
              <w:t xml:space="preserve"> En las sesiones del Consejo Nacional Electoral el quórum para deliberar será el de la mitad más uno de los miembros que integran la corporación, y las decisiones en todos los casos se adoptarán por las dos terceras partes de los integrantes de la misma.</w:t>
            </w:r>
          </w:p>
        </w:tc>
        <w:tc>
          <w:tcPr>
            <w:tcW w:w="3798" w:type="dxa"/>
            <w:tcBorders>
              <w:top w:val="nil"/>
              <w:left w:val="nil"/>
              <w:bottom w:val="single" w:sz="4" w:space="0" w:color="000000"/>
              <w:right w:val="single" w:sz="4" w:space="0" w:color="000000"/>
            </w:tcBorders>
            <w:shd w:val="clear" w:color="000000" w:fill="FFFFFF"/>
            <w:hideMark/>
          </w:tcPr>
          <w:p w14:paraId="1CE8C66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 Quórum.</w:t>
            </w:r>
            <w:r w:rsidRPr="00222F34">
              <w:rPr>
                <w:rFonts w:ascii="Calibri" w:eastAsia="Times New Roman" w:hAnsi="Calibri" w:cs="Calibri"/>
                <w:color w:val="000000"/>
                <w:lang w:val="es-CO" w:eastAsia="es-CO" w:bidi="ar-SA"/>
              </w:rPr>
              <w:t xml:space="preserve"> En las sesiones del Consejo Nacional Electoral el quórum para deliberar será el de la mitad más uno de los miembros que integran la corporación, y las decisiones en todos los casos se adoptarán por las dos terceras partes de los integrantes de la misma.</w:t>
            </w:r>
          </w:p>
        </w:tc>
        <w:tc>
          <w:tcPr>
            <w:tcW w:w="1480" w:type="dxa"/>
            <w:tcBorders>
              <w:top w:val="single" w:sz="4" w:space="0" w:color="000000"/>
              <w:left w:val="nil"/>
              <w:bottom w:val="nil"/>
              <w:right w:val="single" w:sz="4" w:space="0" w:color="000000"/>
            </w:tcBorders>
            <w:shd w:val="clear" w:color="000000" w:fill="FFFFFF"/>
            <w:hideMark/>
          </w:tcPr>
          <w:p w14:paraId="291050E2" w14:textId="0D5507E3"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199D12B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2AB204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9. Conjueces.</w:t>
            </w:r>
            <w:r w:rsidRPr="00222F34">
              <w:rPr>
                <w:rFonts w:ascii="Calibri" w:eastAsia="Times New Roman" w:hAnsi="Calibri" w:cs="Calibri"/>
                <w:color w:val="000000"/>
                <w:lang w:val="es-CO" w:eastAsia="es-CO" w:bidi="ar-SA"/>
              </w:rPr>
              <w:t xml:space="preserve"> El Consejo Nacional Electoral elegirá un cuerpo de conjueces a través de convocatoria pública, igual al doble de sus miembros. Cuando no sea posible adoptar decisión, éste sorteará conjueces. </w:t>
            </w:r>
          </w:p>
        </w:tc>
        <w:tc>
          <w:tcPr>
            <w:tcW w:w="3798" w:type="dxa"/>
            <w:tcBorders>
              <w:top w:val="nil"/>
              <w:left w:val="nil"/>
              <w:bottom w:val="nil"/>
              <w:right w:val="single" w:sz="4" w:space="0" w:color="000000"/>
            </w:tcBorders>
            <w:shd w:val="clear" w:color="000000" w:fill="FFFFFF"/>
            <w:hideMark/>
          </w:tcPr>
          <w:p w14:paraId="5A03054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 Conjueces.</w:t>
            </w:r>
            <w:r w:rsidRPr="00222F34">
              <w:rPr>
                <w:rFonts w:ascii="Calibri" w:eastAsia="Times New Roman" w:hAnsi="Calibri" w:cs="Calibri"/>
                <w:color w:val="000000"/>
                <w:lang w:val="es-CO" w:eastAsia="es-CO" w:bidi="ar-SA"/>
              </w:rPr>
              <w:t xml:space="preserve"> El Consejo Nacional Electoral elegirá un cuerpo de conjueces a través de convocatoria pública teniendo en cuenta los criterios de idoneidad, capacidad y adecuación para el cargo, igual al doble de sus miembros. Cuando no sea posible adoptar decisión, éste sorteará conjueces.</w:t>
            </w:r>
          </w:p>
        </w:tc>
        <w:tc>
          <w:tcPr>
            <w:tcW w:w="3798" w:type="dxa"/>
            <w:tcBorders>
              <w:top w:val="nil"/>
              <w:left w:val="nil"/>
              <w:bottom w:val="nil"/>
              <w:right w:val="single" w:sz="4" w:space="0" w:color="000000"/>
            </w:tcBorders>
            <w:shd w:val="clear" w:color="000000" w:fill="FFFFFF"/>
            <w:hideMark/>
          </w:tcPr>
          <w:p w14:paraId="40EF91A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 Conjueces.</w:t>
            </w:r>
            <w:r w:rsidRPr="00222F34">
              <w:rPr>
                <w:rFonts w:ascii="Calibri" w:eastAsia="Times New Roman" w:hAnsi="Calibri" w:cs="Calibri"/>
                <w:color w:val="000000"/>
                <w:lang w:val="es-CO" w:eastAsia="es-CO" w:bidi="ar-SA"/>
              </w:rPr>
              <w:t xml:space="preserve"> El Consejo Nacional Electoral elegirá un cuerpo de conjueces a través de convocatoria pública teniendo en cuenta los criterios de idoneidad, capacidad y adecuación para el cargo, igual al doble de sus miembros. Cuando no sea posible adoptar decisión, éste sorteará conjueces.</w:t>
            </w:r>
          </w:p>
        </w:tc>
        <w:tc>
          <w:tcPr>
            <w:tcW w:w="1480" w:type="dxa"/>
            <w:tcBorders>
              <w:top w:val="single" w:sz="4" w:space="0" w:color="000000"/>
              <w:left w:val="nil"/>
              <w:bottom w:val="nil"/>
              <w:right w:val="single" w:sz="4" w:space="0" w:color="000000"/>
            </w:tcBorders>
            <w:shd w:val="clear" w:color="000000" w:fill="FFFFFF"/>
            <w:hideMark/>
          </w:tcPr>
          <w:p w14:paraId="41B36100" w14:textId="6ADB056B"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7FBC7E0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9E3EEE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 </w:t>
            </w:r>
          </w:p>
        </w:tc>
        <w:tc>
          <w:tcPr>
            <w:tcW w:w="3798" w:type="dxa"/>
            <w:tcBorders>
              <w:top w:val="nil"/>
              <w:left w:val="nil"/>
              <w:bottom w:val="nil"/>
              <w:right w:val="single" w:sz="4" w:space="0" w:color="000000"/>
            </w:tcBorders>
            <w:shd w:val="clear" w:color="000000" w:fill="FFFFFF"/>
            <w:hideMark/>
          </w:tcPr>
          <w:p w14:paraId="785076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w:t>
            </w:r>
          </w:p>
        </w:tc>
        <w:tc>
          <w:tcPr>
            <w:tcW w:w="3798" w:type="dxa"/>
            <w:tcBorders>
              <w:top w:val="nil"/>
              <w:left w:val="nil"/>
              <w:bottom w:val="nil"/>
              <w:right w:val="single" w:sz="4" w:space="0" w:color="000000"/>
            </w:tcBorders>
            <w:shd w:val="clear" w:color="000000" w:fill="FFFFFF"/>
            <w:hideMark/>
          </w:tcPr>
          <w:p w14:paraId="41E66AA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w:t>
            </w:r>
          </w:p>
        </w:tc>
        <w:tc>
          <w:tcPr>
            <w:tcW w:w="1480" w:type="dxa"/>
            <w:tcBorders>
              <w:top w:val="nil"/>
              <w:left w:val="nil"/>
              <w:bottom w:val="nil"/>
              <w:right w:val="single" w:sz="4" w:space="0" w:color="000000"/>
            </w:tcBorders>
            <w:shd w:val="clear" w:color="000000" w:fill="FFFFFF"/>
            <w:hideMark/>
          </w:tcPr>
          <w:p w14:paraId="3F96300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C0718EE"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7D3D14A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w:t>
            </w:r>
            <w:r w:rsidRPr="00222F34">
              <w:rPr>
                <w:rFonts w:ascii="Calibri" w:eastAsia="Times New Roman" w:hAnsi="Calibri" w:cs="Calibri"/>
                <w:color w:val="000000"/>
                <w:lang w:val="es-CO" w:eastAsia="es-CO" w:bidi="ar-SA"/>
              </w:rPr>
              <w:t>Posterior a la convocatoria pública, se realizará una prueba a los aspirantes a conjueces para luego ser seleccionados por el Consejo Nacional Electoral teniendo en cuenta los criterios de idoneidad, capacidad y adecuación para el cargo.</w:t>
            </w:r>
          </w:p>
        </w:tc>
        <w:tc>
          <w:tcPr>
            <w:tcW w:w="3798" w:type="dxa"/>
            <w:tcBorders>
              <w:top w:val="nil"/>
              <w:left w:val="nil"/>
              <w:bottom w:val="nil"/>
              <w:right w:val="single" w:sz="4" w:space="0" w:color="000000"/>
            </w:tcBorders>
            <w:shd w:val="clear" w:color="FFC000" w:fill="FFFFFF"/>
            <w:hideMark/>
          </w:tcPr>
          <w:p w14:paraId="2B4D8F8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FFC000" w:fill="FFFFFF"/>
            <w:hideMark/>
          </w:tcPr>
          <w:p w14:paraId="5988E21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7355C22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87A4843" w14:textId="77777777" w:rsidTr="00222F34">
        <w:trPr>
          <w:trHeight w:val="3300"/>
        </w:trPr>
        <w:tc>
          <w:tcPr>
            <w:tcW w:w="3798" w:type="dxa"/>
            <w:tcBorders>
              <w:top w:val="nil"/>
              <w:left w:val="single" w:sz="4" w:space="0" w:color="000000"/>
              <w:bottom w:val="nil"/>
              <w:right w:val="single" w:sz="4" w:space="0" w:color="000000"/>
            </w:tcBorders>
            <w:shd w:val="clear" w:color="000000" w:fill="FFFFFF"/>
            <w:hideMark/>
          </w:tcPr>
          <w:p w14:paraId="7754418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10. Tribunales de vigilancia y garantías electorales.</w:t>
            </w:r>
            <w:r w:rsidRPr="00222F34">
              <w:rPr>
                <w:rFonts w:ascii="Calibri" w:eastAsia="Times New Roman" w:hAnsi="Calibri" w:cs="Calibri"/>
                <w:color w:val="000000"/>
                <w:lang w:val="es-CO" w:eastAsia="es-CO" w:bidi="ar-SA"/>
              </w:rPr>
              <w:t xml:space="preserve"> Los tribunales de vigilancia y garantías electorales se integrarán por ciudadanos con las mismas calidades para ser magistrado de tribunal superior de distrito judicial y entrarán en funcionamiento a partir de la expedición del calendario electoral que la Registraduría Nacional del Estado Civil haga en cada certamen de carácter ordinario,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 serán designados de conformidad con la ley y el reglamento que expida la Corporación, y funcionarán hasta tres (3) meses pasadas las elecciones.</w:t>
            </w:r>
          </w:p>
        </w:tc>
        <w:tc>
          <w:tcPr>
            <w:tcW w:w="3798" w:type="dxa"/>
            <w:tcBorders>
              <w:top w:val="single" w:sz="4" w:space="0" w:color="000000"/>
              <w:left w:val="nil"/>
              <w:bottom w:val="nil"/>
              <w:right w:val="single" w:sz="4" w:space="0" w:color="000000"/>
            </w:tcBorders>
            <w:shd w:val="clear" w:color="000000" w:fill="FFFFFF"/>
            <w:hideMark/>
          </w:tcPr>
          <w:p w14:paraId="76635E9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 Tribunales de Vigilancia y Garantías Electorales</w:t>
            </w:r>
            <w:r w:rsidRPr="00222F34">
              <w:rPr>
                <w:rFonts w:ascii="Calibri" w:eastAsia="Times New Roman" w:hAnsi="Calibri" w:cs="Calibri"/>
                <w:color w:val="000000"/>
                <w:lang w:val="es-CO" w:eastAsia="es-CO" w:bidi="ar-SA"/>
              </w:rPr>
              <w:t>. Los tribunales de vigilancia y garantías electorales se integrarán por tres (3) ciudadanos, en calidad de miembros, quienes deberán acreditar los mismos requisitos para ser magistrado de tribunal superior de distrito judicial y entrarán en funcionamiento a partir de la expedición del calendario electoral que la Registraduría Nacional del Estado Civil haga en cada certamen de carácter ordinario,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 serán designados de conformidad con la ley y el reglamento que expida la Corporación, y funcionarán hasta tres (3) meses después de las elecciones.</w:t>
            </w:r>
          </w:p>
        </w:tc>
        <w:tc>
          <w:tcPr>
            <w:tcW w:w="3798" w:type="dxa"/>
            <w:tcBorders>
              <w:top w:val="single" w:sz="4" w:space="0" w:color="000000"/>
              <w:left w:val="nil"/>
              <w:bottom w:val="nil"/>
              <w:right w:val="single" w:sz="4" w:space="0" w:color="000000"/>
            </w:tcBorders>
            <w:shd w:val="clear" w:color="000000" w:fill="FFFFFF"/>
            <w:hideMark/>
          </w:tcPr>
          <w:p w14:paraId="5D30B2A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 Tribunales de Vigilancia y Garantías Electorales</w:t>
            </w:r>
            <w:r w:rsidRPr="00222F34">
              <w:rPr>
                <w:rFonts w:ascii="Calibri" w:eastAsia="Times New Roman" w:hAnsi="Calibri" w:cs="Calibri"/>
                <w:color w:val="000000"/>
                <w:lang w:val="es-CO" w:eastAsia="es-CO" w:bidi="ar-SA"/>
              </w:rPr>
              <w:t>. Los tribunales de vigilancia y garantías electorales se integrarán por tres (3) ciudadanos, en calidad de miembros, quienes deberán acreditar los mismos requisitos para ser magistrado de tribunal superior de distrito judicial y entrarán en funcionamiento a partir de la expedición del calendario electoral que la Registraduría Nacional del Estado Civil haga en cada certamen de carácter ordinario,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 serán designados de conformidad con la ley y el reglamento que expida la Corporación, y funcionarán hasta tres (3) meses después de las elecciones.</w:t>
            </w:r>
          </w:p>
        </w:tc>
        <w:tc>
          <w:tcPr>
            <w:tcW w:w="1480" w:type="dxa"/>
            <w:tcBorders>
              <w:top w:val="nil"/>
              <w:left w:val="nil"/>
              <w:bottom w:val="nil"/>
              <w:right w:val="single" w:sz="4" w:space="0" w:color="000000"/>
            </w:tcBorders>
            <w:shd w:val="clear" w:color="000000" w:fill="FFFFFF"/>
            <w:hideMark/>
          </w:tcPr>
          <w:p w14:paraId="30437F60" w14:textId="45CD279B"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respecto del texto del artículo, pero se elimina el p</w:t>
            </w:r>
            <w:r w:rsidR="00CB0531">
              <w:rPr>
                <w:rFonts w:ascii="Calibri" w:eastAsia="Times New Roman" w:hAnsi="Calibri" w:cs="Calibri"/>
                <w:color w:val="000000"/>
                <w:lang w:val="es-CO" w:eastAsia="es-CO" w:bidi="ar-SA"/>
              </w:rPr>
              <w:t>a</w:t>
            </w:r>
            <w:r w:rsidR="00222F34" w:rsidRPr="00222F34">
              <w:rPr>
                <w:rFonts w:ascii="Calibri" w:eastAsia="Times New Roman" w:hAnsi="Calibri" w:cs="Calibri"/>
                <w:color w:val="000000"/>
                <w:lang w:val="es-CO" w:eastAsia="es-CO" w:bidi="ar-SA"/>
              </w:rPr>
              <w:t>r</w:t>
            </w:r>
            <w:r w:rsidR="00CB0531">
              <w:rPr>
                <w:rFonts w:ascii="Calibri" w:eastAsia="Times New Roman" w:hAnsi="Calibri" w:cs="Calibri"/>
                <w:color w:val="000000"/>
                <w:lang w:val="es-CO" w:eastAsia="es-CO" w:bidi="ar-SA"/>
              </w:rPr>
              <w:t>á</w:t>
            </w:r>
            <w:r w:rsidR="00222F34" w:rsidRPr="00222F34">
              <w:rPr>
                <w:rFonts w:ascii="Calibri" w:eastAsia="Times New Roman" w:hAnsi="Calibri" w:cs="Calibri"/>
                <w:color w:val="000000"/>
                <w:lang w:val="es-CO" w:eastAsia="es-CO" w:bidi="ar-SA"/>
              </w:rPr>
              <w:t>grafo que no fue aprobado en el Senado.</w:t>
            </w:r>
          </w:p>
        </w:tc>
      </w:tr>
      <w:tr w:rsidR="00222F34" w:rsidRPr="00222F34" w14:paraId="354B27B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763309A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single" w:sz="4" w:space="0" w:color="000000"/>
              <w:right w:val="single" w:sz="4" w:space="0" w:color="000000"/>
            </w:tcBorders>
            <w:shd w:val="clear" w:color="000000" w:fill="FFFFFF"/>
            <w:hideMark/>
          </w:tcPr>
          <w:p w14:paraId="1F0556C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w:t>
            </w:r>
            <w:r w:rsidRPr="00222F34">
              <w:rPr>
                <w:rFonts w:ascii="Calibri" w:eastAsia="Times New Roman" w:hAnsi="Calibri" w:cs="Calibri"/>
                <w:color w:val="000000"/>
                <w:lang w:val="es-CO" w:eastAsia="es-CO" w:bidi="ar-SA"/>
              </w:rPr>
              <w:t xml:space="preserve">Cada uno de los tribunales contará con su personal de apoyo, el cual será definido por el Consejo Nacional Electoral, atendiendo las necesidades geográficas y electorales de </w:t>
            </w:r>
            <w:r w:rsidRPr="00222F34">
              <w:rPr>
                <w:rFonts w:ascii="Calibri" w:eastAsia="Times New Roman" w:hAnsi="Calibri" w:cs="Calibri"/>
                <w:color w:val="000000"/>
                <w:lang w:val="es-CO" w:eastAsia="es-CO" w:bidi="ar-SA"/>
              </w:rPr>
              <w:lastRenderedPageBreak/>
              <w:t>cada región para cada proceso de constitución.</w:t>
            </w:r>
          </w:p>
        </w:tc>
        <w:tc>
          <w:tcPr>
            <w:tcW w:w="3798" w:type="dxa"/>
            <w:tcBorders>
              <w:top w:val="nil"/>
              <w:left w:val="nil"/>
              <w:bottom w:val="single" w:sz="4" w:space="0" w:color="000000"/>
              <w:right w:val="single" w:sz="4" w:space="0" w:color="000000"/>
            </w:tcBorders>
            <w:shd w:val="clear" w:color="000000" w:fill="FFFFFF"/>
            <w:hideMark/>
          </w:tcPr>
          <w:p w14:paraId="2ADF02B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1480" w:type="dxa"/>
            <w:tcBorders>
              <w:top w:val="nil"/>
              <w:left w:val="nil"/>
              <w:bottom w:val="single" w:sz="4" w:space="0" w:color="000000"/>
              <w:right w:val="single" w:sz="4" w:space="0" w:color="000000"/>
            </w:tcBorders>
            <w:shd w:val="clear" w:color="000000" w:fill="FFFFFF"/>
            <w:hideMark/>
          </w:tcPr>
          <w:p w14:paraId="4877C1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78F6EF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F3F20C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TÍTULO II</w:t>
            </w:r>
          </w:p>
        </w:tc>
        <w:tc>
          <w:tcPr>
            <w:tcW w:w="3798" w:type="dxa"/>
            <w:tcBorders>
              <w:top w:val="nil"/>
              <w:left w:val="nil"/>
              <w:bottom w:val="nil"/>
              <w:right w:val="single" w:sz="4" w:space="0" w:color="000000"/>
            </w:tcBorders>
            <w:shd w:val="clear" w:color="000000" w:fill="FFFFFF"/>
            <w:hideMark/>
          </w:tcPr>
          <w:p w14:paraId="53D9137C"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w:t>
            </w:r>
          </w:p>
        </w:tc>
        <w:tc>
          <w:tcPr>
            <w:tcW w:w="3798" w:type="dxa"/>
            <w:tcBorders>
              <w:top w:val="nil"/>
              <w:left w:val="nil"/>
              <w:bottom w:val="nil"/>
              <w:right w:val="single" w:sz="4" w:space="0" w:color="000000"/>
            </w:tcBorders>
            <w:shd w:val="clear" w:color="000000" w:fill="FFFFFF"/>
            <w:hideMark/>
          </w:tcPr>
          <w:p w14:paraId="49CD67CB"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w:t>
            </w:r>
          </w:p>
        </w:tc>
        <w:tc>
          <w:tcPr>
            <w:tcW w:w="1480" w:type="dxa"/>
            <w:tcBorders>
              <w:top w:val="nil"/>
              <w:left w:val="nil"/>
              <w:bottom w:val="nil"/>
              <w:right w:val="single" w:sz="4" w:space="0" w:color="000000"/>
            </w:tcBorders>
            <w:shd w:val="clear" w:color="000000" w:fill="FFFFFF"/>
            <w:hideMark/>
          </w:tcPr>
          <w:p w14:paraId="6813B8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56BB6A7"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4A1217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REGISTRADURÍA NACIONAL DEL ESTADO CIVIL</w:t>
            </w:r>
          </w:p>
        </w:tc>
        <w:tc>
          <w:tcPr>
            <w:tcW w:w="3798" w:type="dxa"/>
            <w:tcBorders>
              <w:top w:val="nil"/>
              <w:left w:val="nil"/>
              <w:bottom w:val="single" w:sz="4" w:space="0" w:color="000000"/>
              <w:right w:val="single" w:sz="4" w:space="0" w:color="000000"/>
            </w:tcBorders>
            <w:shd w:val="clear" w:color="000000" w:fill="FFFFFF"/>
            <w:hideMark/>
          </w:tcPr>
          <w:p w14:paraId="248ED33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REGISTRADURÍA NACIONAL DEL ESTADO CIVIL</w:t>
            </w:r>
          </w:p>
        </w:tc>
        <w:tc>
          <w:tcPr>
            <w:tcW w:w="3798" w:type="dxa"/>
            <w:tcBorders>
              <w:top w:val="nil"/>
              <w:left w:val="nil"/>
              <w:bottom w:val="single" w:sz="4" w:space="0" w:color="000000"/>
              <w:right w:val="single" w:sz="4" w:space="0" w:color="000000"/>
            </w:tcBorders>
            <w:shd w:val="clear" w:color="000000" w:fill="FFFFFF"/>
            <w:hideMark/>
          </w:tcPr>
          <w:p w14:paraId="1649A2C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REGISTRADURÍA NACIONAL DEL ESTADO CIVIL</w:t>
            </w:r>
          </w:p>
        </w:tc>
        <w:tc>
          <w:tcPr>
            <w:tcW w:w="1480" w:type="dxa"/>
            <w:tcBorders>
              <w:top w:val="nil"/>
              <w:left w:val="nil"/>
              <w:bottom w:val="single" w:sz="4" w:space="0" w:color="000000"/>
              <w:right w:val="single" w:sz="4" w:space="0" w:color="000000"/>
            </w:tcBorders>
            <w:shd w:val="clear" w:color="000000" w:fill="FFFFFF"/>
            <w:hideMark/>
          </w:tcPr>
          <w:p w14:paraId="21F740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1F9016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04AD9DE"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4294F224"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671A1668"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6EDA90F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B57E46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58B73E41"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registrador Nacional del Estado Civil</w:t>
            </w:r>
          </w:p>
        </w:tc>
        <w:tc>
          <w:tcPr>
            <w:tcW w:w="3798" w:type="dxa"/>
            <w:tcBorders>
              <w:top w:val="nil"/>
              <w:left w:val="nil"/>
              <w:bottom w:val="single" w:sz="4" w:space="0" w:color="000000"/>
              <w:right w:val="single" w:sz="4" w:space="0" w:color="000000"/>
            </w:tcBorders>
            <w:shd w:val="clear" w:color="000000" w:fill="FFFFFF"/>
            <w:hideMark/>
          </w:tcPr>
          <w:p w14:paraId="08DC3728"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registrador Nacional del Estado Civil</w:t>
            </w:r>
          </w:p>
        </w:tc>
        <w:tc>
          <w:tcPr>
            <w:tcW w:w="3798" w:type="dxa"/>
            <w:tcBorders>
              <w:top w:val="nil"/>
              <w:left w:val="nil"/>
              <w:bottom w:val="single" w:sz="4" w:space="0" w:color="000000"/>
              <w:right w:val="single" w:sz="4" w:space="0" w:color="000000"/>
            </w:tcBorders>
            <w:shd w:val="clear" w:color="000000" w:fill="FFFFFF"/>
            <w:hideMark/>
          </w:tcPr>
          <w:p w14:paraId="033CB075"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registrador Nacional del Estado Civil</w:t>
            </w:r>
          </w:p>
        </w:tc>
        <w:tc>
          <w:tcPr>
            <w:tcW w:w="1480" w:type="dxa"/>
            <w:tcBorders>
              <w:top w:val="nil"/>
              <w:left w:val="nil"/>
              <w:bottom w:val="single" w:sz="4" w:space="0" w:color="000000"/>
              <w:right w:val="single" w:sz="4" w:space="0" w:color="000000"/>
            </w:tcBorders>
            <w:shd w:val="clear" w:color="000000" w:fill="FFFFFF"/>
            <w:hideMark/>
          </w:tcPr>
          <w:p w14:paraId="4A4A317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A01555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5E2ACF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 Funciones del Registrador Nacional del Estado Civil.</w:t>
            </w:r>
            <w:r w:rsidRPr="00222F34">
              <w:rPr>
                <w:rFonts w:ascii="Calibri" w:eastAsia="Times New Roman" w:hAnsi="Calibri" w:cs="Calibri"/>
                <w:color w:val="000000"/>
                <w:lang w:val="es-CO" w:eastAsia="es-CO" w:bidi="ar-SA"/>
              </w:rPr>
              <w:t xml:space="preserve"> El registrador Nacional del Estado Civil tendrá las siguientes funciones: </w:t>
            </w:r>
          </w:p>
        </w:tc>
        <w:tc>
          <w:tcPr>
            <w:tcW w:w="3798" w:type="dxa"/>
            <w:tcBorders>
              <w:top w:val="nil"/>
              <w:left w:val="nil"/>
              <w:bottom w:val="nil"/>
              <w:right w:val="single" w:sz="4" w:space="0" w:color="000000"/>
            </w:tcBorders>
            <w:shd w:val="clear" w:color="00FF00" w:fill="FFFFFF"/>
            <w:hideMark/>
          </w:tcPr>
          <w:p w14:paraId="3412869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 Funciones del Registrador Nacional del Estado Civil.</w:t>
            </w:r>
            <w:r w:rsidRPr="00222F34">
              <w:rPr>
                <w:rFonts w:ascii="Calibri" w:eastAsia="Times New Roman" w:hAnsi="Calibri" w:cs="Calibri"/>
                <w:color w:val="000000"/>
                <w:lang w:val="es-CO" w:eastAsia="es-CO" w:bidi="ar-SA"/>
              </w:rPr>
              <w:t xml:space="preserve"> El Registrador Nacional del Estado Civil tendrá las siguientes funciones:</w:t>
            </w:r>
          </w:p>
        </w:tc>
        <w:tc>
          <w:tcPr>
            <w:tcW w:w="3798" w:type="dxa"/>
            <w:tcBorders>
              <w:top w:val="nil"/>
              <w:left w:val="nil"/>
              <w:bottom w:val="nil"/>
              <w:right w:val="single" w:sz="4" w:space="0" w:color="000000"/>
            </w:tcBorders>
            <w:shd w:val="clear" w:color="00FF00" w:fill="FFFFFF"/>
            <w:hideMark/>
          </w:tcPr>
          <w:p w14:paraId="45C299F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 Funciones del Registrador Nacional del Estado Civil.</w:t>
            </w:r>
            <w:r w:rsidRPr="00222F34">
              <w:rPr>
                <w:rFonts w:ascii="Calibri" w:eastAsia="Times New Roman" w:hAnsi="Calibri" w:cs="Calibri"/>
                <w:color w:val="000000"/>
                <w:lang w:val="es-CO" w:eastAsia="es-CO" w:bidi="ar-SA"/>
              </w:rPr>
              <w:t xml:space="preserve"> El Registrador Nacional del Estado Civil tendrá las siguientes funciones:</w:t>
            </w:r>
          </w:p>
        </w:tc>
        <w:tc>
          <w:tcPr>
            <w:tcW w:w="1480" w:type="dxa"/>
            <w:tcBorders>
              <w:top w:val="nil"/>
              <w:left w:val="nil"/>
              <w:bottom w:val="nil"/>
              <w:right w:val="single" w:sz="4" w:space="0" w:color="000000"/>
            </w:tcBorders>
            <w:shd w:val="clear" w:color="000000" w:fill="FFFFFF"/>
            <w:hideMark/>
          </w:tcPr>
          <w:p w14:paraId="559A42CB" w14:textId="0004B321"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2D07858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032C9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Ejercer la representación legal de la Registraduría Nacional del Estado Civil. </w:t>
            </w:r>
          </w:p>
        </w:tc>
        <w:tc>
          <w:tcPr>
            <w:tcW w:w="3798" w:type="dxa"/>
            <w:tcBorders>
              <w:top w:val="nil"/>
              <w:left w:val="nil"/>
              <w:bottom w:val="nil"/>
              <w:right w:val="single" w:sz="4" w:space="0" w:color="000000"/>
            </w:tcBorders>
            <w:shd w:val="clear" w:color="00FF00" w:fill="FFFFFF"/>
            <w:hideMark/>
          </w:tcPr>
          <w:p w14:paraId="776F2B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Ejercer la representación legal de la Registraduría Nacional del Estado Civil.</w:t>
            </w:r>
          </w:p>
        </w:tc>
        <w:tc>
          <w:tcPr>
            <w:tcW w:w="3798" w:type="dxa"/>
            <w:tcBorders>
              <w:top w:val="nil"/>
              <w:left w:val="nil"/>
              <w:bottom w:val="nil"/>
              <w:right w:val="single" w:sz="4" w:space="0" w:color="000000"/>
            </w:tcBorders>
            <w:shd w:val="clear" w:color="00FF00" w:fill="FFFFFF"/>
            <w:hideMark/>
          </w:tcPr>
          <w:p w14:paraId="7EF5845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Ejercer la representación legal de la Registraduría Nacional del Estado Civil.</w:t>
            </w:r>
          </w:p>
        </w:tc>
        <w:tc>
          <w:tcPr>
            <w:tcW w:w="1480" w:type="dxa"/>
            <w:tcBorders>
              <w:top w:val="nil"/>
              <w:left w:val="nil"/>
              <w:bottom w:val="nil"/>
              <w:right w:val="single" w:sz="4" w:space="0" w:color="000000"/>
            </w:tcBorders>
            <w:shd w:val="clear" w:color="000000" w:fill="FFFFFF"/>
            <w:hideMark/>
          </w:tcPr>
          <w:p w14:paraId="2BE28B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84C585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49B7E5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 </w:t>
            </w:r>
          </w:p>
        </w:tc>
        <w:tc>
          <w:tcPr>
            <w:tcW w:w="3798" w:type="dxa"/>
            <w:tcBorders>
              <w:top w:val="nil"/>
              <w:left w:val="nil"/>
              <w:bottom w:val="nil"/>
              <w:right w:val="single" w:sz="4" w:space="0" w:color="000000"/>
            </w:tcBorders>
            <w:shd w:val="clear" w:color="00FF00" w:fill="FFFFFF"/>
            <w:hideMark/>
          </w:tcPr>
          <w:p w14:paraId="2C4A9C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w:t>
            </w:r>
          </w:p>
        </w:tc>
        <w:tc>
          <w:tcPr>
            <w:tcW w:w="3798" w:type="dxa"/>
            <w:tcBorders>
              <w:top w:val="nil"/>
              <w:left w:val="nil"/>
              <w:bottom w:val="nil"/>
              <w:right w:val="single" w:sz="4" w:space="0" w:color="000000"/>
            </w:tcBorders>
            <w:shd w:val="clear" w:color="00FF00" w:fill="FFFFFF"/>
            <w:hideMark/>
          </w:tcPr>
          <w:p w14:paraId="456AA21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w:t>
            </w:r>
          </w:p>
        </w:tc>
        <w:tc>
          <w:tcPr>
            <w:tcW w:w="1480" w:type="dxa"/>
            <w:tcBorders>
              <w:top w:val="nil"/>
              <w:left w:val="nil"/>
              <w:bottom w:val="nil"/>
              <w:right w:val="single" w:sz="4" w:space="0" w:color="000000"/>
            </w:tcBorders>
            <w:shd w:val="clear" w:color="000000" w:fill="FFFFFF"/>
            <w:hideMark/>
          </w:tcPr>
          <w:p w14:paraId="26D86F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0E8EB7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3E67E0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Nombrar los cargos directivos del nivel central, los registradores distritales de Bogotá D. C, registradores departamentales, delegados seccionales en registro civil e identificación y en lo electoral, de acuerdo con las reglas de la carrera administrativa especial.</w:t>
            </w:r>
          </w:p>
        </w:tc>
        <w:tc>
          <w:tcPr>
            <w:tcW w:w="3798" w:type="dxa"/>
            <w:tcBorders>
              <w:top w:val="nil"/>
              <w:left w:val="nil"/>
              <w:bottom w:val="nil"/>
              <w:right w:val="single" w:sz="4" w:space="0" w:color="000000"/>
            </w:tcBorders>
            <w:shd w:val="clear" w:color="00FF00" w:fill="FFFFFF"/>
            <w:hideMark/>
          </w:tcPr>
          <w:p w14:paraId="3C7E1D7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Nombrar los cargos directivos del nivel central, los registradores distritales de Bogotá D. C, registradores departamentales, delegados seccionales en registro civil e identificación y en lo electoral, de acuerdo con las reglas de la carrera administrativa especial.</w:t>
            </w:r>
          </w:p>
        </w:tc>
        <w:tc>
          <w:tcPr>
            <w:tcW w:w="3798" w:type="dxa"/>
            <w:tcBorders>
              <w:top w:val="nil"/>
              <w:left w:val="nil"/>
              <w:bottom w:val="nil"/>
              <w:right w:val="single" w:sz="4" w:space="0" w:color="000000"/>
            </w:tcBorders>
            <w:shd w:val="clear" w:color="00FF00" w:fill="FFFFFF"/>
            <w:hideMark/>
          </w:tcPr>
          <w:p w14:paraId="4D3C9A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Nombrar los cargos directivos del nivel central, los registradores distritales de Bogotá D. C, registradores departamentales, delegados seccionales en registro civil e identificación y en lo electoral, de acuerdo con las reglas de la carrera administrativa especial.</w:t>
            </w:r>
          </w:p>
        </w:tc>
        <w:tc>
          <w:tcPr>
            <w:tcW w:w="1480" w:type="dxa"/>
            <w:tcBorders>
              <w:top w:val="nil"/>
              <w:left w:val="nil"/>
              <w:bottom w:val="nil"/>
              <w:right w:val="single" w:sz="4" w:space="0" w:color="000000"/>
            </w:tcBorders>
            <w:shd w:val="clear" w:color="000000" w:fill="FFFFFF"/>
            <w:hideMark/>
          </w:tcPr>
          <w:p w14:paraId="28F16C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A352AB8"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129EF88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 </w:t>
            </w:r>
          </w:p>
        </w:tc>
        <w:tc>
          <w:tcPr>
            <w:tcW w:w="3798" w:type="dxa"/>
            <w:tcBorders>
              <w:top w:val="nil"/>
              <w:left w:val="nil"/>
              <w:bottom w:val="nil"/>
              <w:right w:val="single" w:sz="4" w:space="0" w:color="000000"/>
            </w:tcBorders>
            <w:shd w:val="clear" w:color="00FF00" w:fill="FFFFFF"/>
            <w:hideMark/>
          </w:tcPr>
          <w:p w14:paraId="77B0E5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Delegar a los Registradores Departamentales el nombramiento de los delegados seccionales y servidores, de acuerdo con las reglas de la carrera administrativa especial.</w:t>
            </w:r>
          </w:p>
        </w:tc>
        <w:tc>
          <w:tcPr>
            <w:tcW w:w="3798" w:type="dxa"/>
            <w:tcBorders>
              <w:top w:val="nil"/>
              <w:left w:val="nil"/>
              <w:bottom w:val="nil"/>
              <w:right w:val="single" w:sz="4" w:space="0" w:color="000000"/>
            </w:tcBorders>
            <w:shd w:val="clear" w:color="00FF00" w:fill="FFFFFF"/>
            <w:hideMark/>
          </w:tcPr>
          <w:p w14:paraId="586326E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Delegar a los Registradores Departamentales el nombramiento de los delegados seccionales y servidores, de acuerdo con las reglas de la carrera administrativa especial.</w:t>
            </w:r>
          </w:p>
        </w:tc>
        <w:tc>
          <w:tcPr>
            <w:tcW w:w="1480" w:type="dxa"/>
            <w:tcBorders>
              <w:top w:val="nil"/>
              <w:left w:val="nil"/>
              <w:bottom w:val="nil"/>
              <w:right w:val="single" w:sz="4" w:space="0" w:color="000000"/>
            </w:tcBorders>
            <w:shd w:val="clear" w:color="000000" w:fill="FFFFFF"/>
            <w:hideMark/>
          </w:tcPr>
          <w:p w14:paraId="6ED7DC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4E02E0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4B4CDD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Aprobar los nombramientos de los registradores especiales, municipales y auxiliares del Estado Civil. </w:t>
            </w:r>
          </w:p>
        </w:tc>
        <w:tc>
          <w:tcPr>
            <w:tcW w:w="3798" w:type="dxa"/>
            <w:tcBorders>
              <w:top w:val="nil"/>
              <w:left w:val="nil"/>
              <w:bottom w:val="nil"/>
              <w:right w:val="single" w:sz="4" w:space="0" w:color="000000"/>
            </w:tcBorders>
            <w:shd w:val="clear" w:color="00FF00" w:fill="FFFFFF"/>
            <w:hideMark/>
          </w:tcPr>
          <w:p w14:paraId="774A0B7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Aprobar los nombramientos de los registradores especiales, municipales y auxiliares del Estado Civil.</w:t>
            </w:r>
          </w:p>
        </w:tc>
        <w:tc>
          <w:tcPr>
            <w:tcW w:w="3798" w:type="dxa"/>
            <w:tcBorders>
              <w:top w:val="nil"/>
              <w:left w:val="nil"/>
              <w:bottom w:val="nil"/>
              <w:right w:val="single" w:sz="4" w:space="0" w:color="000000"/>
            </w:tcBorders>
            <w:shd w:val="clear" w:color="00FF00" w:fill="FFFFFF"/>
            <w:hideMark/>
          </w:tcPr>
          <w:p w14:paraId="6EA5F9C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Aprobar los nombramientos de los registradores especiales, municipales y auxiliares del Estado Civil.</w:t>
            </w:r>
          </w:p>
        </w:tc>
        <w:tc>
          <w:tcPr>
            <w:tcW w:w="1480" w:type="dxa"/>
            <w:tcBorders>
              <w:top w:val="nil"/>
              <w:left w:val="nil"/>
              <w:bottom w:val="nil"/>
              <w:right w:val="single" w:sz="4" w:space="0" w:color="000000"/>
            </w:tcBorders>
            <w:shd w:val="clear" w:color="000000" w:fill="FFFFFF"/>
            <w:hideMark/>
          </w:tcPr>
          <w:p w14:paraId="706CB1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D1CA85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75233E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Organizar, coordinar y dirigir los procesos electorales, de votaciones y de mecanismos de participación ciudadana. </w:t>
            </w:r>
          </w:p>
        </w:tc>
        <w:tc>
          <w:tcPr>
            <w:tcW w:w="3798" w:type="dxa"/>
            <w:tcBorders>
              <w:top w:val="nil"/>
              <w:left w:val="nil"/>
              <w:bottom w:val="nil"/>
              <w:right w:val="single" w:sz="4" w:space="0" w:color="000000"/>
            </w:tcBorders>
            <w:shd w:val="clear" w:color="00FF00" w:fill="FFFFFF"/>
            <w:hideMark/>
          </w:tcPr>
          <w:p w14:paraId="279F21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Organizar, coordinar y dirigir los procesos electorales, de votaciones y de mecanismos de participación ciudadana.</w:t>
            </w:r>
          </w:p>
        </w:tc>
        <w:tc>
          <w:tcPr>
            <w:tcW w:w="3798" w:type="dxa"/>
            <w:tcBorders>
              <w:top w:val="nil"/>
              <w:left w:val="nil"/>
              <w:bottom w:val="nil"/>
              <w:right w:val="single" w:sz="4" w:space="0" w:color="000000"/>
            </w:tcBorders>
            <w:shd w:val="clear" w:color="00FF00" w:fill="FFFFFF"/>
            <w:hideMark/>
          </w:tcPr>
          <w:p w14:paraId="1ED714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Organizar, coordinar y dirigir los procesos electorales, de votaciones y de mecanismos de participación ciudadana.</w:t>
            </w:r>
          </w:p>
        </w:tc>
        <w:tc>
          <w:tcPr>
            <w:tcW w:w="1480" w:type="dxa"/>
            <w:tcBorders>
              <w:top w:val="nil"/>
              <w:left w:val="nil"/>
              <w:bottom w:val="nil"/>
              <w:right w:val="single" w:sz="4" w:space="0" w:color="000000"/>
            </w:tcBorders>
            <w:shd w:val="clear" w:color="000000" w:fill="FFFFFF"/>
            <w:hideMark/>
          </w:tcPr>
          <w:p w14:paraId="3C301E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6BDBB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F7260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Dictar y supervisar las medidas relativas a la preparación, tramitación, expedición de duplicados, rectificación altas, bajas y cancelaciones de cédulas y tarjetas de identidad o sus equivalentes funcionales, así como del registro civil de nacimiento, matrimonio y defunción. </w:t>
            </w:r>
          </w:p>
        </w:tc>
        <w:tc>
          <w:tcPr>
            <w:tcW w:w="3798" w:type="dxa"/>
            <w:tcBorders>
              <w:top w:val="nil"/>
              <w:left w:val="nil"/>
              <w:bottom w:val="nil"/>
              <w:right w:val="single" w:sz="4" w:space="0" w:color="000000"/>
            </w:tcBorders>
            <w:shd w:val="clear" w:color="00FF00" w:fill="FFFFFF"/>
            <w:hideMark/>
          </w:tcPr>
          <w:p w14:paraId="11DF968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Dictar y supervisar las medidas relativas a la preparación, tramitación, expedición de duplicados, rectificación altas, bajas y cancelaciones de cédulas y tarjetas de identidad o sus equivalentes funcionales, así como del registro civil de nacimiento, matrimonio y defunción.</w:t>
            </w:r>
          </w:p>
        </w:tc>
        <w:tc>
          <w:tcPr>
            <w:tcW w:w="3798" w:type="dxa"/>
            <w:tcBorders>
              <w:top w:val="nil"/>
              <w:left w:val="nil"/>
              <w:bottom w:val="nil"/>
              <w:right w:val="single" w:sz="4" w:space="0" w:color="000000"/>
            </w:tcBorders>
            <w:shd w:val="clear" w:color="00FF00" w:fill="FFFFFF"/>
            <w:hideMark/>
          </w:tcPr>
          <w:p w14:paraId="499DA0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Dictar y supervisar las medidas relativas a la preparación, tramitación, expedición de duplicados, rectificación altas, bajas y cancelaciones de cédulas y tarjetas de identidad o sus equivalentes funcionales, así como del registro civil de nacimiento, matrimonio y defunción.</w:t>
            </w:r>
          </w:p>
        </w:tc>
        <w:tc>
          <w:tcPr>
            <w:tcW w:w="1480" w:type="dxa"/>
            <w:tcBorders>
              <w:top w:val="nil"/>
              <w:left w:val="nil"/>
              <w:bottom w:val="nil"/>
              <w:right w:val="single" w:sz="4" w:space="0" w:color="000000"/>
            </w:tcBorders>
            <w:shd w:val="clear" w:color="000000" w:fill="FFFFFF"/>
            <w:hideMark/>
          </w:tcPr>
          <w:p w14:paraId="3F2B5BC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05ED07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DD81AA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Ordenar investigaciones y visitas administrativas para asegurar el correcto funcionamiento de la Registraduría Nacional del Estado Civil. </w:t>
            </w:r>
          </w:p>
        </w:tc>
        <w:tc>
          <w:tcPr>
            <w:tcW w:w="3798" w:type="dxa"/>
            <w:tcBorders>
              <w:top w:val="nil"/>
              <w:left w:val="nil"/>
              <w:bottom w:val="nil"/>
              <w:right w:val="single" w:sz="4" w:space="0" w:color="000000"/>
            </w:tcBorders>
            <w:shd w:val="clear" w:color="00FF00" w:fill="FFFFFF"/>
            <w:hideMark/>
          </w:tcPr>
          <w:p w14:paraId="56841E9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Ordenar investigaciones y visitas administrativas para asegurar el correcto funcionamiento de la Registraduría Nacional del Estado Civil.</w:t>
            </w:r>
          </w:p>
        </w:tc>
        <w:tc>
          <w:tcPr>
            <w:tcW w:w="3798" w:type="dxa"/>
            <w:tcBorders>
              <w:top w:val="nil"/>
              <w:left w:val="nil"/>
              <w:bottom w:val="nil"/>
              <w:right w:val="single" w:sz="4" w:space="0" w:color="000000"/>
            </w:tcBorders>
            <w:shd w:val="clear" w:color="00FF00" w:fill="FFFFFF"/>
            <w:hideMark/>
          </w:tcPr>
          <w:p w14:paraId="259736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Ordenar investigaciones y visitas administrativas para asegurar el correcto funcionamiento de la Registraduría Nacional del Estado Civil.</w:t>
            </w:r>
          </w:p>
        </w:tc>
        <w:tc>
          <w:tcPr>
            <w:tcW w:w="1480" w:type="dxa"/>
            <w:tcBorders>
              <w:top w:val="nil"/>
              <w:left w:val="nil"/>
              <w:bottom w:val="nil"/>
              <w:right w:val="single" w:sz="4" w:space="0" w:color="000000"/>
            </w:tcBorders>
            <w:shd w:val="clear" w:color="000000" w:fill="FFFFFF"/>
            <w:hideMark/>
          </w:tcPr>
          <w:p w14:paraId="35170D1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DEE897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070A1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Actuar como secretario en los escrutinios del Consejo Nacional Electoral. Esta función será delegable. </w:t>
            </w:r>
          </w:p>
        </w:tc>
        <w:tc>
          <w:tcPr>
            <w:tcW w:w="3798" w:type="dxa"/>
            <w:tcBorders>
              <w:top w:val="nil"/>
              <w:left w:val="nil"/>
              <w:bottom w:val="nil"/>
              <w:right w:val="single" w:sz="4" w:space="0" w:color="000000"/>
            </w:tcBorders>
            <w:shd w:val="clear" w:color="00FF00" w:fill="FFFFFF"/>
            <w:hideMark/>
          </w:tcPr>
          <w:p w14:paraId="5C02BC8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Actuar como secretario en los escrutinios del Consejo Nacional Electoral.</w:t>
            </w:r>
          </w:p>
        </w:tc>
        <w:tc>
          <w:tcPr>
            <w:tcW w:w="3798" w:type="dxa"/>
            <w:tcBorders>
              <w:top w:val="nil"/>
              <w:left w:val="nil"/>
              <w:bottom w:val="nil"/>
              <w:right w:val="single" w:sz="4" w:space="0" w:color="000000"/>
            </w:tcBorders>
            <w:shd w:val="clear" w:color="00FF00" w:fill="FFFFFF"/>
            <w:hideMark/>
          </w:tcPr>
          <w:p w14:paraId="70065BA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Actuar como secretario en los escrutinios del Consejo Nacional Electoral.</w:t>
            </w:r>
          </w:p>
        </w:tc>
        <w:tc>
          <w:tcPr>
            <w:tcW w:w="1480" w:type="dxa"/>
            <w:tcBorders>
              <w:top w:val="nil"/>
              <w:left w:val="nil"/>
              <w:bottom w:val="nil"/>
              <w:right w:val="single" w:sz="4" w:space="0" w:color="000000"/>
            </w:tcBorders>
            <w:shd w:val="clear" w:color="000000" w:fill="FFFFFF"/>
            <w:hideMark/>
          </w:tcPr>
          <w:p w14:paraId="3EF812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4FC240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31C8D2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Crear, fusionar y suprimir cargos dentro de la planta global de la Registraduría Nacional del Estado Civil.</w:t>
            </w:r>
          </w:p>
        </w:tc>
        <w:tc>
          <w:tcPr>
            <w:tcW w:w="3798" w:type="dxa"/>
            <w:tcBorders>
              <w:top w:val="nil"/>
              <w:left w:val="nil"/>
              <w:bottom w:val="nil"/>
              <w:right w:val="single" w:sz="4" w:space="0" w:color="000000"/>
            </w:tcBorders>
            <w:shd w:val="clear" w:color="00FF00" w:fill="FFFFFF"/>
            <w:hideMark/>
          </w:tcPr>
          <w:p w14:paraId="09609CE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Crear, fusionar y suprimir cargos dentro de la planta global de la Registraduría Nacional del Estado Civil.</w:t>
            </w:r>
          </w:p>
        </w:tc>
        <w:tc>
          <w:tcPr>
            <w:tcW w:w="3798" w:type="dxa"/>
            <w:tcBorders>
              <w:top w:val="nil"/>
              <w:left w:val="nil"/>
              <w:bottom w:val="nil"/>
              <w:right w:val="single" w:sz="4" w:space="0" w:color="000000"/>
            </w:tcBorders>
            <w:shd w:val="clear" w:color="00FF00" w:fill="FFFFFF"/>
            <w:hideMark/>
          </w:tcPr>
          <w:p w14:paraId="5A6F8A6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Crear, fusionar y suprimir cargos dentro de la planta global de la Registraduría Nacional del Estado Civil.</w:t>
            </w:r>
          </w:p>
        </w:tc>
        <w:tc>
          <w:tcPr>
            <w:tcW w:w="1480" w:type="dxa"/>
            <w:tcBorders>
              <w:top w:val="nil"/>
              <w:left w:val="nil"/>
              <w:bottom w:val="nil"/>
              <w:right w:val="single" w:sz="4" w:space="0" w:color="000000"/>
            </w:tcBorders>
            <w:shd w:val="clear" w:color="000000" w:fill="FFFFFF"/>
            <w:hideMark/>
          </w:tcPr>
          <w:p w14:paraId="041C83E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0D444B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7FE2F5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10. Resolver el recurso de apelación que se interponga contra las decisiones adoptadas por los registradores distritales de Bogotá D. C. y los registradores departamentales del Estado Civil.</w:t>
            </w:r>
          </w:p>
        </w:tc>
        <w:tc>
          <w:tcPr>
            <w:tcW w:w="3798" w:type="dxa"/>
            <w:tcBorders>
              <w:top w:val="nil"/>
              <w:left w:val="nil"/>
              <w:bottom w:val="nil"/>
              <w:right w:val="single" w:sz="4" w:space="0" w:color="000000"/>
            </w:tcBorders>
            <w:shd w:val="clear" w:color="00FF00" w:fill="FFFFFF"/>
            <w:hideMark/>
          </w:tcPr>
          <w:p w14:paraId="1D6A71C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Resolver el recurso de apelación que se interponga contra las decisiones adoptadas por los registradores distritales de Bogotá D. C. y registradores departamentales del Estado Civil.</w:t>
            </w:r>
          </w:p>
        </w:tc>
        <w:tc>
          <w:tcPr>
            <w:tcW w:w="3798" w:type="dxa"/>
            <w:tcBorders>
              <w:top w:val="nil"/>
              <w:left w:val="nil"/>
              <w:bottom w:val="nil"/>
              <w:right w:val="single" w:sz="4" w:space="0" w:color="000000"/>
            </w:tcBorders>
            <w:shd w:val="clear" w:color="00FF00" w:fill="FFFFFF"/>
            <w:hideMark/>
          </w:tcPr>
          <w:p w14:paraId="179A8A2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Resolver el recurso de apelación que se interponga contra las decisiones adoptadas por los registradores distritales de Bogotá D. C. y registradores departamentales del Estado Civil.</w:t>
            </w:r>
          </w:p>
        </w:tc>
        <w:tc>
          <w:tcPr>
            <w:tcW w:w="1480" w:type="dxa"/>
            <w:tcBorders>
              <w:top w:val="nil"/>
              <w:left w:val="nil"/>
              <w:bottom w:val="nil"/>
              <w:right w:val="single" w:sz="4" w:space="0" w:color="000000"/>
            </w:tcBorders>
            <w:shd w:val="clear" w:color="000000" w:fill="FFFFFF"/>
            <w:hideMark/>
          </w:tcPr>
          <w:p w14:paraId="1EB1AA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F38362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A5D754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Elaborar el presupuesto de la Registraduría Nacional del Estado Civil. </w:t>
            </w:r>
          </w:p>
        </w:tc>
        <w:tc>
          <w:tcPr>
            <w:tcW w:w="3798" w:type="dxa"/>
            <w:tcBorders>
              <w:top w:val="nil"/>
              <w:left w:val="nil"/>
              <w:bottom w:val="nil"/>
              <w:right w:val="single" w:sz="4" w:space="0" w:color="000000"/>
            </w:tcBorders>
            <w:shd w:val="clear" w:color="00FF00" w:fill="FFFFFF"/>
            <w:hideMark/>
          </w:tcPr>
          <w:p w14:paraId="3E68F9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Elaborar el presupuesto de la Registraduría Nacional del Estado Civil.</w:t>
            </w:r>
          </w:p>
        </w:tc>
        <w:tc>
          <w:tcPr>
            <w:tcW w:w="3798" w:type="dxa"/>
            <w:tcBorders>
              <w:top w:val="nil"/>
              <w:left w:val="nil"/>
              <w:bottom w:val="nil"/>
              <w:right w:val="single" w:sz="4" w:space="0" w:color="000000"/>
            </w:tcBorders>
            <w:shd w:val="clear" w:color="00FF00" w:fill="FFFFFF"/>
            <w:hideMark/>
          </w:tcPr>
          <w:p w14:paraId="5C2E67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Elaborar el presupuesto de la Registraduría Nacional del Estado Civil.</w:t>
            </w:r>
          </w:p>
        </w:tc>
        <w:tc>
          <w:tcPr>
            <w:tcW w:w="1480" w:type="dxa"/>
            <w:tcBorders>
              <w:top w:val="nil"/>
              <w:left w:val="nil"/>
              <w:bottom w:val="nil"/>
              <w:right w:val="single" w:sz="4" w:space="0" w:color="000000"/>
            </w:tcBorders>
            <w:shd w:val="clear" w:color="000000" w:fill="FFFFFF"/>
            <w:hideMark/>
          </w:tcPr>
          <w:p w14:paraId="7B524B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F1CF6D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A82CC6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Delegar de manera parcial o total la representación legal de la entidad o cualquiera de las funciones administrativas, contractuales o financieras de la misma. </w:t>
            </w:r>
          </w:p>
        </w:tc>
        <w:tc>
          <w:tcPr>
            <w:tcW w:w="3798" w:type="dxa"/>
            <w:tcBorders>
              <w:top w:val="nil"/>
              <w:left w:val="nil"/>
              <w:bottom w:val="nil"/>
              <w:right w:val="single" w:sz="4" w:space="0" w:color="000000"/>
            </w:tcBorders>
            <w:shd w:val="clear" w:color="00FF00" w:fill="FFFFFF"/>
            <w:hideMark/>
          </w:tcPr>
          <w:p w14:paraId="16E7D7B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Delegar de manera parcial o total la representación legal, judicial y extrajudicial de la entidad o cualquiera de las funciones administrativas, contractuales o financieras de la misma, en funcionarios del nivel directivo o asesor de la Entidad.</w:t>
            </w:r>
          </w:p>
        </w:tc>
        <w:tc>
          <w:tcPr>
            <w:tcW w:w="3798" w:type="dxa"/>
            <w:tcBorders>
              <w:top w:val="nil"/>
              <w:left w:val="nil"/>
              <w:bottom w:val="nil"/>
              <w:right w:val="single" w:sz="4" w:space="0" w:color="000000"/>
            </w:tcBorders>
            <w:shd w:val="clear" w:color="00FF00" w:fill="FFFFFF"/>
            <w:hideMark/>
          </w:tcPr>
          <w:p w14:paraId="574B7AF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Delegar de manera parcial o total la representación legal, judicial y extrajudicial de la entidad o cualquiera de las funciones administrativas, contractuales o financieras de la misma, en funcionarios del nivel directivo o asesor de la Entidad.</w:t>
            </w:r>
          </w:p>
        </w:tc>
        <w:tc>
          <w:tcPr>
            <w:tcW w:w="1480" w:type="dxa"/>
            <w:tcBorders>
              <w:top w:val="nil"/>
              <w:left w:val="nil"/>
              <w:bottom w:val="nil"/>
              <w:right w:val="single" w:sz="4" w:space="0" w:color="000000"/>
            </w:tcBorders>
            <w:shd w:val="clear" w:color="000000" w:fill="FFFFFF"/>
            <w:hideMark/>
          </w:tcPr>
          <w:p w14:paraId="05B86C3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8187AD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53757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Ordenar el gasto de la entidad y suscribir los contratos administrativos que deba celebrar la Registraduría Nacional del Estado Civil. </w:t>
            </w:r>
          </w:p>
        </w:tc>
        <w:tc>
          <w:tcPr>
            <w:tcW w:w="3798" w:type="dxa"/>
            <w:tcBorders>
              <w:top w:val="nil"/>
              <w:left w:val="nil"/>
              <w:bottom w:val="nil"/>
              <w:right w:val="single" w:sz="4" w:space="0" w:color="000000"/>
            </w:tcBorders>
            <w:shd w:val="clear" w:color="00FF00" w:fill="FFFFFF"/>
            <w:hideMark/>
          </w:tcPr>
          <w:p w14:paraId="172678D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Ordenar el gasto de la entidad y suscribir los contratos administrativos que deba celebrar la Registraduría Nacional del Estado Civil.</w:t>
            </w:r>
          </w:p>
        </w:tc>
        <w:tc>
          <w:tcPr>
            <w:tcW w:w="3798" w:type="dxa"/>
            <w:tcBorders>
              <w:top w:val="nil"/>
              <w:left w:val="nil"/>
              <w:bottom w:val="nil"/>
              <w:right w:val="single" w:sz="4" w:space="0" w:color="000000"/>
            </w:tcBorders>
            <w:shd w:val="clear" w:color="00FF00" w:fill="FFFFFF"/>
            <w:hideMark/>
          </w:tcPr>
          <w:p w14:paraId="39F6A7E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Ordenar el gasto de la entidad y suscribir los contratos administrativos que deba celebrar la Registraduría Nacional del Estado Civil.</w:t>
            </w:r>
          </w:p>
        </w:tc>
        <w:tc>
          <w:tcPr>
            <w:tcW w:w="1480" w:type="dxa"/>
            <w:tcBorders>
              <w:top w:val="nil"/>
              <w:left w:val="nil"/>
              <w:bottom w:val="nil"/>
              <w:right w:val="single" w:sz="4" w:space="0" w:color="000000"/>
            </w:tcBorders>
            <w:shd w:val="clear" w:color="000000" w:fill="FFFFFF"/>
            <w:hideMark/>
          </w:tcPr>
          <w:p w14:paraId="4694DE1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9F68F7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E2D27D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Celebrar convenios de cooperación internacional, ser miembro de organismos internacionales gubernamentales y no gubernamentales en asuntos de democracia, elecciones, de participación ciudadana y de observación electoral. </w:t>
            </w:r>
          </w:p>
        </w:tc>
        <w:tc>
          <w:tcPr>
            <w:tcW w:w="3798" w:type="dxa"/>
            <w:tcBorders>
              <w:top w:val="nil"/>
              <w:left w:val="nil"/>
              <w:bottom w:val="nil"/>
              <w:right w:val="single" w:sz="4" w:space="0" w:color="000000"/>
            </w:tcBorders>
            <w:shd w:val="clear" w:color="00FF00" w:fill="FFFFFF"/>
            <w:hideMark/>
          </w:tcPr>
          <w:p w14:paraId="655EB4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Celebrar convenios de cooperación internacional, ser miembro de organismos internacionales gubernamentales y no gubernamentales en asuntos de democracia, elecciones, de participación ciudadana y de observación electoral.</w:t>
            </w:r>
          </w:p>
        </w:tc>
        <w:tc>
          <w:tcPr>
            <w:tcW w:w="3798" w:type="dxa"/>
            <w:tcBorders>
              <w:top w:val="nil"/>
              <w:left w:val="nil"/>
              <w:bottom w:val="nil"/>
              <w:right w:val="single" w:sz="4" w:space="0" w:color="000000"/>
            </w:tcBorders>
            <w:shd w:val="clear" w:color="00FF00" w:fill="FFFFFF"/>
            <w:hideMark/>
          </w:tcPr>
          <w:p w14:paraId="7D37F39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Celebrar convenios de cooperación internacional, ser miembro de organismos internacionales gubernamentales y no gubernamentales en asuntos de democracia, elecciones, de participación ciudadana y de observación electoral.</w:t>
            </w:r>
          </w:p>
        </w:tc>
        <w:tc>
          <w:tcPr>
            <w:tcW w:w="1480" w:type="dxa"/>
            <w:tcBorders>
              <w:top w:val="nil"/>
              <w:left w:val="nil"/>
              <w:bottom w:val="nil"/>
              <w:right w:val="single" w:sz="4" w:space="0" w:color="000000"/>
            </w:tcBorders>
            <w:shd w:val="clear" w:color="000000" w:fill="FFFFFF"/>
            <w:hideMark/>
          </w:tcPr>
          <w:p w14:paraId="6687FC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ABBC25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2EB58D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Elaborar y publicar las listas sobre el número de concejales que corresponda a cada municipio o distrito, de acuerdo con la ley. </w:t>
            </w:r>
          </w:p>
        </w:tc>
        <w:tc>
          <w:tcPr>
            <w:tcW w:w="3798" w:type="dxa"/>
            <w:tcBorders>
              <w:top w:val="nil"/>
              <w:left w:val="nil"/>
              <w:bottom w:val="nil"/>
              <w:right w:val="single" w:sz="4" w:space="0" w:color="000000"/>
            </w:tcBorders>
            <w:shd w:val="clear" w:color="00FF00" w:fill="FFFFFF"/>
            <w:hideMark/>
          </w:tcPr>
          <w:p w14:paraId="29BB42C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Elaborar y publicar las listas sobre el número de concejales que corresponda a cada municipio o distrito, de acuerdo con la ley.</w:t>
            </w:r>
          </w:p>
        </w:tc>
        <w:tc>
          <w:tcPr>
            <w:tcW w:w="3798" w:type="dxa"/>
            <w:tcBorders>
              <w:top w:val="nil"/>
              <w:left w:val="nil"/>
              <w:bottom w:val="nil"/>
              <w:right w:val="single" w:sz="4" w:space="0" w:color="000000"/>
            </w:tcBorders>
            <w:shd w:val="clear" w:color="00FF00" w:fill="FFFFFF"/>
            <w:hideMark/>
          </w:tcPr>
          <w:p w14:paraId="0FFDF2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Elaborar y publicar las listas sobre el número de concejales que corresponda a cada municipio o distrito, de acuerdo con la ley.</w:t>
            </w:r>
          </w:p>
        </w:tc>
        <w:tc>
          <w:tcPr>
            <w:tcW w:w="1480" w:type="dxa"/>
            <w:tcBorders>
              <w:top w:val="nil"/>
              <w:left w:val="nil"/>
              <w:bottom w:val="nil"/>
              <w:right w:val="single" w:sz="4" w:space="0" w:color="000000"/>
            </w:tcBorders>
            <w:shd w:val="clear" w:color="000000" w:fill="FFFFFF"/>
            <w:hideMark/>
          </w:tcPr>
          <w:p w14:paraId="1C46948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44942F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01CA87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16. Resolver los desacuerdos que se susciten entre los registradores distritales de Bogotá D.C. </w:t>
            </w:r>
          </w:p>
        </w:tc>
        <w:tc>
          <w:tcPr>
            <w:tcW w:w="3798" w:type="dxa"/>
            <w:tcBorders>
              <w:top w:val="nil"/>
              <w:left w:val="nil"/>
              <w:bottom w:val="nil"/>
              <w:right w:val="single" w:sz="4" w:space="0" w:color="000000"/>
            </w:tcBorders>
            <w:shd w:val="clear" w:color="00FF00" w:fill="FFFFFF"/>
            <w:hideMark/>
          </w:tcPr>
          <w:p w14:paraId="167834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Resolver los desacuerdos que se susciten entre los registradores distritales de Bogotá D.C.</w:t>
            </w:r>
          </w:p>
        </w:tc>
        <w:tc>
          <w:tcPr>
            <w:tcW w:w="3798" w:type="dxa"/>
            <w:tcBorders>
              <w:top w:val="nil"/>
              <w:left w:val="nil"/>
              <w:bottom w:val="nil"/>
              <w:right w:val="single" w:sz="4" w:space="0" w:color="000000"/>
            </w:tcBorders>
            <w:shd w:val="clear" w:color="00FF00" w:fill="FFFFFF"/>
            <w:hideMark/>
          </w:tcPr>
          <w:p w14:paraId="1C8B86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Resolver los desacuerdos que se susciten entre los registradores distritales de Bogotá D.C.</w:t>
            </w:r>
          </w:p>
        </w:tc>
        <w:tc>
          <w:tcPr>
            <w:tcW w:w="1480" w:type="dxa"/>
            <w:tcBorders>
              <w:top w:val="nil"/>
              <w:left w:val="nil"/>
              <w:bottom w:val="nil"/>
              <w:right w:val="single" w:sz="4" w:space="0" w:color="000000"/>
            </w:tcBorders>
            <w:shd w:val="clear" w:color="000000" w:fill="FFFFFF"/>
            <w:hideMark/>
          </w:tcPr>
          <w:p w14:paraId="2FAD3EA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9B71B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99BD83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17. Presentar, por intermedio del Consejo Nacional Electoral, al Congreso de la República, proyectos de acto legislativo y de ley de su competencia. </w:t>
            </w:r>
          </w:p>
        </w:tc>
        <w:tc>
          <w:tcPr>
            <w:tcW w:w="3798" w:type="dxa"/>
            <w:tcBorders>
              <w:top w:val="nil"/>
              <w:left w:val="nil"/>
              <w:bottom w:val="nil"/>
              <w:right w:val="single" w:sz="4" w:space="0" w:color="000000"/>
            </w:tcBorders>
            <w:shd w:val="clear" w:color="00FF00" w:fill="FFFFFF"/>
            <w:hideMark/>
          </w:tcPr>
          <w:p w14:paraId="5AC1F2C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Presentar, por intermedio del Consejo Nacional Electoral, al Congreso de la República, proyectos de acto legislativo y de ley de su competencia.</w:t>
            </w:r>
          </w:p>
        </w:tc>
        <w:tc>
          <w:tcPr>
            <w:tcW w:w="3798" w:type="dxa"/>
            <w:tcBorders>
              <w:top w:val="nil"/>
              <w:left w:val="nil"/>
              <w:bottom w:val="nil"/>
              <w:right w:val="single" w:sz="4" w:space="0" w:color="000000"/>
            </w:tcBorders>
            <w:shd w:val="clear" w:color="00FF00" w:fill="FFFFFF"/>
            <w:hideMark/>
          </w:tcPr>
          <w:p w14:paraId="5D8B4C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Presentar, por intermedio del Consejo Nacional Electoral, al Congreso de la República, proyectos de acto legislativo y de ley de su competencia.</w:t>
            </w:r>
          </w:p>
        </w:tc>
        <w:tc>
          <w:tcPr>
            <w:tcW w:w="1480" w:type="dxa"/>
            <w:tcBorders>
              <w:top w:val="nil"/>
              <w:left w:val="nil"/>
              <w:bottom w:val="nil"/>
              <w:right w:val="single" w:sz="4" w:space="0" w:color="000000"/>
            </w:tcBorders>
            <w:shd w:val="clear" w:color="000000" w:fill="FFFFFF"/>
            <w:hideMark/>
          </w:tcPr>
          <w:p w14:paraId="43F087E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4753F8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F65E1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18. Fijar los viáticos para las comisiones escrutadoras distritales, municipales y auxiliares, los jurados de votación y los empleados de la Registraduría Nacional del Estado Civil. </w:t>
            </w:r>
          </w:p>
        </w:tc>
        <w:tc>
          <w:tcPr>
            <w:tcW w:w="3798" w:type="dxa"/>
            <w:tcBorders>
              <w:top w:val="nil"/>
              <w:left w:val="nil"/>
              <w:bottom w:val="nil"/>
              <w:right w:val="single" w:sz="4" w:space="0" w:color="000000"/>
            </w:tcBorders>
            <w:shd w:val="clear" w:color="00FF00" w:fill="FFFFFF"/>
            <w:hideMark/>
          </w:tcPr>
          <w:p w14:paraId="1291869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19. Fijar los viáticos para las comisiones escrutadoras distritales, municipales y auxiliares, los jurados de votación y los empleados de la Registraduría Nacional del Estado Civil.</w:t>
            </w:r>
          </w:p>
        </w:tc>
        <w:tc>
          <w:tcPr>
            <w:tcW w:w="3798" w:type="dxa"/>
            <w:tcBorders>
              <w:top w:val="nil"/>
              <w:left w:val="nil"/>
              <w:bottom w:val="nil"/>
              <w:right w:val="single" w:sz="4" w:space="0" w:color="000000"/>
            </w:tcBorders>
            <w:shd w:val="clear" w:color="00FF00" w:fill="FFFFFF"/>
            <w:hideMark/>
          </w:tcPr>
          <w:p w14:paraId="73E54F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19. Fijar los viáticos para las comisiones escrutadoras distritales, municipales y auxiliares, los jurados de votación y los empleados de la Registraduría Nacional del Estado Civil.</w:t>
            </w:r>
          </w:p>
        </w:tc>
        <w:tc>
          <w:tcPr>
            <w:tcW w:w="1480" w:type="dxa"/>
            <w:tcBorders>
              <w:top w:val="nil"/>
              <w:left w:val="nil"/>
              <w:bottom w:val="nil"/>
              <w:right w:val="single" w:sz="4" w:space="0" w:color="000000"/>
            </w:tcBorders>
            <w:shd w:val="clear" w:color="000000" w:fill="FFFFFF"/>
            <w:hideMark/>
          </w:tcPr>
          <w:p w14:paraId="3F3662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FB7FBB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112D0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19. Fijar los costos que deberá pagar el ciudadano por los documentos de identificación personal, tanto físico como digital, y de los demás servicios que presta la entidad. </w:t>
            </w:r>
          </w:p>
        </w:tc>
        <w:tc>
          <w:tcPr>
            <w:tcW w:w="3798" w:type="dxa"/>
            <w:tcBorders>
              <w:top w:val="nil"/>
              <w:left w:val="nil"/>
              <w:bottom w:val="nil"/>
              <w:right w:val="single" w:sz="4" w:space="0" w:color="000000"/>
            </w:tcBorders>
            <w:shd w:val="clear" w:color="00FF00" w:fill="FFFFFF"/>
            <w:hideMark/>
          </w:tcPr>
          <w:p w14:paraId="09E88D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20. Fijar los costos que deberá pagar el ciudadano por los documentos de identificación personal, tanto físico como digital, y de los demás servicios que presta la entidad.</w:t>
            </w:r>
          </w:p>
        </w:tc>
        <w:tc>
          <w:tcPr>
            <w:tcW w:w="3798" w:type="dxa"/>
            <w:tcBorders>
              <w:top w:val="nil"/>
              <w:left w:val="nil"/>
              <w:bottom w:val="nil"/>
              <w:right w:val="single" w:sz="4" w:space="0" w:color="000000"/>
            </w:tcBorders>
            <w:shd w:val="clear" w:color="00FF00" w:fill="FFFFFF"/>
            <w:hideMark/>
          </w:tcPr>
          <w:p w14:paraId="39985A1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20. Fijar los costos que deberá pagar el ciudadano por los documentos de identificación personal, tanto físico como digital, y de los demás servicios que presta la entidad.</w:t>
            </w:r>
          </w:p>
        </w:tc>
        <w:tc>
          <w:tcPr>
            <w:tcW w:w="1480" w:type="dxa"/>
            <w:tcBorders>
              <w:top w:val="nil"/>
              <w:left w:val="nil"/>
              <w:bottom w:val="nil"/>
              <w:right w:val="single" w:sz="4" w:space="0" w:color="000000"/>
            </w:tcBorders>
            <w:shd w:val="clear" w:color="000000" w:fill="FFFFFF"/>
            <w:hideMark/>
          </w:tcPr>
          <w:p w14:paraId="24C409C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72A034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03FC4C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20. Las demás que le atribuya la ley. </w:t>
            </w:r>
          </w:p>
        </w:tc>
        <w:tc>
          <w:tcPr>
            <w:tcW w:w="3798" w:type="dxa"/>
            <w:tcBorders>
              <w:top w:val="nil"/>
              <w:left w:val="nil"/>
              <w:bottom w:val="nil"/>
              <w:right w:val="single" w:sz="4" w:space="0" w:color="000000"/>
            </w:tcBorders>
            <w:shd w:val="clear" w:color="00FF00" w:fill="FFFFFF"/>
            <w:hideMark/>
          </w:tcPr>
          <w:p w14:paraId="496D4D2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21. Las demás que le atribuya la Constitución y la ley.</w:t>
            </w:r>
          </w:p>
        </w:tc>
        <w:tc>
          <w:tcPr>
            <w:tcW w:w="3798" w:type="dxa"/>
            <w:tcBorders>
              <w:top w:val="nil"/>
              <w:left w:val="nil"/>
              <w:bottom w:val="nil"/>
              <w:right w:val="single" w:sz="4" w:space="0" w:color="000000"/>
            </w:tcBorders>
            <w:shd w:val="clear" w:color="00FF00" w:fill="FFFFFF"/>
            <w:hideMark/>
          </w:tcPr>
          <w:p w14:paraId="0135AD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21. Las demás que le atribuya la Constitución y la ley.</w:t>
            </w:r>
          </w:p>
        </w:tc>
        <w:tc>
          <w:tcPr>
            <w:tcW w:w="1480" w:type="dxa"/>
            <w:tcBorders>
              <w:top w:val="nil"/>
              <w:left w:val="nil"/>
              <w:bottom w:val="nil"/>
              <w:right w:val="single" w:sz="4" w:space="0" w:color="000000"/>
            </w:tcBorders>
            <w:shd w:val="clear" w:color="000000" w:fill="FFFFFF"/>
            <w:hideMark/>
          </w:tcPr>
          <w:p w14:paraId="035B787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C7F6C7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1CD15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43CBBF8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22. Realizar rendición pública de cuentas que le permita al ciudadano contar con las herramientas necesarias para el control social a lo público.</w:t>
            </w:r>
          </w:p>
        </w:tc>
        <w:tc>
          <w:tcPr>
            <w:tcW w:w="3798" w:type="dxa"/>
            <w:tcBorders>
              <w:top w:val="nil"/>
              <w:left w:val="nil"/>
              <w:bottom w:val="nil"/>
              <w:right w:val="single" w:sz="4" w:space="0" w:color="000000"/>
            </w:tcBorders>
            <w:shd w:val="clear" w:color="00FF00" w:fill="FFFFFF"/>
            <w:hideMark/>
          </w:tcPr>
          <w:p w14:paraId="7A7FA9D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22. Realizar rendición pública de cuentas que le permita al ciudadano contar con las herramientas necesarias para el control social a lo público.</w:t>
            </w:r>
          </w:p>
        </w:tc>
        <w:tc>
          <w:tcPr>
            <w:tcW w:w="1480" w:type="dxa"/>
            <w:tcBorders>
              <w:top w:val="nil"/>
              <w:left w:val="nil"/>
              <w:bottom w:val="nil"/>
              <w:right w:val="single" w:sz="4" w:space="0" w:color="000000"/>
            </w:tcBorders>
            <w:shd w:val="clear" w:color="000000" w:fill="FFFFFF"/>
            <w:hideMark/>
          </w:tcPr>
          <w:p w14:paraId="0EA4348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9A18F90"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F70FA2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Registrador no podrá incidir directa ni indirectamente en el nombramiento o remoción del personal del CNE ni en la gestión presupuestal de esa entidad.</w:t>
            </w:r>
          </w:p>
        </w:tc>
        <w:tc>
          <w:tcPr>
            <w:tcW w:w="3798" w:type="dxa"/>
            <w:tcBorders>
              <w:top w:val="nil"/>
              <w:left w:val="nil"/>
              <w:bottom w:val="single" w:sz="4" w:space="0" w:color="000000"/>
              <w:right w:val="single" w:sz="4" w:space="0" w:color="000000"/>
            </w:tcBorders>
            <w:shd w:val="clear" w:color="00FF00" w:fill="FFFFFF"/>
            <w:hideMark/>
          </w:tcPr>
          <w:p w14:paraId="3C38A93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Registrador no podrá incidir directa ni indirectamente en el nombramiento o remoción del personal del CNE ni en la gestión presupuestal de esa entidad.</w:t>
            </w:r>
          </w:p>
        </w:tc>
        <w:tc>
          <w:tcPr>
            <w:tcW w:w="3798" w:type="dxa"/>
            <w:tcBorders>
              <w:top w:val="nil"/>
              <w:left w:val="nil"/>
              <w:bottom w:val="single" w:sz="4" w:space="0" w:color="000000"/>
              <w:right w:val="single" w:sz="4" w:space="0" w:color="000000"/>
            </w:tcBorders>
            <w:shd w:val="clear" w:color="00FF00" w:fill="FFFFFF"/>
            <w:hideMark/>
          </w:tcPr>
          <w:p w14:paraId="64C08C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Registrador no podrá incidir directa ni indirectamente en el nombramiento o remoción del personal del CNE ni en la gestión presupuestal de esa entidad.</w:t>
            </w:r>
          </w:p>
        </w:tc>
        <w:tc>
          <w:tcPr>
            <w:tcW w:w="1480" w:type="dxa"/>
            <w:tcBorders>
              <w:top w:val="nil"/>
              <w:left w:val="nil"/>
              <w:bottom w:val="single" w:sz="4" w:space="0" w:color="000000"/>
              <w:right w:val="single" w:sz="4" w:space="0" w:color="000000"/>
            </w:tcBorders>
            <w:shd w:val="clear" w:color="000000" w:fill="FFFFFF"/>
            <w:hideMark/>
          </w:tcPr>
          <w:p w14:paraId="49C8DB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4AD580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60D54DE"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487D7C0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110CC96E"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nil"/>
              <w:left w:val="nil"/>
              <w:bottom w:val="nil"/>
              <w:right w:val="single" w:sz="4" w:space="0" w:color="000000"/>
            </w:tcBorders>
            <w:shd w:val="clear" w:color="000000" w:fill="FFFFFF"/>
            <w:hideMark/>
          </w:tcPr>
          <w:p w14:paraId="329838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473EEC0"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5916AD74"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De los registradores distritales de Bogotá del Estado Civil</w:t>
            </w:r>
          </w:p>
        </w:tc>
        <w:tc>
          <w:tcPr>
            <w:tcW w:w="3798" w:type="dxa"/>
            <w:tcBorders>
              <w:top w:val="nil"/>
              <w:left w:val="nil"/>
              <w:bottom w:val="single" w:sz="4" w:space="0" w:color="000000"/>
              <w:right w:val="single" w:sz="4" w:space="0" w:color="000000"/>
            </w:tcBorders>
            <w:shd w:val="clear" w:color="000000" w:fill="FFFFFF"/>
            <w:hideMark/>
          </w:tcPr>
          <w:p w14:paraId="56091BB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registradores distritales de Bogotá del Estado Civil</w:t>
            </w:r>
          </w:p>
        </w:tc>
        <w:tc>
          <w:tcPr>
            <w:tcW w:w="3798" w:type="dxa"/>
            <w:tcBorders>
              <w:top w:val="nil"/>
              <w:left w:val="nil"/>
              <w:bottom w:val="single" w:sz="4" w:space="0" w:color="000000"/>
              <w:right w:val="single" w:sz="4" w:space="0" w:color="000000"/>
            </w:tcBorders>
            <w:shd w:val="clear" w:color="000000" w:fill="FFFFFF"/>
            <w:hideMark/>
          </w:tcPr>
          <w:p w14:paraId="36796738"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registradores distritales de Bogotá del Estado Civil</w:t>
            </w:r>
          </w:p>
        </w:tc>
        <w:tc>
          <w:tcPr>
            <w:tcW w:w="1480" w:type="dxa"/>
            <w:tcBorders>
              <w:top w:val="nil"/>
              <w:left w:val="nil"/>
              <w:bottom w:val="single" w:sz="4" w:space="0" w:color="000000"/>
              <w:right w:val="single" w:sz="4" w:space="0" w:color="000000"/>
            </w:tcBorders>
            <w:shd w:val="clear" w:color="000000" w:fill="FFFFFF"/>
            <w:hideMark/>
          </w:tcPr>
          <w:p w14:paraId="6A798F1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4608815"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7E9B23D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 De los registradores distritales.</w:t>
            </w:r>
            <w:r w:rsidRPr="00222F34">
              <w:rPr>
                <w:rFonts w:ascii="Calibri" w:eastAsia="Times New Roman" w:hAnsi="Calibri" w:cs="Calibri"/>
                <w:color w:val="000000"/>
                <w:lang w:val="es-CO" w:eastAsia="es-CO" w:bidi="ar-SA"/>
              </w:rPr>
              <w:t xml:space="preserve"> En el Distrito Capital de Bogotá habrá dos (2) registradores distritales del Estado Civil, de los cuales al menos uno será una mujer, quienes tendrán la responsabilidad, la vigilancia y el funcionamiento de las dependencias de las Registradurías en el ámbito distrital. Los registradores distritales tomarán posesión de su cargo ante el registrador Nacional del Estado Civil. </w:t>
            </w:r>
          </w:p>
        </w:tc>
        <w:tc>
          <w:tcPr>
            <w:tcW w:w="3798" w:type="dxa"/>
            <w:tcBorders>
              <w:top w:val="nil"/>
              <w:left w:val="nil"/>
              <w:bottom w:val="single" w:sz="4" w:space="0" w:color="000000"/>
              <w:right w:val="single" w:sz="4" w:space="0" w:color="000000"/>
            </w:tcBorders>
            <w:shd w:val="clear" w:color="00FF00" w:fill="FFFFFF"/>
            <w:hideMark/>
          </w:tcPr>
          <w:p w14:paraId="20BA3AF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 De las y los registradores distritales.</w:t>
            </w:r>
            <w:r w:rsidRPr="00222F34">
              <w:rPr>
                <w:rFonts w:ascii="Calibri" w:eastAsia="Times New Roman" w:hAnsi="Calibri" w:cs="Calibri"/>
                <w:color w:val="000000"/>
                <w:lang w:val="es-CO" w:eastAsia="es-CO" w:bidi="ar-SA"/>
              </w:rPr>
              <w:t xml:space="preserve"> En el Distrito Capital de Bogotá habrá dos (2) registradores distritales del Estado Civil, de los cuales uno debe ser mujer, quienes tendrán la responsabilidad, la vigilancia y el funcionamiento de las dependencias de las Registradurías en el ámbito distrital. Las y los registradores distritales tomarán posesión de su cargo ante la o el Registrador Nacional del Estado Civil.</w:t>
            </w:r>
          </w:p>
        </w:tc>
        <w:tc>
          <w:tcPr>
            <w:tcW w:w="3798" w:type="dxa"/>
            <w:tcBorders>
              <w:top w:val="nil"/>
              <w:left w:val="nil"/>
              <w:bottom w:val="single" w:sz="4" w:space="0" w:color="000000"/>
              <w:right w:val="single" w:sz="4" w:space="0" w:color="000000"/>
            </w:tcBorders>
            <w:shd w:val="clear" w:color="00FF00" w:fill="FFFFFF"/>
            <w:hideMark/>
          </w:tcPr>
          <w:p w14:paraId="237492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 De los registradores distritales.</w:t>
            </w:r>
            <w:r w:rsidRPr="00222F34">
              <w:rPr>
                <w:rFonts w:ascii="Calibri" w:eastAsia="Times New Roman" w:hAnsi="Calibri" w:cs="Calibri"/>
                <w:color w:val="000000"/>
                <w:lang w:val="es-CO" w:eastAsia="es-CO" w:bidi="ar-SA"/>
              </w:rPr>
              <w:t xml:space="preserve"> En el Distrito Capital de Bogotá habrá dos (2) registradores distritales del Estado Civil, de los cuales uno debe ser mujer, quienes tendrán la responsabilidad, la vigilancia y el funcionamiento de las dependencias de las Registradurías en el ámbito distrital. Las y los registradores distritales tomarán posesión de su cargo ante la o el Registrador Nacional del Estado Civil.</w:t>
            </w:r>
          </w:p>
        </w:tc>
        <w:tc>
          <w:tcPr>
            <w:tcW w:w="1480" w:type="dxa"/>
            <w:tcBorders>
              <w:top w:val="nil"/>
              <w:left w:val="nil"/>
              <w:bottom w:val="single" w:sz="4" w:space="0" w:color="000000"/>
              <w:right w:val="single" w:sz="4" w:space="0" w:color="000000"/>
            </w:tcBorders>
            <w:shd w:val="clear" w:color="000000" w:fill="FFFFFF"/>
            <w:hideMark/>
          </w:tcPr>
          <w:p w14:paraId="4A2B2613" w14:textId="165074C1"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w:t>
            </w:r>
          </w:p>
        </w:tc>
      </w:tr>
      <w:tr w:rsidR="00222F34" w:rsidRPr="00222F34" w14:paraId="6F8E097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6517E0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 Funciones.</w:t>
            </w:r>
            <w:r w:rsidRPr="00222F34">
              <w:rPr>
                <w:rFonts w:ascii="Calibri" w:eastAsia="Times New Roman" w:hAnsi="Calibri" w:cs="Calibri"/>
                <w:color w:val="000000"/>
                <w:lang w:val="es-CO" w:eastAsia="es-CO" w:bidi="ar-SA"/>
              </w:rPr>
              <w:t xml:space="preserve"> Los registradores distritales del Estado Civil tendrán las siguientes funciones:</w:t>
            </w:r>
          </w:p>
        </w:tc>
        <w:tc>
          <w:tcPr>
            <w:tcW w:w="3798" w:type="dxa"/>
            <w:tcBorders>
              <w:top w:val="nil"/>
              <w:left w:val="nil"/>
              <w:bottom w:val="nil"/>
              <w:right w:val="single" w:sz="4" w:space="0" w:color="000000"/>
            </w:tcBorders>
            <w:shd w:val="clear" w:color="00FF00" w:fill="FFFFFF"/>
            <w:hideMark/>
          </w:tcPr>
          <w:p w14:paraId="6F5C71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 Funciones</w:t>
            </w:r>
            <w:r w:rsidRPr="00222F34">
              <w:rPr>
                <w:rFonts w:ascii="Calibri" w:eastAsia="Times New Roman" w:hAnsi="Calibri" w:cs="Calibri"/>
                <w:color w:val="000000"/>
                <w:lang w:val="es-CO" w:eastAsia="es-CO" w:bidi="ar-SA"/>
              </w:rPr>
              <w:t>. Los registradores distritales del Estado Civil tendrán las siguientes funciones:</w:t>
            </w:r>
          </w:p>
        </w:tc>
        <w:tc>
          <w:tcPr>
            <w:tcW w:w="3798" w:type="dxa"/>
            <w:tcBorders>
              <w:top w:val="nil"/>
              <w:left w:val="nil"/>
              <w:bottom w:val="nil"/>
              <w:right w:val="single" w:sz="4" w:space="0" w:color="000000"/>
            </w:tcBorders>
            <w:shd w:val="clear" w:color="00FF00" w:fill="FFFFFF"/>
            <w:hideMark/>
          </w:tcPr>
          <w:p w14:paraId="4874E32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 Funciones</w:t>
            </w:r>
            <w:r w:rsidRPr="00222F34">
              <w:rPr>
                <w:rFonts w:ascii="Calibri" w:eastAsia="Times New Roman" w:hAnsi="Calibri" w:cs="Calibri"/>
                <w:color w:val="000000"/>
                <w:lang w:val="es-CO" w:eastAsia="es-CO" w:bidi="ar-SA"/>
              </w:rPr>
              <w:t>. Los registradores distritales del Estado Civil tendrán las siguientes funciones:</w:t>
            </w:r>
          </w:p>
        </w:tc>
        <w:tc>
          <w:tcPr>
            <w:tcW w:w="1480" w:type="dxa"/>
            <w:tcBorders>
              <w:top w:val="nil"/>
              <w:left w:val="nil"/>
              <w:bottom w:val="nil"/>
              <w:right w:val="single" w:sz="4" w:space="0" w:color="000000"/>
            </w:tcBorders>
            <w:shd w:val="clear" w:color="000000" w:fill="FFFFFF"/>
            <w:hideMark/>
          </w:tcPr>
          <w:p w14:paraId="473C4E20" w14:textId="1EAB1E05"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705A55E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70E5DB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Nombrar e instruir a los jurados de votación. </w:t>
            </w:r>
          </w:p>
        </w:tc>
        <w:tc>
          <w:tcPr>
            <w:tcW w:w="3798" w:type="dxa"/>
            <w:tcBorders>
              <w:top w:val="nil"/>
              <w:left w:val="nil"/>
              <w:bottom w:val="nil"/>
              <w:right w:val="single" w:sz="4" w:space="0" w:color="000000"/>
            </w:tcBorders>
            <w:shd w:val="clear" w:color="00FF00" w:fill="FFFFFF"/>
            <w:hideMark/>
          </w:tcPr>
          <w:p w14:paraId="3D2E31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Nombrar e instruir a los jurados de votación.</w:t>
            </w:r>
          </w:p>
        </w:tc>
        <w:tc>
          <w:tcPr>
            <w:tcW w:w="3798" w:type="dxa"/>
            <w:tcBorders>
              <w:top w:val="nil"/>
              <w:left w:val="nil"/>
              <w:bottom w:val="nil"/>
              <w:right w:val="single" w:sz="4" w:space="0" w:color="000000"/>
            </w:tcBorders>
            <w:shd w:val="clear" w:color="00FF00" w:fill="FFFFFF"/>
            <w:hideMark/>
          </w:tcPr>
          <w:p w14:paraId="303E92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Nombrar e instruir a los jurados de votación.</w:t>
            </w:r>
          </w:p>
        </w:tc>
        <w:tc>
          <w:tcPr>
            <w:tcW w:w="1480" w:type="dxa"/>
            <w:tcBorders>
              <w:top w:val="nil"/>
              <w:left w:val="nil"/>
              <w:bottom w:val="nil"/>
              <w:right w:val="single" w:sz="4" w:space="0" w:color="000000"/>
            </w:tcBorders>
            <w:shd w:val="clear" w:color="000000" w:fill="FFFFFF"/>
            <w:hideMark/>
          </w:tcPr>
          <w:p w14:paraId="6B8F37B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EA64C8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49D7B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Sancionar con multas a los jurados de votación en los casos señalados en el presente código. </w:t>
            </w:r>
          </w:p>
        </w:tc>
        <w:tc>
          <w:tcPr>
            <w:tcW w:w="3798" w:type="dxa"/>
            <w:tcBorders>
              <w:top w:val="nil"/>
              <w:left w:val="nil"/>
              <w:bottom w:val="nil"/>
              <w:right w:val="single" w:sz="4" w:space="0" w:color="000000"/>
            </w:tcBorders>
            <w:shd w:val="clear" w:color="00FF00" w:fill="FFFFFF"/>
            <w:hideMark/>
          </w:tcPr>
          <w:p w14:paraId="388EDA8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Sancionar con multas a los jurados de votación en los casos señalados en el presente código.</w:t>
            </w:r>
          </w:p>
        </w:tc>
        <w:tc>
          <w:tcPr>
            <w:tcW w:w="3798" w:type="dxa"/>
            <w:tcBorders>
              <w:top w:val="nil"/>
              <w:left w:val="nil"/>
              <w:bottom w:val="nil"/>
              <w:right w:val="single" w:sz="4" w:space="0" w:color="000000"/>
            </w:tcBorders>
            <w:shd w:val="clear" w:color="00FF00" w:fill="FFFFFF"/>
            <w:hideMark/>
          </w:tcPr>
          <w:p w14:paraId="5B61A2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Sancionar con multas a los jurados de votación en los casos señalados en el presente código.</w:t>
            </w:r>
          </w:p>
        </w:tc>
        <w:tc>
          <w:tcPr>
            <w:tcW w:w="1480" w:type="dxa"/>
            <w:tcBorders>
              <w:top w:val="nil"/>
              <w:left w:val="nil"/>
              <w:bottom w:val="nil"/>
              <w:right w:val="single" w:sz="4" w:space="0" w:color="000000"/>
            </w:tcBorders>
            <w:shd w:val="clear" w:color="000000" w:fill="FFFFFF"/>
            <w:hideMark/>
          </w:tcPr>
          <w:p w14:paraId="4B9AD9E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258B3E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CD2E08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Actuar como secretarios de la Comisión Escrutadora Distrital y General de Bogotá D.C. Junto con el Alcalde de su circunscripción, regular los lugares y las condiciones para la fijación de carteles, pasacalles, afiches y vallas destinadas a difundir propaganda electoral. </w:t>
            </w:r>
          </w:p>
        </w:tc>
        <w:tc>
          <w:tcPr>
            <w:tcW w:w="3798" w:type="dxa"/>
            <w:tcBorders>
              <w:top w:val="nil"/>
              <w:left w:val="nil"/>
              <w:bottom w:val="nil"/>
              <w:right w:val="single" w:sz="4" w:space="0" w:color="000000"/>
            </w:tcBorders>
            <w:shd w:val="clear" w:color="00FF00" w:fill="FFFFFF"/>
            <w:hideMark/>
          </w:tcPr>
          <w:p w14:paraId="60FCCD8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Actuar como secretarios de la Comisión Escrutadora Distrital y General de Bogotá  D.C. Junto con el Alcalde de su circunscripción, regular los lugares y las condiciones para la fijación de carteles, pasacalles, afiches y vallas destinadas a difundir propaganda electoral.</w:t>
            </w:r>
          </w:p>
        </w:tc>
        <w:tc>
          <w:tcPr>
            <w:tcW w:w="3798" w:type="dxa"/>
            <w:tcBorders>
              <w:top w:val="nil"/>
              <w:left w:val="nil"/>
              <w:bottom w:val="nil"/>
              <w:right w:val="single" w:sz="4" w:space="0" w:color="000000"/>
            </w:tcBorders>
            <w:shd w:val="clear" w:color="00FF00" w:fill="FFFFFF"/>
            <w:hideMark/>
          </w:tcPr>
          <w:p w14:paraId="5D655AC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Actuar como secretarios de la Comisión Escrutadora Distrital y General de Bogotá  D.C. Junto con el Alcalde de su circunscripción, regular los lugares y las condiciones para la fijación de carteles, pasacalles, afiches y vallas destinadas a difundir propaganda electoral.</w:t>
            </w:r>
          </w:p>
        </w:tc>
        <w:tc>
          <w:tcPr>
            <w:tcW w:w="1480" w:type="dxa"/>
            <w:tcBorders>
              <w:top w:val="nil"/>
              <w:left w:val="nil"/>
              <w:bottom w:val="nil"/>
              <w:right w:val="single" w:sz="4" w:space="0" w:color="000000"/>
            </w:tcBorders>
            <w:shd w:val="clear" w:color="000000" w:fill="FFFFFF"/>
            <w:hideMark/>
          </w:tcPr>
          <w:p w14:paraId="145880F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4AE16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FF9E6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Organizar y vigilar los procesos electorales y mecanismos de participación ciudadana que corresponde a su circunscripción electoral.  </w:t>
            </w:r>
          </w:p>
        </w:tc>
        <w:tc>
          <w:tcPr>
            <w:tcW w:w="3798" w:type="dxa"/>
            <w:tcBorders>
              <w:top w:val="nil"/>
              <w:left w:val="nil"/>
              <w:bottom w:val="nil"/>
              <w:right w:val="single" w:sz="4" w:space="0" w:color="000000"/>
            </w:tcBorders>
            <w:shd w:val="clear" w:color="00FF00" w:fill="FFFFFF"/>
            <w:hideMark/>
          </w:tcPr>
          <w:p w14:paraId="711550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Organizar y vigilar los procesos electorales y mecanismos de participación ciudadana que corresponde a su circunscripción electoral.</w:t>
            </w:r>
          </w:p>
        </w:tc>
        <w:tc>
          <w:tcPr>
            <w:tcW w:w="3798" w:type="dxa"/>
            <w:tcBorders>
              <w:top w:val="nil"/>
              <w:left w:val="nil"/>
              <w:bottom w:val="nil"/>
              <w:right w:val="single" w:sz="4" w:space="0" w:color="000000"/>
            </w:tcBorders>
            <w:shd w:val="clear" w:color="00FF00" w:fill="FFFFFF"/>
            <w:hideMark/>
          </w:tcPr>
          <w:p w14:paraId="59C009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Organizar y vigilar los procesos electorales y mecanismos de participación ciudadana que corresponde a su circunscripción electoral.</w:t>
            </w:r>
          </w:p>
        </w:tc>
        <w:tc>
          <w:tcPr>
            <w:tcW w:w="1480" w:type="dxa"/>
            <w:tcBorders>
              <w:top w:val="nil"/>
              <w:left w:val="nil"/>
              <w:bottom w:val="nil"/>
              <w:right w:val="single" w:sz="4" w:space="0" w:color="000000"/>
            </w:tcBorders>
            <w:shd w:val="clear" w:color="000000" w:fill="FFFFFF"/>
            <w:hideMark/>
          </w:tcPr>
          <w:p w14:paraId="372799F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773C8F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4B57D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Llevar las estadísticas electorales de su circunscripción electoral y expedir las correspondientes certificaciones.  </w:t>
            </w:r>
          </w:p>
        </w:tc>
        <w:tc>
          <w:tcPr>
            <w:tcW w:w="3798" w:type="dxa"/>
            <w:tcBorders>
              <w:top w:val="nil"/>
              <w:left w:val="nil"/>
              <w:bottom w:val="nil"/>
              <w:right w:val="single" w:sz="4" w:space="0" w:color="000000"/>
            </w:tcBorders>
            <w:shd w:val="clear" w:color="00FF00" w:fill="FFFFFF"/>
            <w:hideMark/>
          </w:tcPr>
          <w:p w14:paraId="619A0F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Llevar las estadísticas electorales de su circunscripción electoral y expedir las correspondientes certificaciones.</w:t>
            </w:r>
          </w:p>
        </w:tc>
        <w:tc>
          <w:tcPr>
            <w:tcW w:w="3798" w:type="dxa"/>
            <w:tcBorders>
              <w:top w:val="nil"/>
              <w:left w:val="nil"/>
              <w:bottom w:val="nil"/>
              <w:right w:val="single" w:sz="4" w:space="0" w:color="000000"/>
            </w:tcBorders>
            <w:shd w:val="clear" w:color="00FF00" w:fill="FFFFFF"/>
            <w:hideMark/>
          </w:tcPr>
          <w:p w14:paraId="6E5CE45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Llevar las estadísticas electorales de su circunscripción electoral y expedir las correspondientes certificaciones.</w:t>
            </w:r>
          </w:p>
        </w:tc>
        <w:tc>
          <w:tcPr>
            <w:tcW w:w="1480" w:type="dxa"/>
            <w:tcBorders>
              <w:top w:val="nil"/>
              <w:left w:val="nil"/>
              <w:bottom w:val="nil"/>
              <w:right w:val="single" w:sz="4" w:space="0" w:color="000000"/>
            </w:tcBorders>
            <w:shd w:val="clear" w:color="000000" w:fill="FFFFFF"/>
            <w:hideMark/>
          </w:tcPr>
          <w:p w14:paraId="7CB0D8A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8B453D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FF0BCC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Adelantar los procesos de revisión de apoyos de los mecanismos de participación ciudadana y las inscripciones de candidatos independientes que correspondan a su circunscripción electoral. </w:t>
            </w:r>
          </w:p>
        </w:tc>
        <w:tc>
          <w:tcPr>
            <w:tcW w:w="3798" w:type="dxa"/>
            <w:tcBorders>
              <w:top w:val="nil"/>
              <w:left w:val="nil"/>
              <w:bottom w:val="nil"/>
              <w:right w:val="single" w:sz="4" w:space="0" w:color="000000"/>
            </w:tcBorders>
            <w:shd w:val="clear" w:color="00FF00" w:fill="FFFFFF"/>
            <w:hideMark/>
          </w:tcPr>
          <w:p w14:paraId="71865E4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Adelantar los procesos de revisión de apoyos de los mecanismos de participación ciudadana y las inscripciones de candidatos independientes que correspondan a su circunscripción electoral.</w:t>
            </w:r>
          </w:p>
        </w:tc>
        <w:tc>
          <w:tcPr>
            <w:tcW w:w="3798" w:type="dxa"/>
            <w:tcBorders>
              <w:top w:val="nil"/>
              <w:left w:val="nil"/>
              <w:bottom w:val="nil"/>
              <w:right w:val="single" w:sz="4" w:space="0" w:color="000000"/>
            </w:tcBorders>
            <w:shd w:val="clear" w:color="00FF00" w:fill="FFFFFF"/>
            <w:hideMark/>
          </w:tcPr>
          <w:p w14:paraId="4ADCAB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Adelantar los procesos de revisión de apoyos de los mecanismos de participación ciudadana y las inscripciones de candidatos independientes que correspondan a su circunscripción electoral.</w:t>
            </w:r>
          </w:p>
        </w:tc>
        <w:tc>
          <w:tcPr>
            <w:tcW w:w="1480" w:type="dxa"/>
            <w:tcBorders>
              <w:top w:val="nil"/>
              <w:left w:val="nil"/>
              <w:bottom w:val="nil"/>
              <w:right w:val="single" w:sz="4" w:space="0" w:color="000000"/>
            </w:tcBorders>
            <w:shd w:val="clear" w:color="000000" w:fill="FFFFFF"/>
            <w:hideMark/>
          </w:tcPr>
          <w:p w14:paraId="0EAD48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131630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901D1C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Resolver las consultas sobre materia electoral y todas aquellas concernientes a su cargo.  </w:t>
            </w:r>
          </w:p>
        </w:tc>
        <w:tc>
          <w:tcPr>
            <w:tcW w:w="3798" w:type="dxa"/>
            <w:tcBorders>
              <w:top w:val="nil"/>
              <w:left w:val="nil"/>
              <w:bottom w:val="nil"/>
              <w:right w:val="single" w:sz="4" w:space="0" w:color="000000"/>
            </w:tcBorders>
            <w:shd w:val="clear" w:color="00FF00" w:fill="FFFFFF"/>
            <w:hideMark/>
          </w:tcPr>
          <w:p w14:paraId="45DA65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Resolver las consultas sobre materia electoral y todas aquellas concernientes a su cargo.</w:t>
            </w:r>
          </w:p>
        </w:tc>
        <w:tc>
          <w:tcPr>
            <w:tcW w:w="3798" w:type="dxa"/>
            <w:tcBorders>
              <w:top w:val="nil"/>
              <w:left w:val="nil"/>
              <w:bottom w:val="nil"/>
              <w:right w:val="single" w:sz="4" w:space="0" w:color="000000"/>
            </w:tcBorders>
            <w:shd w:val="clear" w:color="00FF00" w:fill="FFFFFF"/>
            <w:hideMark/>
          </w:tcPr>
          <w:p w14:paraId="667EBD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Resolver las consultas sobre materia electoral y todas aquellas concernientes a su cargo.</w:t>
            </w:r>
          </w:p>
        </w:tc>
        <w:tc>
          <w:tcPr>
            <w:tcW w:w="1480" w:type="dxa"/>
            <w:tcBorders>
              <w:top w:val="nil"/>
              <w:left w:val="nil"/>
              <w:bottom w:val="nil"/>
              <w:right w:val="single" w:sz="4" w:space="0" w:color="000000"/>
            </w:tcBorders>
            <w:shd w:val="clear" w:color="000000" w:fill="FFFFFF"/>
            <w:hideMark/>
          </w:tcPr>
          <w:p w14:paraId="274585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6F23CC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EB08E2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Reemplazar los jurados de votación que se excusen o estén impedidos para ejercer el cargo.  </w:t>
            </w:r>
          </w:p>
        </w:tc>
        <w:tc>
          <w:tcPr>
            <w:tcW w:w="3798" w:type="dxa"/>
            <w:tcBorders>
              <w:top w:val="nil"/>
              <w:left w:val="nil"/>
              <w:bottom w:val="nil"/>
              <w:right w:val="single" w:sz="4" w:space="0" w:color="000000"/>
            </w:tcBorders>
            <w:shd w:val="clear" w:color="00FF00" w:fill="FFFFFF"/>
            <w:hideMark/>
          </w:tcPr>
          <w:p w14:paraId="664B72F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Reemplazar los jurados de votación que se excusen o estén impedidos para ejercer el cargo.</w:t>
            </w:r>
          </w:p>
        </w:tc>
        <w:tc>
          <w:tcPr>
            <w:tcW w:w="3798" w:type="dxa"/>
            <w:tcBorders>
              <w:top w:val="nil"/>
              <w:left w:val="nil"/>
              <w:bottom w:val="nil"/>
              <w:right w:val="single" w:sz="4" w:space="0" w:color="000000"/>
            </w:tcBorders>
            <w:shd w:val="clear" w:color="00FF00" w:fill="FFFFFF"/>
            <w:hideMark/>
          </w:tcPr>
          <w:p w14:paraId="7786826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Reemplazar los jurados de votación que se excusen o estén impedidos para ejercer el cargo.</w:t>
            </w:r>
          </w:p>
        </w:tc>
        <w:tc>
          <w:tcPr>
            <w:tcW w:w="1480" w:type="dxa"/>
            <w:tcBorders>
              <w:top w:val="nil"/>
              <w:left w:val="nil"/>
              <w:bottom w:val="nil"/>
              <w:right w:val="single" w:sz="4" w:space="0" w:color="000000"/>
            </w:tcBorders>
            <w:shd w:val="clear" w:color="000000" w:fill="FFFFFF"/>
            <w:hideMark/>
          </w:tcPr>
          <w:p w14:paraId="7E44F8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D22754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611809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Nombrar para el día de las elecciones los jurados remanentes, con facultad para reemplazar a los jurados que no concurran a desempeñar sus funciones o que abandonen el cargo.  </w:t>
            </w:r>
          </w:p>
        </w:tc>
        <w:tc>
          <w:tcPr>
            <w:tcW w:w="3798" w:type="dxa"/>
            <w:tcBorders>
              <w:top w:val="nil"/>
              <w:left w:val="nil"/>
              <w:bottom w:val="nil"/>
              <w:right w:val="single" w:sz="4" w:space="0" w:color="000000"/>
            </w:tcBorders>
            <w:shd w:val="clear" w:color="00FF00" w:fill="FFFFFF"/>
            <w:hideMark/>
          </w:tcPr>
          <w:p w14:paraId="687E2D5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Nombrar para el día de las elecciones los jurados remanentes, con facultad para reemplazar a los jurados que no concurran a desempeñar sus funciones o que abandonen el cargo.</w:t>
            </w:r>
          </w:p>
        </w:tc>
        <w:tc>
          <w:tcPr>
            <w:tcW w:w="3798" w:type="dxa"/>
            <w:tcBorders>
              <w:top w:val="nil"/>
              <w:left w:val="nil"/>
              <w:bottom w:val="nil"/>
              <w:right w:val="single" w:sz="4" w:space="0" w:color="000000"/>
            </w:tcBorders>
            <w:shd w:val="clear" w:color="00FF00" w:fill="FFFFFF"/>
            <w:hideMark/>
          </w:tcPr>
          <w:p w14:paraId="4B9D52D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Nombrar para el día de las elecciones los jurados remanentes, con facultad para reemplazar a los jurados que no concurran a desempeñar sus funciones o que abandonen el cargo.</w:t>
            </w:r>
          </w:p>
        </w:tc>
        <w:tc>
          <w:tcPr>
            <w:tcW w:w="1480" w:type="dxa"/>
            <w:tcBorders>
              <w:top w:val="nil"/>
              <w:left w:val="nil"/>
              <w:bottom w:val="nil"/>
              <w:right w:val="single" w:sz="4" w:space="0" w:color="000000"/>
            </w:tcBorders>
            <w:shd w:val="clear" w:color="000000" w:fill="FFFFFF"/>
            <w:hideMark/>
          </w:tcPr>
          <w:p w14:paraId="6D7F06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7D3D5AD"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DFAA1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Comunicar el día mismo de las elecciones, por lo menos, al Registrador Nacional del Estado Civil, a los delegados de éste, al Ministro del Interior y al Alcalde Mayor los resultados de las votaciones, y publicarlos. (Concordancia. </w:t>
            </w:r>
            <w:r w:rsidRPr="00222F34">
              <w:rPr>
                <w:rFonts w:ascii="Calibri" w:eastAsia="Times New Roman" w:hAnsi="Calibri" w:cs="Calibri"/>
                <w:color w:val="000000"/>
                <w:lang w:val="es-CO" w:eastAsia="es-CO" w:bidi="ar-SA"/>
              </w:rPr>
              <w:lastRenderedPageBreak/>
              <w:t xml:space="preserve">Ley 892/04, art.1, parágrafo 2°: Las urnas serán reemplazadas por registros en bases de datos o por el medio idóneo que se establezca).  </w:t>
            </w:r>
          </w:p>
        </w:tc>
        <w:tc>
          <w:tcPr>
            <w:tcW w:w="3798" w:type="dxa"/>
            <w:tcBorders>
              <w:top w:val="nil"/>
              <w:left w:val="nil"/>
              <w:bottom w:val="nil"/>
              <w:right w:val="single" w:sz="4" w:space="0" w:color="000000"/>
            </w:tcBorders>
            <w:shd w:val="clear" w:color="00FF00" w:fill="FFFFFF"/>
            <w:hideMark/>
          </w:tcPr>
          <w:p w14:paraId="431945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10. Comunicar el día mismo de las elecciones, por lo menos, al Registrador Nacional del Estado Civil, a los delegados de éste, al Ministro del Interior y al Alcalde Mayor los resultados de las votaciones, y publicarlos. (Concordancia. </w:t>
            </w:r>
            <w:r w:rsidRPr="00222F34">
              <w:rPr>
                <w:rFonts w:ascii="Calibri" w:eastAsia="Times New Roman" w:hAnsi="Calibri" w:cs="Calibri"/>
                <w:color w:val="000000"/>
                <w:lang w:val="es-CO" w:eastAsia="es-CO" w:bidi="ar-SA"/>
              </w:rPr>
              <w:lastRenderedPageBreak/>
              <w:t>Ley 892/04, art.1, parágrafo 2°: Las urnas serán reemplazadas por registros en bases de datos o por el medio idóneo que se establezca).</w:t>
            </w:r>
          </w:p>
        </w:tc>
        <w:tc>
          <w:tcPr>
            <w:tcW w:w="3798" w:type="dxa"/>
            <w:tcBorders>
              <w:top w:val="nil"/>
              <w:left w:val="nil"/>
              <w:bottom w:val="nil"/>
              <w:right w:val="single" w:sz="4" w:space="0" w:color="000000"/>
            </w:tcBorders>
            <w:shd w:val="clear" w:color="00FF00" w:fill="FFFFFF"/>
            <w:hideMark/>
          </w:tcPr>
          <w:p w14:paraId="3B7D264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10. Comunicar el día mismo de las elecciones, por lo menos, al Registrador Nacional del Estado Civil, a los delegados de éste, al Ministro del Interior y al Alcalde Mayor los resultados de las votaciones, y publicarlos. (Concordancia. </w:t>
            </w:r>
            <w:r w:rsidRPr="00222F34">
              <w:rPr>
                <w:rFonts w:ascii="Calibri" w:eastAsia="Times New Roman" w:hAnsi="Calibri" w:cs="Calibri"/>
                <w:color w:val="000000"/>
                <w:lang w:val="es-CO" w:eastAsia="es-CO" w:bidi="ar-SA"/>
              </w:rPr>
              <w:lastRenderedPageBreak/>
              <w:t>Ley 892/04, art.1, parágrafo 2°: Las urnas serán reemplazadas por registros en bases de datos o por el medio idóneo que se establezca).</w:t>
            </w:r>
          </w:p>
        </w:tc>
        <w:tc>
          <w:tcPr>
            <w:tcW w:w="1480" w:type="dxa"/>
            <w:tcBorders>
              <w:top w:val="nil"/>
              <w:left w:val="nil"/>
              <w:bottom w:val="nil"/>
              <w:right w:val="single" w:sz="4" w:space="0" w:color="000000"/>
            </w:tcBorders>
            <w:shd w:val="clear" w:color="000000" w:fill="FFFFFF"/>
            <w:hideMark/>
          </w:tcPr>
          <w:p w14:paraId="4B333D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2F3F3E1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4B8FDC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11. </w:t>
            </w:r>
            <w:r w:rsidRPr="00222F34">
              <w:rPr>
                <w:rFonts w:ascii="Calibri" w:eastAsia="Times New Roman" w:hAnsi="Calibri" w:cs="Calibri"/>
                <w:color w:val="000000"/>
                <w:lang w:val="es-CO" w:eastAsia="es-CO" w:bidi="ar-SA"/>
              </w:rPr>
              <w:t>Atender las solicitudes y comisiones realizadas por el Consejo Nacional Electoral.</w:t>
            </w: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FF00" w:fill="FFFFFF"/>
            <w:hideMark/>
          </w:tcPr>
          <w:p w14:paraId="27ED84E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Atender las solicitudes y comisiones realizadas por el Consejo Nacional Electoral.</w:t>
            </w:r>
          </w:p>
        </w:tc>
        <w:tc>
          <w:tcPr>
            <w:tcW w:w="3798" w:type="dxa"/>
            <w:tcBorders>
              <w:top w:val="nil"/>
              <w:left w:val="nil"/>
              <w:bottom w:val="nil"/>
              <w:right w:val="single" w:sz="4" w:space="0" w:color="000000"/>
            </w:tcBorders>
            <w:shd w:val="clear" w:color="00FF00" w:fill="FFFFFF"/>
            <w:hideMark/>
          </w:tcPr>
          <w:p w14:paraId="5E106D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Atender las solicitudes y comisiones realizadas por el Consejo Nacional Electoral.</w:t>
            </w:r>
          </w:p>
        </w:tc>
        <w:tc>
          <w:tcPr>
            <w:tcW w:w="1480" w:type="dxa"/>
            <w:tcBorders>
              <w:top w:val="nil"/>
              <w:left w:val="nil"/>
              <w:bottom w:val="nil"/>
              <w:right w:val="single" w:sz="4" w:space="0" w:color="000000"/>
            </w:tcBorders>
            <w:shd w:val="clear" w:color="000000" w:fill="FFFFFF"/>
            <w:hideMark/>
          </w:tcPr>
          <w:p w14:paraId="373960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7B3B7D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83EDA3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12. En identificación de las personas y Registro Civil: </w:t>
            </w:r>
          </w:p>
        </w:tc>
        <w:tc>
          <w:tcPr>
            <w:tcW w:w="3798" w:type="dxa"/>
            <w:tcBorders>
              <w:top w:val="nil"/>
              <w:left w:val="nil"/>
              <w:bottom w:val="nil"/>
              <w:right w:val="single" w:sz="4" w:space="0" w:color="000000"/>
            </w:tcBorders>
            <w:shd w:val="clear" w:color="00FF00" w:fill="FFFFFF"/>
            <w:hideMark/>
          </w:tcPr>
          <w:p w14:paraId="0E47521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12. En identificación de las personas y Registro Civil:</w:t>
            </w:r>
          </w:p>
        </w:tc>
        <w:tc>
          <w:tcPr>
            <w:tcW w:w="3798" w:type="dxa"/>
            <w:tcBorders>
              <w:top w:val="nil"/>
              <w:left w:val="nil"/>
              <w:bottom w:val="nil"/>
              <w:right w:val="single" w:sz="4" w:space="0" w:color="000000"/>
            </w:tcBorders>
            <w:shd w:val="clear" w:color="00FF00" w:fill="FFFFFF"/>
            <w:hideMark/>
          </w:tcPr>
          <w:p w14:paraId="612526D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12. En identificación de las personas y Registro Civil:</w:t>
            </w:r>
          </w:p>
        </w:tc>
        <w:tc>
          <w:tcPr>
            <w:tcW w:w="1480" w:type="dxa"/>
            <w:tcBorders>
              <w:top w:val="nil"/>
              <w:left w:val="nil"/>
              <w:bottom w:val="nil"/>
              <w:right w:val="single" w:sz="4" w:space="0" w:color="000000"/>
            </w:tcBorders>
            <w:shd w:val="clear" w:color="000000" w:fill="FFFFFF"/>
            <w:hideMark/>
          </w:tcPr>
          <w:p w14:paraId="694F712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66C626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4A147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Velar por la correcta asignación de los seriales distribuidos por la Dirección de Registro Civil para la inscripción de nacimiento, matrimonio, defunción y demás documentos relacionados con el registro civil y, del mismo modo, vigilar su correcta utilización. </w:t>
            </w:r>
          </w:p>
        </w:tc>
        <w:tc>
          <w:tcPr>
            <w:tcW w:w="3798" w:type="dxa"/>
            <w:tcBorders>
              <w:top w:val="nil"/>
              <w:left w:val="nil"/>
              <w:bottom w:val="nil"/>
              <w:right w:val="single" w:sz="4" w:space="0" w:color="000000"/>
            </w:tcBorders>
            <w:shd w:val="clear" w:color="00FF00" w:fill="FFFFFF"/>
            <w:hideMark/>
          </w:tcPr>
          <w:p w14:paraId="2A444F7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Velar por la correcta asignación de los seriales distribuidos por la Dirección de Registro Civil para la inscripción de nacimiento, matrimonio, defunción y demás documentos relacionados con el registro civil y, del mismo modo, vigilar su correcta utilización.</w:t>
            </w:r>
          </w:p>
        </w:tc>
        <w:tc>
          <w:tcPr>
            <w:tcW w:w="3798" w:type="dxa"/>
            <w:tcBorders>
              <w:top w:val="nil"/>
              <w:left w:val="nil"/>
              <w:bottom w:val="nil"/>
              <w:right w:val="single" w:sz="4" w:space="0" w:color="000000"/>
            </w:tcBorders>
            <w:shd w:val="clear" w:color="00FF00" w:fill="FFFFFF"/>
            <w:hideMark/>
          </w:tcPr>
          <w:p w14:paraId="19A83E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Velar por la correcta asignación de los seriales distribuidos por la Dirección de Registro Civil para la inscripción de nacimiento, matrimonio, defunción y demás documentos relacionados con el registro civil y, del mismo modo, vigilar su correcta utilización.</w:t>
            </w:r>
          </w:p>
        </w:tc>
        <w:tc>
          <w:tcPr>
            <w:tcW w:w="1480" w:type="dxa"/>
            <w:tcBorders>
              <w:top w:val="nil"/>
              <w:left w:val="nil"/>
              <w:bottom w:val="nil"/>
              <w:right w:val="single" w:sz="4" w:space="0" w:color="000000"/>
            </w:tcBorders>
            <w:shd w:val="clear" w:color="000000" w:fill="FFFFFF"/>
            <w:hideMark/>
          </w:tcPr>
          <w:p w14:paraId="667375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923CB4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70930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Asesorar y capacitar a los registradores auxiliares, en materia de registro civil e identificación e, igualmente, reunir periódicamente a los registradores de su respectiva circunscripción para orientarlos en la interpretación y aplicación de las normas vigentes. </w:t>
            </w:r>
          </w:p>
        </w:tc>
        <w:tc>
          <w:tcPr>
            <w:tcW w:w="3798" w:type="dxa"/>
            <w:tcBorders>
              <w:top w:val="nil"/>
              <w:left w:val="nil"/>
              <w:bottom w:val="nil"/>
              <w:right w:val="single" w:sz="4" w:space="0" w:color="000000"/>
            </w:tcBorders>
            <w:shd w:val="clear" w:color="00FF00" w:fill="FFFFFF"/>
            <w:hideMark/>
          </w:tcPr>
          <w:p w14:paraId="76A92CB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Asesorar y capacitar a los registradores auxiliares, en materia de registro civil e identificación e, igualmente, reunir periódicamente a los registradores de su respectiva circunscripción para orientarlos en la interpretación y aplicación de las normas vigentes.</w:t>
            </w:r>
          </w:p>
        </w:tc>
        <w:tc>
          <w:tcPr>
            <w:tcW w:w="3798" w:type="dxa"/>
            <w:tcBorders>
              <w:top w:val="nil"/>
              <w:left w:val="nil"/>
              <w:bottom w:val="nil"/>
              <w:right w:val="single" w:sz="4" w:space="0" w:color="000000"/>
            </w:tcBorders>
            <w:shd w:val="clear" w:color="00FF00" w:fill="FFFFFF"/>
            <w:hideMark/>
          </w:tcPr>
          <w:p w14:paraId="5324EA9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Asesorar y capacitar a los registradores auxiliares, en materia de registro civil e identificación e, igualmente, reunir periódicamente a los registradores de su respectiva circunscripción para orientarlos en la interpretación y aplicación de las normas vigentes.</w:t>
            </w:r>
          </w:p>
        </w:tc>
        <w:tc>
          <w:tcPr>
            <w:tcW w:w="1480" w:type="dxa"/>
            <w:tcBorders>
              <w:top w:val="nil"/>
              <w:left w:val="nil"/>
              <w:bottom w:val="nil"/>
              <w:right w:val="single" w:sz="4" w:space="0" w:color="000000"/>
            </w:tcBorders>
            <w:shd w:val="clear" w:color="000000" w:fill="FFFFFF"/>
            <w:hideMark/>
          </w:tcPr>
          <w:p w14:paraId="4A480CE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DC1EF5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D3AB9C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Vigilar y controlar la debida y oportuna prestación del servicio de registro civil e identificación, la remisión y actualización oportuna de la </w:t>
            </w:r>
            <w:r w:rsidRPr="00222F34">
              <w:rPr>
                <w:rFonts w:ascii="Calibri" w:eastAsia="Times New Roman" w:hAnsi="Calibri" w:cs="Calibri"/>
                <w:color w:val="000000"/>
                <w:lang w:val="es-CO" w:eastAsia="es-CO" w:bidi="ar-SA"/>
              </w:rPr>
              <w:lastRenderedPageBreak/>
              <w:t xml:space="preserve">información en los sistemas de registro civil y Archivo Nacional de Identificación. </w:t>
            </w:r>
          </w:p>
        </w:tc>
        <w:tc>
          <w:tcPr>
            <w:tcW w:w="3798" w:type="dxa"/>
            <w:tcBorders>
              <w:top w:val="nil"/>
              <w:left w:val="nil"/>
              <w:bottom w:val="nil"/>
              <w:right w:val="single" w:sz="4" w:space="0" w:color="000000"/>
            </w:tcBorders>
            <w:shd w:val="clear" w:color="00FF00" w:fill="FFFFFF"/>
            <w:hideMark/>
          </w:tcPr>
          <w:p w14:paraId="50F54C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 Vigilar y controlar la debida y oportuna prestación del servicio de registro civil e identificación, la remisión y actualización oportuna de la </w:t>
            </w:r>
            <w:r w:rsidRPr="00222F34">
              <w:rPr>
                <w:rFonts w:ascii="Calibri" w:eastAsia="Times New Roman" w:hAnsi="Calibri" w:cs="Calibri"/>
                <w:color w:val="000000"/>
                <w:lang w:val="es-CO" w:eastAsia="es-CO" w:bidi="ar-SA"/>
              </w:rPr>
              <w:lastRenderedPageBreak/>
              <w:t>información en los sistemas de registro civil y Archivo Nacional de Identificación.</w:t>
            </w:r>
          </w:p>
        </w:tc>
        <w:tc>
          <w:tcPr>
            <w:tcW w:w="3798" w:type="dxa"/>
            <w:tcBorders>
              <w:top w:val="nil"/>
              <w:left w:val="nil"/>
              <w:bottom w:val="nil"/>
              <w:right w:val="single" w:sz="4" w:space="0" w:color="000000"/>
            </w:tcBorders>
            <w:shd w:val="clear" w:color="00FF00" w:fill="FFFFFF"/>
            <w:hideMark/>
          </w:tcPr>
          <w:p w14:paraId="6D86877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 Vigilar y controlar la debida y oportuna prestación del servicio de registro civil e identificación, la remisión y actualización oportuna de la </w:t>
            </w:r>
            <w:r w:rsidRPr="00222F34">
              <w:rPr>
                <w:rFonts w:ascii="Calibri" w:eastAsia="Times New Roman" w:hAnsi="Calibri" w:cs="Calibri"/>
                <w:color w:val="000000"/>
                <w:lang w:val="es-CO" w:eastAsia="es-CO" w:bidi="ar-SA"/>
              </w:rPr>
              <w:lastRenderedPageBreak/>
              <w:t>información en los sistemas de registro civil y Archivo Nacional de Identificación.</w:t>
            </w:r>
          </w:p>
        </w:tc>
        <w:tc>
          <w:tcPr>
            <w:tcW w:w="1480" w:type="dxa"/>
            <w:tcBorders>
              <w:top w:val="nil"/>
              <w:left w:val="nil"/>
              <w:bottom w:val="nil"/>
              <w:right w:val="single" w:sz="4" w:space="0" w:color="000000"/>
            </w:tcBorders>
            <w:shd w:val="clear" w:color="000000" w:fill="FFFFFF"/>
            <w:hideMark/>
          </w:tcPr>
          <w:p w14:paraId="5D082D6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0AA8878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407447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 Participar en las campañas de registro civil e identificación organizadas por la Registraduría Delegada para Registro Civil e Identificación. </w:t>
            </w:r>
          </w:p>
        </w:tc>
        <w:tc>
          <w:tcPr>
            <w:tcW w:w="3798" w:type="dxa"/>
            <w:tcBorders>
              <w:top w:val="nil"/>
              <w:left w:val="nil"/>
              <w:bottom w:val="nil"/>
              <w:right w:val="single" w:sz="4" w:space="0" w:color="000000"/>
            </w:tcBorders>
            <w:shd w:val="clear" w:color="00FF00" w:fill="FFFFFF"/>
            <w:hideMark/>
          </w:tcPr>
          <w:p w14:paraId="15DAE9C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Participar en las campañas de registro civil e identificación organizadas por la Registraduría Delegada para Registro Civil e Identificación.</w:t>
            </w:r>
          </w:p>
        </w:tc>
        <w:tc>
          <w:tcPr>
            <w:tcW w:w="3798" w:type="dxa"/>
            <w:tcBorders>
              <w:top w:val="nil"/>
              <w:left w:val="nil"/>
              <w:bottom w:val="nil"/>
              <w:right w:val="single" w:sz="4" w:space="0" w:color="000000"/>
            </w:tcBorders>
            <w:shd w:val="clear" w:color="00FF00" w:fill="FFFFFF"/>
            <w:hideMark/>
          </w:tcPr>
          <w:p w14:paraId="0A47D2B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Participar en las campañas de registro civil e identificación organizadas por la Registraduría Delegada para Registro Civil e Identificación.</w:t>
            </w:r>
          </w:p>
        </w:tc>
        <w:tc>
          <w:tcPr>
            <w:tcW w:w="1480" w:type="dxa"/>
            <w:tcBorders>
              <w:top w:val="nil"/>
              <w:left w:val="nil"/>
              <w:bottom w:val="nil"/>
              <w:right w:val="single" w:sz="4" w:space="0" w:color="000000"/>
            </w:tcBorders>
            <w:shd w:val="clear" w:color="000000" w:fill="FFFFFF"/>
            <w:hideMark/>
          </w:tcPr>
          <w:p w14:paraId="006A576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D17875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E640FD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Coordinar las acciones para la debida prestación de los trámites de preparación y actualización de los documentos de identidad de su respectiva circunscripción. </w:t>
            </w:r>
          </w:p>
        </w:tc>
        <w:tc>
          <w:tcPr>
            <w:tcW w:w="3798" w:type="dxa"/>
            <w:tcBorders>
              <w:top w:val="nil"/>
              <w:left w:val="nil"/>
              <w:bottom w:val="nil"/>
              <w:right w:val="single" w:sz="4" w:space="0" w:color="000000"/>
            </w:tcBorders>
            <w:shd w:val="clear" w:color="00FF00" w:fill="FFFFFF"/>
            <w:hideMark/>
          </w:tcPr>
          <w:p w14:paraId="5FC0D9F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Coordinar las acciones para la debida prestación de los trámites de preparación y actualización de los documentos de identidad de su respectiva circunscripción.</w:t>
            </w:r>
          </w:p>
        </w:tc>
        <w:tc>
          <w:tcPr>
            <w:tcW w:w="3798" w:type="dxa"/>
            <w:tcBorders>
              <w:top w:val="nil"/>
              <w:left w:val="nil"/>
              <w:bottom w:val="nil"/>
              <w:right w:val="single" w:sz="4" w:space="0" w:color="000000"/>
            </w:tcBorders>
            <w:shd w:val="clear" w:color="00FF00" w:fill="FFFFFF"/>
            <w:hideMark/>
          </w:tcPr>
          <w:p w14:paraId="047626E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Coordinar las acciones para la debida prestación de los trámites de preparación y actualización de los documentos de identidad de su respectiva circunscripción.</w:t>
            </w:r>
          </w:p>
        </w:tc>
        <w:tc>
          <w:tcPr>
            <w:tcW w:w="1480" w:type="dxa"/>
            <w:tcBorders>
              <w:top w:val="nil"/>
              <w:left w:val="nil"/>
              <w:bottom w:val="nil"/>
              <w:right w:val="single" w:sz="4" w:space="0" w:color="000000"/>
            </w:tcBorders>
            <w:shd w:val="clear" w:color="000000" w:fill="FFFFFF"/>
            <w:hideMark/>
          </w:tcPr>
          <w:p w14:paraId="43BF4DC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9A4C8C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AAECE7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Monitorear la disposición de las herramientas tecnológicas o insumos para los trámites de registro civil y de los documentos de identidad.  </w:t>
            </w:r>
          </w:p>
        </w:tc>
        <w:tc>
          <w:tcPr>
            <w:tcW w:w="3798" w:type="dxa"/>
            <w:tcBorders>
              <w:top w:val="nil"/>
              <w:left w:val="nil"/>
              <w:bottom w:val="nil"/>
              <w:right w:val="single" w:sz="4" w:space="0" w:color="000000"/>
            </w:tcBorders>
            <w:shd w:val="clear" w:color="00FF00" w:fill="FFFFFF"/>
            <w:hideMark/>
          </w:tcPr>
          <w:p w14:paraId="0F34AE1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Monitorear la disposición de las herramientas tecnológicas o insumos para los trámites de registro civil y de los documentos de identidad.</w:t>
            </w:r>
          </w:p>
        </w:tc>
        <w:tc>
          <w:tcPr>
            <w:tcW w:w="3798" w:type="dxa"/>
            <w:tcBorders>
              <w:top w:val="nil"/>
              <w:left w:val="nil"/>
              <w:bottom w:val="nil"/>
              <w:right w:val="single" w:sz="4" w:space="0" w:color="000000"/>
            </w:tcBorders>
            <w:shd w:val="clear" w:color="00FF00" w:fill="FFFFFF"/>
            <w:hideMark/>
          </w:tcPr>
          <w:p w14:paraId="730754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Monitorear la disposición de las herramientas tecnológicas o insumos para los trámites de registro civil y de los documentos de identidad.</w:t>
            </w:r>
          </w:p>
        </w:tc>
        <w:tc>
          <w:tcPr>
            <w:tcW w:w="1480" w:type="dxa"/>
            <w:tcBorders>
              <w:top w:val="nil"/>
              <w:left w:val="nil"/>
              <w:bottom w:val="nil"/>
              <w:right w:val="single" w:sz="4" w:space="0" w:color="000000"/>
            </w:tcBorders>
            <w:shd w:val="clear" w:color="000000" w:fill="FFFFFF"/>
            <w:hideMark/>
          </w:tcPr>
          <w:p w14:paraId="7B43F8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7C455D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1B7EB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Participar en los comités departamentales de Estadísticas vitales. </w:t>
            </w:r>
          </w:p>
        </w:tc>
        <w:tc>
          <w:tcPr>
            <w:tcW w:w="3798" w:type="dxa"/>
            <w:tcBorders>
              <w:top w:val="nil"/>
              <w:left w:val="nil"/>
              <w:bottom w:val="nil"/>
              <w:right w:val="single" w:sz="4" w:space="0" w:color="000000"/>
            </w:tcBorders>
            <w:shd w:val="clear" w:color="00FF00" w:fill="FFFFFF"/>
            <w:hideMark/>
          </w:tcPr>
          <w:p w14:paraId="47C0A9A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Participar en los comités departamentales de Estadísticas vitales.</w:t>
            </w:r>
          </w:p>
        </w:tc>
        <w:tc>
          <w:tcPr>
            <w:tcW w:w="3798" w:type="dxa"/>
            <w:tcBorders>
              <w:top w:val="nil"/>
              <w:left w:val="nil"/>
              <w:bottom w:val="nil"/>
              <w:right w:val="single" w:sz="4" w:space="0" w:color="000000"/>
            </w:tcBorders>
            <w:shd w:val="clear" w:color="00FF00" w:fill="FFFFFF"/>
            <w:hideMark/>
          </w:tcPr>
          <w:p w14:paraId="4538A53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Participar en los comités departamentales de Estadísticas vitales.</w:t>
            </w:r>
          </w:p>
        </w:tc>
        <w:tc>
          <w:tcPr>
            <w:tcW w:w="1480" w:type="dxa"/>
            <w:tcBorders>
              <w:top w:val="nil"/>
              <w:left w:val="nil"/>
              <w:bottom w:val="nil"/>
              <w:right w:val="single" w:sz="4" w:space="0" w:color="000000"/>
            </w:tcBorders>
            <w:shd w:val="clear" w:color="000000" w:fill="FFFFFF"/>
            <w:hideMark/>
          </w:tcPr>
          <w:p w14:paraId="2927D2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6874C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21D056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Colaborar de forma armónica con las oficinas registrales de su circunscripción. </w:t>
            </w:r>
          </w:p>
        </w:tc>
        <w:tc>
          <w:tcPr>
            <w:tcW w:w="3798" w:type="dxa"/>
            <w:tcBorders>
              <w:top w:val="nil"/>
              <w:left w:val="nil"/>
              <w:bottom w:val="nil"/>
              <w:right w:val="single" w:sz="4" w:space="0" w:color="000000"/>
            </w:tcBorders>
            <w:shd w:val="clear" w:color="00FF00" w:fill="FFFFFF"/>
            <w:hideMark/>
          </w:tcPr>
          <w:p w14:paraId="6E65D99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Colaborar de forma armónica con las oficinas registrales de su circunscripción.</w:t>
            </w:r>
          </w:p>
        </w:tc>
        <w:tc>
          <w:tcPr>
            <w:tcW w:w="3798" w:type="dxa"/>
            <w:tcBorders>
              <w:top w:val="nil"/>
              <w:left w:val="nil"/>
              <w:bottom w:val="nil"/>
              <w:right w:val="single" w:sz="4" w:space="0" w:color="000000"/>
            </w:tcBorders>
            <w:shd w:val="clear" w:color="00FF00" w:fill="FFFFFF"/>
            <w:hideMark/>
          </w:tcPr>
          <w:p w14:paraId="545A9D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Colaborar de forma armónica con las oficinas registrales de su circunscripción.</w:t>
            </w:r>
          </w:p>
        </w:tc>
        <w:tc>
          <w:tcPr>
            <w:tcW w:w="1480" w:type="dxa"/>
            <w:tcBorders>
              <w:top w:val="nil"/>
              <w:left w:val="nil"/>
              <w:bottom w:val="nil"/>
              <w:right w:val="single" w:sz="4" w:space="0" w:color="000000"/>
            </w:tcBorders>
            <w:shd w:val="clear" w:color="000000" w:fill="FFFFFF"/>
            <w:hideMark/>
          </w:tcPr>
          <w:p w14:paraId="3353517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7868F9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853F0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Diseñar e implementar estrategias para evitar el subregistro, optimizar los procesos de identificación y garantizar la entrega oportuna de los documentos de identidad. </w:t>
            </w:r>
          </w:p>
        </w:tc>
        <w:tc>
          <w:tcPr>
            <w:tcW w:w="3798" w:type="dxa"/>
            <w:tcBorders>
              <w:top w:val="nil"/>
              <w:left w:val="nil"/>
              <w:bottom w:val="nil"/>
              <w:right w:val="single" w:sz="4" w:space="0" w:color="000000"/>
            </w:tcBorders>
            <w:shd w:val="clear" w:color="00FF00" w:fill="FFFFFF"/>
            <w:hideMark/>
          </w:tcPr>
          <w:p w14:paraId="37513B2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Diseñar e implementar estrategias para evitar el subregistro, optimizar los procesos de identificación y garantizar la entrega oportuna de los documentos de identidad.</w:t>
            </w:r>
          </w:p>
        </w:tc>
        <w:tc>
          <w:tcPr>
            <w:tcW w:w="3798" w:type="dxa"/>
            <w:tcBorders>
              <w:top w:val="nil"/>
              <w:left w:val="nil"/>
              <w:bottom w:val="nil"/>
              <w:right w:val="single" w:sz="4" w:space="0" w:color="000000"/>
            </w:tcBorders>
            <w:shd w:val="clear" w:color="00FF00" w:fill="FFFFFF"/>
            <w:hideMark/>
          </w:tcPr>
          <w:p w14:paraId="425743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Diseñar e implementar estrategias para evitar el subregistro, optimizar los procesos de identificación y garantizar la entrega oportuna de los documentos de identidad.</w:t>
            </w:r>
          </w:p>
        </w:tc>
        <w:tc>
          <w:tcPr>
            <w:tcW w:w="1480" w:type="dxa"/>
            <w:tcBorders>
              <w:top w:val="nil"/>
              <w:left w:val="nil"/>
              <w:bottom w:val="nil"/>
              <w:right w:val="single" w:sz="4" w:space="0" w:color="000000"/>
            </w:tcBorders>
            <w:shd w:val="clear" w:color="000000" w:fill="FFFFFF"/>
            <w:hideMark/>
          </w:tcPr>
          <w:p w14:paraId="28B8E06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537453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03F4D1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j. Establecer controles para prevenir y evitar fraudes en el registro civil y la identificación. </w:t>
            </w:r>
          </w:p>
        </w:tc>
        <w:tc>
          <w:tcPr>
            <w:tcW w:w="3798" w:type="dxa"/>
            <w:tcBorders>
              <w:top w:val="nil"/>
              <w:left w:val="nil"/>
              <w:bottom w:val="nil"/>
              <w:right w:val="single" w:sz="4" w:space="0" w:color="000000"/>
            </w:tcBorders>
            <w:shd w:val="clear" w:color="00FF00" w:fill="FFFFFF"/>
            <w:hideMark/>
          </w:tcPr>
          <w:p w14:paraId="777DAF9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Establecer controles para prevenir y evitar fraudes en el registro civil y la identificación.</w:t>
            </w:r>
          </w:p>
        </w:tc>
        <w:tc>
          <w:tcPr>
            <w:tcW w:w="3798" w:type="dxa"/>
            <w:tcBorders>
              <w:top w:val="nil"/>
              <w:left w:val="nil"/>
              <w:bottom w:val="nil"/>
              <w:right w:val="single" w:sz="4" w:space="0" w:color="000000"/>
            </w:tcBorders>
            <w:shd w:val="clear" w:color="00FF00" w:fill="FFFFFF"/>
            <w:hideMark/>
          </w:tcPr>
          <w:p w14:paraId="2BC6293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Establecer controles para prevenir y evitar fraudes en el registro civil y la identificación.</w:t>
            </w:r>
          </w:p>
        </w:tc>
        <w:tc>
          <w:tcPr>
            <w:tcW w:w="1480" w:type="dxa"/>
            <w:tcBorders>
              <w:top w:val="nil"/>
              <w:left w:val="nil"/>
              <w:bottom w:val="nil"/>
              <w:right w:val="single" w:sz="4" w:space="0" w:color="000000"/>
            </w:tcBorders>
            <w:shd w:val="clear" w:color="000000" w:fill="FFFFFF"/>
            <w:hideMark/>
          </w:tcPr>
          <w:p w14:paraId="6C2728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94D50D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4685E6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k. Promover el uso de los servicios digitales establecidos por la entidad. </w:t>
            </w:r>
          </w:p>
        </w:tc>
        <w:tc>
          <w:tcPr>
            <w:tcW w:w="3798" w:type="dxa"/>
            <w:tcBorders>
              <w:top w:val="nil"/>
              <w:left w:val="nil"/>
              <w:bottom w:val="nil"/>
              <w:right w:val="single" w:sz="4" w:space="0" w:color="000000"/>
            </w:tcBorders>
            <w:shd w:val="clear" w:color="00FF00" w:fill="FFFFFF"/>
            <w:hideMark/>
          </w:tcPr>
          <w:p w14:paraId="52FB3B9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Promover el uso de los servicios digitales establecidos por la entidad.</w:t>
            </w:r>
          </w:p>
        </w:tc>
        <w:tc>
          <w:tcPr>
            <w:tcW w:w="3798" w:type="dxa"/>
            <w:tcBorders>
              <w:top w:val="nil"/>
              <w:left w:val="nil"/>
              <w:bottom w:val="nil"/>
              <w:right w:val="single" w:sz="4" w:space="0" w:color="000000"/>
            </w:tcBorders>
            <w:shd w:val="clear" w:color="00FF00" w:fill="FFFFFF"/>
            <w:hideMark/>
          </w:tcPr>
          <w:p w14:paraId="0B29C7F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Promover el uso de los servicios digitales establecidos por la entidad.</w:t>
            </w:r>
          </w:p>
        </w:tc>
        <w:tc>
          <w:tcPr>
            <w:tcW w:w="1480" w:type="dxa"/>
            <w:tcBorders>
              <w:top w:val="nil"/>
              <w:left w:val="nil"/>
              <w:bottom w:val="nil"/>
              <w:right w:val="single" w:sz="4" w:space="0" w:color="000000"/>
            </w:tcBorders>
            <w:shd w:val="clear" w:color="000000" w:fill="FFFFFF"/>
            <w:hideMark/>
          </w:tcPr>
          <w:p w14:paraId="5CE99D8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B36B98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622E0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 Las demás que les asigne la ley y el registrador Nacional del Estado Civil. </w:t>
            </w:r>
          </w:p>
        </w:tc>
        <w:tc>
          <w:tcPr>
            <w:tcW w:w="3798" w:type="dxa"/>
            <w:tcBorders>
              <w:top w:val="nil"/>
              <w:left w:val="nil"/>
              <w:bottom w:val="nil"/>
              <w:right w:val="single" w:sz="4" w:space="0" w:color="000000"/>
            </w:tcBorders>
            <w:shd w:val="clear" w:color="00FF00" w:fill="FFFFFF"/>
            <w:hideMark/>
          </w:tcPr>
          <w:p w14:paraId="331822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Las demás que les asigne la ley y el registrador Nacional del Estado Civil.</w:t>
            </w:r>
          </w:p>
        </w:tc>
        <w:tc>
          <w:tcPr>
            <w:tcW w:w="3798" w:type="dxa"/>
            <w:tcBorders>
              <w:top w:val="nil"/>
              <w:left w:val="nil"/>
              <w:bottom w:val="nil"/>
              <w:right w:val="single" w:sz="4" w:space="0" w:color="000000"/>
            </w:tcBorders>
            <w:shd w:val="clear" w:color="00FF00" w:fill="FFFFFF"/>
            <w:hideMark/>
          </w:tcPr>
          <w:p w14:paraId="40026AF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Las demás que les asigne la ley y el registrador Nacional del Estado Civil.</w:t>
            </w:r>
          </w:p>
        </w:tc>
        <w:tc>
          <w:tcPr>
            <w:tcW w:w="1480" w:type="dxa"/>
            <w:tcBorders>
              <w:top w:val="nil"/>
              <w:left w:val="nil"/>
              <w:bottom w:val="nil"/>
              <w:right w:val="single" w:sz="4" w:space="0" w:color="000000"/>
            </w:tcBorders>
            <w:shd w:val="clear" w:color="000000" w:fill="FFFFFF"/>
            <w:hideMark/>
          </w:tcPr>
          <w:p w14:paraId="37CE94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8462BA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D774C8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13. En lo electoral: </w:t>
            </w:r>
          </w:p>
        </w:tc>
        <w:tc>
          <w:tcPr>
            <w:tcW w:w="3798" w:type="dxa"/>
            <w:tcBorders>
              <w:top w:val="nil"/>
              <w:left w:val="nil"/>
              <w:bottom w:val="nil"/>
              <w:right w:val="single" w:sz="4" w:space="0" w:color="000000"/>
            </w:tcBorders>
            <w:shd w:val="clear" w:color="00FF00" w:fill="FFFFFF"/>
            <w:hideMark/>
          </w:tcPr>
          <w:p w14:paraId="74C08A0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13. En lo electoral:</w:t>
            </w:r>
          </w:p>
        </w:tc>
        <w:tc>
          <w:tcPr>
            <w:tcW w:w="3798" w:type="dxa"/>
            <w:tcBorders>
              <w:top w:val="nil"/>
              <w:left w:val="nil"/>
              <w:bottom w:val="nil"/>
              <w:right w:val="single" w:sz="4" w:space="0" w:color="000000"/>
            </w:tcBorders>
            <w:shd w:val="clear" w:color="00FF00" w:fill="FFFFFF"/>
            <w:hideMark/>
          </w:tcPr>
          <w:p w14:paraId="197BE8F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13. En lo electoral:</w:t>
            </w:r>
          </w:p>
        </w:tc>
        <w:tc>
          <w:tcPr>
            <w:tcW w:w="1480" w:type="dxa"/>
            <w:tcBorders>
              <w:top w:val="nil"/>
              <w:left w:val="nil"/>
              <w:bottom w:val="nil"/>
              <w:right w:val="single" w:sz="4" w:space="0" w:color="000000"/>
            </w:tcBorders>
            <w:shd w:val="clear" w:color="000000" w:fill="FFFFFF"/>
            <w:hideMark/>
          </w:tcPr>
          <w:p w14:paraId="41A5FF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00B14A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704B0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Actuar como secretarios de la comisión escrutadora distrital y general.  </w:t>
            </w:r>
          </w:p>
        </w:tc>
        <w:tc>
          <w:tcPr>
            <w:tcW w:w="3798" w:type="dxa"/>
            <w:tcBorders>
              <w:top w:val="nil"/>
              <w:left w:val="nil"/>
              <w:bottom w:val="nil"/>
              <w:right w:val="single" w:sz="4" w:space="0" w:color="000000"/>
            </w:tcBorders>
            <w:shd w:val="clear" w:color="00FF00" w:fill="FFFFFF"/>
            <w:hideMark/>
          </w:tcPr>
          <w:p w14:paraId="69F6151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Actuar como secretarios de la comisión escrutadora distrital y general.</w:t>
            </w:r>
          </w:p>
        </w:tc>
        <w:tc>
          <w:tcPr>
            <w:tcW w:w="3798" w:type="dxa"/>
            <w:tcBorders>
              <w:top w:val="nil"/>
              <w:left w:val="nil"/>
              <w:bottom w:val="nil"/>
              <w:right w:val="single" w:sz="4" w:space="0" w:color="000000"/>
            </w:tcBorders>
            <w:shd w:val="clear" w:color="00FF00" w:fill="FFFFFF"/>
            <w:hideMark/>
          </w:tcPr>
          <w:p w14:paraId="20942DE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Actuar como secretarios de la comisión escrutadora distrital y general.</w:t>
            </w:r>
          </w:p>
        </w:tc>
        <w:tc>
          <w:tcPr>
            <w:tcW w:w="1480" w:type="dxa"/>
            <w:tcBorders>
              <w:top w:val="nil"/>
              <w:left w:val="nil"/>
              <w:bottom w:val="nil"/>
              <w:right w:val="single" w:sz="4" w:space="0" w:color="000000"/>
            </w:tcBorders>
            <w:shd w:val="clear" w:color="000000" w:fill="FFFFFF"/>
            <w:hideMark/>
          </w:tcPr>
          <w:p w14:paraId="6FB2F91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2CD857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4249C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Organizar y vigilar los procesos electorales y mecanismos de participación ciudadana que corresponden a su circunscripción electoral. </w:t>
            </w:r>
          </w:p>
        </w:tc>
        <w:tc>
          <w:tcPr>
            <w:tcW w:w="3798" w:type="dxa"/>
            <w:tcBorders>
              <w:top w:val="nil"/>
              <w:left w:val="nil"/>
              <w:bottom w:val="nil"/>
              <w:right w:val="single" w:sz="4" w:space="0" w:color="000000"/>
            </w:tcBorders>
            <w:shd w:val="clear" w:color="00FF00" w:fill="FFFFFF"/>
            <w:hideMark/>
          </w:tcPr>
          <w:p w14:paraId="0BA1D13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Organizar y vigilar los procesos electorales y mecanismos de participación ciudadana que corresponden a su circunscripción electoral.</w:t>
            </w:r>
          </w:p>
        </w:tc>
        <w:tc>
          <w:tcPr>
            <w:tcW w:w="3798" w:type="dxa"/>
            <w:tcBorders>
              <w:top w:val="nil"/>
              <w:left w:val="nil"/>
              <w:bottom w:val="nil"/>
              <w:right w:val="single" w:sz="4" w:space="0" w:color="000000"/>
            </w:tcBorders>
            <w:shd w:val="clear" w:color="00FF00" w:fill="FFFFFF"/>
            <w:hideMark/>
          </w:tcPr>
          <w:p w14:paraId="59E37D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Organizar y vigilar los procesos electorales y mecanismos de participación ciudadana que corresponden a su circunscripción electoral.</w:t>
            </w:r>
          </w:p>
        </w:tc>
        <w:tc>
          <w:tcPr>
            <w:tcW w:w="1480" w:type="dxa"/>
            <w:tcBorders>
              <w:top w:val="nil"/>
              <w:left w:val="nil"/>
              <w:bottom w:val="nil"/>
              <w:right w:val="single" w:sz="4" w:space="0" w:color="000000"/>
            </w:tcBorders>
            <w:shd w:val="clear" w:color="000000" w:fill="FFFFFF"/>
            <w:hideMark/>
          </w:tcPr>
          <w:p w14:paraId="074CA7C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36C1BA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184F51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Coordinar la adecuada construcción y apropiada actualización de la división política electoral. </w:t>
            </w:r>
          </w:p>
        </w:tc>
        <w:tc>
          <w:tcPr>
            <w:tcW w:w="3798" w:type="dxa"/>
            <w:tcBorders>
              <w:top w:val="nil"/>
              <w:left w:val="nil"/>
              <w:bottom w:val="nil"/>
              <w:right w:val="single" w:sz="4" w:space="0" w:color="000000"/>
            </w:tcBorders>
            <w:shd w:val="clear" w:color="00FF00" w:fill="FFFFFF"/>
            <w:hideMark/>
          </w:tcPr>
          <w:p w14:paraId="24BBB1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Coordinar la adecuada construcción y apropiada actualización de la división política electoral.</w:t>
            </w:r>
          </w:p>
        </w:tc>
        <w:tc>
          <w:tcPr>
            <w:tcW w:w="3798" w:type="dxa"/>
            <w:tcBorders>
              <w:top w:val="nil"/>
              <w:left w:val="nil"/>
              <w:bottom w:val="nil"/>
              <w:right w:val="single" w:sz="4" w:space="0" w:color="000000"/>
            </w:tcBorders>
            <w:shd w:val="clear" w:color="00FF00" w:fill="FFFFFF"/>
            <w:hideMark/>
          </w:tcPr>
          <w:p w14:paraId="4F821C9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Coordinar la adecuada construcción y apropiada actualización de la división política electoral.</w:t>
            </w:r>
          </w:p>
        </w:tc>
        <w:tc>
          <w:tcPr>
            <w:tcW w:w="1480" w:type="dxa"/>
            <w:tcBorders>
              <w:top w:val="nil"/>
              <w:left w:val="nil"/>
              <w:bottom w:val="nil"/>
              <w:right w:val="single" w:sz="4" w:space="0" w:color="000000"/>
            </w:tcBorders>
            <w:shd w:val="clear" w:color="000000" w:fill="FFFFFF"/>
            <w:hideMark/>
          </w:tcPr>
          <w:p w14:paraId="4D8F097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8B62B9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56E0A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Coordinar y supervisar los procesos de zonificación municipal. </w:t>
            </w:r>
          </w:p>
        </w:tc>
        <w:tc>
          <w:tcPr>
            <w:tcW w:w="3798" w:type="dxa"/>
            <w:tcBorders>
              <w:top w:val="nil"/>
              <w:left w:val="nil"/>
              <w:bottom w:val="nil"/>
              <w:right w:val="single" w:sz="4" w:space="0" w:color="000000"/>
            </w:tcBorders>
            <w:shd w:val="clear" w:color="00FF00" w:fill="FFFFFF"/>
            <w:hideMark/>
          </w:tcPr>
          <w:p w14:paraId="498343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Coordinar y supervisar los procesos de zonificación municipal.</w:t>
            </w:r>
          </w:p>
        </w:tc>
        <w:tc>
          <w:tcPr>
            <w:tcW w:w="3798" w:type="dxa"/>
            <w:tcBorders>
              <w:top w:val="nil"/>
              <w:left w:val="nil"/>
              <w:bottom w:val="nil"/>
              <w:right w:val="single" w:sz="4" w:space="0" w:color="000000"/>
            </w:tcBorders>
            <w:shd w:val="clear" w:color="00FF00" w:fill="FFFFFF"/>
            <w:hideMark/>
          </w:tcPr>
          <w:p w14:paraId="4BC7FFD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Coordinar y supervisar los procesos de zonificación municipal.</w:t>
            </w:r>
          </w:p>
        </w:tc>
        <w:tc>
          <w:tcPr>
            <w:tcW w:w="1480" w:type="dxa"/>
            <w:tcBorders>
              <w:top w:val="nil"/>
              <w:left w:val="nil"/>
              <w:bottom w:val="nil"/>
              <w:right w:val="single" w:sz="4" w:space="0" w:color="000000"/>
            </w:tcBorders>
            <w:shd w:val="clear" w:color="000000" w:fill="FFFFFF"/>
            <w:hideMark/>
          </w:tcPr>
          <w:p w14:paraId="52AFAE1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825157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FB29F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Decidir, por medio de resolución, las apelaciones que se interpongan contra las sanciones impuestas por los registradores del Estado Civil a los jurados de votación. </w:t>
            </w:r>
          </w:p>
        </w:tc>
        <w:tc>
          <w:tcPr>
            <w:tcW w:w="3798" w:type="dxa"/>
            <w:tcBorders>
              <w:top w:val="nil"/>
              <w:left w:val="nil"/>
              <w:bottom w:val="nil"/>
              <w:right w:val="single" w:sz="4" w:space="0" w:color="000000"/>
            </w:tcBorders>
            <w:shd w:val="clear" w:color="00FF00" w:fill="FFFFFF"/>
            <w:hideMark/>
          </w:tcPr>
          <w:p w14:paraId="4297868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Decidir, por medio de resolución, las apelaciones que se interpongan contra las sanciones impuestas por los registradores del Estado Civil a los jurados de votación.</w:t>
            </w:r>
          </w:p>
        </w:tc>
        <w:tc>
          <w:tcPr>
            <w:tcW w:w="3798" w:type="dxa"/>
            <w:tcBorders>
              <w:top w:val="nil"/>
              <w:left w:val="nil"/>
              <w:bottom w:val="nil"/>
              <w:right w:val="single" w:sz="4" w:space="0" w:color="000000"/>
            </w:tcBorders>
            <w:shd w:val="clear" w:color="00FF00" w:fill="FFFFFF"/>
            <w:hideMark/>
          </w:tcPr>
          <w:p w14:paraId="4A10AC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Decidir, por medio de resolución, las apelaciones que se interpongan contra las sanciones impuestas por los registradores del Estado Civil a los jurados de votación.</w:t>
            </w:r>
          </w:p>
        </w:tc>
        <w:tc>
          <w:tcPr>
            <w:tcW w:w="1480" w:type="dxa"/>
            <w:tcBorders>
              <w:top w:val="nil"/>
              <w:left w:val="nil"/>
              <w:bottom w:val="nil"/>
              <w:right w:val="single" w:sz="4" w:space="0" w:color="000000"/>
            </w:tcBorders>
            <w:shd w:val="clear" w:color="000000" w:fill="FFFFFF"/>
            <w:hideMark/>
          </w:tcPr>
          <w:p w14:paraId="7CAA30F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22ACADA" w14:textId="77777777" w:rsidTr="00222F34">
        <w:trPr>
          <w:trHeight w:val="960"/>
        </w:trPr>
        <w:tc>
          <w:tcPr>
            <w:tcW w:w="3798" w:type="dxa"/>
            <w:tcBorders>
              <w:top w:val="nil"/>
              <w:left w:val="single" w:sz="4" w:space="0" w:color="000000"/>
              <w:bottom w:val="nil"/>
              <w:right w:val="single" w:sz="4" w:space="0" w:color="000000"/>
            </w:tcBorders>
            <w:shd w:val="clear" w:color="000000" w:fill="FFFFFF"/>
            <w:hideMark/>
          </w:tcPr>
          <w:p w14:paraId="31B4AC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Adelantar la inscripción de las candidaturas para el Senado de la República, a la Cámara de Representantes de su circunscripción electoral y todas las Circunscripciones Especiales, gobernador y Asamblea Departamental. </w:t>
            </w:r>
          </w:p>
        </w:tc>
        <w:tc>
          <w:tcPr>
            <w:tcW w:w="3798" w:type="dxa"/>
            <w:tcBorders>
              <w:top w:val="nil"/>
              <w:left w:val="nil"/>
              <w:bottom w:val="nil"/>
              <w:right w:val="single" w:sz="4" w:space="0" w:color="000000"/>
            </w:tcBorders>
            <w:shd w:val="clear" w:color="00FF00" w:fill="FFFFFF"/>
            <w:hideMark/>
          </w:tcPr>
          <w:p w14:paraId="7B532E2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Adelantar la inscripción de las candidaturas para el Senado de la República, a la Cámara de Representantes de su circunscripción electoral y todas las Circunscripciones Especiales.</w:t>
            </w:r>
          </w:p>
        </w:tc>
        <w:tc>
          <w:tcPr>
            <w:tcW w:w="3798" w:type="dxa"/>
            <w:tcBorders>
              <w:top w:val="nil"/>
              <w:left w:val="nil"/>
              <w:bottom w:val="nil"/>
              <w:right w:val="single" w:sz="4" w:space="0" w:color="000000"/>
            </w:tcBorders>
            <w:shd w:val="clear" w:color="00FF00" w:fill="FFFFFF"/>
            <w:hideMark/>
          </w:tcPr>
          <w:p w14:paraId="411DFB5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Adelantar la inscripción de las candidaturas para el Senado de la República, a la Cámara de Representantes de su circunscripción electoral y todas las Circunscripciones Especiales.</w:t>
            </w:r>
          </w:p>
        </w:tc>
        <w:tc>
          <w:tcPr>
            <w:tcW w:w="1480" w:type="dxa"/>
            <w:tcBorders>
              <w:top w:val="nil"/>
              <w:left w:val="nil"/>
              <w:bottom w:val="nil"/>
              <w:right w:val="single" w:sz="4" w:space="0" w:color="000000"/>
            </w:tcBorders>
            <w:shd w:val="clear" w:color="000000" w:fill="FFFFFF"/>
            <w:hideMark/>
          </w:tcPr>
          <w:p w14:paraId="3640E1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C655B5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EB4F78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Ejecutar la póliza de seriedad de la candidatura de los grupos significativos de ciudadanos inscritos en su circunscripción. </w:t>
            </w:r>
          </w:p>
        </w:tc>
        <w:tc>
          <w:tcPr>
            <w:tcW w:w="3798" w:type="dxa"/>
            <w:tcBorders>
              <w:top w:val="nil"/>
              <w:left w:val="nil"/>
              <w:bottom w:val="nil"/>
              <w:right w:val="single" w:sz="4" w:space="0" w:color="000000"/>
            </w:tcBorders>
            <w:shd w:val="clear" w:color="00FF00" w:fill="FFFFFF"/>
            <w:hideMark/>
          </w:tcPr>
          <w:p w14:paraId="2F88799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Ejecutar la póliza de seriedad de la candidatura de los grupos significativos de ciudadanos inscritos en su circunscripción.</w:t>
            </w:r>
          </w:p>
        </w:tc>
        <w:tc>
          <w:tcPr>
            <w:tcW w:w="3798" w:type="dxa"/>
            <w:tcBorders>
              <w:top w:val="nil"/>
              <w:left w:val="nil"/>
              <w:bottom w:val="nil"/>
              <w:right w:val="single" w:sz="4" w:space="0" w:color="000000"/>
            </w:tcBorders>
            <w:shd w:val="clear" w:color="00FF00" w:fill="FFFFFF"/>
            <w:hideMark/>
          </w:tcPr>
          <w:p w14:paraId="21AC77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Ejecutar la póliza de seriedad de la candidatura de los grupos significativos de ciudadanos inscritos en su circunscripción.</w:t>
            </w:r>
          </w:p>
        </w:tc>
        <w:tc>
          <w:tcPr>
            <w:tcW w:w="1480" w:type="dxa"/>
            <w:tcBorders>
              <w:top w:val="nil"/>
              <w:left w:val="nil"/>
              <w:bottom w:val="nil"/>
              <w:right w:val="single" w:sz="4" w:space="0" w:color="000000"/>
            </w:tcBorders>
            <w:shd w:val="clear" w:color="000000" w:fill="FFFFFF"/>
            <w:hideMark/>
          </w:tcPr>
          <w:p w14:paraId="707DFD2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5B49EE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76D1B6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h. Llevar las estadísticas electorales de su circunscripción electoral y expedir las correspondientes certificaciones. </w:t>
            </w:r>
          </w:p>
        </w:tc>
        <w:tc>
          <w:tcPr>
            <w:tcW w:w="3798" w:type="dxa"/>
            <w:tcBorders>
              <w:top w:val="nil"/>
              <w:left w:val="nil"/>
              <w:bottom w:val="nil"/>
              <w:right w:val="single" w:sz="4" w:space="0" w:color="000000"/>
            </w:tcBorders>
            <w:shd w:val="clear" w:color="00FF00" w:fill="FFFFFF"/>
            <w:hideMark/>
          </w:tcPr>
          <w:p w14:paraId="3FC1044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Llevar las estadísticas electorales de su circunscripción electoral y expedir las correspondientes certificaciones.</w:t>
            </w:r>
          </w:p>
        </w:tc>
        <w:tc>
          <w:tcPr>
            <w:tcW w:w="3798" w:type="dxa"/>
            <w:tcBorders>
              <w:top w:val="nil"/>
              <w:left w:val="nil"/>
              <w:bottom w:val="nil"/>
              <w:right w:val="single" w:sz="4" w:space="0" w:color="000000"/>
            </w:tcBorders>
            <w:shd w:val="clear" w:color="00FF00" w:fill="FFFFFF"/>
            <w:hideMark/>
          </w:tcPr>
          <w:p w14:paraId="6ACCF0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Llevar las estadísticas electorales de su circunscripción electoral y expedir las correspondientes certificaciones.</w:t>
            </w:r>
          </w:p>
        </w:tc>
        <w:tc>
          <w:tcPr>
            <w:tcW w:w="1480" w:type="dxa"/>
            <w:tcBorders>
              <w:top w:val="nil"/>
              <w:left w:val="nil"/>
              <w:bottom w:val="nil"/>
              <w:right w:val="single" w:sz="4" w:space="0" w:color="000000"/>
            </w:tcBorders>
            <w:shd w:val="clear" w:color="000000" w:fill="FFFFFF"/>
            <w:hideMark/>
          </w:tcPr>
          <w:p w14:paraId="5326E1E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7CD8FB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D40CAC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Coordinar con el nivel central de la Registraduría Nacional del Estado Civil los procesos de revisión de firmas de los mecanismos de participación ciudadana y las inscripciones de candidatos de grupos significativos de ciudadanos que correspondan a su circunscripción electoral. </w:t>
            </w:r>
          </w:p>
        </w:tc>
        <w:tc>
          <w:tcPr>
            <w:tcW w:w="3798" w:type="dxa"/>
            <w:tcBorders>
              <w:top w:val="nil"/>
              <w:left w:val="nil"/>
              <w:bottom w:val="nil"/>
              <w:right w:val="single" w:sz="4" w:space="0" w:color="000000"/>
            </w:tcBorders>
            <w:shd w:val="clear" w:color="00FF00" w:fill="FFFFFF"/>
            <w:hideMark/>
          </w:tcPr>
          <w:p w14:paraId="49B0ED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Coordinar con el nivel central de la Registraduría Nacional del Estado Civil los procesos de revisión de firmas de los mecanismos de participación ciudadana y las inscripciones de candidatos de grupos significativos de ciudadanos que correspondan a su circunscripción electoral.</w:t>
            </w:r>
          </w:p>
        </w:tc>
        <w:tc>
          <w:tcPr>
            <w:tcW w:w="3798" w:type="dxa"/>
            <w:tcBorders>
              <w:top w:val="nil"/>
              <w:left w:val="nil"/>
              <w:bottom w:val="nil"/>
              <w:right w:val="single" w:sz="4" w:space="0" w:color="000000"/>
            </w:tcBorders>
            <w:shd w:val="clear" w:color="00FF00" w:fill="FFFFFF"/>
            <w:hideMark/>
          </w:tcPr>
          <w:p w14:paraId="23A23D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Coordinar con el nivel central de la Registraduría Nacional del Estado Civil los procesos de revisión de firmas de los mecanismos de participación ciudadana y las inscripciones de candidatos de grupos significativos de ciudadanos que correspondan a su circunscripción electoral.</w:t>
            </w:r>
          </w:p>
        </w:tc>
        <w:tc>
          <w:tcPr>
            <w:tcW w:w="1480" w:type="dxa"/>
            <w:tcBorders>
              <w:top w:val="nil"/>
              <w:left w:val="nil"/>
              <w:bottom w:val="nil"/>
              <w:right w:val="single" w:sz="4" w:space="0" w:color="000000"/>
            </w:tcBorders>
            <w:shd w:val="clear" w:color="000000" w:fill="FFFFFF"/>
            <w:hideMark/>
          </w:tcPr>
          <w:p w14:paraId="222BDD1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12B84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40F9A4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j. Informar de forma coordinada al nivel central de la Registraduría Nacional del Estado Civil y al Consejo Nacional Electoral de aquellos casos de violencia política contra la mujer que sean de su conocimiento.  </w:t>
            </w:r>
          </w:p>
        </w:tc>
        <w:tc>
          <w:tcPr>
            <w:tcW w:w="3798" w:type="dxa"/>
            <w:tcBorders>
              <w:top w:val="nil"/>
              <w:left w:val="nil"/>
              <w:bottom w:val="nil"/>
              <w:right w:val="single" w:sz="4" w:space="0" w:color="000000"/>
            </w:tcBorders>
            <w:shd w:val="clear" w:color="00FF00" w:fill="FFFFFF"/>
            <w:hideMark/>
          </w:tcPr>
          <w:p w14:paraId="159E69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Informar de forma coordinada al nivel central de la Registraduría Nacional del Estado Civil y al Consejo Nacional Electoral de aquellos casos de violencia política contra la mujer que sean de su conocimiento.</w:t>
            </w:r>
          </w:p>
        </w:tc>
        <w:tc>
          <w:tcPr>
            <w:tcW w:w="3798" w:type="dxa"/>
            <w:tcBorders>
              <w:top w:val="nil"/>
              <w:left w:val="nil"/>
              <w:bottom w:val="nil"/>
              <w:right w:val="single" w:sz="4" w:space="0" w:color="000000"/>
            </w:tcBorders>
            <w:shd w:val="clear" w:color="00FF00" w:fill="FFFFFF"/>
            <w:hideMark/>
          </w:tcPr>
          <w:p w14:paraId="793356C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Informar de forma coordinada al nivel central de la Registraduría Nacional del Estado Civil y al Consejo Nacional Electoral de aquellos casos de violencia política contra la mujer que sean de su conocimiento.</w:t>
            </w:r>
          </w:p>
        </w:tc>
        <w:tc>
          <w:tcPr>
            <w:tcW w:w="1480" w:type="dxa"/>
            <w:tcBorders>
              <w:top w:val="nil"/>
              <w:left w:val="nil"/>
              <w:bottom w:val="nil"/>
              <w:right w:val="single" w:sz="4" w:space="0" w:color="000000"/>
            </w:tcBorders>
            <w:shd w:val="clear" w:color="000000" w:fill="FFFFFF"/>
            <w:hideMark/>
          </w:tcPr>
          <w:p w14:paraId="4194D09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B6C16B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A342E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k. Las demás que les asigne la ley, el registrador Nacional del Estado Civil. </w:t>
            </w:r>
          </w:p>
        </w:tc>
        <w:tc>
          <w:tcPr>
            <w:tcW w:w="3798" w:type="dxa"/>
            <w:tcBorders>
              <w:top w:val="nil"/>
              <w:left w:val="nil"/>
              <w:bottom w:val="nil"/>
              <w:right w:val="single" w:sz="4" w:space="0" w:color="000000"/>
            </w:tcBorders>
            <w:shd w:val="clear" w:color="00FF00" w:fill="FFFFFF"/>
            <w:hideMark/>
          </w:tcPr>
          <w:p w14:paraId="7EEC5C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Las demás que les asigne la ley, el registrador Nacional del Estado Civil.</w:t>
            </w:r>
          </w:p>
        </w:tc>
        <w:tc>
          <w:tcPr>
            <w:tcW w:w="3798" w:type="dxa"/>
            <w:tcBorders>
              <w:top w:val="nil"/>
              <w:left w:val="nil"/>
              <w:bottom w:val="nil"/>
              <w:right w:val="single" w:sz="4" w:space="0" w:color="000000"/>
            </w:tcBorders>
            <w:shd w:val="clear" w:color="00FF00" w:fill="FFFFFF"/>
            <w:hideMark/>
          </w:tcPr>
          <w:p w14:paraId="4CB4E20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Las demás que les asigne la ley, el registrador Nacional del Estado Civil.</w:t>
            </w:r>
          </w:p>
        </w:tc>
        <w:tc>
          <w:tcPr>
            <w:tcW w:w="1480" w:type="dxa"/>
            <w:tcBorders>
              <w:top w:val="nil"/>
              <w:left w:val="nil"/>
              <w:bottom w:val="nil"/>
              <w:right w:val="single" w:sz="4" w:space="0" w:color="000000"/>
            </w:tcBorders>
            <w:shd w:val="clear" w:color="000000" w:fill="FFFFFF"/>
            <w:hideMark/>
          </w:tcPr>
          <w:p w14:paraId="52503E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EF3814B"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2CB009B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FF00" w:fill="FFFFFF"/>
            <w:hideMark/>
          </w:tcPr>
          <w:p w14:paraId="7871F4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Organizar las elecciones y responder especialmente por la ubicación y los cambios de los puestos de votación y sitios para escrutinios.</w:t>
            </w:r>
          </w:p>
        </w:tc>
        <w:tc>
          <w:tcPr>
            <w:tcW w:w="3798" w:type="dxa"/>
            <w:tcBorders>
              <w:top w:val="nil"/>
              <w:left w:val="nil"/>
              <w:bottom w:val="nil"/>
              <w:right w:val="single" w:sz="4" w:space="0" w:color="000000"/>
            </w:tcBorders>
            <w:shd w:val="clear" w:color="00FF00" w:fill="FFFFFF"/>
            <w:hideMark/>
          </w:tcPr>
          <w:p w14:paraId="46C424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Organizar las elecciones y responder especialmente por la ubicación y los cambios de los puestos de votación y sitios para escrutinios.</w:t>
            </w:r>
          </w:p>
        </w:tc>
        <w:tc>
          <w:tcPr>
            <w:tcW w:w="1480" w:type="dxa"/>
            <w:tcBorders>
              <w:top w:val="nil"/>
              <w:left w:val="nil"/>
              <w:bottom w:val="nil"/>
              <w:right w:val="single" w:sz="4" w:space="0" w:color="000000"/>
            </w:tcBorders>
            <w:shd w:val="clear" w:color="000000" w:fill="FFFFFF"/>
            <w:hideMark/>
          </w:tcPr>
          <w:p w14:paraId="6DBE0C87" w14:textId="2D2664AC" w:rsidR="00222F34" w:rsidRPr="00222F34" w:rsidRDefault="00222F34" w:rsidP="00222F34">
            <w:pPr>
              <w:widowControl/>
              <w:autoSpaceDE/>
              <w:autoSpaceDN/>
              <w:jc w:val="left"/>
              <w:rPr>
                <w:rFonts w:ascii="Calibri" w:eastAsia="Times New Roman" w:hAnsi="Calibri" w:cs="Calibri"/>
                <w:color w:val="000000"/>
                <w:lang w:val="es-CO" w:eastAsia="es-CO" w:bidi="ar-SA"/>
              </w:rPr>
            </w:pPr>
          </w:p>
        </w:tc>
      </w:tr>
      <w:tr w:rsidR="00222F34" w:rsidRPr="00222F34" w14:paraId="33FA597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EB3E39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14. Talento Humano:</w:t>
            </w:r>
          </w:p>
        </w:tc>
        <w:tc>
          <w:tcPr>
            <w:tcW w:w="3798" w:type="dxa"/>
            <w:tcBorders>
              <w:top w:val="nil"/>
              <w:left w:val="nil"/>
              <w:bottom w:val="nil"/>
              <w:right w:val="single" w:sz="4" w:space="0" w:color="000000"/>
            </w:tcBorders>
            <w:shd w:val="clear" w:color="00FF00" w:fill="FFFFFF"/>
            <w:hideMark/>
          </w:tcPr>
          <w:p w14:paraId="662F5E1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14. Talento Humano:</w:t>
            </w:r>
          </w:p>
        </w:tc>
        <w:tc>
          <w:tcPr>
            <w:tcW w:w="3798" w:type="dxa"/>
            <w:tcBorders>
              <w:top w:val="nil"/>
              <w:left w:val="nil"/>
              <w:bottom w:val="nil"/>
              <w:right w:val="single" w:sz="4" w:space="0" w:color="000000"/>
            </w:tcBorders>
            <w:shd w:val="clear" w:color="00FF00" w:fill="FFFFFF"/>
            <w:hideMark/>
          </w:tcPr>
          <w:p w14:paraId="423A703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14. Talento Humano:</w:t>
            </w:r>
          </w:p>
        </w:tc>
        <w:tc>
          <w:tcPr>
            <w:tcW w:w="1480" w:type="dxa"/>
            <w:tcBorders>
              <w:top w:val="nil"/>
              <w:left w:val="nil"/>
              <w:bottom w:val="nil"/>
              <w:right w:val="single" w:sz="4" w:space="0" w:color="000000"/>
            </w:tcBorders>
            <w:shd w:val="clear" w:color="000000" w:fill="FFFFFF"/>
            <w:hideMark/>
          </w:tcPr>
          <w:p w14:paraId="56EF436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777DAD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64795F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Disponer el movimiento del personal en sus respectivas dependencias. </w:t>
            </w:r>
          </w:p>
        </w:tc>
        <w:tc>
          <w:tcPr>
            <w:tcW w:w="3798" w:type="dxa"/>
            <w:tcBorders>
              <w:top w:val="nil"/>
              <w:left w:val="nil"/>
              <w:bottom w:val="nil"/>
              <w:right w:val="single" w:sz="4" w:space="0" w:color="000000"/>
            </w:tcBorders>
            <w:shd w:val="clear" w:color="00FF00" w:fill="FFFFFF"/>
            <w:hideMark/>
          </w:tcPr>
          <w:p w14:paraId="23509C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Disponer el movimiento del personal en sus respectivas dependencias.</w:t>
            </w:r>
          </w:p>
        </w:tc>
        <w:tc>
          <w:tcPr>
            <w:tcW w:w="3798" w:type="dxa"/>
            <w:tcBorders>
              <w:top w:val="nil"/>
              <w:left w:val="nil"/>
              <w:bottom w:val="nil"/>
              <w:right w:val="single" w:sz="4" w:space="0" w:color="000000"/>
            </w:tcBorders>
            <w:shd w:val="clear" w:color="00FF00" w:fill="FFFFFF"/>
            <w:hideMark/>
          </w:tcPr>
          <w:p w14:paraId="668D622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Disponer el movimiento del personal en sus respectivas dependencias.</w:t>
            </w:r>
          </w:p>
        </w:tc>
        <w:tc>
          <w:tcPr>
            <w:tcW w:w="1480" w:type="dxa"/>
            <w:tcBorders>
              <w:top w:val="nil"/>
              <w:left w:val="nil"/>
              <w:bottom w:val="nil"/>
              <w:right w:val="single" w:sz="4" w:space="0" w:color="000000"/>
            </w:tcBorders>
            <w:shd w:val="clear" w:color="000000" w:fill="FFFFFF"/>
            <w:hideMark/>
          </w:tcPr>
          <w:p w14:paraId="58FA5AB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E28231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C12CC8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Investigar en segunda instancia las actuaciones y conductas administrativas de los empleados subalternos e imponer las sanciones a que hubiere lugar. </w:t>
            </w:r>
          </w:p>
        </w:tc>
        <w:tc>
          <w:tcPr>
            <w:tcW w:w="3798" w:type="dxa"/>
            <w:tcBorders>
              <w:top w:val="nil"/>
              <w:left w:val="nil"/>
              <w:bottom w:val="nil"/>
              <w:right w:val="single" w:sz="4" w:space="0" w:color="000000"/>
            </w:tcBorders>
            <w:shd w:val="clear" w:color="00FF00" w:fill="FFFFFF"/>
            <w:hideMark/>
          </w:tcPr>
          <w:p w14:paraId="283C7AB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Investigar en segunda instancia las actuaciones y conductas administrativas de los empleados subalternos e imponer las sanciones a que hubiere lugar.</w:t>
            </w:r>
          </w:p>
        </w:tc>
        <w:tc>
          <w:tcPr>
            <w:tcW w:w="3798" w:type="dxa"/>
            <w:tcBorders>
              <w:top w:val="nil"/>
              <w:left w:val="nil"/>
              <w:bottom w:val="nil"/>
              <w:right w:val="single" w:sz="4" w:space="0" w:color="000000"/>
            </w:tcBorders>
            <w:shd w:val="clear" w:color="00FF00" w:fill="FFFFFF"/>
            <w:hideMark/>
          </w:tcPr>
          <w:p w14:paraId="333D3A2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Investigar en segunda instancia las actuaciones y conductas administrativas de los empleados subalternos e imponer las sanciones a que hubiere lugar.</w:t>
            </w:r>
          </w:p>
        </w:tc>
        <w:tc>
          <w:tcPr>
            <w:tcW w:w="1480" w:type="dxa"/>
            <w:tcBorders>
              <w:top w:val="nil"/>
              <w:left w:val="nil"/>
              <w:bottom w:val="nil"/>
              <w:right w:val="single" w:sz="4" w:space="0" w:color="000000"/>
            </w:tcBorders>
            <w:shd w:val="clear" w:color="000000" w:fill="FFFFFF"/>
            <w:hideMark/>
          </w:tcPr>
          <w:p w14:paraId="4EED3C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02D040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4D6FB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 Instruir al personal sobre las funciones que les competen. </w:t>
            </w:r>
          </w:p>
        </w:tc>
        <w:tc>
          <w:tcPr>
            <w:tcW w:w="3798" w:type="dxa"/>
            <w:tcBorders>
              <w:top w:val="nil"/>
              <w:left w:val="nil"/>
              <w:bottom w:val="nil"/>
              <w:right w:val="single" w:sz="4" w:space="0" w:color="000000"/>
            </w:tcBorders>
            <w:shd w:val="clear" w:color="00FF00" w:fill="FFFFFF"/>
            <w:hideMark/>
          </w:tcPr>
          <w:p w14:paraId="266ED4A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Instruir al personal sobre las funciones que les competen.</w:t>
            </w:r>
          </w:p>
        </w:tc>
        <w:tc>
          <w:tcPr>
            <w:tcW w:w="3798" w:type="dxa"/>
            <w:tcBorders>
              <w:top w:val="nil"/>
              <w:left w:val="nil"/>
              <w:bottom w:val="nil"/>
              <w:right w:val="single" w:sz="4" w:space="0" w:color="000000"/>
            </w:tcBorders>
            <w:shd w:val="clear" w:color="00FF00" w:fill="FFFFFF"/>
            <w:hideMark/>
          </w:tcPr>
          <w:p w14:paraId="04E1B6D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Instruir al personal sobre las funciones que les competen.</w:t>
            </w:r>
          </w:p>
        </w:tc>
        <w:tc>
          <w:tcPr>
            <w:tcW w:w="1480" w:type="dxa"/>
            <w:tcBorders>
              <w:top w:val="nil"/>
              <w:left w:val="nil"/>
              <w:bottom w:val="nil"/>
              <w:right w:val="single" w:sz="4" w:space="0" w:color="000000"/>
            </w:tcBorders>
            <w:shd w:val="clear" w:color="000000" w:fill="FFFFFF"/>
            <w:hideMark/>
          </w:tcPr>
          <w:p w14:paraId="622FD5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2C81D3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A00AB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Supervisar los grupos de trabajo en el respectivo Distrito Capital, según el caso por localidad; </w:t>
            </w:r>
          </w:p>
        </w:tc>
        <w:tc>
          <w:tcPr>
            <w:tcW w:w="3798" w:type="dxa"/>
            <w:tcBorders>
              <w:top w:val="nil"/>
              <w:left w:val="nil"/>
              <w:bottom w:val="nil"/>
              <w:right w:val="single" w:sz="4" w:space="0" w:color="000000"/>
            </w:tcBorders>
            <w:shd w:val="clear" w:color="00FF00" w:fill="FFFFFF"/>
            <w:hideMark/>
          </w:tcPr>
          <w:p w14:paraId="46B8A79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Supervisar los grupos de trabajo en el respectivo Distrito Capital, según el caso por localidad;</w:t>
            </w:r>
          </w:p>
        </w:tc>
        <w:tc>
          <w:tcPr>
            <w:tcW w:w="3798" w:type="dxa"/>
            <w:tcBorders>
              <w:top w:val="nil"/>
              <w:left w:val="nil"/>
              <w:bottom w:val="nil"/>
              <w:right w:val="single" w:sz="4" w:space="0" w:color="000000"/>
            </w:tcBorders>
            <w:shd w:val="clear" w:color="00FF00" w:fill="FFFFFF"/>
            <w:hideMark/>
          </w:tcPr>
          <w:p w14:paraId="350297B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Supervisar los grupos de trabajo en el respectivo Distrito Capital, según el caso por localidad;</w:t>
            </w:r>
          </w:p>
        </w:tc>
        <w:tc>
          <w:tcPr>
            <w:tcW w:w="1480" w:type="dxa"/>
            <w:tcBorders>
              <w:top w:val="nil"/>
              <w:left w:val="nil"/>
              <w:bottom w:val="nil"/>
              <w:right w:val="single" w:sz="4" w:space="0" w:color="000000"/>
            </w:tcBorders>
            <w:shd w:val="clear" w:color="000000" w:fill="FFFFFF"/>
            <w:hideMark/>
          </w:tcPr>
          <w:p w14:paraId="3F83EA8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AF147F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215DC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Nombrar a los Registradores Auxiliares y demás empleados de la Registraduría Distrital.  </w:t>
            </w:r>
          </w:p>
        </w:tc>
        <w:tc>
          <w:tcPr>
            <w:tcW w:w="3798" w:type="dxa"/>
            <w:tcBorders>
              <w:top w:val="nil"/>
              <w:left w:val="nil"/>
              <w:bottom w:val="nil"/>
              <w:right w:val="single" w:sz="4" w:space="0" w:color="000000"/>
            </w:tcBorders>
            <w:shd w:val="clear" w:color="00FF00" w:fill="FFFFFF"/>
            <w:hideMark/>
          </w:tcPr>
          <w:p w14:paraId="6BC022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Nombrar a los Registradores Auxiliares y demás empleados de la Registraduría Distrital.</w:t>
            </w:r>
          </w:p>
        </w:tc>
        <w:tc>
          <w:tcPr>
            <w:tcW w:w="3798" w:type="dxa"/>
            <w:tcBorders>
              <w:top w:val="nil"/>
              <w:left w:val="nil"/>
              <w:bottom w:val="nil"/>
              <w:right w:val="single" w:sz="4" w:space="0" w:color="000000"/>
            </w:tcBorders>
            <w:shd w:val="clear" w:color="00FF00" w:fill="FFFFFF"/>
            <w:hideMark/>
          </w:tcPr>
          <w:p w14:paraId="44FD5A6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Nombrar a los Registradores Auxiliares y demás empleados de la Registraduría Distrital.</w:t>
            </w:r>
          </w:p>
        </w:tc>
        <w:tc>
          <w:tcPr>
            <w:tcW w:w="1480" w:type="dxa"/>
            <w:tcBorders>
              <w:top w:val="nil"/>
              <w:left w:val="nil"/>
              <w:bottom w:val="nil"/>
              <w:right w:val="single" w:sz="4" w:space="0" w:color="000000"/>
            </w:tcBorders>
            <w:shd w:val="clear" w:color="000000" w:fill="FFFFFF"/>
            <w:hideMark/>
          </w:tcPr>
          <w:p w14:paraId="4681C1B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1000B4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562E1A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Disponer los movimientos de personal.  </w:t>
            </w:r>
          </w:p>
        </w:tc>
        <w:tc>
          <w:tcPr>
            <w:tcW w:w="3798" w:type="dxa"/>
            <w:tcBorders>
              <w:top w:val="nil"/>
              <w:left w:val="nil"/>
              <w:bottom w:val="nil"/>
              <w:right w:val="single" w:sz="4" w:space="0" w:color="000000"/>
            </w:tcBorders>
            <w:shd w:val="clear" w:color="00FF00" w:fill="FFFFFF"/>
            <w:hideMark/>
          </w:tcPr>
          <w:p w14:paraId="0D78183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Disponer los movimientos de personal.</w:t>
            </w:r>
          </w:p>
        </w:tc>
        <w:tc>
          <w:tcPr>
            <w:tcW w:w="3798" w:type="dxa"/>
            <w:tcBorders>
              <w:top w:val="nil"/>
              <w:left w:val="nil"/>
              <w:bottom w:val="nil"/>
              <w:right w:val="single" w:sz="4" w:space="0" w:color="000000"/>
            </w:tcBorders>
            <w:shd w:val="clear" w:color="00FF00" w:fill="FFFFFF"/>
            <w:hideMark/>
          </w:tcPr>
          <w:p w14:paraId="5346C21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Disponer los movimientos de personal.</w:t>
            </w:r>
          </w:p>
        </w:tc>
        <w:tc>
          <w:tcPr>
            <w:tcW w:w="1480" w:type="dxa"/>
            <w:tcBorders>
              <w:top w:val="nil"/>
              <w:left w:val="nil"/>
              <w:bottom w:val="nil"/>
              <w:right w:val="single" w:sz="4" w:space="0" w:color="000000"/>
            </w:tcBorders>
            <w:shd w:val="clear" w:color="000000" w:fill="FFFFFF"/>
            <w:hideMark/>
          </w:tcPr>
          <w:p w14:paraId="5C8FBA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5C5BBE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9BD3A3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Reconocer el subsidio familiar, transporte y demás gastos a que haya lugar, dentro de su disponibilidad presupuestal.  </w:t>
            </w:r>
          </w:p>
        </w:tc>
        <w:tc>
          <w:tcPr>
            <w:tcW w:w="3798" w:type="dxa"/>
            <w:tcBorders>
              <w:top w:val="nil"/>
              <w:left w:val="nil"/>
              <w:bottom w:val="nil"/>
              <w:right w:val="single" w:sz="4" w:space="0" w:color="000000"/>
            </w:tcBorders>
            <w:shd w:val="clear" w:color="00FF00" w:fill="FFFFFF"/>
            <w:hideMark/>
          </w:tcPr>
          <w:p w14:paraId="7B70571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Reconocer el subsidio familiar, transporte y demás gastos a que haya lugar, dentro de su disponibilidad presupuestal.</w:t>
            </w:r>
          </w:p>
        </w:tc>
        <w:tc>
          <w:tcPr>
            <w:tcW w:w="3798" w:type="dxa"/>
            <w:tcBorders>
              <w:top w:val="nil"/>
              <w:left w:val="nil"/>
              <w:bottom w:val="nil"/>
              <w:right w:val="single" w:sz="4" w:space="0" w:color="000000"/>
            </w:tcBorders>
            <w:shd w:val="clear" w:color="00FF00" w:fill="FFFFFF"/>
            <w:hideMark/>
          </w:tcPr>
          <w:p w14:paraId="1FCA86F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Reconocer el subsidio familiar, transporte y demás gastos a que haya lugar, dentro de su disponibilidad presupuestal.</w:t>
            </w:r>
          </w:p>
        </w:tc>
        <w:tc>
          <w:tcPr>
            <w:tcW w:w="1480" w:type="dxa"/>
            <w:tcBorders>
              <w:top w:val="nil"/>
              <w:left w:val="nil"/>
              <w:bottom w:val="nil"/>
              <w:right w:val="single" w:sz="4" w:space="0" w:color="000000"/>
            </w:tcBorders>
            <w:shd w:val="clear" w:color="000000" w:fill="FFFFFF"/>
            <w:hideMark/>
          </w:tcPr>
          <w:p w14:paraId="37A7A7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87972B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DC629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Autorizar el pago de sueldos y primas. </w:t>
            </w:r>
          </w:p>
        </w:tc>
        <w:tc>
          <w:tcPr>
            <w:tcW w:w="3798" w:type="dxa"/>
            <w:tcBorders>
              <w:top w:val="nil"/>
              <w:left w:val="nil"/>
              <w:bottom w:val="nil"/>
              <w:right w:val="single" w:sz="4" w:space="0" w:color="000000"/>
            </w:tcBorders>
            <w:shd w:val="clear" w:color="00FF00" w:fill="FFFFFF"/>
            <w:hideMark/>
          </w:tcPr>
          <w:p w14:paraId="363D1B6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Autorizar el pago de sueldos y primas.</w:t>
            </w:r>
          </w:p>
        </w:tc>
        <w:tc>
          <w:tcPr>
            <w:tcW w:w="3798" w:type="dxa"/>
            <w:tcBorders>
              <w:top w:val="nil"/>
              <w:left w:val="nil"/>
              <w:bottom w:val="nil"/>
              <w:right w:val="single" w:sz="4" w:space="0" w:color="000000"/>
            </w:tcBorders>
            <w:shd w:val="clear" w:color="00FF00" w:fill="FFFFFF"/>
            <w:hideMark/>
          </w:tcPr>
          <w:p w14:paraId="6151C23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Autorizar el pago de sueldos y primas.</w:t>
            </w:r>
          </w:p>
        </w:tc>
        <w:tc>
          <w:tcPr>
            <w:tcW w:w="1480" w:type="dxa"/>
            <w:tcBorders>
              <w:top w:val="nil"/>
              <w:left w:val="nil"/>
              <w:bottom w:val="nil"/>
              <w:right w:val="single" w:sz="4" w:space="0" w:color="000000"/>
            </w:tcBorders>
            <w:shd w:val="clear" w:color="000000" w:fill="FFFFFF"/>
            <w:hideMark/>
          </w:tcPr>
          <w:p w14:paraId="1893C85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DF3866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632D0C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15. Administrativa:  </w:t>
            </w:r>
          </w:p>
        </w:tc>
        <w:tc>
          <w:tcPr>
            <w:tcW w:w="3798" w:type="dxa"/>
            <w:tcBorders>
              <w:top w:val="nil"/>
              <w:left w:val="nil"/>
              <w:bottom w:val="nil"/>
              <w:right w:val="single" w:sz="4" w:space="0" w:color="000000"/>
            </w:tcBorders>
            <w:shd w:val="clear" w:color="00FF00" w:fill="FFFFFF"/>
            <w:hideMark/>
          </w:tcPr>
          <w:p w14:paraId="467FB37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15. Administrativa:</w:t>
            </w:r>
          </w:p>
        </w:tc>
        <w:tc>
          <w:tcPr>
            <w:tcW w:w="3798" w:type="dxa"/>
            <w:tcBorders>
              <w:top w:val="nil"/>
              <w:left w:val="nil"/>
              <w:bottom w:val="nil"/>
              <w:right w:val="single" w:sz="4" w:space="0" w:color="000000"/>
            </w:tcBorders>
            <w:shd w:val="clear" w:color="00FF00" w:fill="FFFFFF"/>
            <w:hideMark/>
          </w:tcPr>
          <w:p w14:paraId="2C14A1E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15. Administrativa:</w:t>
            </w:r>
          </w:p>
        </w:tc>
        <w:tc>
          <w:tcPr>
            <w:tcW w:w="1480" w:type="dxa"/>
            <w:tcBorders>
              <w:top w:val="nil"/>
              <w:left w:val="nil"/>
              <w:bottom w:val="nil"/>
              <w:right w:val="single" w:sz="4" w:space="0" w:color="000000"/>
            </w:tcBorders>
            <w:shd w:val="clear" w:color="000000" w:fill="FFFFFF"/>
            <w:hideMark/>
          </w:tcPr>
          <w:p w14:paraId="2E9465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75CD67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278936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Celebrar contratos dentro de su disponibilidad presupuestal. </w:t>
            </w:r>
          </w:p>
        </w:tc>
        <w:tc>
          <w:tcPr>
            <w:tcW w:w="3798" w:type="dxa"/>
            <w:tcBorders>
              <w:top w:val="nil"/>
              <w:left w:val="nil"/>
              <w:bottom w:val="nil"/>
              <w:right w:val="single" w:sz="4" w:space="0" w:color="000000"/>
            </w:tcBorders>
            <w:shd w:val="clear" w:color="00FF00" w:fill="FFFFFF"/>
            <w:hideMark/>
          </w:tcPr>
          <w:p w14:paraId="76BBE32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Celebrar contratos dentro de su disponibilidad presupuestal.</w:t>
            </w:r>
          </w:p>
        </w:tc>
        <w:tc>
          <w:tcPr>
            <w:tcW w:w="3798" w:type="dxa"/>
            <w:tcBorders>
              <w:top w:val="nil"/>
              <w:left w:val="nil"/>
              <w:bottom w:val="nil"/>
              <w:right w:val="single" w:sz="4" w:space="0" w:color="000000"/>
            </w:tcBorders>
            <w:shd w:val="clear" w:color="00FF00" w:fill="FFFFFF"/>
            <w:hideMark/>
          </w:tcPr>
          <w:p w14:paraId="21056D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Celebrar contratos dentro de su disponibilidad presupuestal.</w:t>
            </w:r>
          </w:p>
        </w:tc>
        <w:tc>
          <w:tcPr>
            <w:tcW w:w="1480" w:type="dxa"/>
            <w:tcBorders>
              <w:top w:val="nil"/>
              <w:left w:val="nil"/>
              <w:bottom w:val="nil"/>
              <w:right w:val="single" w:sz="4" w:space="0" w:color="000000"/>
            </w:tcBorders>
            <w:shd w:val="clear" w:color="000000" w:fill="FFFFFF"/>
            <w:hideMark/>
          </w:tcPr>
          <w:p w14:paraId="685386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1C5629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F9B68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Ejercer la dirección administrativa y financiera de la organización desconcentrada de la Registraduría Nacional en los términos de ley y de la delegación que en esta materia les conceda el registrador Nacional. </w:t>
            </w:r>
          </w:p>
        </w:tc>
        <w:tc>
          <w:tcPr>
            <w:tcW w:w="3798" w:type="dxa"/>
            <w:tcBorders>
              <w:top w:val="nil"/>
              <w:left w:val="nil"/>
              <w:bottom w:val="nil"/>
              <w:right w:val="single" w:sz="4" w:space="0" w:color="000000"/>
            </w:tcBorders>
            <w:shd w:val="clear" w:color="00FF00" w:fill="FFFFFF"/>
            <w:hideMark/>
          </w:tcPr>
          <w:p w14:paraId="37F25FC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Ejercer la dirección administrativa y financiera de la organización desconcentrada de la Registraduría Nacional en los términos de ley y de la delegación que en esta materia les conceda el registrador Nacional.</w:t>
            </w:r>
          </w:p>
        </w:tc>
        <w:tc>
          <w:tcPr>
            <w:tcW w:w="3798" w:type="dxa"/>
            <w:tcBorders>
              <w:top w:val="nil"/>
              <w:left w:val="nil"/>
              <w:bottom w:val="nil"/>
              <w:right w:val="single" w:sz="4" w:space="0" w:color="000000"/>
            </w:tcBorders>
            <w:shd w:val="clear" w:color="00FF00" w:fill="FFFFFF"/>
            <w:hideMark/>
          </w:tcPr>
          <w:p w14:paraId="68515F1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Ejercer la dirección administrativa y financiera de la organización desconcentrada de la Registraduría Nacional en los términos de ley y de la delegación que en esta materia les conceda el registrador Nacional.</w:t>
            </w:r>
          </w:p>
        </w:tc>
        <w:tc>
          <w:tcPr>
            <w:tcW w:w="1480" w:type="dxa"/>
            <w:tcBorders>
              <w:top w:val="nil"/>
              <w:left w:val="nil"/>
              <w:bottom w:val="nil"/>
              <w:right w:val="single" w:sz="4" w:space="0" w:color="000000"/>
            </w:tcBorders>
            <w:shd w:val="clear" w:color="000000" w:fill="FFFFFF"/>
            <w:hideMark/>
          </w:tcPr>
          <w:p w14:paraId="14B9AA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E9B41E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C64390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Recibir y entregar bajo inventario los elementos de la oficina. </w:t>
            </w:r>
          </w:p>
        </w:tc>
        <w:tc>
          <w:tcPr>
            <w:tcW w:w="3798" w:type="dxa"/>
            <w:tcBorders>
              <w:top w:val="nil"/>
              <w:left w:val="nil"/>
              <w:bottom w:val="nil"/>
              <w:right w:val="single" w:sz="4" w:space="0" w:color="000000"/>
            </w:tcBorders>
            <w:shd w:val="clear" w:color="00FF00" w:fill="FFFFFF"/>
            <w:hideMark/>
          </w:tcPr>
          <w:p w14:paraId="2BECE39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Recibir y entregar bajo inventario los elementos de la oficina.</w:t>
            </w:r>
          </w:p>
        </w:tc>
        <w:tc>
          <w:tcPr>
            <w:tcW w:w="3798" w:type="dxa"/>
            <w:tcBorders>
              <w:top w:val="nil"/>
              <w:left w:val="nil"/>
              <w:bottom w:val="nil"/>
              <w:right w:val="single" w:sz="4" w:space="0" w:color="000000"/>
            </w:tcBorders>
            <w:shd w:val="clear" w:color="00FF00" w:fill="FFFFFF"/>
            <w:hideMark/>
          </w:tcPr>
          <w:p w14:paraId="39E4D3A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Recibir y entregar bajo inventario los elementos de la oficina.</w:t>
            </w:r>
          </w:p>
        </w:tc>
        <w:tc>
          <w:tcPr>
            <w:tcW w:w="1480" w:type="dxa"/>
            <w:tcBorders>
              <w:top w:val="nil"/>
              <w:left w:val="nil"/>
              <w:bottom w:val="nil"/>
              <w:right w:val="single" w:sz="4" w:space="0" w:color="000000"/>
            </w:tcBorders>
            <w:shd w:val="clear" w:color="000000" w:fill="FFFFFF"/>
            <w:hideMark/>
          </w:tcPr>
          <w:p w14:paraId="1A99854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B2F78D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53AE7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6FD48FE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Realizar rendición pública de cuentas.</w:t>
            </w:r>
          </w:p>
        </w:tc>
        <w:tc>
          <w:tcPr>
            <w:tcW w:w="3798" w:type="dxa"/>
            <w:tcBorders>
              <w:top w:val="nil"/>
              <w:left w:val="nil"/>
              <w:bottom w:val="nil"/>
              <w:right w:val="single" w:sz="4" w:space="0" w:color="000000"/>
            </w:tcBorders>
            <w:shd w:val="clear" w:color="00FF00" w:fill="FFFFFF"/>
            <w:hideMark/>
          </w:tcPr>
          <w:p w14:paraId="48A1ACB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Realizar rendición pública de cuentas.</w:t>
            </w:r>
          </w:p>
        </w:tc>
        <w:tc>
          <w:tcPr>
            <w:tcW w:w="1480" w:type="dxa"/>
            <w:tcBorders>
              <w:top w:val="nil"/>
              <w:left w:val="nil"/>
              <w:bottom w:val="nil"/>
              <w:right w:val="single" w:sz="4" w:space="0" w:color="000000"/>
            </w:tcBorders>
            <w:shd w:val="clear" w:color="000000" w:fill="FFFFFF"/>
            <w:hideMark/>
          </w:tcPr>
          <w:p w14:paraId="7D6AF4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058A88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73BFDD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16. Control interno:  </w:t>
            </w:r>
          </w:p>
        </w:tc>
        <w:tc>
          <w:tcPr>
            <w:tcW w:w="3798" w:type="dxa"/>
            <w:tcBorders>
              <w:top w:val="nil"/>
              <w:left w:val="nil"/>
              <w:bottom w:val="nil"/>
              <w:right w:val="single" w:sz="4" w:space="0" w:color="000000"/>
            </w:tcBorders>
            <w:shd w:val="clear" w:color="00FF00" w:fill="FFFFFF"/>
            <w:hideMark/>
          </w:tcPr>
          <w:p w14:paraId="1386E9B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16. Control interno:</w:t>
            </w:r>
          </w:p>
        </w:tc>
        <w:tc>
          <w:tcPr>
            <w:tcW w:w="3798" w:type="dxa"/>
            <w:tcBorders>
              <w:top w:val="nil"/>
              <w:left w:val="nil"/>
              <w:bottom w:val="nil"/>
              <w:right w:val="single" w:sz="4" w:space="0" w:color="000000"/>
            </w:tcBorders>
            <w:shd w:val="clear" w:color="00FF00" w:fill="FFFFFF"/>
            <w:hideMark/>
          </w:tcPr>
          <w:p w14:paraId="39C1EB6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16. Control interno:</w:t>
            </w:r>
          </w:p>
        </w:tc>
        <w:tc>
          <w:tcPr>
            <w:tcW w:w="1480" w:type="dxa"/>
            <w:tcBorders>
              <w:top w:val="nil"/>
              <w:left w:val="nil"/>
              <w:bottom w:val="nil"/>
              <w:right w:val="single" w:sz="4" w:space="0" w:color="000000"/>
            </w:tcBorders>
            <w:shd w:val="clear" w:color="000000" w:fill="FFFFFF"/>
            <w:hideMark/>
          </w:tcPr>
          <w:p w14:paraId="5F71806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9AC946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446B9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 Participar en la definición de las políticas, los planes y los programas de las áreas misionales de la Registraduría Nacional del Estado Civil en el Distrito Capital, y velar por su cumplida ejecución en los términos en que se aprueben. </w:t>
            </w:r>
          </w:p>
        </w:tc>
        <w:tc>
          <w:tcPr>
            <w:tcW w:w="3798" w:type="dxa"/>
            <w:tcBorders>
              <w:top w:val="nil"/>
              <w:left w:val="nil"/>
              <w:bottom w:val="nil"/>
              <w:right w:val="single" w:sz="4" w:space="0" w:color="000000"/>
            </w:tcBorders>
            <w:shd w:val="clear" w:color="00FF00" w:fill="FFFFFF"/>
            <w:hideMark/>
          </w:tcPr>
          <w:p w14:paraId="283DEDD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Participar en la definición de las políticas, los planes y los programas de las áreas misionales de la Registraduría Nacional del Estado Civil en el Distrito Capital, y velar por su cumplida ejecución en los términos en que se aprueben.</w:t>
            </w:r>
          </w:p>
        </w:tc>
        <w:tc>
          <w:tcPr>
            <w:tcW w:w="3798" w:type="dxa"/>
            <w:tcBorders>
              <w:top w:val="nil"/>
              <w:left w:val="nil"/>
              <w:bottom w:val="nil"/>
              <w:right w:val="single" w:sz="4" w:space="0" w:color="000000"/>
            </w:tcBorders>
            <w:shd w:val="clear" w:color="00FF00" w:fill="FFFFFF"/>
            <w:hideMark/>
          </w:tcPr>
          <w:p w14:paraId="6ADB562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Participar en la definición de las políticas, los planes y los programas de las áreas misionales de la Registraduría Nacional del Estado Civil en el Distrito Capital, y velar por su cumplida ejecución en los términos en que se aprueben.</w:t>
            </w:r>
          </w:p>
        </w:tc>
        <w:tc>
          <w:tcPr>
            <w:tcW w:w="1480" w:type="dxa"/>
            <w:tcBorders>
              <w:top w:val="nil"/>
              <w:left w:val="nil"/>
              <w:bottom w:val="nil"/>
              <w:right w:val="single" w:sz="4" w:space="0" w:color="000000"/>
            </w:tcBorders>
            <w:shd w:val="clear" w:color="000000" w:fill="FFFFFF"/>
            <w:hideMark/>
          </w:tcPr>
          <w:p w14:paraId="7B84332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2A08D5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CC4FBE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Colaborar en el desarrollo de la gestión con las dependencias nacionales encargadas de las áreas administrativa, financiera y de talento humano, observando los procedimientos y normas legales vigentes. </w:t>
            </w:r>
          </w:p>
        </w:tc>
        <w:tc>
          <w:tcPr>
            <w:tcW w:w="3798" w:type="dxa"/>
            <w:tcBorders>
              <w:top w:val="nil"/>
              <w:left w:val="nil"/>
              <w:bottom w:val="nil"/>
              <w:right w:val="single" w:sz="4" w:space="0" w:color="000000"/>
            </w:tcBorders>
            <w:shd w:val="clear" w:color="00FF00" w:fill="FFFFFF"/>
            <w:hideMark/>
          </w:tcPr>
          <w:p w14:paraId="7C01466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Colaborar en el desarrollo de la gestión con las dependencias nacionales encargadas de las áreas administrativa, financiera y de talento humano, observando los procedimientos y normas legales vigentes.</w:t>
            </w:r>
          </w:p>
        </w:tc>
        <w:tc>
          <w:tcPr>
            <w:tcW w:w="3798" w:type="dxa"/>
            <w:tcBorders>
              <w:top w:val="nil"/>
              <w:left w:val="nil"/>
              <w:bottom w:val="nil"/>
              <w:right w:val="single" w:sz="4" w:space="0" w:color="000000"/>
            </w:tcBorders>
            <w:shd w:val="clear" w:color="00FF00" w:fill="FFFFFF"/>
            <w:hideMark/>
          </w:tcPr>
          <w:p w14:paraId="57F7BE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Colaborar en el desarrollo de la gestión con las dependencias nacionales encargadas de las áreas administrativa, financiera y de talento humano, observando los procedimientos y normas legales vigentes.</w:t>
            </w:r>
          </w:p>
        </w:tc>
        <w:tc>
          <w:tcPr>
            <w:tcW w:w="1480" w:type="dxa"/>
            <w:tcBorders>
              <w:top w:val="nil"/>
              <w:left w:val="nil"/>
              <w:bottom w:val="nil"/>
              <w:right w:val="single" w:sz="4" w:space="0" w:color="000000"/>
            </w:tcBorders>
            <w:shd w:val="clear" w:color="000000" w:fill="FFFFFF"/>
            <w:hideMark/>
          </w:tcPr>
          <w:p w14:paraId="56562A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6FDD7A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45BB2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Velar por el buen funcionamiento del sistema de control interno de la Registraduría Nacional en su organización desconcentrada. </w:t>
            </w:r>
          </w:p>
        </w:tc>
        <w:tc>
          <w:tcPr>
            <w:tcW w:w="3798" w:type="dxa"/>
            <w:tcBorders>
              <w:top w:val="nil"/>
              <w:left w:val="nil"/>
              <w:bottom w:val="nil"/>
              <w:right w:val="single" w:sz="4" w:space="0" w:color="000000"/>
            </w:tcBorders>
            <w:shd w:val="clear" w:color="00FF00" w:fill="FFFFFF"/>
            <w:hideMark/>
          </w:tcPr>
          <w:p w14:paraId="6CD410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Velar por el buen funcionamiento del sistema de control interno de la Registraduría Nacional en su organización desconcentrada.</w:t>
            </w:r>
          </w:p>
        </w:tc>
        <w:tc>
          <w:tcPr>
            <w:tcW w:w="3798" w:type="dxa"/>
            <w:tcBorders>
              <w:top w:val="nil"/>
              <w:left w:val="nil"/>
              <w:bottom w:val="nil"/>
              <w:right w:val="single" w:sz="4" w:space="0" w:color="000000"/>
            </w:tcBorders>
            <w:shd w:val="clear" w:color="00FF00" w:fill="FFFFFF"/>
            <w:hideMark/>
          </w:tcPr>
          <w:p w14:paraId="1E8751B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Velar por el buen funcionamiento del sistema de control interno de la Registraduría Nacional en su organización desconcentrada.</w:t>
            </w:r>
          </w:p>
        </w:tc>
        <w:tc>
          <w:tcPr>
            <w:tcW w:w="1480" w:type="dxa"/>
            <w:tcBorders>
              <w:top w:val="nil"/>
              <w:left w:val="nil"/>
              <w:bottom w:val="nil"/>
              <w:right w:val="single" w:sz="4" w:space="0" w:color="000000"/>
            </w:tcBorders>
            <w:shd w:val="clear" w:color="000000" w:fill="FFFFFF"/>
            <w:hideMark/>
          </w:tcPr>
          <w:p w14:paraId="48566F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829FF3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346215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17. Judiciales y Jurídicas: </w:t>
            </w:r>
          </w:p>
        </w:tc>
        <w:tc>
          <w:tcPr>
            <w:tcW w:w="3798" w:type="dxa"/>
            <w:tcBorders>
              <w:top w:val="nil"/>
              <w:left w:val="nil"/>
              <w:bottom w:val="nil"/>
              <w:right w:val="single" w:sz="4" w:space="0" w:color="000000"/>
            </w:tcBorders>
            <w:shd w:val="clear" w:color="00FF00" w:fill="FFFFFF"/>
            <w:hideMark/>
          </w:tcPr>
          <w:p w14:paraId="7478F47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17. Judiciales y Jurídicas:</w:t>
            </w:r>
          </w:p>
        </w:tc>
        <w:tc>
          <w:tcPr>
            <w:tcW w:w="3798" w:type="dxa"/>
            <w:tcBorders>
              <w:top w:val="nil"/>
              <w:left w:val="nil"/>
              <w:bottom w:val="nil"/>
              <w:right w:val="single" w:sz="4" w:space="0" w:color="000000"/>
            </w:tcBorders>
            <w:shd w:val="clear" w:color="00FF00" w:fill="FFFFFF"/>
            <w:hideMark/>
          </w:tcPr>
          <w:p w14:paraId="5F487E5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17. Judiciales y Jurídicas:</w:t>
            </w:r>
          </w:p>
        </w:tc>
        <w:tc>
          <w:tcPr>
            <w:tcW w:w="1480" w:type="dxa"/>
            <w:tcBorders>
              <w:top w:val="nil"/>
              <w:left w:val="nil"/>
              <w:bottom w:val="nil"/>
              <w:right w:val="single" w:sz="4" w:space="0" w:color="000000"/>
            </w:tcBorders>
            <w:shd w:val="clear" w:color="000000" w:fill="FFFFFF"/>
            <w:hideMark/>
          </w:tcPr>
          <w:p w14:paraId="7B2366C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6112AE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E2F9EB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Ejercer las delegaciones que reciban en los asuntos administrativos, financieros y de talento humano, sin perjuicio de adelantar las funciones que la ley directamente les asigna a los delegados del registrador nacional y a los registradores distritales, en materia de nominación y de investigaciones y sanciones disciplinarias. </w:t>
            </w:r>
          </w:p>
        </w:tc>
        <w:tc>
          <w:tcPr>
            <w:tcW w:w="3798" w:type="dxa"/>
            <w:tcBorders>
              <w:top w:val="nil"/>
              <w:left w:val="nil"/>
              <w:bottom w:val="nil"/>
              <w:right w:val="single" w:sz="4" w:space="0" w:color="000000"/>
            </w:tcBorders>
            <w:shd w:val="clear" w:color="00FF00" w:fill="FFFFFF"/>
            <w:hideMark/>
          </w:tcPr>
          <w:p w14:paraId="23E7C65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Ejercer las delegaciones que reciban en los asuntos administrativos, financieros y de talento humano, sin perjuicio de adelantar las funciones que la ley directamente les asigna a los delegados del registrador nacional y a los registradores distritales, en materia de nominación y de investigaciones y sanciones disciplinarias.</w:t>
            </w:r>
          </w:p>
        </w:tc>
        <w:tc>
          <w:tcPr>
            <w:tcW w:w="3798" w:type="dxa"/>
            <w:tcBorders>
              <w:top w:val="nil"/>
              <w:left w:val="nil"/>
              <w:bottom w:val="nil"/>
              <w:right w:val="single" w:sz="4" w:space="0" w:color="000000"/>
            </w:tcBorders>
            <w:shd w:val="clear" w:color="00FF00" w:fill="FFFFFF"/>
            <w:hideMark/>
          </w:tcPr>
          <w:p w14:paraId="0DB1C45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Ejercer las delegaciones que reciban en los asuntos administrativos, financieros y de talento humano, sin perjuicio de adelantar las funciones que la ley directamente les asigna a los delegados del registrador nacional y a los registradores distritales, en materia de nominación y de investigaciones y sanciones disciplinarias.</w:t>
            </w:r>
          </w:p>
        </w:tc>
        <w:tc>
          <w:tcPr>
            <w:tcW w:w="1480" w:type="dxa"/>
            <w:tcBorders>
              <w:top w:val="nil"/>
              <w:left w:val="nil"/>
              <w:bottom w:val="nil"/>
              <w:right w:val="single" w:sz="4" w:space="0" w:color="000000"/>
            </w:tcBorders>
            <w:shd w:val="clear" w:color="000000" w:fill="FFFFFF"/>
            <w:hideMark/>
          </w:tcPr>
          <w:p w14:paraId="77C6F0C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CC7FD8D" w14:textId="77777777" w:rsidTr="00222F34">
        <w:trPr>
          <w:trHeight w:val="1800"/>
        </w:trPr>
        <w:tc>
          <w:tcPr>
            <w:tcW w:w="3798" w:type="dxa"/>
            <w:tcBorders>
              <w:top w:val="single" w:sz="4" w:space="0" w:color="000000"/>
              <w:left w:val="single" w:sz="4" w:space="0" w:color="000000"/>
              <w:bottom w:val="nil"/>
              <w:right w:val="single" w:sz="4" w:space="0" w:color="000000"/>
            </w:tcBorders>
            <w:shd w:val="clear" w:color="FFC000" w:fill="FFFFFF"/>
            <w:hideMark/>
          </w:tcPr>
          <w:p w14:paraId="7BA8144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 </w:t>
            </w:r>
          </w:p>
        </w:tc>
        <w:tc>
          <w:tcPr>
            <w:tcW w:w="3798" w:type="dxa"/>
            <w:tcBorders>
              <w:top w:val="single" w:sz="4" w:space="0" w:color="000000"/>
              <w:left w:val="nil"/>
              <w:bottom w:val="nil"/>
              <w:right w:val="single" w:sz="4" w:space="0" w:color="000000"/>
            </w:tcBorders>
            <w:shd w:val="clear" w:color="000000" w:fill="FFFFFF"/>
            <w:hideMark/>
          </w:tcPr>
          <w:p w14:paraId="7A1E7CE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 Del registrador departamental del Estado Civil.</w:t>
            </w:r>
            <w:r w:rsidRPr="00222F34">
              <w:rPr>
                <w:rFonts w:ascii="Calibri" w:eastAsia="Times New Roman" w:hAnsi="Calibri" w:cs="Calibri"/>
                <w:color w:val="000000"/>
                <w:lang w:val="es-CO" w:eastAsia="es-CO" w:bidi="ar-SA"/>
              </w:rPr>
              <w:t xml:space="preserve"> En cada departamento habrá un (1) registrador departamental del Estado Civil, quien tendrá la responsabilidad y vigilancia de la Registraduría Departamental del Estado Civil, así mismo, del funcionamiento de las dependencias de la Registraduría en el ámbito departamental. El registrador departamental tomará posesión de su cargo ante el Registrador Nacional del Estado Civil.</w:t>
            </w:r>
          </w:p>
        </w:tc>
        <w:tc>
          <w:tcPr>
            <w:tcW w:w="3798" w:type="dxa"/>
            <w:tcBorders>
              <w:top w:val="single" w:sz="4" w:space="0" w:color="000000"/>
              <w:left w:val="nil"/>
              <w:bottom w:val="nil"/>
              <w:right w:val="single" w:sz="4" w:space="0" w:color="000000"/>
            </w:tcBorders>
            <w:shd w:val="clear" w:color="000000" w:fill="FFFFFF"/>
            <w:hideMark/>
          </w:tcPr>
          <w:p w14:paraId="7EAB4C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 Del registrador departamental del Estado Civil.</w:t>
            </w:r>
            <w:r w:rsidRPr="00222F34">
              <w:rPr>
                <w:rFonts w:ascii="Calibri" w:eastAsia="Times New Roman" w:hAnsi="Calibri" w:cs="Calibri"/>
                <w:color w:val="000000"/>
                <w:lang w:val="es-CO" w:eastAsia="es-CO" w:bidi="ar-SA"/>
              </w:rPr>
              <w:t xml:space="preserve"> En cada departamento habrá un (1) registrador departamental del Estado Civil, quien tendrá la responsabilidad y vigilancia de la Registraduría Departamental del Estado Civil, así mismo, del funcionamiento de las dependencias de la Registraduría en el ámbito departamental. El registrador departamental tomará posesión de su cargo ante el Registrador Nacional del Estado Civil.</w:t>
            </w:r>
          </w:p>
        </w:tc>
        <w:tc>
          <w:tcPr>
            <w:tcW w:w="1480" w:type="dxa"/>
            <w:tcBorders>
              <w:top w:val="single" w:sz="4" w:space="0" w:color="000000"/>
              <w:left w:val="nil"/>
              <w:bottom w:val="nil"/>
              <w:right w:val="single" w:sz="4" w:space="0" w:color="000000"/>
            </w:tcBorders>
            <w:shd w:val="clear" w:color="000000" w:fill="FFFFFF"/>
            <w:hideMark/>
          </w:tcPr>
          <w:p w14:paraId="0C99A127" w14:textId="3C02E799"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39851403"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1F5706C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68AAEFC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el departamento de San Andrés, Providencia y Santa Catalina, además de las calidades que exija la ley para el cargo, se exigirá que la persona posea la residencia permanente de acuerdo con lo dispuesto en el Decreto 2762 de 1991, o las normas que lo modifiquen o sustituyan.</w:t>
            </w:r>
          </w:p>
        </w:tc>
        <w:tc>
          <w:tcPr>
            <w:tcW w:w="3798" w:type="dxa"/>
            <w:tcBorders>
              <w:top w:val="nil"/>
              <w:left w:val="nil"/>
              <w:bottom w:val="nil"/>
              <w:right w:val="single" w:sz="4" w:space="0" w:color="000000"/>
            </w:tcBorders>
            <w:shd w:val="clear" w:color="000000" w:fill="FFFFFF"/>
            <w:hideMark/>
          </w:tcPr>
          <w:p w14:paraId="00BCB0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el departamento de San Andrés, Providencia y Santa Catalina, además de las calidades que exija la ley para el cargo, se exigirá que la persona posea la residencia permanente de acuerdo con lo dispuesto en el Decreto 2762 de 1991, o las normas que lo modifiquen o sustituyan.</w:t>
            </w:r>
          </w:p>
        </w:tc>
        <w:tc>
          <w:tcPr>
            <w:tcW w:w="1480" w:type="dxa"/>
            <w:tcBorders>
              <w:top w:val="nil"/>
              <w:left w:val="nil"/>
              <w:bottom w:val="nil"/>
              <w:right w:val="single" w:sz="4" w:space="0" w:color="000000"/>
            </w:tcBorders>
            <w:shd w:val="clear" w:color="000000" w:fill="FFFFFF"/>
            <w:hideMark/>
          </w:tcPr>
          <w:p w14:paraId="61CE119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0683BA"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415D93B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3DF827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vinculación de los empleos de que trata este artículo se efectuará de conformidad con lo establecido en el artículo 266 de la Constitución Política de Colombia y la normatividad legal vigente.</w:t>
            </w:r>
          </w:p>
        </w:tc>
        <w:tc>
          <w:tcPr>
            <w:tcW w:w="3798" w:type="dxa"/>
            <w:tcBorders>
              <w:top w:val="nil"/>
              <w:left w:val="nil"/>
              <w:bottom w:val="single" w:sz="4" w:space="0" w:color="000000"/>
              <w:right w:val="single" w:sz="4" w:space="0" w:color="000000"/>
            </w:tcBorders>
            <w:shd w:val="clear" w:color="000000" w:fill="FFFFFF"/>
            <w:hideMark/>
          </w:tcPr>
          <w:p w14:paraId="740A5B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vinculación de los empleos de que trata este artículo se efectuará de conformidad con lo establecido en el artículo 266 de la Constitución Política de Colombia y la normatividad legal vigente.</w:t>
            </w:r>
          </w:p>
        </w:tc>
        <w:tc>
          <w:tcPr>
            <w:tcW w:w="1480" w:type="dxa"/>
            <w:tcBorders>
              <w:top w:val="nil"/>
              <w:left w:val="nil"/>
              <w:bottom w:val="single" w:sz="4" w:space="0" w:color="000000"/>
              <w:right w:val="single" w:sz="4" w:space="0" w:color="000000"/>
            </w:tcBorders>
            <w:shd w:val="clear" w:color="000000" w:fill="FFFFFF"/>
            <w:hideMark/>
          </w:tcPr>
          <w:p w14:paraId="4C6C97C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706A345"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7DF874B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FF00" w:fill="FFFFFF"/>
            <w:hideMark/>
          </w:tcPr>
          <w:p w14:paraId="3FA3BF1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 Funciones.</w:t>
            </w:r>
            <w:r w:rsidRPr="00222F34">
              <w:rPr>
                <w:rFonts w:ascii="Calibri" w:eastAsia="Times New Roman" w:hAnsi="Calibri" w:cs="Calibri"/>
                <w:color w:val="000000"/>
                <w:lang w:val="es-CO" w:eastAsia="es-CO" w:bidi="ar-SA"/>
              </w:rPr>
              <w:t xml:space="preserve"> Los registradores departamentales del Estado Civil tendrán las siguientes funciones:</w:t>
            </w:r>
          </w:p>
        </w:tc>
        <w:tc>
          <w:tcPr>
            <w:tcW w:w="3798" w:type="dxa"/>
            <w:tcBorders>
              <w:top w:val="nil"/>
              <w:left w:val="nil"/>
              <w:bottom w:val="nil"/>
              <w:right w:val="single" w:sz="4" w:space="0" w:color="000000"/>
            </w:tcBorders>
            <w:shd w:val="clear" w:color="00FF00" w:fill="FFFFFF"/>
            <w:hideMark/>
          </w:tcPr>
          <w:p w14:paraId="07E6D15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 Funciones.</w:t>
            </w:r>
            <w:r w:rsidRPr="00222F34">
              <w:rPr>
                <w:rFonts w:ascii="Calibri" w:eastAsia="Times New Roman" w:hAnsi="Calibri" w:cs="Calibri"/>
                <w:color w:val="000000"/>
                <w:lang w:val="es-CO" w:eastAsia="es-CO" w:bidi="ar-SA"/>
              </w:rPr>
              <w:t xml:space="preserve"> Los registradores departamentales del Estado Civil tendrán las siguientes funciones:</w:t>
            </w:r>
          </w:p>
        </w:tc>
        <w:tc>
          <w:tcPr>
            <w:tcW w:w="1480" w:type="dxa"/>
            <w:tcBorders>
              <w:top w:val="nil"/>
              <w:left w:val="nil"/>
              <w:bottom w:val="nil"/>
              <w:right w:val="single" w:sz="4" w:space="0" w:color="000000"/>
            </w:tcBorders>
            <w:shd w:val="clear" w:color="000000" w:fill="FFFFFF"/>
            <w:hideMark/>
          </w:tcPr>
          <w:p w14:paraId="3CFAA7DD" w14:textId="5F622E78"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7ED8FF70"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54B294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61E614C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Nombrar a los servidores de su circunscripción electoral previa delegación del Registrador Nacional del Estado Civil, a excepción de los de libre remoción consagrados en el presente Código.</w:t>
            </w:r>
          </w:p>
        </w:tc>
        <w:tc>
          <w:tcPr>
            <w:tcW w:w="3798" w:type="dxa"/>
            <w:tcBorders>
              <w:top w:val="nil"/>
              <w:left w:val="nil"/>
              <w:bottom w:val="nil"/>
              <w:right w:val="single" w:sz="4" w:space="0" w:color="000000"/>
            </w:tcBorders>
            <w:shd w:val="clear" w:color="00FF00" w:fill="FFFFFF"/>
            <w:hideMark/>
          </w:tcPr>
          <w:p w14:paraId="52B80B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Nombrar a los servidores de su circunscripción electoral previa delegación del Registrador Nacional del Estado Civil, a excepción de los de libre remoción consagrados en el presente Código.</w:t>
            </w:r>
          </w:p>
        </w:tc>
        <w:tc>
          <w:tcPr>
            <w:tcW w:w="1480" w:type="dxa"/>
            <w:tcBorders>
              <w:top w:val="nil"/>
              <w:left w:val="nil"/>
              <w:bottom w:val="nil"/>
              <w:right w:val="single" w:sz="4" w:space="0" w:color="000000"/>
            </w:tcBorders>
            <w:shd w:val="clear" w:color="000000" w:fill="FFFFFF"/>
            <w:hideMark/>
          </w:tcPr>
          <w:p w14:paraId="79A30A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7EC54EC"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65CC76A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6FF1C8F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Supervisar las funciones de los delegados seccionales en registro civil e identificación y en lo electoral, garantizando el eficiente y eficaz desempeño de las atribuciones que estos desempeñen.</w:t>
            </w:r>
          </w:p>
        </w:tc>
        <w:tc>
          <w:tcPr>
            <w:tcW w:w="3798" w:type="dxa"/>
            <w:tcBorders>
              <w:top w:val="nil"/>
              <w:left w:val="nil"/>
              <w:bottom w:val="nil"/>
              <w:right w:val="single" w:sz="4" w:space="0" w:color="000000"/>
            </w:tcBorders>
            <w:shd w:val="clear" w:color="00FF00" w:fill="FFFFFF"/>
            <w:hideMark/>
          </w:tcPr>
          <w:p w14:paraId="29B707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Supervisar las funciones de los delegados seccionales en registro civil e identificación y en lo electoral, garantizando el eficiente y eficaz desempeño de las atribuciones que estos desempeñen.</w:t>
            </w:r>
          </w:p>
        </w:tc>
        <w:tc>
          <w:tcPr>
            <w:tcW w:w="1480" w:type="dxa"/>
            <w:tcBorders>
              <w:top w:val="nil"/>
              <w:left w:val="nil"/>
              <w:bottom w:val="nil"/>
              <w:right w:val="single" w:sz="4" w:space="0" w:color="000000"/>
            </w:tcBorders>
            <w:shd w:val="clear" w:color="000000" w:fill="FFFFFF"/>
            <w:hideMark/>
          </w:tcPr>
          <w:p w14:paraId="6D94FE4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C385C2D" w14:textId="77777777" w:rsidTr="00222F34">
        <w:trPr>
          <w:trHeight w:val="300"/>
        </w:trPr>
        <w:tc>
          <w:tcPr>
            <w:tcW w:w="3798" w:type="dxa"/>
            <w:tcBorders>
              <w:top w:val="nil"/>
              <w:left w:val="single" w:sz="4" w:space="0" w:color="000000"/>
              <w:bottom w:val="nil"/>
              <w:right w:val="single" w:sz="4" w:space="0" w:color="000000"/>
            </w:tcBorders>
            <w:shd w:val="clear" w:color="FFC000" w:fill="FFFFFF"/>
            <w:hideMark/>
          </w:tcPr>
          <w:p w14:paraId="108294E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7C978AC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Disponer el movimiento del personal en sus respectivas dependencias.</w:t>
            </w:r>
          </w:p>
        </w:tc>
        <w:tc>
          <w:tcPr>
            <w:tcW w:w="3798" w:type="dxa"/>
            <w:tcBorders>
              <w:top w:val="nil"/>
              <w:left w:val="nil"/>
              <w:bottom w:val="nil"/>
              <w:right w:val="single" w:sz="4" w:space="0" w:color="000000"/>
            </w:tcBorders>
            <w:shd w:val="clear" w:color="00FF00" w:fill="FFFFFF"/>
            <w:hideMark/>
          </w:tcPr>
          <w:p w14:paraId="5CB4EA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Disponer el movimiento del personal en sus respectivas dependencias.</w:t>
            </w:r>
          </w:p>
        </w:tc>
        <w:tc>
          <w:tcPr>
            <w:tcW w:w="1480" w:type="dxa"/>
            <w:tcBorders>
              <w:top w:val="nil"/>
              <w:left w:val="nil"/>
              <w:bottom w:val="nil"/>
              <w:right w:val="single" w:sz="4" w:space="0" w:color="000000"/>
            </w:tcBorders>
            <w:shd w:val="clear" w:color="000000" w:fill="FFFFFF"/>
            <w:hideMark/>
          </w:tcPr>
          <w:p w14:paraId="239D14E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67DA213" w14:textId="77777777" w:rsidTr="00222F34">
        <w:trPr>
          <w:trHeight w:val="300"/>
        </w:trPr>
        <w:tc>
          <w:tcPr>
            <w:tcW w:w="3798" w:type="dxa"/>
            <w:tcBorders>
              <w:top w:val="nil"/>
              <w:left w:val="single" w:sz="4" w:space="0" w:color="000000"/>
              <w:bottom w:val="nil"/>
              <w:right w:val="single" w:sz="4" w:space="0" w:color="000000"/>
            </w:tcBorders>
            <w:shd w:val="clear" w:color="FFC000" w:fill="FFFFFF"/>
            <w:hideMark/>
          </w:tcPr>
          <w:p w14:paraId="79351E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05D6CA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Actuar como secretario de la comisión escrutadora departamental.</w:t>
            </w:r>
          </w:p>
        </w:tc>
        <w:tc>
          <w:tcPr>
            <w:tcW w:w="3798" w:type="dxa"/>
            <w:tcBorders>
              <w:top w:val="nil"/>
              <w:left w:val="nil"/>
              <w:bottom w:val="nil"/>
              <w:right w:val="single" w:sz="4" w:space="0" w:color="000000"/>
            </w:tcBorders>
            <w:shd w:val="clear" w:color="00FF00" w:fill="FFFFFF"/>
            <w:hideMark/>
          </w:tcPr>
          <w:p w14:paraId="1C1438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Actuar como secretario de la comisión escrutadora departamental.</w:t>
            </w:r>
          </w:p>
        </w:tc>
        <w:tc>
          <w:tcPr>
            <w:tcW w:w="1480" w:type="dxa"/>
            <w:tcBorders>
              <w:top w:val="nil"/>
              <w:left w:val="nil"/>
              <w:bottom w:val="nil"/>
              <w:right w:val="single" w:sz="4" w:space="0" w:color="000000"/>
            </w:tcBorders>
            <w:shd w:val="clear" w:color="000000" w:fill="FFFFFF"/>
            <w:hideMark/>
          </w:tcPr>
          <w:p w14:paraId="4ECE96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CBD994C" w14:textId="77777777" w:rsidTr="00222F34">
        <w:trPr>
          <w:trHeight w:val="300"/>
        </w:trPr>
        <w:tc>
          <w:tcPr>
            <w:tcW w:w="3798" w:type="dxa"/>
            <w:tcBorders>
              <w:top w:val="nil"/>
              <w:left w:val="single" w:sz="4" w:space="0" w:color="000000"/>
              <w:bottom w:val="nil"/>
              <w:right w:val="single" w:sz="4" w:space="0" w:color="000000"/>
            </w:tcBorders>
            <w:shd w:val="clear" w:color="FFC000" w:fill="FFFFFF"/>
            <w:hideMark/>
          </w:tcPr>
          <w:p w14:paraId="7CBFA94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5FCE556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Celebrar contratos dentro del ámbito de las competencias que se les asignen.</w:t>
            </w:r>
          </w:p>
        </w:tc>
        <w:tc>
          <w:tcPr>
            <w:tcW w:w="3798" w:type="dxa"/>
            <w:tcBorders>
              <w:top w:val="nil"/>
              <w:left w:val="nil"/>
              <w:bottom w:val="nil"/>
              <w:right w:val="single" w:sz="4" w:space="0" w:color="000000"/>
            </w:tcBorders>
            <w:shd w:val="clear" w:color="00FF00" w:fill="FFFFFF"/>
            <w:hideMark/>
          </w:tcPr>
          <w:p w14:paraId="09AFEC7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Celebrar contratos dentro del ámbito de las competencias que se les asignen.</w:t>
            </w:r>
          </w:p>
        </w:tc>
        <w:tc>
          <w:tcPr>
            <w:tcW w:w="1480" w:type="dxa"/>
            <w:tcBorders>
              <w:top w:val="nil"/>
              <w:left w:val="nil"/>
              <w:bottom w:val="nil"/>
              <w:right w:val="single" w:sz="4" w:space="0" w:color="000000"/>
            </w:tcBorders>
            <w:shd w:val="clear" w:color="000000" w:fill="FFFFFF"/>
            <w:hideMark/>
          </w:tcPr>
          <w:p w14:paraId="3D0FA87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50FDB94"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30AEAC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381AF9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Ejercer la dirección administrativa y financiera de la correspondiente circunscripción electoral en los términos de ley y de la delegación que en esta materia les conceda el Registrador Nacional.</w:t>
            </w:r>
          </w:p>
        </w:tc>
        <w:tc>
          <w:tcPr>
            <w:tcW w:w="3798" w:type="dxa"/>
            <w:tcBorders>
              <w:top w:val="nil"/>
              <w:left w:val="nil"/>
              <w:bottom w:val="nil"/>
              <w:right w:val="single" w:sz="4" w:space="0" w:color="000000"/>
            </w:tcBorders>
            <w:shd w:val="clear" w:color="00FF00" w:fill="FFFFFF"/>
            <w:hideMark/>
          </w:tcPr>
          <w:p w14:paraId="7DCFF99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Ejercer la dirección administrativa y financiera de la correspondiente circunscripción electoral en los términos de ley y de la delegación que en esta materia les conceda el Registrador Nacional.</w:t>
            </w:r>
          </w:p>
        </w:tc>
        <w:tc>
          <w:tcPr>
            <w:tcW w:w="1480" w:type="dxa"/>
            <w:tcBorders>
              <w:top w:val="nil"/>
              <w:left w:val="nil"/>
              <w:bottom w:val="nil"/>
              <w:right w:val="single" w:sz="4" w:space="0" w:color="000000"/>
            </w:tcBorders>
            <w:shd w:val="clear" w:color="000000" w:fill="FFFFFF"/>
            <w:hideMark/>
          </w:tcPr>
          <w:p w14:paraId="2EA759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0B8ACB5" w14:textId="77777777" w:rsidTr="00222F34">
        <w:trPr>
          <w:trHeight w:val="300"/>
        </w:trPr>
        <w:tc>
          <w:tcPr>
            <w:tcW w:w="3798" w:type="dxa"/>
            <w:tcBorders>
              <w:top w:val="nil"/>
              <w:left w:val="single" w:sz="4" w:space="0" w:color="000000"/>
              <w:bottom w:val="nil"/>
              <w:right w:val="single" w:sz="4" w:space="0" w:color="000000"/>
            </w:tcBorders>
            <w:shd w:val="clear" w:color="FFC000" w:fill="FFFFFF"/>
            <w:hideMark/>
          </w:tcPr>
          <w:p w14:paraId="2C679BC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1DCFE1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Supervisar los grupos de trabajo en su respectivo Departamento.</w:t>
            </w:r>
          </w:p>
        </w:tc>
        <w:tc>
          <w:tcPr>
            <w:tcW w:w="3798" w:type="dxa"/>
            <w:tcBorders>
              <w:top w:val="nil"/>
              <w:left w:val="nil"/>
              <w:bottom w:val="nil"/>
              <w:right w:val="single" w:sz="4" w:space="0" w:color="000000"/>
            </w:tcBorders>
            <w:shd w:val="clear" w:color="00FF00" w:fill="FFFFFF"/>
            <w:hideMark/>
          </w:tcPr>
          <w:p w14:paraId="4AF9C6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Supervisar los grupos de trabajo en su respectivo Departamento.</w:t>
            </w:r>
          </w:p>
        </w:tc>
        <w:tc>
          <w:tcPr>
            <w:tcW w:w="1480" w:type="dxa"/>
            <w:tcBorders>
              <w:top w:val="nil"/>
              <w:left w:val="nil"/>
              <w:bottom w:val="nil"/>
              <w:right w:val="single" w:sz="4" w:space="0" w:color="000000"/>
            </w:tcBorders>
            <w:shd w:val="clear" w:color="000000" w:fill="FFFFFF"/>
            <w:hideMark/>
          </w:tcPr>
          <w:p w14:paraId="6B2EE2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05B4C6F" w14:textId="77777777" w:rsidTr="00222F34">
        <w:trPr>
          <w:trHeight w:val="600"/>
        </w:trPr>
        <w:tc>
          <w:tcPr>
            <w:tcW w:w="3798" w:type="dxa"/>
            <w:tcBorders>
              <w:top w:val="nil"/>
              <w:left w:val="single" w:sz="4" w:space="0" w:color="000000"/>
              <w:bottom w:val="nil"/>
              <w:right w:val="single" w:sz="4" w:space="0" w:color="000000"/>
            </w:tcBorders>
            <w:shd w:val="clear" w:color="FFC000" w:fill="FFFFFF"/>
            <w:hideMark/>
          </w:tcPr>
          <w:p w14:paraId="47C63F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1B6D780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Velar por el buen funcionamiento del sistema de control interno de la Registraduría Nacional en cuanto su organización desconcentrada.</w:t>
            </w:r>
          </w:p>
        </w:tc>
        <w:tc>
          <w:tcPr>
            <w:tcW w:w="3798" w:type="dxa"/>
            <w:tcBorders>
              <w:top w:val="nil"/>
              <w:left w:val="nil"/>
              <w:bottom w:val="nil"/>
              <w:right w:val="single" w:sz="4" w:space="0" w:color="000000"/>
            </w:tcBorders>
            <w:shd w:val="clear" w:color="00FF00" w:fill="FFFFFF"/>
            <w:hideMark/>
          </w:tcPr>
          <w:p w14:paraId="51A3044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Velar por el buen funcionamiento del sistema de control interno de la Registraduría Nacional en cuanto su organización desconcentrada.</w:t>
            </w:r>
          </w:p>
        </w:tc>
        <w:tc>
          <w:tcPr>
            <w:tcW w:w="1480" w:type="dxa"/>
            <w:tcBorders>
              <w:top w:val="nil"/>
              <w:left w:val="nil"/>
              <w:bottom w:val="nil"/>
              <w:right w:val="single" w:sz="4" w:space="0" w:color="000000"/>
            </w:tcBorders>
            <w:shd w:val="clear" w:color="000000" w:fill="FFFFFF"/>
            <w:hideMark/>
          </w:tcPr>
          <w:p w14:paraId="75E8002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AB0DF09"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29901D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18D64B1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Colaborar en el desarrollo de la gestión con las dependencias nacionales encargadas de las áreas administrativa, financiera y de talento humano, observando los procedimientos y normas legales vigentes.</w:t>
            </w:r>
          </w:p>
        </w:tc>
        <w:tc>
          <w:tcPr>
            <w:tcW w:w="3798" w:type="dxa"/>
            <w:tcBorders>
              <w:top w:val="nil"/>
              <w:left w:val="nil"/>
              <w:bottom w:val="nil"/>
              <w:right w:val="single" w:sz="4" w:space="0" w:color="000000"/>
            </w:tcBorders>
            <w:shd w:val="clear" w:color="00FF00" w:fill="FFFFFF"/>
            <w:hideMark/>
          </w:tcPr>
          <w:p w14:paraId="700BF78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Colaborar en el desarrollo de la gestión con las dependencias nacionales encargadas de las áreas administrativa, financiera y de talento humano, observando los procedimientos y normas legales vigentes.</w:t>
            </w:r>
          </w:p>
        </w:tc>
        <w:tc>
          <w:tcPr>
            <w:tcW w:w="1480" w:type="dxa"/>
            <w:tcBorders>
              <w:top w:val="nil"/>
              <w:left w:val="nil"/>
              <w:bottom w:val="nil"/>
              <w:right w:val="single" w:sz="4" w:space="0" w:color="000000"/>
            </w:tcBorders>
            <w:shd w:val="clear" w:color="000000" w:fill="FFFFFF"/>
            <w:hideMark/>
          </w:tcPr>
          <w:p w14:paraId="162453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061C551"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3E6908C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5E82901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Ejercer las delegaciones que se reciban en los asuntos administrativos, financieros y de talento humano, en materia de nominación y de investigaciones y sanciones disciplinarias.</w:t>
            </w:r>
          </w:p>
        </w:tc>
        <w:tc>
          <w:tcPr>
            <w:tcW w:w="3798" w:type="dxa"/>
            <w:tcBorders>
              <w:top w:val="nil"/>
              <w:left w:val="nil"/>
              <w:bottom w:val="nil"/>
              <w:right w:val="single" w:sz="4" w:space="0" w:color="000000"/>
            </w:tcBorders>
            <w:shd w:val="clear" w:color="00FF00" w:fill="FFFFFF"/>
            <w:hideMark/>
          </w:tcPr>
          <w:p w14:paraId="51DE750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Ejercer las delegaciones que se reciban en los asuntos administrativos, financieros y de talento humano, en materia de nominación y de investigaciones y sanciones disciplinarias.</w:t>
            </w:r>
          </w:p>
        </w:tc>
        <w:tc>
          <w:tcPr>
            <w:tcW w:w="1480" w:type="dxa"/>
            <w:tcBorders>
              <w:top w:val="nil"/>
              <w:left w:val="nil"/>
              <w:bottom w:val="nil"/>
              <w:right w:val="single" w:sz="4" w:space="0" w:color="000000"/>
            </w:tcBorders>
            <w:shd w:val="clear" w:color="000000" w:fill="FFFFFF"/>
            <w:hideMark/>
          </w:tcPr>
          <w:p w14:paraId="5E3B9F7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6024BA" w14:textId="77777777" w:rsidTr="00222F34">
        <w:trPr>
          <w:trHeight w:val="600"/>
        </w:trPr>
        <w:tc>
          <w:tcPr>
            <w:tcW w:w="3798" w:type="dxa"/>
            <w:tcBorders>
              <w:top w:val="nil"/>
              <w:left w:val="single" w:sz="4" w:space="0" w:color="000000"/>
              <w:bottom w:val="nil"/>
              <w:right w:val="single" w:sz="4" w:space="0" w:color="000000"/>
            </w:tcBorders>
            <w:shd w:val="clear" w:color="FFC000" w:fill="FFFFFF"/>
            <w:hideMark/>
          </w:tcPr>
          <w:p w14:paraId="31DB7E8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4C91F38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Reconocer los viáticos, los transportes y los demás gastos concernientes al ámbito departamental, dentro de su disponibilidad presupuestal.</w:t>
            </w:r>
          </w:p>
        </w:tc>
        <w:tc>
          <w:tcPr>
            <w:tcW w:w="3798" w:type="dxa"/>
            <w:tcBorders>
              <w:top w:val="nil"/>
              <w:left w:val="nil"/>
              <w:bottom w:val="nil"/>
              <w:right w:val="single" w:sz="4" w:space="0" w:color="000000"/>
            </w:tcBorders>
            <w:shd w:val="clear" w:color="00FF00" w:fill="FFFFFF"/>
            <w:hideMark/>
          </w:tcPr>
          <w:p w14:paraId="163897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Reconocer los viáticos, los transportes y los demás gastos concernientes al ámbito departamental, dentro de su disponibilidad presupuestal.</w:t>
            </w:r>
          </w:p>
        </w:tc>
        <w:tc>
          <w:tcPr>
            <w:tcW w:w="1480" w:type="dxa"/>
            <w:tcBorders>
              <w:top w:val="nil"/>
              <w:left w:val="nil"/>
              <w:bottom w:val="nil"/>
              <w:right w:val="single" w:sz="4" w:space="0" w:color="000000"/>
            </w:tcBorders>
            <w:shd w:val="clear" w:color="000000" w:fill="FFFFFF"/>
            <w:hideMark/>
          </w:tcPr>
          <w:p w14:paraId="140E585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C69700A" w14:textId="77777777" w:rsidTr="00222F34">
        <w:trPr>
          <w:trHeight w:val="300"/>
        </w:trPr>
        <w:tc>
          <w:tcPr>
            <w:tcW w:w="3798" w:type="dxa"/>
            <w:tcBorders>
              <w:top w:val="nil"/>
              <w:left w:val="single" w:sz="4" w:space="0" w:color="000000"/>
              <w:bottom w:val="nil"/>
              <w:right w:val="single" w:sz="4" w:space="0" w:color="000000"/>
            </w:tcBorders>
            <w:shd w:val="clear" w:color="FFC000" w:fill="FFFFFF"/>
            <w:hideMark/>
          </w:tcPr>
          <w:p w14:paraId="546DB7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10298C7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Atender las solicitudes y comisiones realizadas por el Consejo Nacional Electoral.</w:t>
            </w:r>
          </w:p>
        </w:tc>
        <w:tc>
          <w:tcPr>
            <w:tcW w:w="3798" w:type="dxa"/>
            <w:tcBorders>
              <w:top w:val="nil"/>
              <w:left w:val="nil"/>
              <w:bottom w:val="nil"/>
              <w:right w:val="single" w:sz="4" w:space="0" w:color="000000"/>
            </w:tcBorders>
            <w:shd w:val="clear" w:color="00FF00" w:fill="FFFFFF"/>
            <w:hideMark/>
          </w:tcPr>
          <w:p w14:paraId="24FDFB2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Atender las solicitudes y comisiones realizadas por el Consejo Nacional Electoral.</w:t>
            </w:r>
          </w:p>
        </w:tc>
        <w:tc>
          <w:tcPr>
            <w:tcW w:w="1480" w:type="dxa"/>
            <w:tcBorders>
              <w:top w:val="nil"/>
              <w:left w:val="nil"/>
              <w:bottom w:val="nil"/>
              <w:right w:val="single" w:sz="4" w:space="0" w:color="000000"/>
            </w:tcBorders>
            <w:shd w:val="clear" w:color="000000" w:fill="FFFFFF"/>
            <w:hideMark/>
          </w:tcPr>
          <w:p w14:paraId="3E981BA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D67DACE" w14:textId="77777777" w:rsidTr="00222F34">
        <w:trPr>
          <w:trHeight w:val="300"/>
        </w:trPr>
        <w:tc>
          <w:tcPr>
            <w:tcW w:w="3798" w:type="dxa"/>
            <w:tcBorders>
              <w:top w:val="nil"/>
              <w:left w:val="single" w:sz="4" w:space="0" w:color="000000"/>
              <w:bottom w:val="nil"/>
              <w:right w:val="single" w:sz="4" w:space="0" w:color="000000"/>
            </w:tcBorders>
            <w:shd w:val="clear" w:color="FFC000" w:fill="FFFFFF"/>
            <w:hideMark/>
          </w:tcPr>
          <w:p w14:paraId="23FC2D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1C67FA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Las demás que les asigne la ley y el Registrador Nacional del Estado Civil.</w:t>
            </w:r>
          </w:p>
        </w:tc>
        <w:tc>
          <w:tcPr>
            <w:tcW w:w="3798" w:type="dxa"/>
            <w:tcBorders>
              <w:top w:val="nil"/>
              <w:left w:val="nil"/>
              <w:bottom w:val="nil"/>
              <w:right w:val="single" w:sz="4" w:space="0" w:color="000000"/>
            </w:tcBorders>
            <w:shd w:val="clear" w:color="00FF00" w:fill="FFFFFF"/>
            <w:hideMark/>
          </w:tcPr>
          <w:p w14:paraId="5C06BD4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Las demás que les asigne la ley y el Registrador Nacional del Estado Civil.</w:t>
            </w:r>
          </w:p>
        </w:tc>
        <w:tc>
          <w:tcPr>
            <w:tcW w:w="1480" w:type="dxa"/>
            <w:tcBorders>
              <w:top w:val="nil"/>
              <w:left w:val="nil"/>
              <w:bottom w:val="nil"/>
              <w:right w:val="single" w:sz="4" w:space="0" w:color="000000"/>
            </w:tcBorders>
            <w:shd w:val="clear" w:color="000000" w:fill="FFFFFF"/>
            <w:hideMark/>
          </w:tcPr>
          <w:p w14:paraId="0997BE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E3E16C1"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3441E0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5E4DD21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Participar en la definición de las políticas, los planes y los programas de las áreas misionales de la Registraduría Nacional del Estado Civil en la circunscripción en la cual operan, y velar por su cumplida ejecución en los términos en que se aprueben.</w:t>
            </w:r>
          </w:p>
        </w:tc>
        <w:tc>
          <w:tcPr>
            <w:tcW w:w="3798" w:type="dxa"/>
            <w:tcBorders>
              <w:top w:val="nil"/>
              <w:left w:val="nil"/>
              <w:bottom w:val="nil"/>
              <w:right w:val="single" w:sz="4" w:space="0" w:color="000000"/>
            </w:tcBorders>
            <w:shd w:val="clear" w:color="00FF00" w:fill="FFFFFF"/>
            <w:hideMark/>
          </w:tcPr>
          <w:p w14:paraId="6A82469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Participar en la definición de las políticas, los planes y los programas de las áreas misionales de la Registraduría Nacional del Estado Civil en la circunscripción en la cual operan, y velar por su cumplida ejecución en los términos en que se aprueben.</w:t>
            </w:r>
          </w:p>
        </w:tc>
        <w:tc>
          <w:tcPr>
            <w:tcW w:w="1480" w:type="dxa"/>
            <w:tcBorders>
              <w:top w:val="nil"/>
              <w:left w:val="nil"/>
              <w:bottom w:val="nil"/>
              <w:right w:val="single" w:sz="4" w:space="0" w:color="000000"/>
            </w:tcBorders>
            <w:shd w:val="clear" w:color="000000" w:fill="FFFFFF"/>
            <w:hideMark/>
          </w:tcPr>
          <w:p w14:paraId="22DA5D6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50F027E"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1EFBB7E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39CA6E2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Realizar rendición pública de cuentas.</w:t>
            </w:r>
          </w:p>
        </w:tc>
        <w:tc>
          <w:tcPr>
            <w:tcW w:w="3798" w:type="dxa"/>
            <w:tcBorders>
              <w:top w:val="nil"/>
              <w:left w:val="nil"/>
              <w:bottom w:val="single" w:sz="4" w:space="0" w:color="000000"/>
              <w:right w:val="single" w:sz="4" w:space="0" w:color="000000"/>
            </w:tcBorders>
            <w:shd w:val="clear" w:color="00FF00" w:fill="FFFFFF"/>
            <w:hideMark/>
          </w:tcPr>
          <w:p w14:paraId="25EFF3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Realizar rendición pública de cuentas.</w:t>
            </w:r>
          </w:p>
        </w:tc>
        <w:tc>
          <w:tcPr>
            <w:tcW w:w="1480" w:type="dxa"/>
            <w:tcBorders>
              <w:top w:val="nil"/>
              <w:left w:val="nil"/>
              <w:bottom w:val="single" w:sz="4" w:space="0" w:color="000000"/>
              <w:right w:val="single" w:sz="4" w:space="0" w:color="000000"/>
            </w:tcBorders>
            <w:shd w:val="clear" w:color="000000" w:fill="FFFFFF"/>
            <w:hideMark/>
          </w:tcPr>
          <w:p w14:paraId="014C3EB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D42395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BDF79F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17569DAC"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70EB9803"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1480" w:type="dxa"/>
            <w:tcBorders>
              <w:top w:val="nil"/>
              <w:left w:val="nil"/>
              <w:bottom w:val="nil"/>
              <w:right w:val="single" w:sz="4" w:space="0" w:color="000000"/>
            </w:tcBorders>
            <w:shd w:val="clear" w:color="000000" w:fill="FFFFFF"/>
            <w:hideMark/>
          </w:tcPr>
          <w:p w14:paraId="1933A4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EDF884A"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09FE341"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Seccionales</w:t>
            </w:r>
          </w:p>
        </w:tc>
        <w:tc>
          <w:tcPr>
            <w:tcW w:w="3798" w:type="dxa"/>
            <w:tcBorders>
              <w:top w:val="nil"/>
              <w:left w:val="nil"/>
              <w:bottom w:val="nil"/>
              <w:right w:val="single" w:sz="4" w:space="0" w:color="000000"/>
            </w:tcBorders>
            <w:shd w:val="clear" w:color="000000" w:fill="FFFFFF"/>
            <w:hideMark/>
          </w:tcPr>
          <w:p w14:paraId="30DE0443"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Seccionales</w:t>
            </w:r>
          </w:p>
        </w:tc>
        <w:tc>
          <w:tcPr>
            <w:tcW w:w="3798" w:type="dxa"/>
            <w:tcBorders>
              <w:top w:val="nil"/>
              <w:left w:val="nil"/>
              <w:bottom w:val="nil"/>
              <w:right w:val="single" w:sz="4" w:space="0" w:color="000000"/>
            </w:tcBorders>
            <w:shd w:val="clear" w:color="000000" w:fill="FFFFFF"/>
            <w:hideMark/>
          </w:tcPr>
          <w:p w14:paraId="50565B6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Seccionales</w:t>
            </w:r>
          </w:p>
        </w:tc>
        <w:tc>
          <w:tcPr>
            <w:tcW w:w="1480" w:type="dxa"/>
            <w:tcBorders>
              <w:top w:val="nil"/>
              <w:left w:val="nil"/>
              <w:bottom w:val="nil"/>
              <w:right w:val="single" w:sz="4" w:space="0" w:color="000000"/>
            </w:tcBorders>
            <w:shd w:val="clear" w:color="000000" w:fill="FFFFFF"/>
            <w:hideMark/>
          </w:tcPr>
          <w:p w14:paraId="1BFD48D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6E086D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07C5D3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 Delegados seccionales.</w:t>
            </w:r>
            <w:r w:rsidRPr="00222F34">
              <w:rPr>
                <w:rFonts w:ascii="Calibri" w:eastAsia="Times New Roman" w:hAnsi="Calibri" w:cs="Calibri"/>
                <w:color w:val="000000"/>
                <w:lang w:val="es-CO" w:eastAsia="es-CO" w:bidi="ar-SA"/>
              </w:rPr>
              <w:t xml:space="preserve"> En cada departamento habrá dos (2) delegados seccionales en el registro civil e identificación, y en lo electoral, de los cuales, al menos una será una mujer, quienes tomarán posesión de su cargo ante el gobernador departamental y tendrán las siguientes funciones:</w:t>
            </w:r>
          </w:p>
        </w:tc>
        <w:tc>
          <w:tcPr>
            <w:tcW w:w="3798" w:type="dxa"/>
            <w:tcBorders>
              <w:top w:val="single" w:sz="4" w:space="0" w:color="auto"/>
              <w:left w:val="nil"/>
              <w:bottom w:val="nil"/>
              <w:right w:val="single" w:sz="4" w:space="0" w:color="000000"/>
            </w:tcBorders>
            <w:shd w:val="clear" w:color="000000" w:fill="FFFFFF"/>
            <w:hideMark/>
          </w:tcPr>
          <w:p w14:paraId="7E10FB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 Delegados seccionales</w:t>
            </w:r>
            <w:r w:rsidRPr="00222F34">
              <w:rPr>
                <w:rFonts w:ascii="Calibri" w:eastAsia="Times New Roman" w:hAnsi="Calibri" w:cs="Calibri"/>
                <w:color w:val="000000"/>
                <w:lang w:val="es-CO" w:eastAsia="es-CO" w:bidi="ar-SA"/>
              </w:rPr>
              <w:t>. En cada departamento habrá un (1) delegado seccional en el registro civil e identificación, y un (1) delegado seccional en lo electoral, de los cuales, al menos una será una mujer, quienes tomarán posesión de su cargo ante</w:t>
            </w:r>
            <w:r w:rsidRPr="00222F34">
              <w:rPr>
                <w:rFonts w:ascii="Calibri" w:eastAsia="Times New Roman" w:hAnsi="Calibri" w:cs="Calibri"/>
                <w:color w:val="000000"/>
                <w:lang w:val="es-CO" w:eastAsia="es-CO" w:bidi="ar-SA"/>
              </w:rPr>
              <w:br/>
              <w:t>el registrador departamental y tendrán las siguientes funciones:</w:t>
            </w:r>
          </w:p>
        </w:tc>
        <w:tc>
          <w:tcPr>
            <w:tcW w:w="3798" w:type="dxa"/>
            <w:tcBorders>
              <w:top w:val="single" w:sz="4" w:space="0" w:color="auto"/>
              <w:left w:val="nil"/>
              <w:bottom w:val="nil"/>
              <w:right w:val="single" w:sz="4" w:space="0" w:color="000000"/>
            </w:tcBorders>
            <w:shd w:val="clear" w:color="000000" w:fill="FFFFFF"/>
            <w:hideMark/>
          </w:tcPr>
          <w:p w14:paraId="6C7E9C9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 Delegados seccionales</w:t>
            </w:r>
            <w:r w:rsidRPr="00222F34">
              <w:rPr>
                <w:rFonts w:ascii="Calibri" w:eastAsia="Times New Roman" w:hAnsi="Calibri" w:cs="Calibri"/>
                <w:color w:val="000000"/>
                <w:lang w:val="es-CO" w:eastAsia="es-CO" w:bidi="ar-SA"/>
              </w:rPr>
              <w:t>. En cada departamento habrá un (1) delegado seccional en el registro civil e identificación, y un (1) delegado seccional en lo electoral, de los cuales, al menos una será una mujer, quienes tomarán posesión de su cargo ante</w:t>
            </w:r>
            <w:r w:rsidRPr="00222F34">
              <w:rPr>
                <w:rFonts w:ascii="Calibri" w:eastAsia="Times New Roman" w:hAnsi="Calibri" w:cs="Calibri"/>
                <w:color w:val="000000"/>
                <w:lang w:val="es-CO" w:eastAsia="es-CO" w:bidi="ar-SA"/>
              </w:rPr>
              <w:br/>
              <w:t>el registrador departamental y tendrán las siguientes funciones:</w:t>
            </w:r>
          </w:p>
        </w:tc>
        <w:tc>
          <w:tcPr>
            <w:tcW w:w="1480" w:type="dxa"/>
            <w:tcBorders>
              <w:top w:val="single" w:sz="4" w:space="0" w:color="auto"/>
              <w:left w:val="nil"/>
              <w:bottom w:val="nil"/>
              <w:right w:val="single" w:sz="4" w:space="0" w:color="000000"/>
            </w:tcBorders>
            <w:shd w:val="clear" w:color="000000" w:fill="FFFFFF"/>
            <w:hideMark/>
          </w:tcPr>
          <w:p w14:paraId="50494B74" w14:textId="3E05EFF3"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36356E9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EA0EC6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 Delegado seccional en el registro civil e identificación: </w:t>
            </w:r>
          </w:p>
        </w:tc>
        <w:tc>
          <w:tcPr>
            <w:tcW w:w="3798" w:type="dxa"/>
            <w:tcBorders>
              <w:top w:val="nil"/>
              <w:left w:val="nil"/>
              <w:bottom w:val="nil"/>
              <w:right w:val="single" w:sz="4" w:space="0" w:color="000000"/>
            </w:tcBorders>
            <w:shd w:val="clear" w:color="000000" w:fill="FFFFFF"/>
            <w:hideMark/>
          </w:tcPr>
          <w:p w14:paraId="4E9AC5A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Delegado seccional en el registro civil e identificación:</w:t>
            </w:r>
          </w:p>
        </w:tc>
        <w:tc>
          <w:tcPr>
            <w:tcW w:w="3798" w:type="dxa"/>
            <w:tcBorders>
              <w:top w:val="nil"/>
              <w:left w:val="nil"/>
              <w:bottom w:val="nil"/>
              <w:right w:val="single" w:sz="4" w:space="0" w:color="000000"/>
            </w:tcBorders>
            <w:shd w:val="clear" w:color="000000" w:fill="FFFFFF"/>
            <w:hideMark/>
          </w:tcPr>
          <w:p w14:paraId="229E3A8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Delegado seccional en el registro civil e identificación:</w:t>
            </w:r>
          </w:p>
        </w:tc>
        <w:tc>
          <w:tcPr>
            <w:tcW w:w="1480" w:type="dxa"/>
            <w:tcBorders>
              <w:top w:val="nil"/>
              <w:left w:val="nil"/>
              <w:bottom w:val="nil"/>
              <w:right w:val="single" w:sz="4" w:space="0" w:color="000000"/>
            </w:tcBorders>
            <w:shd w:val="clear" w:color="000000" w:fill="FFFFFF"/>
            <w:hideMark/>
          </w:tcPr>
          <w:p w14:paraId="2B389EE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72AEBC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AE0932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Velar por la correcta asignación de los seriales distribuidos por la Dirección de Registro Civil para la inscripción de nacimiento, matrimonio, defunción y demás documentos relacionados con el registro civil y, del mismo modo, vigilar su correcta utilización. </w:t>
            </w:r>
          </w:p>
        </w:tc>
        <w:tc>
          <w:tcPr>
            <w:tcW w:w="3798" w:type="dxa"/>
            <w:tcBorders>
              <w:top w:val="nil"/>
              <w:left w:val="nil"/>
              <w:bottom w:val="nil"/>
              <w:right w:val="single" w:sz="4" w:space="0" w:color="000000"/>
            </w:tcBorders>
            <w:shd w:val="clear" w:color="000000" w:fill="FFFFFF"/>
            <w:hideMark/>
          </w:tcPr>
          <w:p w14:paraId="547A72D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Velar por la correcta asignación de los seriales distribuidos por la Dirección de Registro Civil para la inscripción de nacimiento, matrimonio, defunción y demás documentos relacionados con el registro civil y, del mismo modo, vigilar su correcta utilización.</w:t>
            </w:r>
          </w:p>
        </w:tc>
        <w:tc>
          <w:tcPr>
            <w:tcW w:w="3798" w:type="dxa"/>
            <w:tcBorders>
              <w:top w:val="nil"/>
              <w:left w:val="nil"/>
              <w:bottom w:val="nil"/>
              <w:right w:val="single" w:sz="4" w:space="0" w:color="000000"/>
            </w:tcBorders>
            <w:shd w:val="clear" w:color="000000" w:fill="FFFFFF"/>
            <w:hideMark/>
          </w:tcPr>
          <w:p w14:paraId="7894B8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Velar por la correcta asignación de los seriales distribuidos por la Dirección de Registro Civil para la inscripción de nacimiento, matrimonio, defunción y demás documentos relacionados con el registro civil y, del mismo modo, vigilar su correcta utilización.</w:t>
            </w:r>
          </w:p>
        </w:tc>
        <w:tc>
          <w:tcPr>
            <w:tcW w:w="1480" w:type="dxa"/>
            <w:tcBorders>
              <w:top w:val="nil"/>
              <w:left w:val="nil"/>
              <w:bottom w:val="nil"/>
              <w:right w:val="single" w:sz="4" w:space="0" w:color="000000"/>
            </w:tcBorders>
            <w:shd w:val="clear" w:color="000000" w:fill="FFFFFF"/>
            <w:hideMark/>
          </w:tcPr>
          <w:p w14:paraId="7C709C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5594DA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4A33AD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Asesorar y capacitar a los registradores especiales, municipales y auxiliares, en materia de registro civil e identificación e, igualmente, reunir periódicamente a los registradores de su respectiva circunscripción para </w:t>
            </w:r>
            <w:r w:rsidRPr="00222F34">
              <w:rPr>
                <w:rFonts w:ascii="Calibri" w:eastAsia="Times New Roman" w:hAnsi="Calibri" w:cs="Calibri"/>
                <w:color w:val="000000"/>
                <w:lang w:val="es-CO" w:eastAsia="es-CO" w:bidi="ar-SA"/>
              </w:rPr>
              <w:lastRenderedPageBreak/>
              <w:t xml:space="preserve">orientarlos en la interpretación y aplicación de las normas vigentes. </w:t>
            </w:r>
          </w:p>
        </w:tc>
        <w:tc>
          <w:tcPr>
            <w:tcW w:w="3798" w:type="dxa"/>
            <w:tcBorders>
              <w:top w:val="nil"/>
              <w:left w:val="nil"/>
              <w:bottom w:val="nil"/>
              <w:right w:val="single" w:sz="4" w:space="0" w:color="000000"/>
            </w:tcBorders>
            <w:shd w:val="clear" w:color="000000" w:fill="FFFFFF"/>
            <w:hideMark/>
          </w:tcPr>
          <w:p w14:paraId="5514D0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b. Asesorar y capacitar a los registradores especiales, municipales y auxiliares, en materia de registro civil e identificación e, igualmente, reunir periódicamente a los registradores de su respectiva circunscripción para </w:t>
            </w:r>
            <w:r w:rsidRPr="00222F34">
              <w:rPr>
                <w:rFonts w:ascii="Calibri" w:eastAsia="Times New Roman" w:hAnsi="Calibri" w:cs="Calibri"/>
                <w:color w:val="000000"/>
                <w:lang w:val="es-CO" w:eastAsia="es-CO" w:bidi="ar-SA"/>
              </w:rPr>
              <w:lastRenderedPageBreak/>
              <w:t>orientarlos en la interpretación y aplicación de las normas vigentes.</w:t>
            </w:r>
          </w:p>
        </w:tc>
        <w:tc>
          <w:tcPr>
            <w:tcW w:w="3798" w:type="dxa"/>
            <w:tcBorders>
              <w:top w:val="nil"/>
              <w:left w:val="nil"/>
              <w:bottom w:val="nil"/>
              <w:right w:val="single" w:sz="4" w:space="0" w:color="000000"/>
            </w:tcBorders>
            <w:shd w:val="clear" w:color="000000" w:fill="FFFFFF"/>
            <w:hideMark/>
          </w:tcPr>
          <w:p w14:paraId="1A917C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b. Asesorar y capacitar a los registradores especiales, municipales y auxiliares, en materia de registro civil e identificación e, igualmente, reunir periódicamente a los registradores de su respectiva circunscripción para </w:t>
            </w:r>
            <w:r w:rsidRPr="00222F34">
              <w:rPr>
                <w:rFonts w:ascii="Calibri" w:eastAsia="Times New Roman" w:hAnsi="Calibri" w:cs="Calibri"/>
                <w:color w:val="000000"/>
                <w:lang w:val="es-CO" w:eastAsia="es-CO" w:bidi="ar-SA"/>
              </w:rPr>
              <w:lastRenderedPageBreak/>
              <w:t>orientarlos en la interpretación y aplicación de las normas vigentes.</w:t>
            </w:r>
          </w:p>
        </w:tc>
        <w:tc>
          <w:tcPr>
            <w:tcW w:w="1480" w:type="dxa"/>
            <w:tcBorders>
              <w:top w:val="nil"/>
              <w:left w:val="nil"/>
              <w:bottom w:val="nil"/>
              <w:right w:val="single" w:sz="4" w:space="0" w:color="000000"/>
            </w:tcBorders>
            <w:shd w:val="clear" w:color="000000" w:fill="FFFFFF"/>
            <w:hideMark/>
          </w:tcPr>
          <w:p w14:paraId="5A630F9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162FE48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E04AB9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 Vigilar y controlar la debida y oportuna prestación del servicio de registro civil e identificación, la remisión y actualización oportuna de la información en los sistemas de registro civil y Archivo Nacional de Identificación. </w:t>
            </w:r>
          </w:p>
        </w:tc>
        <w:tc>
          <w:tcPr>
            <w:tcW w:w="3798" w:type="dxa"/>
            <w:tcBorders>
              <w:top w:val="nil"/>
              <w:left w:val="nil"/>
              <w:bottom w:val="nil"/>
              <w:right w:val="single" w:sz="4" w:space="0" w:color="000000"/>
            </w:tcBorders>
            <w:shd w:val="clear" w:color="000000" w:fill="FFFFFF"/>
            <w:hideMark/>
          </w:tcPr>
          <w:p w14:paraId="443711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Vigilar y controlar la debida y oportuna prestación del servicio de registro civil e identificación, la remisión y actualización oportuna de la información en los sistemas de registro civil y Archivo Nacional de Identificación.</w:t>
            </w:r>
          </w:p>
        </w:tc>
        <w:tc>
          <w:tcPr>
            <w:tcW w:w="3798" w:type="dxa"/>
            <w:tcBorders>
              <w:top w:val="nil"/>
              <w:left w:val="nil"/>
              <w:bottom w:val="nil"/>
              <w:right w:val="single" w:sz="4" w:space="0" w:color="000000"/>
            </w:tcBorders>
            <w:shd w:val="clear" w:color="000000" w:fill="FFFFFF"/>
            <w:hideMark/>
          </w:tcPr>
          <w:p w14:paraId="0F9ABF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Vigilar y controlar la debida y oportuna prestación del servicio de registro civil e identificación, la remisión y actualización oportuna de la información en los sistemas de registro civil y Archivo Nacional de Identificación.</w:t>
            </w:r>
          </w:p>
        </w:tc>
        <w:tc>
          <w:tcPr>
            <w:tcW w:w="1480" w:type="dxa"/>
            <w:tcBorders>
              <w:top w:val="nil"/>
              <w:left w:val="nil"/>
              <w:bottom w:val="nil"/>
              <w:right w:val="single" w:sz="4" w:space="0" w:color="000000"/>
            </w:tcBorders>
            <w:shd w:val="clear" w:color="000000" w:fill="FFFFFF"/>
            <w:hideMark/>
          </w:tcPr>
          <w:p w14:paraId="3E9FDE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176C6B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65EE4E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Participar en las campañas de registro civil e identificación organizadas por la Registraduría Delegada para Registro Civil e Identificación. </w:t>
            </w:r>
          </w:p>
        </w:tc>
        <w:tc>
          <w:tcPr>
            <w:tcW w:w="3798" w:type="dxa"/>
            <w:tcBorders>
              <w:top w:val="nil"/>
              <w:left w:val="nil"/>
              <w:bottom w:val="nil"/>
              <w:right w:val="single" w:sz="4" w:space="0" w:color="000000"/>
            </w:tcBorders>
            <w:shd w:val="clear" w:color="000000" w:fill="FFFFFF"/>
            <w:hideMark/>
          </w:tcPr>
          <w:p w14:paraId="41809E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Participar en las campañas de registro civil e identificación organizadas por la Registraduría Delegada para Registro Civil e Identificación.</w:t>
            </w:r>
          </w:p>
        </w:tc>
        <w:tc>
          <w:tcPr>
            <w:tcW w:w="3798" w:type="dxa"/>
            <w:tcBorders>
              <w:top w:val="nil"/>
              <w:left w:val="nil"/>
              <w:bottom w:val="nil"/>
              <w:right w:val="single" w:sz="4" w:space="0" w:color="000000"/>
            </w:tcBorders>
            <w:shd w:val="clear" w:color="000000" w:fill="FFFFFF"/>
            <w:hideMark/>
          </w:tcPr>
          <w:p w14:paraId="7E5254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Participar en las campañas de registro civil e identificación organizadas por la Registraduría Delegada para Registro Civil e Identificación.</w:t>
            </w:r>
          </w:p>
        </w:tc>
        <w:tc>
          <w:tcPr>
            <w:tcW w:w="1480" w:type="dxa"/>
            <w:tcBorders>
              <w:top w:val="nil"/>
              <w:left w:val="nil"/>
              <w:bottom w:val="nil"/>
              <w:right w:val="single" w:sz="4" w:space="0" w:color="000000"/>
            </w:tcBorders>
            <w:shd w:val="clear" w:color="000000" w:fill="FFFFFF"/>
            <w:hideMark/>
          </w:tcPr>
          <w:p w14:paraId="3771BD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DD728B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4B28C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Coordinar las acciones para la debida prestación de los trámites de preparación y actualización de los documentos de identidad de su respectiva circunscripción. </w:t>
            </w:r>
          </w:p>
        </w:tc>
        <w:tc>
          <w:tcPr>
            <w:tcW w:w="3798" w:type="dxa"/>
            <w:tcBorders>
              <w:top w:val="nil"/>
              <w:left w:val="nil"/>
              <w:bottom w:val="nil"/>
              <w:right w:val="single" w:sz="4" w:space="0" w:color="000000"/>
            </w:tcBorders>
            <w:shd w:val="clear" w:color="000000" w:fill="FFFFFF"/>
            <w:hideMark/>
          </w:tcPr>
          <w:p w14:paraId="30B4080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Coordinar las acciones para la debida prestación de los trámites de preparación y actualización de los documentos de identidad de su respectiva circunscripción.</w:t>
            </w:r>
          </w:p>
        </w:tc>
        <w:tc>
          <w:tcPr>
            <w:tcW w:w="3798" w:type="dxa"/>
            <w:tcBorders>
              <w:top w:val="nil"/>
              <w:left w:val="nil"/>
              <w:bottom w:val="nil"/>
              <w:right w:val="single" w:sz="4" w:space="0" w:color="000000"/>
            </w:tcBorders>
            <w:shd w:val="clear" w:color="000000" w:fill="FFFFFF"/>
            <w:hideMark/>
          </w:tcPr>
          <w:p w14:paraId="05A489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Coordinar las acciones para la debida prestación de los trámites de preparación y actualización de los documentos de identidad de su respectiva circunscripción.</w:t>
            </w:r>
          </w:p>
        </w:tc>
        <w:tc>
          <w:tcPr>
            <w:tcW w:w="1480" w:type="dxa"/>
            <w:tcBorders>
              <w:top w:val="nil"/>
              <w:left w:val="nil"/>
              <w:bottom w:val="nil"/>
              <w:right w:val="single" w:sz="4" w:space="0" w:color="000000"/>
            </w:tcBorders>
            <w:shd w:val="clear" w:color="000000" w:fill="FFFFFF"/>
            <w:hideMark/>
          </w:tcPr>
          <w:p w14:paraId="14312EA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11359B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242A8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Monitorear la disposición de las herramientas tecnológicas o insumos para los trámites de registro civil y de los documentos de identidad.  </w:t>
            </w:r>
          </w:p>
        </w:tc>
        <w:tc>
          <w:tcPr>
            <w:tcW w:w="3798" w:type="dxa"/>
            <w:tcBorders>
              <w:top w:val="nil"/>
              <w:left w:val="nil"/>
              <w:bottom w:val="nil"/>
              <w:right w:val="single" w:sz="4" w:space="0" w:color="000000"/>
            </w:tcBorders>
            <w:shd w:val="clear" w:color="000000" w:fill="FFFFFF"/>
            <w:hideMark/>
          </w:tcPr>
          <w:p w14:paraId="5241B9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Monitorear la disposición de las herramientas tecnológicas o insumos para los trámites de registro civil y de los documentos de identidad.</w:t>
            </w:r>
          </w:p>
        </w:tc>
        <w:tc>
          <w:tcPr>
            <w:tcW w:w="3798" w:type="dxa"/>
            <w:tcBorders>
              <w:top w:val="nil"/>
              <w:left w:val="nil"/>
              <w:bottom w:val="nil"/>
              <w:right w:val="single" w:sz="4" w:space="0" w:color="000000"/>
            </w:tcBorders>
            <w:shd w:val="clear" w:color="000000" w:fill="FFFFFF"/>
            <w:hideMark/>
          </w:tcPr>
          <w:p w14:paraId="3E67C31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Monitorear la disposición de las herramientas tecnológicas o insumos para los trámites de registro civil y de los documentos de identidad.</w:t>
            </w:r>
          </w:p>
        </w:tc>
        <w:tc>
          <w:tcPr>
            <w:tcW w:w="1480" w:type="dxa"/>
            <w:tcBorders>
              <w:top w:val="nil"/>
              <w:left w:val="nil"/>
              <w:bottom w:val="nil"/>
              <w:right w:val="single" w:sz="4" w:space="0" w:color="000000"/>
            </w:tcBorders>
            <w:shd w:val="clear" w:color="000000" w:fill="FFFFFF"/>
            <w:hideMark/>
          </w:tcPr>
          <w:p w14:paraId="2DB418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179918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E65B51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Participar en los comités departamentales de Estadísticas vitales. </w:t>
            </w:r>
          </w:p>
        </w:tc>
        <w:tc>
          <w:tcPr>
            <w:tcW w:w="3798" w:type="dxa"/>
            <w:tcBorders>
              <w:top w:val="nil"/>
              <w:left w:val="nil"/>
              <w:bottom w:val="nil"/>
              <w:right w:val="single" w:sz="4" w:space="0" w:color="000000"/>
            </w:tcBorders>
            <w:shd w:val="clear" w:color="000000" w:fill="FFFFFF"/>
            <w:hideMark/>
          </w:tcPr>
          <w:p w14:paraId="6EE13E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Participar en los comités departamentales de Estadísticas vitales.</w:t>
            </w:r>
          </w:p>
        </w:tc>
        <w:tc>
          <w:tcPr>
            <w:tcW w:w="3798" w:type="dxa"/>
            <w:tcBorders>
              <w:top w:val="nil"/>
              <w:left w:val="nil"/>
              <w:bottom w:val="nil"/>
              <w:right w:val="single" w:sz="4" w:space="0" w:color="000000"/>
            </w:tcBorders>
            <w:shd w:val="clear" w:color="000000" w:fill="FFFFFF"/>
            <w:hideMark/>
          </w:tcPr>
          <w:p w14:paraId="5216348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Participar en los comités departamentales de Estadísticas vitales.</w:t>
            </w:r>
          </w:p>
        </w:tc>
        <w:tc>
          <w:tcPr>
            <w:tcW w:w="1480" w:type="dxa"/>
            <w:tcBorders>
              <w:top w:val="nil"/>
              <w:left w:val="nil"/>
              <w:bottom w:val="nil"/>
              <w:right w:val="single" w:sz="4" w:space="0" w:color="000000"/>
            </w:tcBorders>
            <w:shd w:val="clear" w:color="000000" w:fill="FFFFFF"/>
            <w:hideMark/>
          </w:tcPr>
          <w:p w14:paraId="38E983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727559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FD08AE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Colaborar de forma armónica con las oficinas registrales de su circunscripción. </w:t>
            </w:r>
          </w:p>
        </w:tc>
        <w:tc>
          <w:tcPr>
            <w:tcW w:w="3798" w:type="dxa"/>
            <w:tcBorders>
              <w:top w:val="nil"/>
              <w:left w:val="nil"/>
              <w:bottom w:val="nil"/>
              <w:right w:val="single" w:sz="4" w:space="0" w:color="000000"/>
            </w:tcBorders>
            <w:shd w:val="clear" w:color="000000" w:fill="FFFFFF"/>
            <w:hideMark/>
          </w:tcPr>
          <w:p w14:paraId="5E6CEBC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Colaborar de forma armónica con las oficinas registrales de su circunscripción.</w:t>
            </w:r>
          </w:p>
        </w:tc>
        <w:tc>
          <w:tcPr>
            <w:tcW w:w="3798" w:type="dxa"/>
            <w:tcBorders>
              <w:top w:val="nil"/>
              <w:left w:val="nil"/>
              <w:bottom w:val="nil"/>
              <w:right w:val="single" w:sz="4" w:space="0" w:color="000000"/>
            </w:tcBorders>
            <w:shd w:val="clear" w:color="000000" w:fill="FFFFFF"/>
            <w:hideMark/>
          </w:tcPr>
          <w:p w14:paraId="139DE57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Colaborar de forma armónica con las oficinas registrales de su circunscripción.</w:t>
            </w:r>
          </w:p>
        </w:tc>
        <w:tc>
          <w:tcPr>
            <w:tcW w:w="1480" w:type="dxa"/>
            <w:tcBorders>
              <w:top w:val="nil"/>
              <w:left w:val="nil"/>
              <w:bottom w:val="nil"/>
              <w:right w:val="single" w:sz="4" w:space="0" w:color="000000"/>
            </w:tcBorders>
            <w:shd w:val="clear" w:color="000000" w:fill="FFFFFF"/>
            <w:hideMark/>
          </w:tcPr>
          <w:p w14:paraId="2B780A1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289D0E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0A6D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Diseñar e implementar estrategias para evitar el subregistro, optimizar los procesos de identificación y garantizar la </w:t>
            </w:r>
            <w:r w:rsidRPr="00222F34">
              <w:rPr>
                <w:rFonts w:ascii="Calibri" w:eastAsia="Times New Roman" w:hAnsi="Calibri" w:cs="Calibri"/>
                <w:color w:val="000000"/>
                <w:lang w:val="es-CO" w:eastAsia="es-CO" w:bidi="ar-SA"/>
              </w:rPr>
              <w:lastRenderedPageBreak/>
              <w:t xml:space="preserve">entrega oportuna de los documentos de identidad. </w:t>
            </w:r>
          </w:p>
        </w:tc>
        <w:tc>
          <w:tcPr>
            <w:tcW w:w="3798" w:type="dxa"/>
            <w:tcBorders>
              <w:top w:val="nil"/>
              <w:left w:val="nil"/>
              <w:bottom w:val="nil"/>
              <w:right w:val="single" w:sz="4" w:space="0" w:color="000000"/>
            </w:tcBorders>
            <w:shd w:val="clear" w:color="000000" w:fill="FFFFFF"/>
            <w:hideMark/>
          </w:tcPr>
          <w:p w14:paraId="5A0EE8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i. Diseñar e implementar estrategias para evitar el subregistro, optimizar los procesos de identificación y garantizar la </w:t>
            </w:r>
            <w:r w:rsidRPr="00222F34">
              <w:rPr>
                <w:rFonts w:ascii="Calibri" w:eastAsia="Times New Roman" w:hAnsi="Calibri" w:cs="Calibri"/>
                <w:color w:val="000000"/>
                <w:lang w:val="es-CO" w:eastAsia="es-CO" w:bidi="ar-SA"/>
              </w:rPr>
              <w:lastRenderedPageBreak/>
              <w:t>entrega oportuna de los documentos de identidad.</w:t>
            </w:r>
          </w:p>
        </w:tc>
        <w:tc>
          <w:tcPr>
            <w:tcW w:w="3798" w:type="dxa"/>
            <w:tcBorders>
              <w:top w:val="nil"/>
              <w:left w:val="nil"/>
              <w:bottom w:val="nil"/>
              <w:right w:val="single" w:sz="4" w:space="0" w:color="000000"/>
            </w:tcBorders>
            <w:shd w:val="clear" w:color="000000" w:fill="FFFFFF"/>
            <w:hideMark/>
          </w:tcPr>
          <w:p w14:paraId="0907C5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i. Diseñar e implementar estrategias para evitar el subregistro, optimizar los procesos de identificación y garantizar la </w:t>
            </w:r>
            <w:r w:rsidRPr="00222F34">
              <w:rPr>
                <w:rFonts w:ascii="Calibri" w:eastAsia="Times New Roman" w:hAnsi="Calibri" w:cs="Calibri"/>
                <w:color w:val="000000"/>
                <w:lang w:val="es-CO" w:eastAsia="es-CO" w:bidi="ar-SA"/>
              </w:rPr>
              <w:lastRenderedPageBreak/>
              <w:t>entrega oportuna de los documentos de identidad.</w:t>
            </w:r>
          </w:p>
        </w:tc>
        <w:tc>
          <w:tcPr>
            <w:tcW w:w="1480" w:type="dxa"/>
            <w:tcBorders>
              <w:top w:val="nil"/>
              <w:left w:val="nil"/>
              <w:bottom w:val="nil"/>
              <w:right w:val="single" w:sz="4" w:space="0" w:color="000000"/>
            </w:tcBorders>
            <w:shd w:val="clear" w:color="000000" w:fill="FFFFFF"/>
            <w:hideMark/>
          </w:tcPr>
          <w:p w14:paraId="0A3230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233A39D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C1EF08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j. Establecer controles para prevenir y evitar fraudes en el registro civil y la identificación. </w:t>
            </w:r>
          </w:p>
        </w:tc>
        <w:tc>
          <w:tcPr>
            <w:tcW w:w="3798" w:type="dxa"/>
            <w:tcBorders>
              <w:top w:val="nil"/>
              <w:left w:val="nil"/>
              <w:bottom w:val="nil"/>
              <w:right w:val="single" w:sz="4" w:space="0" w:color="000000"/>
            </w:tcBorders>
            <w:shd w:val="clear" w:color="000000" w:fill="FFFFFF"/>
            <w:hideMark/>
          </w:tcPr>
          <w:p w14:paraId="09FD31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Establecer controles para prevenir y evitar fraudes en el registro civil y la identificación.</w:t>
            </w:r>
          </w:p>
        </w:tc>
        <w:tc>
          <w:tcPr>
            <w:tcW w:w="3798" w:type="dxa"/>
            <w:tcBorders>
              <w:top w:val="nil"/>
              <w:left w:val="nil"/>
              <w:bottom w:val="nil"/>
              <w:right w:val="single" w:sz="4" w:space="0" w:color="000000"/>
            </w:tcBorders>
            <w:shd w:val="clear" w:color="000000" w:fill="FFFFFF"/>
            <w:hideMark/>
          </w:tcPr>
          <w:p w14:paraId="51533F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Establecer controles para prevenir y evitar fraudes en el registro civil y la identificación.</w:t>
            </w:r>
          </w:p>
        </w:tc>
        <w:tc>
          <w:tcPr>
            <w:tcW w:w="1480" w:type="dxa"/>
            <w:tcBorders>
              <w:top w:val="nil"/>
              <w:left w:val="nil"/>
              <w:bottom w:val="nil"/>
              <w:right w:val="single" w:sz="4" w:space="0" w:color="000000"/>
            </w:tcBorders>
            <w:shd w:val="clear" w:color="000000" w:fill="FFFFFF"/>
            <w:hideMark/>
          </w:tcPr>
          <w:p w14:paraId="01BF4EA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EC19CC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BC98B4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k. Promover el uso de los servicios digitales establecidos por la entidad. </w:t>
            </w:r>
          </w:p>
        </w:tc>
        <w:tc>
          <w:tcPr>
            <w:tcW w:w="3798" w:type="dxa"/>
            <w:tcBorders>
              <w:top w:val="nil"/>
              <w:left w:val="nil"/>
              <w:bottom w:val="nil"/>
              <w:right w:val="single" w:sz="4" w:space="0" w:color="000000"/>
            </w:tcBorders>
            <w:shd w:val="clear" w:color="000000" w:fill="FFFFFF"/>
            <w:hideMark/>
          </w:tcPr>
          <w:p w14:paraId="4DF2018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Promover el uso de los servicios digitales establecidos por la entidad.</w:t>
            </w:r>
          </w:p>
        </w:tc>
        <w:tc>
          <w:tcPr>
            <w:tcW w:w="3798" w:type="dxa"/>
            <w:tcBorders>
              <w:top w:val="nil"/>
              <w:left w:val="nil"/>
              <w:bottom w:val="nil"/>
              <w:right w:val="single" w:sz="4" w:space="0" w:color="000000"/>
            </w:tcBorders>
            <w:shd w:val="clear" w:color="000000" w:fill="FFFFFF"/>
            <w:hideMark/>
          </w:tcPr>
          <w:p w14:paraId="5831A23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Promover el uso de los servicios digitales establecidos por la entidad.</w:t>
            </w:r>
          </w:p>
        </w:tc>
        <w:tc>
          <w:tcPr>
            <w:tcW w:w="1480" w:type="dxa"/>
            <w:tcBorders>
              <w:top w:val="nil"/>
              <w:left w:val="nil"/>
              <w:bottom w:val="nil"/>
              <w:right w:val="single" w:sz="4" w:space="0" w:color="000000"/>
            </w:tcBorders>
            <w:shd w:val="clear" w:color="000000" w:fill="FFFFFF"/>
            <w:hideMark/>
          </w:tcPr>
          <w:p w14:paraId="0328C9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C6C8A7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4A917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 Las demás que les asigne la ley y el registrador Nacional del Estado Civil. </w:t>
            </w:r>
          </w:p>
        </w:tc>
        <w:tc>
          <w:tcPr>
            <w:tcW w:w="3798" w:type="dxa"/>
            <w:tcBorders>
              <w:top w:val="nil"/>
              <w:left w:val="nil"/>
              <w:bottom w:val="nil"/>
              <w:right w:val="single" w:sz="4" w:space="0" w:color="000000"/>
            </w:tcBorders>
            <w:shd w:val="clear" w:color="000000" w:fill="FFFFFF"/>
            <w:hideMark/>
          </w:tcPr>
          <w:p w14:paraId="1602EE3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Las demás que les asigne la ley y el Registrador Nacional del Estado Civil y el Registrador departamental.</w:t>
            </w:r>
          </w:p>
        </w:tc>
        <w:tc>
          <w:tcPr>
            <w:tcW w:w="3798" w:type="dxa"/>
            <w:tcBorders>
              <w:top w:val="nil"/>
              <w:left w:val="nil"/>
              <w:bottom w:val="nil"/>
              <w:right w:val="single" w:sz="4" w:space="0" w:color="000000"/>
            </w:tcBorders>
            <w:shd w:val="clear" w:color="000000" w:fill="FFFFFF"/>
            <w:hideMark/>
          </w:tcPr>
          <w:p w14:paraId="097966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Las demás que les asigne la ley y el Registrador Nacional del Estado Civil y el Registrador departamental.</w:t>
            </w:r>
          </w:p>
        </w:tc>
        <w:tc>
          <w:tcPr>
            <w:tcW w:w="1480" w:type="dxa"/>
            <w:tcBorders>
              <w:top w:val="nil"/>
              <w:left w:val="nil"/>
              <w:bottom w:val="nil"/>
              <w:right w:val="single" w:sz="4" w:space="0" w:color="000000"/>
            </w:tcBorders>
            <w:shd w:val="clear" w:color="000000" w:fill="FFFFFF"/>
            <w:hideMark/>
          </w:tcPr>
          <w:p w14:paraId="1154C74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CA13FF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B09A5A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 Delegado seccional en lo electoral: </w:t>
            </w:r>
          </w:p>
        </w:tc>
        <w:tc>
          <w:tcPr>
            <w:tcW w:w="3798" w:type="dxa"/>
            <w:tcBorders>
              <w:top w:val="nil"/>
              <w:left w:val="nil"/>
              <w:bottom w:val="nil"/>
              <w:right w:val="single" w:sz="4" w:space="0" w:color="000000"/>
            </w:tcBorders>
            <w:shd w:val="clear" w:color="000000" w:fill="FFFFFF"/>
            <w:hideMark/>
          </w:tcPr>
          <w:p w14:paraId="6C24625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Delegado seccional en lo electoral:</w:t>
            </w:r>
          </w:p>
        </w:tc>
        <w:tc>
          <w:tcPr>
            <w:tcW w:w="3798" w:type="dxa"/>
            <w:tcBorders>
              <w:top w:val="nil"/>
              <w:left w:val="nil"/>
              <w:bottom w:val="nil"/>
              <w:right w:val="single" w:sz="4" w:space="0" w:color="000000"/>
            </w:tcBorders>
            <w:shd w:val="clear" w:color="000000" w:fill="FFFFFF"/>
            <w:hideMark/>
          </w:tcPr>
          <w:p w14:paraId="4ADC79E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Delegado seccional en lo electoral:</w:t>
            </w:r>
          </w:p>
        </w:tc>
        <w:tc>
          <w:tcPr>
            <w:tcW w:w="1480" w:type="dxa"/>
            <w:tcBorders>
              <w:top w:val="nil"/>
              <w:left w:val="nil"/>
              <w:bottom w:val="nil"/>
              <w:right w:val="single" w:sz="4" w:space="0" w:color="000000"/>
            </w:tcBorders>
            <w:shd w:val="clear" w:color="000000" w:fill="FFFFFF"/>
            <w:hideMark/>
          </w:tcPr>
          <w:p w14:paraId="073D10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1CA884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120EA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Organizar y vigilar los procesos electorales y mecanismos de participación ciudadana que corresponden a su circunscripción electoral. </w:t>
            </w:r>
          </w:p>
        </w:tc>
        <w:tc>
          <w:tcPr>
            <w:tcW w:w="3798" w:type="dxa"/>
            <w:tcBorders>
              <w:top w:val="nil"/>
              <w:left w:val="nil"/>
              <w:bottom w:val="nil"/>
              <w:right w:val="single" w:sz="4" w:space="0" w:color="000000"/>
            </w:tcBorders>
            <w:shd w:val="clear" w:color="000000" w:fill="FFFFFF"/>
            <w:hideMark/>
          </w:tcPr>
          <w:p w14:paraId="46CAB0C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y vigilar los procesos electorales y mecanismos de participación ciudadana que corresponden a su circunscripción electoral.</w:t>
            </w:r>
          </w:p>
        </w:tc>
        <w:tc>
          <w:tcPr>
            <w:tcW w:w="3798" w:type="dxa"/>
            <w:tcBorders>
              <w:top w:val="nil"/>
              <w:left w:val="nil"/>
              <w:bottom w:val="nil"/>
              <w:right w:val="single" w:sz="4" w:space="0" w:color="000000"/>
            </w:tcBorders>
            <w:shd w:val="clear" w:color="000000" w:fill="FFFFFF"/>
            <w:hideMark/>
          </w:tcPr>
          <w:p w14:paraId="68EC53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y vigilar los procesos electorales y mecanismos de participación ciudadana que corresponden a su circunscripción electoral.</w:t>
            </w:r>
          </w:p>
        </w:tc>
        <w:tc>
          <w:tcPr>
            <w:tcW w:w="1480" w:type="dxa"/>
            <w:tcBorders>
              <w:top w:val="nil"/>
              <w:left w:val="nil"/>
              <w:bottom w:val="nil"/>
              <w:right w:val="single" w:sz="4" w:space="0" w:color="000000"/>
            </w:tcBorders>
            <w:shd w:val="clear" w:color="000000" w:fill="FFFFFF"/>
            <w:hideMark/>
          </w:tcPr>
          <w:p w14:paraId="4D39143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F0D7F1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1DB12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Coordinar la adecuada construcción y apropiada actualización de la división política electoral. </w:t>
            </w:r>
          </w:p>
        </w:tc>
        <w:tc>
          <w:tcPr>
            <w:tcW w:w="3798" w:type="dxa"/>
            <w:tcBorders>
              <w:top w:val="nil"/>
              <w:left w:val="nil"/>
              <w:bottom w:val="nil"/>
              <w:right w:val="single" w:sz="4" w:space="0" w:color="000000"/>
            </w:tcBorders>
            <w:shd w:val="clear" w:color="000000" w:fill="FFFFFF"/>
            <w:hideMark/>
          </w:tcPr>
          <w:p w14:paraId="7C5C5C5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Coordinar la adecuada construcción y apropiada actualización de la división política electoral.</w:t>
            </w:r>
          </w:p>
        </w:tc>
        <w:tc>
          <w:tcPr>
            <w:tcW w:w="3798" w:type="dxa"/>
            <w:tcBorders>
              <w:top w:val="nil"/>
              <w:left w:val="nil"/>
              <w:bottom w:val="nil"/>
              <w:right w:val="single" w:sz="4" w:space="0" w:color="000000"/>
            </w:tcBorders>
            <w:shd w:val="clear" w:color="000000" w:fill="FFFFFF"/>
            <w:hideMark/>
          </w:tcPr>
          <w:p w14:paraId="7E4E63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Coordinar la adecuada construcción y apropiada actualización de la división política electoral.</w:t>
            </w:r>
          </w:p>
        </w:tc>
        <w:tc>
          <w:tcPr>
            <w:tcW w:w="1480" w:type="dxa"/>
            <w:tcBorders>
              <w:top w:val="nil"/>
              <w:left w:val="nil"/>
              <w:bottom w:val="nil"/>
              <w:right w:val="single" w:sz="4" w:space="0" w:color="000000"/>
            </w:tcBorders>
            <w:shd w:val="clear" w:color="000000" w:fill="FFFFFF"/>
            <w:hideMark/>
          </w:tcPr>
          <w:p w14:paraId="205A30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5ED2C9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3D1251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Coordinar y supervisar los procesos de zonificación municipal. </w:t>
            </w:r>
          </w:p>
        </w:tc>
        <w:tc>
          <w:tcPr>
            <w:tcW w:w="3798" w:type="dxa"/>
            <w:tcBorders>
              <w:top w:val="nil"/>
              <w:left w:val="nil"/>
              <w:bottom w:val="nil"/>
              <w:right w:val="single" w:sz="4" w:space="0" w:color="000000"/>
            </w:tcBorders>
            <w:shd w:val="clear" w:color="000000" w:fill="FFFFFF"/>
            <w:hideMark/>
          </w:tcPr>
          <w:p w14:paraId="0988C2B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Coordinar y supervisar los procesos de zonificación municipal.</w:t>
            </w:r>
          </w:p>
        </w:tc>
        <w:tc>
          <w:tcPr>
            <w:tcW w:w="3798" w:type="dxa"/>
            <w:tcBorders>
              <w:top w:val="nil"/>
              <w:left w:val="nil"/>
              <w:bottom w:val="nil"/>
              <w:right w:val="single" w:sz="4" w:space="0" w:color="000000"/>
            </w:tcBorders>
            <w:shd w:val="clear" w:color="000000" w:fill="FFFFFF"/>
            <w:hideMark/>
          </w:tcPr>
          <w:p w14:paraId="5EA3AF4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Coordinar y supervisar los procesos de zonificación municipal.</w:t>
            </w:r>
          </w:p>
        </w:tc>
        <w:tc>
          <w:tcPr>
            <w:tcW w:w="1480" w:type="dxa"/>
            <w:tcBorders>
              <w:top w:val="nil"/>
              <w:left w:val="nil"/>
              <w:bottom w:val="nil"/>
              <w:right w:val="single" w:sz="4" w:space="0" w:color="000000"/>
            </w:tcBorders>
            <w:shd w:val="clear" w:color="000000" w:fill="FFFFFF"/>
            <w:hideMark/>
          </w:tcPr>
          <w:p w14:paraId="48879F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BE85E0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6D423D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Decidir, por medio de resolución, las apelaciones que se interpongan contra las sanciones impuestas por los registradores del Estado Civil a los jurados de votación. </w:t>
            </w:r>
          </w:p>
        </w:tc>
        <w:tc>
          <w:tcPr>
            <w:tcW w:w="3798" w:type="dxa"/>
            <w:tcBorders>
              <w:top w:val="nil"/>
              <w:left w:val="nil"/>
              <w:bottom w:val="nil"/>
              <w:right w:val="single" w:sz="4" w:space="0" w:color="000000"/>
            </w:tcBorders>
            <w:shd w:val="clear" w:color="000000" w:fill="FFFFFF"/>
            <w:hideMark/>
          </w:tcPr>
          <w:p w14:paraId="536F2B5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Decidir, por medio de resolución, las apelaciones que se interpongan contra las sanciones impuestas por los registradores del Estado Civil a los jurados de votación.</w:t>
            </w:r>
          </w:p>
        </w:tc>
        <w:tc>
          <w:tcPr>
            <w:tcW w:w="3798" w:type="dxa"/>
            <w:tcBorders>
              <w:top w:val="nil"/>
              <w:left w:val="nil"/>
              <w:bottom w:val="nil"/>
              <w:right w:val="single" w:sz="4" w:space="0" w:color="000000"/>
            </w:tcBorders>
            <w:shd w:val="clear" w:color="000000" w:fill="FFFFFF"/>
            <w:hideMark/>
          </w:tcPr>
          <w:p w14:paraId="6ADFAD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Decidir, por medio de resolución, las apelaciones que se interpongan contra las sanciones impuestas por los registradores del Estado Civil a los jurados de votación.</w:t>
            </w:r>
          </w:p>
        </w:tc>
        <w:tc>
          <w:tcPr>
            <w:tcW w:w="1480" w:type="dxa"/>
            <w:tcBorders>
              <w:top w:val="nil"/>
              <w:left w:val="nil"/>
              <w:bottom w:val="nil"/>
              <w:right w:val="single" w:sz="4" w:space="0" w:color="000000"/>
            </w:tcBorders>
            <w:shd w:val="clear" w:color="000000" w:fill="FFFFFF"/>
            <w:hideMark/>
          </w:tcPr>
          <w:p w14:paraId="22121CD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0AF199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C6D41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Adelantar la inscripción de las candidaturas para el Senado de la República, a la Cámara de Representantes de su circunscripción </w:t>
            </w:r>
            <w:r w:rsidRPr="00222F34">
              <w:rPr>
                <w:rFonts w:ascii="Calibri" w:eastAsia="Times New Roman" w:hAnsi="Calibri" w:cs="Calibri"/>
                <w:color w:val="000000"/>
                <w:lang w:val="es-CO" w:eastAsia="es-CO" w:bidi="ar-SA"/>
              </w:rPr>
              <w:lastRenderedPageBreak/>
              <w:t xml:space="preserve">electoral y todas las Circunscripciones Especiales, gobernador y Asamblea Departamental. </w:t>
            </w:r>
          </w:p>
        </w:tc>
        <w:tc>
          <w:tcPr>
            <w:tcW w:w="3798" w:type="dxa"/>
            <w:tcBorders>
              <w:top w:val="nil"/>
              <w:left w:val="nil"/>
              <w:bottom w:val="nil"/>
              <w:right w:val="single" w:sz="4" w:space="0" w:color="000000"/>
            </w:tcBorders>
            <w:shd w:val="clear" w:color="000000" w:fill="FFFFFF"/>
            <w:hideMark/>
          </w:tcPr>
          <w:p w14:paraId="5663E89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 Adelantar la inscripción de las candidaturas para el Senado de la República, a la Cámara de Representantes de su circunscripción </w:t>
            </w:r>
            <w:r w:rsidRPr="00222F34">
              <w:rPr>
                <w:rFonts w:ascii="Calibri" w:eastAsia="Times New Roman" w:hAnsi="Calibri" w:cs="Calibri"/>
                <w:color w:val="000000"/>
                <w:lang w:val="es-CO" w:eastAsia="es-CO" w:bidi="ar-SA"/>
              </w:rPr>
              <w:lastRenderedPageBreak/>
              <w:t>electoral y todas las Circunscripciones Especiales, gobernador y Asamblea Departamental.</w:t>
            </w:r>
          </w:p>
        </w:tc>
        <w:tc>
          <w:tcPr>
            <w:tcW w:w="3798" w:type="dxa"/>
            <w:tcBorders>
              <w:top w:val="nil"/>
              <w:left w:val="nil"/>
              <w:bottom w:val="nil"/>
              <w:right w:val="single" w:sz="4" w:space="0" w:color="000000"/>
            </w:tcBorders>
            <w:shd w:val="clear" w:color="000000" w:fill="FFFFFF"/>
            <w:hideMark/>
          </w:tcPr>
          <w:p w14:paraId="51DE63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 Adelantar la inscripción de las candidaturas para el Senado de la República, a la Cámara de Representantes de su circunscripción </w:t>
            </w:r>
            <w:r w:rsidRPr="00222F34">
              <w:rPr>
                <w:rFonts w:ascii="Calibri" w:eastAsia="Times New Roman" w:hAnsi="Calibri" w:cs="Calibri"/>
                <w:color w:val="000000"/>
                <w:lang w:val="es-CO" w:eastAsia="es-CO" w:bidi="ar-SA"/>
              </w:rPr>
              <w:lastRenderedPageBreak/>
              <w:t>electoral y todas las Circunscripciones Especiales, gobernador y Asamblea Departamental.</w:t>
            </w:r>
          </w:p>
        </w:tc>
        <w:tc>
          <w:tcPr>
            <w:tcW w:w="1480" w:type="dxa"/>
            <w:tcBorders>
              <w:top w:val="nil"/>
              <w:left w:val="nil"/>
              <w:bottom w:val="nil"/>
              <w:right w:val="single" w:sz="4" w:space="0" w:color="000000"/>
            </w:tcBorders>
            <w:shd w:val="clear" w:color="000000" w:fill="FFFFFF"/>
            <w:hideMark/>
          </w:tcPr>
          <w:p w14:paraId="5B9A7C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7F778AB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875E75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f. Ejecutar la póliza de seriedad de la candidatura de los grupos significativos de ciudadanos inscritos en su circunscripción. </w:t>
            </w:r>
          </w:p>
        </w:tc>
        <w:tc>
          <w:tcPr>
            <w:tcW w:w="3798" w:type="dxa"/>
            <w:tcBorders>
              <w:top w:val="nil"/>
              <w:left w:val="nil"/>
              <w:bottom w:val="nil"/>
              <w:right w:val="single" w:sz="4" w:space="0" w:color="000000"/>
            </w:tcBorders>
            <w:shd w:val="clear" w:color="000000" w:fill="FFFFFF"/>
            <w:hideMark/>
          </w:tcPr>
          <w:p w14:paraId="0E399A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Ejecutar la póliza de seriedad de la candidatura de los grupos significativos de ciudadanos inscritos en su circunscripción.</w:t>
            </w:r>
          </w:p>
        </w:tc>
        <w:tc>
          <w:tcPr>
            <w:tcW w:w="3798" w:type="dxa"/>
            <w:tcBorders>
              <w:top w:val="nil"/>
              <w:left w:val="nil"/>
              <w:bottom w:val="nil"/>
              <w:right w:val="single" w:sz="4" w:space="0" w:color="000000"/>
            </w:tcBorders>
            <w:shd w:val="clear" w:color="000000" w:fill="FFFFFF"/>
            <w:hideMark/>
          </w:tcPr>
          <w:p w14:paraId="52D6BD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Ejecutar la póliza de seriedad de la candidatura de los grupos significativos de ciudadanos inscritos en su circunscripción.</w:t>
            </w:r>
          </w:p>
        </w:tc>
        <w:tc>
          <w:tcPr>
            <w:tcW w:w="1480" w:type="dxa"/>
            <w:tcBorders>
              <w:top w:val="nil"/>
              <w:left w:val="nil"/>
              <w:bottom w:val="nil"/>
              <w:right w:val="single" w:sz="4" w:space="0" w:color="000000"/>
            </w:tcBorders>
            <w:shd w:val="clear" w:color="000000" w:fill="FFFFFF"/>
            <w:hideMark/>
          </w:tcPr>
          <w:p w14:paraId="1338A75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389B2D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8127D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Llevar las estadísticas electorales de su circunscripción electoral y expedir las correspondientes certificaciones. </w:t>
            </w:r>
          </w:p>
        </w:tc>
        <w:tc>
          <w:tcPr>
            <w:tcW w:w="3798" w:type="dxa"/>
            <w:tcBorders>
              <w:top w:val="nil"/>
              <w:left w:val="nil"/>
              <w:bottom w:val="nil"/>
              <w:right w:val="single" w:sz="4" w:space="0" w:color="000000"/>
            </w:tcBorders>
            <w:shd w:val="clear" w:color="000000" w:fill="FFFFFF"/>
            <w:hideMark/>
          </w:tcPr>
          <w:p w14:paraId="685EE55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Llevar las estadísticas electorales de su circunscripción electoral y expedir las correspondientes certificaciones.</w:t>
            </w:r>
          </w:p>
        </w:tc>
        <w:tc>
          <w:tcPr>
            <w:tcW w:w="3798" w:type="dxa"/>
            <w:tcBorders>
              <w:top w:val="nil"/>
              <w:left w:val="nil"/>
              <w:bottom w:val="nil"/>
              <w:right w:val="single" w:sz="4" w:space="0" w:color="000000"/>
            </w:tcBorders>
            <w:shd w:val="clear" w:color="000000" w:fill="FFFFFF"/>
            <w:hideMark/>
          </w:tcPr>
          <w:p w14:paraId="1B9135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Llevar las estadísticas electorales de su circunscripción electoral y expedir las correspondientes certificaciones.</w:t>
            </w:r>
          </w:p>
        </w:tc>
        <w:tc>
          <w:tcPr>
            <w:tcW w:w="1480" w:type="dxa"/>
            <w:tcBorders>
              <w:top w:val="nil"/>
              <w:left w:val="nil"/>
              <w:bottom w:val="nil"/>
              <w:right w:val="single" w:sz="4" w:space="0" w:color="000000"/>
            </w:tcBorders>
            <w:shd w:val="clear" w:color="000000" w:fill="FFFFFF"/>
            <w:hideMark/>
          </w:tcPr>
          <w:p w14:paraId="2CAC92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C152E8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49DFA0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Coordinar con el nivel central de la Registraduría Nacional del Estado Civil los procesos de revisión de los apoyos ciudadanos de los mecanismos de participación ciudadana y las inscripciones de candidatos de grupos significativos de ciudadanos que correspondan a su circunscripción electoral. </w:t>
            </w:r>
          </w:p>
        </w:tc>
        <w:tc>
          <w:tcPr>
            <w:tcW w:w="3798" w:type="dxa"/>
            <w:tcBorders>
              <w:top w:val="nil"/>
              <w:left w:val="nil"/>
              <w:bottom w:val="nil"/>
              <w:right w:val="single" w:sz="4" w:space="0" w:color="000000"/>
            </w:tcBorders>
            <w:shd w:val="clear" w:color="000000" w:fill="FFFFFF"/>
            <w:hideMark/>
          </w:tcPr>
          <w:p w14:paraId="3B8DD35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Coordinar con el nivel central de la Registraduría Nacional del Estado Civil los procesos de revisión de los apoyos ciudadanos de los mecanismos de participación ciudadana y las inscripciones de candidatos de grupos significativos de ciudadanos que correspondan a su circunscripción electoral.</w:t>
            </w:r>
          </w:p>
        </w:tc>
        <w:tc>
          <w:tcPr>
            <w:tcW w:w="3798" w:type="dxa"/>
            <w:tcBorders>
              <w:top w:val="nil"/>
              <w:left w:val="nil"/>
              <w:bottom w:val="nil"/>
              <w:right w:val="single" w:sz="4" w:space="0" w:color="000000"/>
            </w:tcBorders>
            <w:shd w:val="clear" w:color="000000" w:fill="FFFFFF"/>
            <w:hideMark/>
          </w:tcPr>
          <w:p w14:paraId="4AF22A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Coordinar con el nivel central de la Registraduría Nacional del Estado Civil los procesos de revisión de los apoyos ciudadanos de los mecanismos de participación ciudadana y las inscripciones de candidatos de grupos significativos de ciudadanos que correspondan a su circunscripción electoral.</w:t>
            </w:r>
          </w:p>
        </w:tc>
        <w:tc>
          <w:tcPr>
            <w:tcW w:w="1480" w:type="dxa"/>
            <w:tcBorders>
              <w:top w:val="nil"/>
              <w:left w:val="nil"/>
              <w:bottom w:val="nil"/>
              <w:right w:val="single" w:sz="4" w:space="0" w:color="000000"/>
            </w:tcBorders>
            <w:shd w:val="clear" w:color="000000" w:fill="FFFFFF"/>
            <w:hideMark/>
          </w:tcPr>
          <w:p w14:paraId="475D947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3BFE17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3A621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Las demás que les asigne la ley el registrador Nacional del Estado Civil. </w:t>
            </w:r>
          </w:p>
        </w:tc>
        <w:tc>
          <w:tcPr>
            <w:tcW w:w="3798" w:type="dxa"/>
            <w:tcBorders>
              <w:top w:val="nil"/>
              <w:left w:val="nil"/>
              <w:bottom w:val="nil"/>
              <w:right w:val="single" w:sz="4" w:space="0" w:color="000000"/>
            </w:tcBorders>
            <w:shd w:val="clear" w:color="000000" w:fill="FFFFFF"/>
            <w:hideMark/>
          </w:tcPr>
          <w:p w14:paraId="1761B62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Las demás que les asigne la ley, el Registrador departamental, y el Registrador Nacional del Estado Civil.</w:t>
            </w:r>
          </w:p>
        </w:tc>
        <w:tc>
          <w:tcPr>
            <w:tcW w:w="3798" w:type="dxa"/>
            <w:tcBorders>
              <w:top w:val="nil"/>
              <w:left w:val="nil"/>
              <w:bottom w:val="nil"/>
              <w:right w:val="single" w:sz="4" w:space="0" w:color="000000"/>
            </w:tcBorders>
            <w:shd w:val="clear" w:color="000000" w:fill="FFFFFF"/>
            <w:hideMark/>
          </w:tcPr>
          <w:p w14:paraId="1A94C14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Las demás que les asigne la ley, el Registrador departamental, y el Registrador Nacional del Estado Civil.</w:t>
            </w:r>
          </w:p>
        </w:tc>
        <w:tc>
          <w:tcPr>
            <w:tcW w:w="1480" w:type="dxa"/>
            <w:tcBorders>
              <w:top w:val="nil"/>
              <w:left w:val="nil"/>
              <w:bottom w:val="nil"/>
              <w:right w:val="single" w:sz="4" w:space="0" w:color="000000"/>
            </w:tcBorders>
            <w:shd w:val="clear" w:color="000000" w:fill="FFFFFF"/>
            <w:hideMark/>
          </w:tcPr>
          <w:p w14:paraId="57C821A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A2F586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339EF0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j. Informar de forma coordinada al nivel central de la Registraduría Nacional del Estado Civil y al Consejo Nacional Electoral de aquellos casos de violencia política contra la mujer que sean de su conocimiento.  </w:t>
            </w:r>
          </w:p>
        </w:tc>
        <w:tc>
          <w:tcPr>
            <w:tcW w:w="3798" w:type="dxa"/>
            <w:tcBorders>
              <w:top w:val="nil"/>
              <w:left w:val="nil"/>
              <w:bottom w:val="nil"/>
              <w:right w:val="single" w:sz="4" w:space="0" w:color="000000"/>
            </w:tcBorders>
            <w:shd w:val="clear" w:color="000000" w:fill="FFFFFF"/>
            <w:hideMark/>
          </w:tcPr>
          <w:p w14:paraId="40945E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Informar de forma coordinada al nivel central de la Registraduría Nacional del Estado Civil y al Consejo Nacional Electoral de aquellos casos de violencia política contra la mujer que sean de su conocimiento.</w:t>
            </w:r>
          </w:p>
        </w:tc>
        <w:tc>
          <w:tcPr>
            <w:tcW w:w="3798" w:type="dxa"/>
            <w:tcBorders>
              <w:top w:val="nil"/>
              <w:left w:val="nil"/>
              <w:bottom w:val="nil"/>
              <w:right w:val="single" w:sz="4" w:space="0" w:color="000000"/>
            </w:tcBorders>
            <w:shd w:val="clear" w:color="000000" w:fill="FFFFFF"/>
            <w:hideMark/>
          </w:tcPr>
          <w:p w14:paraId="16ECB9E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Informar de forma coordinada al nivel central de la Registraduría Nacional del Estado Civil y al Consejo Nacional Electoral de aquellos casos de violencia política contra la mujer que sean de su conocimiento.</w:t>
            </w:r>
          </w:p>
        </w:tc>
        <w:tc>
          <w:tcPr>
            <w:tcW w:w="1480" w:type="dxa"/>
            <w:tcBorders>
              <w:top w:val="nil"/>
              <w:left w:val="nil"/>
              <w:bottom w:val="nil"/>
              <w:right w:val="single" w:sz="4" w:space="0" w:color="000000"/>
            </w:tcBorders>
            <w:shd w:val="clear" w:color="000000" w:fill="FFFFFF"/>
            <w:hideMark/>
          </w:tcPr>
          <w:p w14:paraId="12A40A6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668F87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55F122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tc>
        <w:tc>
          <w:tcPr>
            <w:tcW w:w="3798" w:type="dxa"/>
            <w:tcBorders>
              <w:top w:val="nil"/>
              <w:left w:val="nil"/>
              <w:bottom w:val="nil"/>
              <w:right w:val="single" w:sz="4" w:space="0" w:color="000000"/>
            </w:tcBorders>
            <w:shd w:val="clear" w:color="000000" w:fill="FFFFFF"/>
            <w:hideMark/>
          </w:tcPr>
          <w:p w14:paraId="6B4743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tc>
        <w:tc>
          <w:tcPr>
            <w:tcW w:w="3798" w:type="dxa"/>
            <w:tcBorders>
              <w:top w:val="nil"/>
              <w:left w:val="nil"/>
              <w:bottom w:val="nil"/>
              <w:right w:val="single" w:sz="4" w:space="0" w:color="000000"/>
            </w:tcBorders>
            <w:shd w:val="clear" w:color="000000" w:fill="FFFFFF"/>
            <w:hideMark/>
          </w:tcPr>
          <w:p w14:paraId="280856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tc>
        <w:tc>
          <w:tcPr>
            <w:tcW w:w="1480" w:type="dxa"/>
            <w:tcBorders>
              <w:top w:val="nil"/>
              <w:left w:val="nil"/>
              <w:bottom w:val="nil"/>
              <w:right w:val="single" w:sz="4" w:space="0" w:color="000000"/>
            </w:tcBorders>
            <w:shd w:val="clear" w:color="000000" w:fill="FFFFFF"/>
            <w:hideMark/>
          </w:tcPr>
          <w:p w14:paraId="62EA02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2ABDABD"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FFC000" w:fill="FFFFFF"/>
            <w:hideMark/>
          </w:tcPr>
          <w:p w14:paraId="441172F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single" w:sz="4" w:space="0" w:color="000000"/>
              <w:right w:val="single" w:sz="4" w:space="0" w:color="000000"/>
            </w:tcBorders>
            <w:shd w:val="clear" w:color="000000" w:fill="FFFFFF"/>
            <w:hideMark/>
          </w:tcPr>
          <w:p w14:paraId="6C73E68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En todo caso se entenderá que la adopción de la regla prevista en este artículo garantizará los derechos laborales y de seguridad social adquiridos.</w:t>
            </w:r>
          </w:p>
        </w:tc>
        <w:tc>
          <w:tcPr>
            <w:tcW w:w="3798" w:type="dxa"/>
            <w:tcBorders>
              <w:top w:val="nil"/>
              <w:left w:val="nil"/>
              <w:bottom w:val="single" w:sz="4" w:space="0" w:color="000000"/>
              <w:right w:val="single" w:sz="4" w:space="0" w:color="000000"/>
            </w:tcBorders>
            <w:shd w:val="clear" w:color="000000" w:fill="FFFFFF"/>
            <w:hideMark/>
          </w:tcPr>
          <w:p w14:paraId="356005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En todo caso se entenderá que la adopción de la regla prevista en este artículo garantizará los derechos laborales y de seguridad social adquiridos.</w:t>
            </w:r>
          </w:p>
        </w:tc>
        <w:tc>
          <w:tcPr>
            <w:tcW w:w="1480" w:type="dxa"/>
            <w:tcBorders>
              <w:top w:val="nil"/>
              <w:left w:val="nil"/>
              <w:bottom w:val="single" w:sz="4" w:space="0" w:color="000000"/>
              <w:right w:val="single" w:sz="4" w:space="0" w:color="000000"/>
            </w:tcBorders>
            <w:shd w:val="clear" w:color="000000" w:fill="FFFFFF"/>
            <w:hideMark/>
          </w:tcPr>
          <w:p w14:paraId="3FB3E02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FC3936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5F36DE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3798" w:type="dxa"/>
            <w:tcBorders>
              <w:top w:val="nil"/>
              <w:left w:val="nil"/>
              <w:bottom w:val="nil"/>
              <w:right w:val="single" w:sz="4" w:space="0" w:color="000000"/>
            </w:tcBorders>
            <w:shd w:val="clear" w:color="000000" w:fill="FFFFFF"/>
            <w:hideMark/>
          </w:tcPr>
          <w:p w14:paraId="26CD4B9C"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3798" w:type="dxa"/>
            <w:tcBorders>
              <w:top w:val="nil"/>
              <w:left w:val="nil"/>
              <w:bottom w:val="nil"/>
              <w:right w:val="single" w:sz="4" w:space="0" w:color="000000"/>
            </w:tcBorders>
            <w:shd w:val="clear" w:color="000000" w:fill="FFFFFF"/>
            <w:hideMark/>
          </w:tcPr>
          <w:p w14:paraId="2CDA54B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1480" w:type="dxa"/>
            <w:tcBorders>
              <w:top w:val="nil"/>
              <w:left w:val="nil"/>
              <w:bottom w:val="nil"/>
              <w:right w:val="single" w:sz="4" w:space="0" w:color="000000"/>
            </w:tcBorders>
            <w:shd w:val="clear" w:color="000000" w:fill="FFFFFF"/>
            <w:hideMark/>
          </w:tcPr>
          <w:p w14:paraId="4EF107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8CAE8E9"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5CFB1F9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Registradores especiales, municipales y auxiliares</w:t>
            </w:r>
          </w:p>
        </w:tc>
        <w:tc>
          <w:tcPr>
            <w:tcW w:w="3798" w:type="dxa"/>
            <w:tcBorders>
              <w:top w:val="nil"/>
              <w:left w:val="nil"/>
              <w:bottom w:val="single" w:sz="4" w:space="0" w:color="000000"/>
              <w:right w:val="single" w:sz="4" w:space="0" w:color="000000"/>
            </w:tcBorders>
            <w:shd w:val="clear" w:color="000000" w:fill="FFFFFF"/>
            <w:hideMark/>
          </w:tcPr>
          <w:p w14:paraId="28F8257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Registradores especiales, municipales y auxiliares</w:t>
            </w:r>
          </w:p>
        </w:tc>
        <w:tc>
          <w:tcPr>
            <w:tcW w:w="3798" w:type="dxa"/>
            <w:tcBorders>
              <w:top w:val="nil"/>
              <w:left w:val="nil"/>
              <w:bottom w:val="single" w:sz="4" w:space="0" w:color="000000"/>
              <w:right w:val="single" w:sz="4" w:space="0" w:color="000000"/>
            </w:tcBorders>
            <w:shd w:val="clear" w:color="000000" w:fill="FFFFFF"/>
            <w:hideMark/>
          </w:tcPr>
          <w:p w14:paraId="52C25438"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Registradores especiales, municipales y auxiliares</w:t>
            </w:r>
          </w:p>
        </w:tc>
        <w:tc>
          <w:tcPr>
            <w:tcW w:w="1480" w:type="dxa"/>
            <w:tcBorders>
              <w:top w:val="nil"/>
              <w:left w:val="nil"/>
              <w:bottom w:val="single" w:sz="4" w:space="0" w:color="000000"/>
              <w:right w:val="single" w:sz="4" w:space="0" w:color="000000"/>
            </w:tcBorders>
            <w:shd w:val="clear" w:color="000000" w:fill="FFFFFF"/>
            <w:hideMark/>
          </w:tcPr>
          <w:p w14:paraId="0425CA3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9607F5E"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B55F91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 Registradores especiales, municipales y auxiliares del Estado Civil.</w:t>
            </w:r>
            <w:r w:rsidRPr="00222F34">
              <w:rPr>
                <w:rFonts w:ascii="Calibri" w:eastAsia="Times New Roman" w:hAnsi="Calibri" w:cs="Calibri"/>
                <w:color w:val="000000"/>
                <w:lang w:val="es-CO" w:eastAsia="es-CO" w:bidi="ar-SA"/>
              </w:rPr>
              <w:t xml:space="preserve"> Con excepción del Distrito Capital de Bogotá, en cada distrito o municipio que cuente con una proyección poblacional certificada por el Departamento Nacional de Estadísticas – DANE, mayor que seiscientos cincuenta mil un (650.001) habitantes, habrá una Registraduría Especial del Estado Civil a cargo de dos (2) registradores especiales, de la máxima categoría según la estructura de planta de personal de la Registraduría Nacional del Estado Civil y de los cuales al menos uno debe ser una mujer. </w:t>
            </w:r>
          </w:p>
        </w:tc>
        <w:tc>
          <w:tcPr>
            <w:tcW w:w="3798" w:type="dxa"/>
            <w:tcBorders>
              <w:top w:val="nil"/>
              <w:left w:val="nil"/>
              <w:bottom w:val="nil"/>
              <w:right w:val="single" w:sz="4" w:space="0" w:color="000000"/>
            </w:tcBorders>
            <w:shd w:val="clear" w:color="000000" w:fill="FFFFFF"/>
            <w:hideMark/>
          </w:tcPr>
          <w:p w14:paraId="0C41443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 Registradores especiales, municipales y auxiliares del Estado Civil</w:t>
            </w:r>
            <w:r w:rsidRPr="00222F34">
              <w:rPr>
                <w:rFonts w:ascii="Calibri" w:eastAsia="Times New Roman" w:hAnsi="Calibri" w:cs="Calibri"/>
                <w:color w:val="000000"/>
                <w:lang w:val="es-CO" w:eastAsia="es-CO" w:bidi="ar-SA"/>
              </w:rPr>
              <w:t>. Con excepción del Distrito Capital de Bogotá, en cada distrito o municipio que cuente con una proyección poblacional certificada por el Departamento Nacional de Estadísticas – DANE, mayor que seiscientos cincuenta mil un (650.001) habitantes, habrá una Registraduría Especial del Estado Civil a cargo de dos (2) registradores especiales, de la máxima categoría según la estructura de planta de personal de la Registraduría Nacional del Estado Civil y de los cuales al menos uno debe ser una mujer.</w:t>
            </w:r>
          </w:p>
        </w:tc>
        <w:tc>
          <w:tcPr>
            <w:tcW w:w="3798" w:type="dxa"/>
            <w:tcBorders>
              <w:top w:val="nil"/>
              <w:left w:val="nil"/>
              <w:bottom w:val="nil"/>
              <w:right w:val="single" w:sz="4" w:space="0" w:color="000000"/>
            </w:tcBorders>
            <w:shd w:val="clear" w:color="000000" w:fill="FFFFFF"/>
            <w:hideMark/>
          </w:tcPr>
          <w:p w14:paraId="3EE2C48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 Registradores especiales, municipales y auxiliares del Estado Civil</w:t>
            </w:r>
            <w:r w:rsidRPr="00222F34">
              <w:rPr>
                <w:rFonts w:ascii="Calibri" w:eastAsia="Times New Roman" w:hAnsi="Calibri" w:cs="Calibri"/>
                <w:color w:val="000000"/>
                <w:lang w:val="es-CO" w:eastAsia="es-CO" w:bidi="ar-SA"/>
              </w:rPr>
              <w:t>. Con excepción del Distrito Capital de Bogotá, en cada distrito o municipio que cuente con una proyección poblacional certificada por el Departamento Nacional de Estadísticas – DANE, mayor que seiscientos cincuenta mil un (650.001) habitantes, habrá una Registraduría Especial del Estado Civil a cargo de dos (2) registradores especiales, de la máxima categoría según la estructura de planta de personal de la Registraduría Nacional del Estado Civil y de los cuales al menos uno debe ser una mujer.</w:t>
            </w:r>
          </w:p>
        </w:tc>
        <w:tc>
          <w:tcPr>
            <w:tcW w:w="1480" w:type="dxa"/>
            <w:tcBorders>
              <w:top w:val="nil"/>
              <w:left w:val="nil"/>
              <w:bottom w:val="nil"/>
              <w:right w:val="single" w:sz="4" w:space="0" w:color="000000"/>
            </w:tcBorders>
            <w:shd w:val="clear" w:color="000000" w:fill="FFFFFF"/>
            <w:hideMark/>
          </w:tcPr>
          <w:p w14:paraId="1C9B3582" w14:textId="307593B8"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19802E18"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5602E30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cada distrito o municipio que cuente con una proyección poblacional según el Departamento Nacional de Estadísticas – DANE, comprendida entre doscientos mil un (200.001) y seiscientos cincuenta mil (650.000) habitantes y en las capitales de departamentos que tengan una proyección de población entre sesenta y cinco mil un (65.001) y doscientos mil (200.000) habitantes, habrá una registraduría de categoría especial a cargo de dos (2) registradores especiales, del grado inmediatamente inferior al previsto para los registradores especiales enunciados en el inciso anterior y de los cuales al menos uno debe ser una mujer.  </w:t>
            </w:r>
          </w:p>
        </w:tc>
        <w:tc>
          <w:tcPr>
            <w:tcW w:w="3798" w:type="dxa"/>
            <w:tcBorders>
              <w:top w:val="nil"/>
              <w:left w:val="nil"/>
              <w:bottom w:val="nil"/>
              <w:right w:val="single" w:sz="4" w:space="0" w:color="000000"/>
            </w:tcBorders>
            <w:shd w:val="clear" w:color="000000" w:fill="FFFFFF"/>
            <w:hideMark/>
          </w:tcPr>
          <w:p w14:paraId="47CC985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distrito o municipio que cuente con una proyección poblacional según el Departamento Nacional de Estadísticas – DANE, comprendida entre doscientos mil un (200.001) y seiscientos cincuenta mil (650.000) habitantes y en las capitales de departamentos que tengan una proyección de población entre sesenta y cinco mil un (65.001) y doscientos mil (200.000) habitantes, habrá una registraduría de categoría especial a cargo de dos (2) registradores especiales, del grado inmediatamente inferior al previsto para los registradores especiales enunciados en el inciso anterior y de los cuales al menos uno debe ser una mujer.</w:t>
            </w:r>
          </w:p>
        </w:tc>
        <w:tc>
          <w:tcPr>
            <w:tcW w:w="3798" w:type="dxa"/>
            <w:tcBorders>
              <w:top w:val="nil"/>
              <w:left w:val="nil"/>
              <w:bottom w:val="nil"/>
              <w:right w:val="single" w:sz="4" w:space="0" w:color="000000"/>
            </w:tcBorders>
            <w:shd w:val="clear" w:color="000000" w:fill="FFFFFF"/>
            <w:hideMark/>
          </w:tcPr>
          <w:p w14:paraId="0EFD847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distrito o municipio que cuente con una proyección poblacional según el Departamento Nacional de Estadísticas – DANE, comprendida entre doscientos mil un (200.001) y seiscientos cincuenta mil (650.000) habitantes y en las capitales de departamentos que tengan una proyección de población entre sesenta y cinco mil un (65.001) y doscientos mil (200.000) habitantes, habrá una registraduría de categoría especial a cargo de dos (2) registradores especiales, del grado inmediatamente inferior al previsto para los registradores especiales enunciados en el inciso anterior y de los cuales al menos uno debe ser una mujer.</w:t>
            </w:r>
          </w:p>
        </w:tc>
        <w:tc>
          <w:tcPr>
            <w:tcW w:w="1480" w:type="dxa"/>
            <w:tcBorders>
              <w:top w:val="nil"/>
              <w:left w:val="nil"/>
              <w:bottom w:val="nil"/>
              <w:right w:val="single" w:sz="4" w:space="0" w:color="000000"/>
            </w:tcBorders>
            <w:shd w:val="clear" w:color="000000" w:fill="FFFFFF"/>
            <w:hideMark/>
          </w:tcPr>
          <w:p w14:paraId="2ED0C0C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F04A1F3"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575111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cada distrito o municipio que cuente con una proyección poblacional según el Departamento Nacional de Estadísticas – DANE,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el grado inmediatamente inferior al previsto para los registradores </w:t>
            </w:r>
            <w:r w:rsidRPr="00222F34">
              <w:rPr>
                <w:rFonts w:ascii="Calibri" w:eastAsia="Times New Roman" w:hAnsi="Calibri" w:cs="Calibri"/>
                <w:color w:val="000000"/>
                <w:lang w:val="es-CO" w:eastAsia="es-CO" w:bidi="ar-SA"/>
              </w:rPr>
              <w:lastRenderedPageBreak/>
              <w:t xml:space="preserve">especiales enunciados en el inciso anterior. </w:t>
            </w:r>
          </w:p>
        </w:tc>
        <w:tc>
          <w:tcPr>
            <w:tcW w:w="3798" w:type="dxa"/>
            <w:tcBorders>
              <w:top w:val="nil"/>
              <w:left w:val="nil"/>
              <w:bottom w:val="nil"/>
              <w:right w:val="single" w:sz="4" w:space="0" w:color="000000"/>
            </w:tcBorders>
            <w:shd w:val="clear" w:color="000000" w:fill="FFFFFF"/>
            <w:hideMark/>
          </w:tcPr>
          <w:p w14:paraId="571E101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cada distrito o municipio que cuente con una proyección poblacional según el Departamento Nacional de Estadísticas – DANE,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el grado inmediatamente inferior al previsto para los registradores </w:t>
            </w:r>
            <w:r w:rsidRPr="00222F34">
              <w:rPr>
                <w:rFonts w:ascii="Calibri" w:eastAsia="Times New Roman" w:hAnsi="Calibri" w:cs="Calibri"/>
                <w:color w:val="000000"/>
                <w:lang w:val="es-CO" w:eastAsia="es-CO" w:bidi="ar-SA"/>
              </w:rPr>
              <w:lastRenderedPageBreak/>
              <w:t>especiales enunciados en el inciso anterior.</w:t>
            </w:r>
          </w:p>
        </w:tc>
        <w:tc>
          <w:tcPr>
            <w:tcW w:w="3798" w:type="dxa"/>
            <w:tcBorders>
              <w:top w:val="nil"/>
              <w:left w:val="nil"/>
              <w:bottom w:val="nil"/>
              <w:right w:val="single" w:sz="4" w:space="0" w:color="000000"/>
            </w:tcBorders>
            <w:shd w:val="clear" w:color="000000" w:fill="FFFFFF"/>
            <w:hideMark/>
          </w:tcPr>
          <w:p w14:paraId="375C806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cada distrito o municipio que cuente con una proyección poblacional según el Departamento Nacional de Estadísticas – DANE,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el grado inmediatamente inferior al previsto para los registradores </w:t>
            </w:r>
            <w:r w:rsidRPr="00222F34">
              <w:rPr>
                <w:rFonts w:ascii="Calibri" w:eastAsia="Times New Roman" w:hAnsi="Calibri" w:cs="Calibri"/>
                <w:color w:val="000000"/>
                <w:lang w:val="es-CO" w:eastAsia="es-CO" w:bidi="ar-SA"/>
              </w:rPr>
              <w:lastRenderedPageBreak/>
              <w:t>especiales enunciados en el inciso anterior.</w:t>
            </w:r>
          </w:p>
        </w:tc>
        <w:tc>
          <w:tcPr>
            <w:tcW w:w="1480" w:type="dxa"/>
            <w:tcBorders>
              <w:top w:val="nil"/>
              <w:left w:val="nil"/>
              <w:bottom w:val="nil"/>
              <w:right w:val="single" w:sz="4" w:space="0" w:color="000000"/>
            </w:tcBorders>
            <w:shd w:val="clear" w:color="000000" w:fill="FFFFFF"/>
            <w:hideMark/>
          </w:tcPr>
          <w:p w14:paraId="72B5AEE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7E51B86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FC5B7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cada municipio que cuente con una proyección poblacional según el Departamento Nacional de Estadísticas – DANE, comprendida entre cuarenta mil un (40.001) y sesenta y cinco mil (65.000) habitantes, habrá una registraduría de categoría municipal a cargo de un (1) registrador municipal, de la máxima categoría del nivel profesional según la estructura de planta de personal de la Registraduría Nacional del Estado Civil.  </w:t>
            </w:r>
          </w:p>
        </w:tc>
        <w:tc>
          <w:tcPr>
            <w:tcW w:w="3798" w:type="dxa"/>
            <w:tcBorders>
              <w:top w:val="nil"/>
              <w:left w:val="nil"/>
              <w:bottom w:val="nil"/>
              <w:right w:val="single" w:sz="4" w:space="0" w:color="000000"/>
            </w:tcBorders>
            <w:shd w:val="clear" w:color="000000" w:fill="FFFFFF"/>
            <w:hideMark/>
          </w:tcPr>
          <w:p w14:paraId="4F29FD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 DANE, comprendida entre cuarenta mil un (40.001) y sesenta y cinco mil (65.000) habitantes, habrá una registraduría de categoría municipal a cargo de un (1) registrador municipal, de la máxima categoría del nivel profesional según la estructura de planta de personal de la Registraduría Nacional del Estado Civil.</w:t>
            </w:r>
          </w:p>
        </w:tc>
        <w:tc>
          <w:tcPr>
            <w:tcW w:w="3798" w:type="dxa"/>
            <w:tcBorders>
              <w:top w:val="nil"/>
              <w:left w:val="nil"/>
              <w:bottom w:val="nil"/>
              <w:right w:val="single" w:sz="4" w:space="0" w:color="000000"/>
            </w:tcBorders>
            <w:shd w:val="clear" w:color="000000" w:fill="FFFFFF"/>
            <w:hideMark/>
          </w:tcPr>
          <w:p w14:paraId="18F308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 DANE, comprendida entre cuarenta mil un (40.001) y sesenta y cinco mil (65.000) habitantes, habrá una registraduría de categoría municipal a cargo de un (1) registrador municipal, de la máxima categoría del nivel profesional según la estructura de planta de personal de la Registraduría Nacional del Estado Civil.</w:t>
            </w:r>
          </w:p>
        </w:tc>
        <w:tc>
          <w:tcPr>
            <w:tcW w:w="1480" w:type="dxa"/>
            <w:tcBorders>
              <w:top w:val="nil"/>
              <w:left w:val="nil"/>
              <w:bottom w:val="nil"/>
              <w:right w:val="single" w:sz="4" w:space="0" w:color="000000"/>
            </w:tcBorders>
            <w:shd w:val="clear" w:color="000000" w:fill="FFFFFF"/>
            <w:hideMark/>
          </w:tcPr>
          <w:p w14:paraId="3EAC980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54305C7"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01D5D6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cada municipio que cuente con una proyección poblacional según el Departamento Nacional de Estadísticas comprendida entre quince mil un (15.001) y cuarenta mil (40.000) habitantes, habrá una registraduría de categoría municipal a cargo de un (1) registrador municipal, del grado inmediatamente inferior al previsto para el registrador municipal enunciado en el inciso anterior. </w:t>
            </w:r>
          </w:p>
        </w:tc>
        <w:tc>
          <w:tcPr>
            <w:tcW w:w="3798" w:type="dxa"/>
            <w:tcBorders>
              <w:top w:val="nil"/>
              <w:left w:val="nil"/>
              <w:bottom w:val="nil"/>
              <w:right w:val="single" w:sz="4" w:space="0" w:color="000000"/>
            </w:tcBorders>
            <w:shd w:val="clear" w:color="000000" w:fill="FFFFFF"/>
            <w:hideMark/>
          </w:tcPr>
          <w:p w14:paraId="219431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comprendida entre quince mil un (15.001) y cuarenta mil (40.000) habitantes, habrá una registraduría de categoría municipal a cargo de un (1) registrador municipal, del grado inmediatamente inferior al previsto para el registrador municipal enunciado en el inciso anterior.</w:t>
            </w:r>
          </w:p>
        </w:tc>
        <w:tc>
          <w:tcPr>
            <w:tcW w:w="3798" w:type="dxa"/>
            <w:tcBorders>
              <w:top w:val="nil"/>
              <w:left w:val="nil"/>
              <w:bottom w:val="nil"/>
              <w:right w:val="single" w:sz="4" w:space="0" w:color="000000"/>
            </w:tcBorders>
            <w:shd w:val="clear" w:color="000000" w:fill="FFFFFF"/>
            <w:hideMark/>
          </w:tcPr>
          <w:p w14:paraId="4D2F442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comprendida entre quince mil un (15.001) y cuarenta mil (40.000) habitantes, habrá una registraduría de categoría municipal a cargo de un (1) registrador municipal, del grado inmediatamente inferior al previsto para el registrador municipal enunciado en el inciso anterior.</w:t>
            </w:r>
          </w:p>
        </w:tc>
        <w:tc>
          <w:tcPr>
            <w:tcW w:w="1480" w:type="dxa"/>
            <w:tcBorders>
              <w:top w:val="nil"/>
              <w:left w:val="nil"/>
              <w:bottom w:val="nil"/>
              <w:right w:val="single" w:sz="4" w:space="0" w:color="000000"/>
            </w:tcBorders>
            <w:shd w:val="clear" w:color="000000" w:fill="FFFFFF"/>
            <w:hideMark/>
          </w:tcPr>
          <w:p w14:paraId="29560D2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90C674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7418C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cada municipio que cuente con una proyección poblacional según el Departamento Nacional de Estadísticas igual o inferior a quince mil (15.000) habitantes, habrá una registraduría de categoría municipal a cargo de un (1) registrador municipal, del grado inmediatamente inferior al previsto para el registrador municipal enunciado en el inciso anterior. </w:t>
            </w:r>
          </w:p>
        </w:tc>
        <w:tc>
          <w:tcPr>
            <w:tcW w:w="3798" w:type="dxa"/>
            <w:tcBorders>
              <w:top w:val="nil"/>
              <w:left w:val="nil"/>
              <w:bottom w:val="nil"/>
              <w:right w:val="single" w:sz="4" w:space="0" w:color="000000"/>
            </w:tcBorders>
            <w:shd w:val="clear" w:color="000000" w:fill="FFFFFF"/>
            <w:hideMark/>
          </w:tcPr>
          <w:p w14:paraId="08A9392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igual o inferior a quince mil (15.000) habitantes, habrá una registraduría de categoría municipal a cargo de un (1) registrador municipal, del grado inmediatamente inferior al previsto para el registrador municipal enunciado en el inciso anterior.</w:t>
            </w:r>
          </w:p>
        </w:tc>
        <w:tc>
          <w:tcPr>
            <w:tcW w:w="3798" w:type="dxa"/>
            <w:tcBorders>
              <w:top w:val="nil"/>
              <w:left w:val="nil"/>
              <w:bottom w:val="nil"/>
              <w:right w:val="single" w:sz="4" w:space="0" w:color="000000"/>
            </w:tcBorders>
            <w:shd w:val="clear" w:color="000000" w:fill="FFFFFF"/>
            <w:hideMark/>
          </w:tcPr>
          <w:p w14:paraId="5F02A0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igual o inferior a quince mil (15.000) habitantes, habrá una registraduría de categoría municipal a cargo de un (1) registrador municipal, del grado inmediatamente inferior al previsto para el registrador municipal enunciado en el inciso anterior.</w:t>
            </w:r>
          </w:p>
        </w:tc>
        <w:tc>
          <w:tcPr>
            <w:tcW w:w="1480" w:type="dxa"/>
            <w:tcBorders>
              <w:top w:val="nil"/>
              <w:left w:val="nil"/>
              <w:bottom w:val="nil"/>
              <w:right w:val="single" w:sz="4" w:space="0" w:color="000000"/>
            </w:tcBorders>
            <w:shd w:val="clear" w:color="000000" w:fill="FFFFFF"/>
            <w:hideMark/>
          </w:tcPr>
          <w:p w14:paraId="02DBE5D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F968B9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BE20AC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registradores municipales y auxiliares del Estado Civil, corresponderán a servidores públicos del nivel profesional de la planta global de la Registraduría Nacional del Estado Civil y su vinculación obedecerá al régimen de carrera administrativa especial. Su asignación a cada municipio será inferior a la de los delegados seccionales y estarán adscritos al ente territorial atendiendo las estadísticas previstas en la proyección certificada del censo poblacional. </w:t>
            </w:r>
          </w:p>
        </w:tc>
        <w:tc>
          <w:tcPr>
            <w:tcW w:w="3798" w:type="dxa"/>
            <w:tcBorders>
              <w:top w:val="nil"/>
              <w:left w:val="nil"/>
              <w:bottom w:val="nil"/>
              <w:right w:val="single" w:sz="4" w:space="0" w:color="000000"/>
            </w:tcBorders>
            <w:shd w:val="clear" w:color="000000" w:fill="FFFFFF"/>
            <w:hideMark/>
          </w:tcPr>
          <w:p w14:paraId="29C416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registradores municipales y auxiliares del Estado Civil, corresponderán a servidores públicos del nivel profesional de la planta global de la Registraduría Nacional del Estado Civil y su vinculación obedecerá al régimen de carrera administrativa especial. Su asignación a cada municipio será inferior a la del Registrador departamental y estarán adscritos al ente territorial atendiendo las estadísticas previstas en la proyección certificada del censo poblacional.</w:t>
            </w:r>
          </w:p>
        </w:tc>
        <w:tc>
          <w:tcPr>
            <w:tcW w:w="3798" w:type="dxa"/>
            <w:tcBorders>
              <w:top w:val="nil"/>
              <w:left w:val="nil"/>
              <w:bottom w:val="nil"/>
              <w:right w:val="single" w:sz="4" w:space="0" w:color="000000"/>
            </w:tcBorders>
            <w:shd w:val="clear" w:color="000000" w:fill="FFFFFF"/>
            <w:hideMark/>
          </w:tcPr>
          <w:p w14:paraId="629E80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registradores municipales y auxiliares del Estado Civil, corresponderán a servidores públicos del nivel profesional de la planta global de la Registraduría Nacional del Estado Civil y su vinculación obedecerá al régimen de carrera administrativa especial. Su asignación a cada municipio será inferior a la del Registrador departamental y estarán adscritos al ente territorial atendiendo las estadísticas previstas en la proyección certificada del censo poblacional.</w:t>
            </w:r>
          </w:p>
        </w:tc>
        <w:tc>
          <w:tcPr>
            <w:tcW w:w="1480" w:type="dxa"/>
            <w:tcBorders>
              <w:top w:val="nil"/>
              <w:left w:val="nil"/>
              <w:bottom w:val="nil"/>
              <w:right w:val="single" w:sz="4" w:space="0" w:color="000000"/>
            </w:tcBorders>
            <w:shd w:val="clear" w:color="000000" w:fill="FFFFFF"/>
            <w:hideMark/>
          </w:tcPr>
          <w:p w14:paraId="75A5AAC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ED3357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D76B3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Con el propósito de hacer más eficiente la prestación del servicio y garantizar la atención al público, en las circunscripciones en las que haya dos registradores, estos podrán ejercer sus funciones en sedes independientes. En materias electorales y administrativas, </w:t>
            </w:r>
            <w:r w:rsidRPr="00222F34">
              <w:rPr>
                <w:rFonts w:ascii="Calibri" w:eastAsia="Times New Roman" w:hAnsi="Calibri" w:cs="Calibri"/>
                <w:color w:val="000000"/>
                <w:lang w:val="es-CO" w:eastAsia="es-CO" w:bidi="ar-SA"/>
              </w:rPr>
              <w:lastRenderedPageBreak/>
              <w:t xml:space="preserve">se requerirá la concurrencia de los dos para la validez de sus actos. </w:t>
            </w:r>
          </w:p>
        </w:tc>
        <w:tc>
          <w:tcPr>
            <w:tcW w:w="3798" w:type="dxa"/>
            <w:tcBorders>
              <w:top w:val="nil"/>
              <w:left w:val="nil"/>
              <w:bottom w:val="nil"/>
              <w:right w:val="single" w:sz="4" w:space="0" w:color="000000"/>
            </w:tcBorders>
            <w:shd w:val="clear" w:color="000000" w:fill="FFFFFF"/>
            <w:hideMark/>
          </w:tcPr>
          <w:p w14:paraId="4DCBF2F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 el propósito de hacer más eficiente la prestación del servicio y garantizar la atención al público, en las circunscripciones en las que haya dos registradores, estos podrán ejercer sus funciones en sedes independientes. En materias electorales y administrativas, </w:t>
            </w:r>
            <w:r w:rsidRPr="00222F34">
              <w:rPr>
                <w:rFonts w:ascii="Calibri" w:eastAsia="Times New Roman" w:hAnsi="Calibri" w:cs="Calibri"/>
                <w:color w:val="000000"/>
                <w:lang w:val="es-CO" w:eastAsia="es-CO" w:bidi="ar-SA"/>
              </w:rPr>
              <w:lastRenderedPageBreak/>
              <w:t>se requerirá la concurrencia de los dos para la validez de sus actos.</w:t>
            </w:r>
          </w:p>
        </w:tc>
        <w:tc>
          <w:tcPr>
            <w:tcW w:w="3798" w:type="dxa"/>
            <w:tcBorders>
              <w:top w:val="nil"/>
              <w:left w:val="nil"/>
              <w:bottom w:val="nil"/>
              <w:right w:val="single" w:sz="4" w:space="0" w:color="000000"/>
            </w:tcBorders>
            <w:shd w:val="clear" w:color="000000" w:fill="FFFFFF"/>
            <w:hideMark/>
          </w:tcPr>
          <w:p w14:paraId="2433E0A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 el propósito de hacer más eficiente la prestación del servicio y garantizar la atención al público, en las circunscripciones en las que haya dos registradores, estos podrán ejercer sus funciones en sedes independientes. En materias electorales y administrativas, </w:t>
            </w:r>
            <w:r w:rsidRPr="00222F34">
              <w:rPr>
                <w:rFonts w:ascii="Calibri" w:eastAsia="Times New Roman" w:hAnsi="Calibri" w:cs="Calibri"/>
                <w:color w:val="000000"/>
                <w:lang w:val="es-CO" w:eastAsia="es-CO" w:bidi="ar-SA"/>
              </w:rPr>
              <w:lastRenderedPageBreak/>
              <w:t>se requerirá la concurrencia de los dos para la validez de sus actos.</w:t>
            </w:r>
          </w:p>
        </w:tc>
        <w:tc>
          <w:tcPr>
            <w:tcW w:w="1480" w:type="dxa"/>
            <w:tcBorders>
              <w:top w:val="nil"/>
              <w:left w:val="nil"/>
              <w:bottom w:val="nil"/>
              <w:right w:val="single" w:sz="4" w:space="0" w:color="000000"/>
            </w:tcBorders>
            <w:shd w:val="clear" w:color="000000" w:fill="FFFFFF"/>
            <w:hideMark/>
          </w:tcPr>
          <w:p w14:paraId="753DCC4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22C39CC0"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7B7A09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Para el caso de los Registradores Auxiliares del Distrito Capital, se tendrá en cuenta la proyección del censo poblacional según el Departamento Nacional de Estadísticas por cada Localidad, aquellas que cuenten con una proyección poblacional igual o superior a ochenta mil (80.000) habitantes, contará con un Registrador Auxiliar correspondiente a servidores públicos del nivel profesional del grado más alto previsto en la escala salarial de la Registraduría Nacional del Estado civil. </w:t>
            </w:r>
          </w:p>
        </w:tc>
        <w:tc>
          <w:tcPr>
            <w:tcW w:w="3798" w:type="dxa"/>
            <w:tcBorders>
              <w:top w:val="nil"/>
              <w:left w:val="nil"/>
              <w:bottom w:val="nil"/>
              <w:right w:val="single" w:sz="4" w:space="0" w:color="000000"/>
            </w:tcBorders>
            <w:shd w:val="clear" w:color="000000" w:fill="FFFFFF"/>
            <w:hideMark/>
          </w:tcPr>
          <w:p w14:paraId="0A99038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Para el caso de los Registradores Auxiliares del Distrito Capital, se tendrá en cuenta la proyección del censo poblacional según el Departamento Nacional de Estadísticas por cada Localidad, aquellas que cuenten con una proyección poblacional igual o superior a ochenta mil (80.000) habitantes, contará con un Registrador Auxiliar correspondiente a servidores públicos del nivel profesional del grado más alto previsto en la escala salarial de la Registraduría Nacional del Estado civil.</w:t>
            </w:r>
          </w:p>
        </w:tc>
        <w:tc>
          <w:tcPr>
            <w:tcW w:w="3798" w:type="dxa"/>
            <w:tcBorders>
              <w:top w:val="nil"/>
              <w:left w:val="nil"/>
              <w:bottom w:val="nil"/>
              <w:right w:val="single" w:sz="4" w:space="0" w:color="000000"/>
            </w:tcBorders>
            <w:shd w:val="clear" w:color="000000" w:fill="FFFFFF"/>
            <w:hideMark/>
          </w:tcPr>
          <w:p w14:paraId="2B28DB6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Para el caso de los Registradores Auxiliares del Distrito Capital, se tendrá en cuenta la proyección del censo poblacional según el Departamento Nacional de Estadísticas por cada Localidad, aquellas que cuenten con una proyección poblacional igual o superior a ochenta mil (80.000) habitantes, contará con un Registrador Auxiliar correspondiente a servidores públicos del nivel profesional del grado más alto previsto en la escala salarial de la Registraduría Nacional del Estado civil.</w:t>
            </w:r>
          </w:p>
        </w:tc>
        <w:tc>
          <w:tcPr>
            <w:tcW w:w="1480" w:type="dxa"/>
            <w:tcBorders>
              <w:top w:val="nil"/>
              <w:left w:val="nil"/>
              <w:bottom w:val="nil"/>
              <w:right w:val="single" w:sz="4" w:space="0" w:color="000000"/>
            </w:tcBorders>
            <w:shd w:val="clear" w:color="000000" w:fill="FFFFFF"/>
            <w:hideMark/>
          </w:tcPr>
          <w:p w14:paraId="597619A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4180D8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5612D3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aquellas Localidades que cuenten con una proyección poblacional según el Departamento Nacional de Estadísticas inferior a ochenta mil (80.000) habitantes, contará con un Registrador Auxiliar correspondiente a servidores públicos del nivel profesional inmediatamente inferior al señalado en el inciso anterior.</w:t>
            </w:r>
          </w:p>
        </w:tc>
        <w:tc>
          <w:tcPr>
            <w:tcW w:w="3798" w:type="dxa"/>
            <w:tcBorders>
              <w:top w:val="nil"/>
              <w:left w:val="nil"/>
              <w:bottom w:val="nil"/>
              <w:right w:val="single" w:sz="4" w:space="0" w:color="000000"/>
            </w:tcBorders>
            <w:shd w:val="clear" w:color="000000" w:fill="FFFFFF"/>
            <w:hideMark/>
          </w:tcPr>
          <w:p w14:paraId="3C1185E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aquellas localidades que cuenten con una proyección poblacional según el Departamento Nacional de Estadísticas inferior a ochenta mil (80.000) habitantes, contará con un Registrador Auxiliar correspondiente a servidores públicos del nivel profesional inmediatamente inferior al señalado en el inciso anterior.</w:t>
            </w:r>
          </w:p>
        </w:tc>
        <w:tc>
          <w:tcPr>
            <w:tcW w:w="3798" w:type="dxa"/>
            <w:tcBorders>
              <w:top w:val="nil"/>
              <w:left w:val="nil"/>
              <w:bottom w:val="nil"/>
              <w:right w:val="single" w:sz="4" w:space="0" w:color="000000"/>
            </w:tcBorders>
            <w:shd w:val="clear" w:color="000000" w:fill="FFFFFF"/>
            <w:hideMark/>
          </w:tcPr>
          <w:p w14:paraId="074ADBB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aquellas localidades que cuenten con una proyección poblacional según el Departamento Nacional de Estadísticas inferior a ochenta mil (80.000) habitantes, contará con un Registrador Auxiliar correspondiente a servidores públicos del nivel profesional inmediatamente inferior al señalado en el inciso anterior.</w:t>
            </w:r>
          </w:p>
        </w:tc>
        <w:tc>
          <w:tcPr>
            <w:tcW w:w="1480" w:type="dxa"/>
            <w:tcBorders>
              <w:top w:val="nil"/>
              <w:left w:val="nil"/>
              <w:bottom w:val="nil"/>
              <w:right w:val="single" w:sz="4" w:space="0" w:color="000000"/>
            </w:tcBorders>
            <w:shd w:val="clear" w:color="000000" w:fill="FFFFFF"/>
            <w:hideMark/>
          </w:tcPr>
          <w:p w14:paraId="5DDBCB6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88468D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9CBFAB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todo caso, este artículo rige para la recategorización de las registradurías que cumplan con el </w:t>
            </w:r>
            <w:r w:rsidRPr="00222F34">
              <w:rPr>
                <w:rFonts w:ascii="Calibri" w:eastAsia="Times New Roman" w:hAnsi="Calibri" w:cs="Calibri"/>
                <w:color w:val="000000"/>
                <w:lang w:val="es-CO" w:eastAsia="es-CO" w:bidi="ar-SA"/>
              </w:rPr>
              <w:lastRenderedPageBreak/>
              <w:t>criterio de proyección del censo poblacional previsto en este artículo.</w:t>
            </w:r>
          </w:p>
        </w:tc>
        <w:tc>
          <w:tcPr>
            <w:tcW w:w="3798" w:type="dxa"/>
            <w:tcBorders>
              <w:top w:val="nil"/>
              <w:left w:val="nil"/>
              <w:bottom w:val="nil"/>
              <w:right w:val="single" w:sz="4" w:space="0" w:color="000000"/>
            </w:tcBorders>
            <w:shd w:val="clear" w:color="000000" w:fill="FFFFFF"/>
            <w:hideMark/>
          </w:tcPr>
          <w:p w14:paraId="615D1B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En todo caso, este artículo rige para la recategorización de las registradurías que cumplan con el </w:t>
            </w:r>
            <w:r w:rsidRPr="00222F34">
              <w:rPr>
                <w:rFonts w:ascii="Calibri" w:eastAsia="Times New Roman" w:hAnsi="Calibri" w:cs="Calibri"/>
                <w:color w:val="000000"/>
                <w:lang w:val="es-CO" w:eastAsia="es-CO" w:bidi="ar-SA"/>
              </w:rPr>
              <w:lastRenderedPageBreak/>
              <w:t>criterio de proyección del censo poblacional previsto en este artículo.</w:t>
            </w:r>
          </w:p>
        </w:tc>
        <w:tc>
          <w:tcPr>
            <w:tcW w:w="3798" w:type="dxa"/>
            <w:tcBorders>
              <w:top w:val="nil"/>
              <w:left w:val="nil"/>
              <w:bottom w:val="nil"/>
              <w:right w:val="single" w:sz="4" w:space="0" w:color="000000"/>
            </w:tcBorders>
            <w:shd w:val="clear" w:color="000000" w:fill="FFFFFF"/>
            <w:hideMark/>
          </w:tcPr>
          <w:p w14:paraId="4BF267E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En todo caso, este artículo rige para la recategorización de las registradurías que cumplan con el </w:t>
            </w:r>
            <w:r w:rsidRPr="00222F34">
              <w:rPr>
                <w:rFonts w:ascii="Calibri" w:eastAsia="Times New Roman" w:hAnsi="Calibri" w:cs="Calibri"/>
                <w:color w:val="000000"/>
                <w:lang w:val="es-CO" w:eastAsia="es-CO" w:bidi="ar-SA"/>
              </w:rPr>
              <w:lastRenderedPageBreak/>
              <w:t>criterio de proyección del censo poblacional previsto en este artículo.</w:t>
            </w:r>
          </w:p>
        </w:tc>
        <w:tc>
          <w:tcPr>
            <w:tcW w:w="1480" w:type="dxa"/>
            <w:tcBorders>
              <w:top w:val="nil"/>
              <w:left w:val="nil"/>
              <w:bottom w:val="nil"/>
              <w:right w:val="single" w:sz="4" w:space="0" w:color="000000"/>
            </w:tcBorders>
            <w:shd w:val="clear" w:color="000000" w:fill="FFFFFF"/>
            <w:hideMark/>
          </w:tcPr>
          <w:p w14:paraId="2D8A2A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2ECEFA29"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7AB7D14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tc>
        <w:tc>
          <w:tcPr>
            <w:tcW w:w="3798" w:type="dxa"/>
            <w:tcBorders>
              <w:top w:val="nil"/>
              <w:left w:val="nil"/>
              <w:bottom w:val="single" w:sz="4" w:space="0" w:color="000000"/>
              <w:right w:val="single" w:sz="4" w:space="0" w:color="000000"/>
            </w:tcBorders>
            <w:shd w:val="clear" w:color="000000" w:fill="FFFFFF"/>
            <w:hideMark/>
          </w:tcPr>
          <w:p w14:paraId="78E49FA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tc>
        <w:tc>
          <w:tcPr>
            <w:tcW w:w="3798" w:type="dxa"/>
            <w:tcBorders>
              <w:top w:val="nil"/>
              <w:left w:val="nil"/>
              <w:bottom w:val="single" w:sz="4" w:space="0" w:color="000000"/>
              <w:right w:val="single" w:sz="4" w:space="0" w:color="000000"/>
            </w:tcBorders>
            <w:shd w:val="clear" w:color="000000" w:fill="FFFFFF"/>
            <w:hideMark/>
          </w:tcPr>
          <w:p w14:paraId="75CEBF0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tc>
        <w:tc>
          <w:tcPr>
            <w:tcW w:w="1480" w:type="dxa"/>
            <w:tcBorders>
              <w:top w:val="nil"/>
              <w:left w:val="nil"/>
              <w:bottom w:val="single" w:sz="4" w:space="0" w:color="000000"/>
              <w:right w:val="single" w:sz="4" w:space="0" w:color="000000"/>
            </w:tcBorders>
            <w:shd w:val="clear" w:color="000000" w:fill="FFFFFF"/>
            <w:hideMark/>
          </w:tcPr>
          <w:p w14:paraId="17839A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F72BD2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55FC62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 Funciones de los registradores especiales y municipales.</w:t>
            </w:r>
            <w:r w:rsidRPr="00222F34">
              <w:rPr>
                <w:rFonts w:ascii="Calibri" w:eastAsia="Times New Roman" w:hAnsi="Calibri" w:cs="Calibri"/>
                <w:color w:val="000000"/>
                <w:lang w:val="es-CO" w:eastAsia="es-CO" w:bidi="ar-SA"/>
              </w:rPr>
              <w:t xml:space="preserve"> Los registradores especiales y municipales tendrán las siguientes funciones: </w:t>
            </w:r>
          </w:p>
        </w:tc>
        <w:tc>
          <w:tcPr>
            <w:tcW w:w="3798" w:type="dxa"/>
            <w:tcBorders>
              <w:top w:val="nil"/>
              <w:left w:val="nil"/>
              <w:bottom w:val="nil"/>
              <w:right w:val="single" w:sz="4" w:space="0" w:color="000000"/>
            </w:tcBorders>
            <w:shd w:val="clear" w:color="000000" w:fill="FFFFFF"/>
            <w:hideMark/>
          </w:tcPr>
          <w:p w14:paraId="5642403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 Funciones de los registradores especiales y municipales. </w:t>
            </w:r>
            <w:r w:rsidRPr="00222F34">
              <w:rPr>
                <w:rFonts w:ascii="Calibri" w:eastAsia="Times New Roman" w:hAnsi="Calibri" w:cs="Calibri"/>
                <w:color w:val="000000"/>
                <w:lang w:val="es-CO" w:eastAsia="es-CO" w:bidi="ar-SA"/>
              </w:rPr>
              <w:t>Los registradores especiales y municipales tendrán las siguientes funciones:</w:t>
            </w:r>
          </w:p>
        </w:tc>
        <w:tc>
          <w:tcPr>
            <w:tcW w:w="3798" w:type="dxa"/>
            <w:tcBorders>
              <w:top w:val="nil"/>
              <w:left w:val="nil"/>
              <w:bottom w:val="nil"/>
              <w:right w:val="single" w:sz="4" w:space="0" w:color="000000"/>
            </w:tcBorders>
            <w:shd w:val="clear" w:color="000000" w:fill="FFFFFF"/>
            <w:hideMark/>
          </w:tcPr>
          <w:p w14:paraId="46A5E9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 Funciones de los registradores especiales y municipales. </w:t>
            </w:r>
            <w:r w:rsidRPr="00222F34">
              <w:rPr>
                <w:rFonts w:ascii="Calibri" w:eastAsia="Times New Roman" w:hAnsi="Calibri" w:cs="Calibri"/>
                <w:color w:val="000000"/>
                <w:lang w:val="es-CO" w:eastAsia="es-CO" w:bidi="ar-SA"/>
              </w:rPr>
              <w:t>Los registradores especiales y municipales tendrán las siguientes funciones:</w:t>
            </w:r>
          </w:p>
        </w:tc>
        <w:tc>
          <w:tcPr>
            <w:tcW w:w="1480" w:type="dxa"/>
            <w:tcBorders>
              <w:top w:val="nil"/>
              <w:left w:val="nil"/>
              <w:bottom w:val="nil"/>
              <w:right w:val="single" w:sz="4" w:space="0" w:color="000000"/>
            </w:tcBorders>
            <w:shd w:val="clear" w:color="000000" w:fill="FFFFFF"/>
            <w:hideMark/>
          </w:tcPr>
          <w:p w14:paraId="660B02AE" w14:textId="7E4E6269"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62DB417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FCF693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 Asuntos electorales: </w:t>
            </w:r>
          </w:p>
        </w:tc>
        <w:tc>
          <w:tcPr>
            <w:tcW w:w="3798" w:type="dxa"/>
            <w:tcBorders>
              <w:top w:val="nil"/>
              <w:left w:val="nil"/>
              <w:bottom w:val="nil"/>
              <w:right w:val="single" w:sz="4" w:space="0" w:color="000000"/>
            </w:tcBorders>
            <w:shd w:val="clear" w:color="000000" w:fill="FFFFFF"/>
            <w:hideMark/>
          </w:tcPr>
          <w:p w14:paraId="530554D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Asuntos electorales:</w:t>
            </w:r>
          </w:p>
        </w:tc>
        <w:tc>
          <w:tcPr>
            <w:tcW w:w="3798" w:type="dxa"/>
            <w:tcBorders>
              <w:top w:val="nil"/>
              <w:left w:val="nil"/>
              <w:bottom w:val="nil"/>
              <w:right w:val="single" w:sz="4" w:space="0" w:color="000000"/>
            </w:tcBorders>
            <w:shd w:val="clear" w:color="000000" w:fill="FFFFFF"/>
            <w:hideMark/>
          </w:tcPr>
          <w:p w14:paraId="0E9412A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Asuntos electorales:</w:t>
            </w:r>
          </w:p>
        </w:tc>
        <w:tc>
          <w:tcPr>
            <w:tcW w:w="1480" w:type="dxa"/>
            <w:tcBorders>
              <w:top w:val="nil"/>
              <w:left w:val="nil"/>
              <w:bottom w:val="nil"/>
              <w:right w:val="single" w:sz="4" w:space="0" w:color="000000"/>
            </w:tcBorders>
            <w:shd w:val="clear" w:color="000000" w:fill="FFFFFF"/>
            <w:hideMark/>
          </w:tcPr>
          <w:p w14:paraId="619D192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E1EB6F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06A561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Organizar las elecciones y responder especialmente por la ubicación y los cambios de los puestos de votación y sitios para escrutinios. </w:t>
            </w:r>
          </w:p>
        </w:tc>
        <w:tc>
          <w:tcPr>
            <w:tcW w:w="3798" w:type="dxa"/>
            <w:tcBorders>
              <w:top w:val="nil"/>
              <w:left w:val="nil"/>
              <w:bottom w:val="nil"/>
              <w:right w:val="single" w:sz="4" w:space="0" w:color="000000"/>
            </w:tcBorders>
            <w:shd w:val="clear" w:color="000000" w:fill="FFFFFF"/>
            <w:hideMark/>
          </w:tcPr>
          <w:p w14:paraId="5A7528C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las elecciones y responder especialmente por la ubicación y los cambios de los puestos de votación y sitios para escrutinios.</w:t>
            </w:r>
          </w:p>
        </w:tc>
        <w:tc>
          <w:tcPr>
            <w:tcW w:w="3798" w:type="dxa"/>
            <w:tcBorders>
              <w:top w:val="nil"/>
              <w:left w:val="nil"/>
              <w:bottom w:val="nil"/>
              <w:right w:val="single" w:sz="4" w:space="0" w:color="000000"/>
            </w:tcBorders>
            <w:shd w:val="clear" w:color="000000" w:fill="FFFFFF"/>
            <w:hideMark/>
          </w:tcPr>
          <w:p w14:paraId="5BAA99F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las elecciones y responder especialmente por la ubicación y los cambios de los puestos de votación y sitios para escrutinios.</w:t>
            </w:r>
          </w:p>
        </w:tc>
        <w:tc>
          <w:tcPr>
            <w:tcW w:w="1480" w:type="dxa"/>
            <w:tcBorders>
              <w:top w:val="nil"/>
              <w:left w:val="nil"/>
              <w:bottom w:val="nil"/>
              <w:right w:val="single" w:sz="4" w:space="0" w:color="000000"/>
            </w:tcBorders>
            <w:shd w:val="clear" w:color="000000" w:fill="FFFFFF"/>
            <w:hideMark/>
          </w:tcPr>
          <w:p w14:paraId="3AE13E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3803CE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B5E93D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Tomar todas las medidas necesarias para que las votaciones se realicen de conformidad con las disposiciones legales y las instrucciones que impartan sus superiores jerárquicos. </w:t>
            </w:r>
          </w:p>
        </w:tc>
        <w:tc>
          <w:tcPr>
            <w:tcW w:w="3798" w:type="dxa"/>
            <w:tcBorders>
              <w:top w:val="nil"/>
              <w:left w:val="nil"/>
              <w:bottom w:val="nil"/>
              <w:right w:val="single" w:sz="4" w:space="0" w:color="000000"/>
            </w:tcBorders>
            <w:shd w:val="clear" w:color="000000" w:fill="FFFFFF"/>
            <w:hideMark/>
          </w:tcPr>
          <w:p w14:paraId="6659DA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Tomar todas las medidas necesarias para que las votaciones se realicen de conformidad con las disposiciones legales y las instrucciones que impartan sus superiores jerárquicos.</w:t>
            </w:r>
          </w:p>
        </w:tc>
        <w:tc>
          <w:tcPr>
            <w:tcW w:w="3798" w:type="dxa"/>
            <w:tcBorders>
              <w:top w:val="nil"/>
              <w:left w:val="nil"/>
              <w:bottom w:val="nil"/>
              <w:right w:val="single" w:sz="4" w:space="0" w:color="000000"/>
            </w:tcBorders>
            <w:shd w:val="clear" w:color="000000" w:fill="FFFFFF"/>
            <w:hideMark/>
          </w:tcPr>
          <w:p w14:paraId="20333E3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Tomar todas las medidas necesarias para que las votaciones se realicen de conformidad con las disposiciones legales y las instrucciones que impartan sus superiores jerárquicos.</w:t>
            </w:r>
          </w:p>
        </w:tc>
        <w:tc>
          <w:tcPr>
            <w:tcW w:w="1480" w:type="dxa"/>
            <w:tcBorders>
              <w:top w:val="nil"/>
              <w:left w:val="nil"/>
              <w:bottom w:val="nil"/>
              <w:right w:val="single" w:sz="4" w:space="0" w:color="000000"/>
            </w:tcBorders>
            <w:shd w:val="clear" w:color="000000" w:fill="FFFFFF"/>
            <w:hideMark/>
          </w:tcPr>
          <w:p w14:paraId="68E63B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02AC6C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9ACFC6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Nombrar e instruir a los jurados de votación. </w:t>
            </w:r>
          </w:p>
        </w:tc>
        <w:tc>
          <w:tcPr>
            <w:tcW w:w="3798" w:type="dxa"/>
            <w:tcBorders>
              <w:top w:val="nil"/>
              <w:left w:val="nil"/>
              <w:bottom w:val="nil"/>
              <w:right w:val="single" w:sz="4" w:space="0" w:color="000000"/>
            </w:tcBorders>
            <w:shd w:val="clear" w:color="000000" w:fill="FFFFFF"/>
            <w:hideMark/>
          </w:tcPr>
          <w:p w14:paraId="0C5CB6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Nombrar e instruir a los jurados de votación.</w:t>
            </w:r>
          </w:p>
        </w:tc>
        <w:tc>
          <w:tcPr>
            <w:tcW w:w="3798" w:type="dxa"/>
            <w:tcBorders>
              <w:top w:val="nil"/>
              <w:left w:val="nil"/>
              <w:bottom w:val="nil"/>
              <w:right w:val="single" w:sz="4" w:space="0" w:color="000000"/>
            </w:tcBorders>
            <w:shd w:val="clear" w:color="000000" w:fill="FFFFFF"/>
            <w:hideMark/>
          </w:tcPr>
          <w:p w14:paraId="5BC9324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Nombrar e instruir a los jurados de votación.</w:t>
            </w:r>
          </w:p>
        </w:tc>
        <w:tc>
          <w:tcPr>
            <w:tcW w:w="1480" w:type="dxa"/>
            <w:tcBorders>
              <w:top w:val="nil"/>
              <w:left w:val="nil"/>
              <w:bottom w:val="nil"/>
              <w:right w:val="single" w:sz="4" w:space="0" w:color="000000"/>
            </w:tcBorders>
            <w:shd w:val="clear" w:color="000000" w:fill="FFFFFF"/>
            <w:hideMark/>
          </w:tcPr>
          <w:p w14:paraId="509ADD5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B6935D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41958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Reemplazar a los jurados de votación que no asistan o abandonen sus funciones.  </w:t>
            </w:r>
          </w:p>
        </w:tc>
        <w:tc>
          <w:tcPr>
            <w:tcW w:w="3798" w:type="dxa"/>
            <w:tcBorders>
              <w:top w:val="nil"/>
              <w:left w:val="nil"/>
              <w:bottom w:val="nil"/>
              <w:right w:val="single" w:sz="4" w:space="0" w:color="000000"/>
            </w:tcBorders>
            <w:shd w:val="clear" w:color="000000" w:fill="FFFFFF"/>
            <w:hideMark/>
          </w:tcPr>
          <w:p w14:paraId="3B6BB3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Reemplazar a los jurados de votación que no asistan o abandonen sus funciones.</w:t>
            </w:r>
          </w:p>
        </w:tc>
        <w:tc>
          <w:tcPr>
            <w:tcW w:w="3798" w:type="dxa"/>
            <w:tcBorders>
              <w:top w:val="nil"/>
              <w:left w:val="nil"/>
              <w:bottom w:val="nil"/>
              <w:right w:val="single" w:sz="4" w:space="0" w:color="000000"/>
            </w:tcBorders>
            <w:shd w:val="clear" w:color="000000" w:fill="FFFFFF"/>
            <w:hideMark/>
          </w:tcPr>
          <w:p w14:paraId="2DC48B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Reemplazar a los jurados de votación que no asistan o abandonen sus funciones.</w:t>
            </w:r>
          </w:p>
        </w:tc>
        <w:tc>
          <w:tcPr>
            <w:tcW w:w="1480" w:type="dxa"/>
            <w:tcBorders>
              <w:top w:val="nil"/>
              <w:left w:val="nil"/>
              <w:bottom w:val="nil"/>
              <w:right w:val="single" w:sz="4" w:space="0" w:color="000000"/>
            </w:tcBorders>
            <w:shd w:val="clear" w:color="000000" w:fill="FFFFFF"/>
            <w:hideMark/>
          </w:tcPr>
          <w:p w14:paraId="682981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8FFF43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423D9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 Sancionar con multas a los jurados de votación en los casos señalados en el presente código. </w:t>
            </w:r>
          </w:p>
        </w:tc>
        <w:tc>
          <w:tcPr>
            <w:tcW w:w="3798" w:type="dxa"/>
            <w:tcBorders>
              <w:top w:val="nil"/>
              <w:left w:val="nil"/>
              <w:bottom w:val="nil"/>
              <w:right w:val="single" w:sz="4" w:space="0" w:color="000000"/>
            </w:tcBorders>
            <w:shd w:val="clear" w:color="000000" w:fill="FFFFFF"/>
            <w:hideMark/>
          </w:tcPr>
          <w:p w14:paraId="3E407E5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Sancionar con multas a los jurados de votación en los casos señalados en el presente código.</w:t>
            </w:r>
          </w:p>
        </w:tc>
        <w:tc>
          <w:tcPr>
            <w:tcW w:w="3798" w:type="dxa"/>
            <w:tcBorders>
              <w:top w:val="nil"/>
              <w:left w:val="nil"/>
              <w:bottom w:val="nil"/>
              <w:right w:val="single" w:sz="4" w:space="0" w:color="000000"/>
            </w:tcBorders>
            <w:shd w:val="clear" w:color="000000" w:fill="FFFFFF"/>
            <w:hideMark/>
          </w:tcPr>
          <w:p w14:paraId="4B3C0FA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Sancionar con multas a los jurados de votación en los casos señalados en el presente código.</w:t>
            </w:r>
          </w:p>
        </w:tc>
        <w:tc>
          <w:tcPr>
            <w:tcW w:w="1480" w:type="dxa"/>
            <w:tcBorders>
              <w:top w:val="nil"/>
              <w:left w:val="nil"/>
              <w:bottom w:val="nil"/>
              <w:right w:val="single" w:sz="4" w:space="0" w:color="000000"/>
            </w:tcBorders>
            <w:shd w:val="clear" w:color="000000" w:fill="FFFFFF"/>
            <w:hideMark/>
          </w:tcPr>
          <w:p w14:paraId="5A311BA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7EDE6A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E49EF6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Adelantar la inscripción de las candidaturas para alcalde, concejos distritales y municipales y consejos de juventud. </w:t>
            </w:r>
          </w:p>
        </w:tc>
        <w:tc>
          <w:tcPr>
            <w:tcW w:w="3798" w:type="dxa"/>
            <w:tcBorders>
              <w:top w:val="nil"/>
              <w:left w:val="nil"/>
              <w:bottom w:val="nil"/>
              <w:right w:val="single" w:sz="4" w:space="0" w:color="000000"/>
            </w:tcBorders>
            <w:shd w:val="clear" w:color="000000" w:fill="FFFFFF"/>
            <w:hideMark/>
          </w:tcPr>
          <w:p w14:paraId="7572061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Adelantar la inscripción de las candidaturas para alcalde, concejos distritales y municipales y consejos de juventud.</w:t>
            </w:r>
          </w:p>
        </w:tc>
        <w:tc>
          <w:tcPr>
            <w:tcW w:w="3798" w:type="dxa"/>
            <w:tcBorders>
              <w:top w:val="nil"/>
              <w:left w:val="nil"/>
              <w:bottom w:val="nil"/>
              <w:right w:val="single" w:sz="4" w:space="0" w:color="000000"/>
            </w:tcBorders>
            <w:shd w:val="clear" w:color="000000" w:fill="FFFFFF"/>
            <w:hideMark/>
          </w:tcPr>
          <w:p w14:paraId="3260080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Adelantar la inscripción de las candidaturas para alcalde, concejos distritales y municipales y consejos de juventud.</w:t>
            </w:r>
          </w:p>
        </w:tc>
        <w:tc>
          <w:tcPr>
            <w:tcW w:w="1480" w:type="dxa"/>
            <w:tcBorders>
              <w:top w:val="nil"/>
              <w:left w:val="nil"/>
              <w:bottom w:val="nil"/>
              <w:right w:val="single" w:sz="4" w:space="0" w:color="000000"/>
            </w:tcBorders>
            <w:shd w:val="clear" w:color="000000" w:fill="FFFFFF"/>
            <w:hideMark/>
          </w:tcPr>
          <w:p w14:paraId="291FE70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E52F2D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CB5A37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Ejecutar la póliza de seriedad de la candidatura de los grupos significativos de ciudadanos inscritos en su circunscripción. </w:t>
            </w:r>
          </w:p>
        </w:tc>
        <w:tc>
          <w:tcPr>
            <w:tcW w:w="3798" w:type="dxa"/>
            <w:tcBorders>
              <w:top w:val="nil"/>
              <w:left w:val="nil"/>
              <w:bottom w:val="nil"/>
              <w:right w:val="single" w:sz="4" w:space="0" w:color="000000"/>
            </w:tcBorders>
            <w:shd w:val="clear" w:color="000000" w:fill="FFFFFF"/>
            <w:hideMark/>
          </w:tcPr>
          <w:p w14:paraId="2F4C615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Ejecutar la póliza de seriedad de la candidatura de los grupos significativos de ciudadanos inscritos en su circunscripción.</w:t>
            </w:r>
          </w:p>
        </w:tc>
        <w:tc>
          <w:tcPr>
            <w:tcW w:w="3798" w:type="dxa"/>
            <w:tcBorders>
              <w:top w:val="nil"/>
              <w:left w:val="nil"/>
              <w:bottom w:val="nil"/>
              <w:right w:val="single" w:sz="4" w:space="0" w:color="000000"/>
            </w:tcBorders>
            <w:shd w:val="clear" w:color="000000" w:fill="FFFFFF"/>
            <w:hideMark/>
          </w:tcPr>
          <w:p w14:paraId="2040574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Ejecutar la póliza de seriedad de la candidatura de los grupos significativos de ciudadanos inscritos en su circunscripción.</w:t>
            </w:r>
          </w:p>
        </w:tc>
        <w:tc>
          <w:tcPr>
            <w:tcW w:w="1480" w:type="dxa"/>
            <w:tcBorders>
              <w:top w:val="nil"/>
              <w:left w:val="nil"/>
              <w:bottom w:val="nil"/>
              <w:right w:val="single" w:sz="4" w:space="0" w:color="000000"/>
            </w:tcBorders>
            <w:shd w:val="clear" w:color="000000" w:fill="FFFFFF"/>
            <w:hideMark/>
          </w:tcPr>
          <w:p w14:paraId="5F5FEEA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F1EE9C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F3B76E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Actuar como secretario de la comisión escrutadora en su respectiva circunscripción. </w:t>
            </w:r>
          </w:p>
        </w:tc>
        <w:tc>
          <w:tcPr>
            <w:tcW w:w="3798" w:type="dxa"/>
            <w:tcBorders>
              <w:top w:val="nil"/>
              <w:left w:val="nil"/>
              <w:bottom w:val="nil"/>
              <w:right w:val="single" w:sz="4" w:space="0" w:color="000000"/>
            </w:tcBorders>
            <w:shd w:val="clear" w:color="000000" w:fill="FFFFFF"/>
            <w:hideMark/>
          </w:tcPr>
          <w:p w14:paraId="374D50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Actuar como secretario de la comisión escrutadora en su respectiva circunscripción.</w:t>
            </w:r>
          </w:p>
        </w:tc>
        <w:tc>
          <w:tcPr>
            <w:tcW w:w="3798" w:type="dxa"/>
            <w:tcBorders>
              <w:top w:val="nil"/>
              <w:left w:val="nil"/>
              <w:bottom w:val="nil"/>
              <w:right w:val="single" w:sz="4" w:space="0" w:color="000000"/>
            </w:tcBorders>
            <w:shd w:val="clear" w:color="000000" w:fill="FFFFFF"/>
            <w:hideMark/>
          </w:tcPr>
          <w:p w14:paraId="2C10CE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Actuar como secretario de la comisión escrutadora en su respectiva circunscripción.</w:t>
            </w:r>
          </w:p>
        </w:tc>
        <w:tc>
          <w:tcPr>
            <w:tcW w:w="1480" w:type="dxa"/>
            <w:tcBorders>
              <w:top w:val="nil"/>
              <w:left w:val="nil"/>
              <w:bottom w:val="nil"/>
              <w:right w:val="single" w:sz="4" w:space="0" w:color="000000"/>
            </w:tcBorders>
            <w:shd w:val="clear" w:color="000000" w:fill="FFFFFF"/>
            <w:hideMark/>
          </w:tcPr>
          <w:p w14:paraId="1BCD541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A5AC1F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FFBCD8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Conducir y entregar personalmente al delegado seccional los documentos que las comisiones escrutadoras hayan tenido presentes y las actas de escrutinio levantadas por estas. </w:t>
            </w:r>
          </w:p>
        </w:tc>
        <w:tc>
          <w:tcPr>
            <w:tcW w:w="3798" w:type="dxa"/>
            <w:tcBorders>
              <w:top w:val="nil"/>
              <w:left w:val="nil"/>
              <w:bottom w:val="nil"/>
              <w:right w:val="single" w:sz="4" w:space="0" w:color="000000"/>
            </w:tcBorders>
            <w:shd w:val="clear" w:color="000000" w:fill="FFFFFF"/>
            <w:hideMark/>
          </w:tcPr>
          <w:p w14:paraId="0A0800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Conducir y entregar personalmente al Registrador departamental los documentos que las comisiones escrutadoras hayan tenido presentes y las actas de escrutinio levantadas por estas.</w:t>
            </w:r>
          </w:p>
        </w:tc>
        <w:tc>
          <w:tcPr>
            <w:tcW w:w="3798" w:type="dxa"/>
            <w:tcBorders>
              <w:top w:val="nil"/>
              <w:left w:val="nil"/>
              <w:bottom w:val="nil"/>
              <w:right w:val="single" w:sz="4" w:space="0" w:color="000000"/>
            </w:tcBorders>
            <w:shd w:val="clear" w:color="000000" w:fill="FFFFFF"/>
            <w:hideMark/>
          </w:tcPr>
          <w:p w14:paraId="7001FD1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Conducir y entregar personalmente al Registrador departamental los documentos que las comisiones escrutadoras hayan tenido presentes y las actas de escrutinio levantadas por estas.</w:t>
            </w:r>
          </w:p>
        </w:tc>
        <w:tc>
          <w:tcPr>
            <w:tcW w:w="1480" w:type="dxa"/>
            <w:tcBorders>
              <w:top w:val="nil"/>
              <w:left w:val="nil"/>
              <w:bottom w:val="nil"/>
              <w:right w:val="single" w:sz="4" w:space="0" w:color="000000"/>
            </w:tcBorders>
            <w:shd w:val="clear" w:color="000000" w:fill="FFFFFF"/>
            <w:hideMark/>
          </w:tcPr>
          <w:p w14:paraId="175671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1390775" w14:textId="77777777" w:rsidTr="00222F34">
        <w:trPr>
          <w:trHeight w:val="705"/>
        </w:trPr>
        <w:tc>
          <w:tcPr>
            <w:tcW w:w="3798" w:type="dxa"/>
            <w:tcBorders>
              <w:top w:val="nil"/>
              <w:left w:val="single" w:sz="4" w:space="0" w:color="000000"/>
              <w:bottom w:val="nil"/>
              <w:right w:val="single" w:sz="4" w:space="0" w:color="000000"/>
            </w:tcBorders>
            <w:shd w:val="clear" w:color="000000" w:fill="FFFFFF"/>
            <w:hideMark/>
          </w:tcPr>
          <w:p w14:paraId="36D0E22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j. Las demás que les asigne la ley, el registrador Nacional del Estado Civil y el delegado seccional. </w:t>
            </w:r>
          </w:p>
        </w:tc>
        <w:tc>
          <w:tcPr>
            <w:tcW w:w="3798" w:type="dxa"/>
            <w:tcBorders>
              <w:top w:val="nil"/>
              <w:left w:val="nil"/>
              <w:bottom w:val="nil"/>
              <w:right w:val="single" w:sz="4" w:space="0" w:color="000000"/>
            </w:tcBorders>
            <w:shd w:val="clear" w:color="000000" w:fill="FFFFFF"/>
            <w:hideMark/>
          </w:tcPr>
          <w:p w14:paraId="068194F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el delegado seccional.</w:t>
            </w:r>
          </w:p>
        </w:tc>
        <w:tc>
          <w:tcPr>
            <w:tcW w:w="3798" w:type="dxa"/>
            <w:tcBorders>
              <w:top w:val="nil"/>
              <w:left w:val="nil"/>
              <w:bottom w:val="nil"/>
              <w:right w:val="single" w:sz="4" w:space="0" w:color="000000"/>
            </w:tcBorders>
            <w:shd w:val="clear" w:color="000000" w:fill="FFFFFF"/>
            <w:hideMark/>
          </w:tcPr>
          <w:p w14:paraId="343C9F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el delegado seccional.</w:t>
            </w:r>
          </w:p>
        </w:tc>
        <w:tc>
          <w:tcPr>
            <w:tcW w:w="1480" w:type="dxa"/>
            <w:tcBorders>
              <w:top w:val="nil"/>
              <w:left w:val="nil"/>
              <w:bottom w:val="nil"/>
              <w:right w:val="single" w:sz="4" w:space="0" w:color="000000"/>
            </w:tcBorders>
            <w:shd w:val="clear" w:color="000000" w:fill="FFFFFF"/>
            <w:hideMark/>
          </w:tcPr>
          <w:p w14:paraId="14C1933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91E3F7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3DFFDF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 Registro civil e identificación: </w:t>
            </w:r>
          </w:p>
        </w:tc>
        <w:tc>
          <w:tcPr>
            <w:tcW w:w="3798" w:type="dxa"/>
            <w:tcBorders>
              <w:top w:val="nil"/>
              <w:left w:val="nil"/>
              <w:bottom w:val="nil"/>
              <w:right w:val="single" w:sz="4" w:space="0" w:color="000000"/>
            </w:tcBorders>
            <w:shd w:val="clear" w:color="000000" w:fill="FFFFFF"/>
            <w:hideMark/>
          </w:tcPr>
          <w:p w14:paraId="231F3DE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 Registro civil e identificación: </w:t>
            </w:r>
          </w:p>
        </w:tc>
        <w:tc>
          <w:tcPr>
            <w:tcW w:w="3798" w:type="dxa"/>
            <w:tcBorders>
              <w:top w:val="nil"/>
              <w:left w:val="nil"/>
              <w:bottom w:val="nil"/>
              <w:right w:val="single" w:sz="4" w:space="0" w:color="000000"/>
            </w:tcBorders>
            <w:shd w:val="clear" w:color="000000" w:fill="FFFFFF"/>
            <w:hideMark/>
          </w:tcPr>
          <w:p w14:paraId="0097B2B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 Registro civil e identificación: </w:t>
            </w:r>
          </w:p>
        </w:tc>
        <w:tc>
          <w:tcPr>
            <w:tcW w:w="1480" w:type="dxa"/>
            <w:tcBorders>
              <w:top w:val="nil"/>
              <w:left w:val="nil"/>
              <w:bottom w:val="nil"/>
              <w:right w:val="single" w:sz="4" w:space="0" w:color="000000"/>
            </w:tcBorders>
            <w:shd w:val="clear" w:color="000000" w:fill="FFFFFF"/>
            <w:hideMark/>
          </w:tcPr>
          <w:p w14:paraId="56AF2B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2E581A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875602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Prestar de manera oportuna y correcta el servicio de registro civil e identificación, remitir y actualizar oportunamente la información en los Sistemas de Registro Civil y Archivo Nacional de Identificación. </w:t>
            </w:r>
          </w:p>
        </w:tc>
        <w:tc>
          <w:tcPr>
            <w:tcW w:w="3798" w:type="dxa"/>
            <w:tcBorders>
              <w:top w:val="nil"/>
              <w:left w:val="nil"/>
              <w:bottom w:val="nil"/>
              <w:right w:val="single" w:sz="4" w:space="0" w:color="000000"/>
            </w:tcBorders>
            <w:shd w:val="clear" w:color="000000" w:fill="FFFFFF"/>
            <w:hideMark/>
          </w:tcPr>
          <w:p w14:paraId="09F7245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Prestar de manera oportuna y correcta el servicio de registro civil e identificación, remitir y actualizar oportunamente la información en los Sistemas de Registro Civil y Archivo Nacional de Identificación.</w:t>
            </w:r>
          </w:p>
        </w:tc>
        <w:tc>
          <w:tcPr>
            <w:tcW w:w="3798" w:type="dxa"/>
            <w:tcBorders>
              <w:top w:val="nil"/>
              <w:left w:val="nil"/>
              <w:bottom w:val="nil"/>
              <w:right w:val="single" w:sz="4" w:space="0" w:color="000000"/>
            </w:tcBorders>
            <w:shd w:val="clear" w:color="000000" w:fill="FFFFFF"/>
            <w:hideMark/>
          </w:tcPr>
          <w:p w14:paraId="693A0BD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Prestar de manera oportuna y correcta el servicio de registro civil e identificación, remitir y actualizar oportunamente la información en los Sistemas de Registro Civil y Archivo Nacional de Identificación.</w:t>
            </w:r>
          </w:p>
        </w:tc>
        <w:tc>
          <w:tcPr>
            <w:tcW w:w="1480" w:type="dxa"/>
            <w:tcBorders>
              <w:top w:val="nil"/>
              <w:left w:val="nil"/>
              <w:bottom w:val="nil"/>
              <w:right w:val="single" w:sz="4" w:space="0" w:color="000000"/>
            </w:tcBorders>
            <w:shd w:val="clear" w:color="000000" w:fill="FFFFFF"/>
            <w:hideMark/>
          </w:tcPr>
          <w:p w14:paraId="72E47EE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1563A3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9AB580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b. Realizar las inscripciones de todos los hechos, los actos y las providencias relacionados con el estado civil de las personas, de acuerdo con la ley y los lineamientos de la entidad. </w:t>
            </w:r>
          </w:p>
        </w:tc>
        <w:tc>
          <w:tcPr>
            <w:tcW w:w="3798" w:type="dxa"/>
            <w:tcBorders>
              <w:top w:val="nil"/>
              <w:left w:val="nil"/>
              <w:bottom w:val="nil"/>
              <w:right w:val="single" w:sz="4" w:space="0" w:color="000000"/>
            </w:tcBorders>
            <w:shd w:val="clear" w:color="000000" w:fill="FFFFFF"/>
            <w:hideMark/>
          </w:tcPr>
          <w:p w14:paraId="3D5DE50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Realizar las inscripciones de todos los hechos, los actos y las providencias relacionados con el estado civil de las personas, de acuerdo con la ley y los lineamientos de la entidad.</w:t>
            </w:r>
          </w:p>
        </w:tc>
        <w:tc>
          <w:tcPr>
            <w:tcW w:w="3798" w:type="dxa"/>
            <w:tcBorders>
              <w:top w:val="nil"/>
              <w:left w:val="nil"/>
              <w:bottom w:val="nil"/>
              <w:right w:val="single" w:sz="4" w:space="0" w:color="000000"/>
            </w:tcBorders>
            <w:shd w:val="clear" w:color="000000" w:fill="FFFFFF"/>
            <w:hideMark/>
          </w:tcPr>
          <w:p w14:paraId="562741F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Realizar las inscripciones de todos los hechos, los actos y las providencias relacionados con el estado civil de las personas, de acuerdo con la ley y los lineamientos de la entidad.</w:t>
            </w:r>
          </w:p>
        </w:tc>
        <w:tc>
          <w:tcPr>
            <w:tcW w:w="1480" w:type="dxa"/>
            <w:tcBorders>
              <w:top w:val="nil"/>
              <w:left w:val="nil"/>
              <w:bottom w:val="nil"/>
              <w:right w:val="single" w:sz="4" w:space="0" w:color="000000"/>
            </w:tcBorders>
            <w:shd w:val="clear" w:color="000000" w:fill="FFFFFF"/>
            <w:hideMark/>
          </w:tcPr>
          <w:p w14:paraId="3B1B4C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F0D917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403FF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Reparar y acreditar el enrolamiento de los datos de identificación para la preparación y expedición de los documentos de identificación. </w:t>
            </w:r>
          </w:p>
        </w:tc>
        <w:tc>
          <w:tcPr>
            <w:tcW w:w="3798" w:type="dxa"/>
            <w:tcBorders>
              <w:top w:val="nil"/>
              <w:left w:val="nil"/>
              <w:bottom w:val="nil"/>
              <w:right w:val="single" w:sz="4" w:space="0" w:color="000000"/>
            </w:tcBorders>
            <w:shd w:val="clear" w:color="000000" w:fill="FFFFFF"/>
            <w:hideMark/>
          </w:tcPr>
          <w:p w14:paraId="285BD8C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Reparar y acreditar el enrolamiento de los datos de identificación para la preparación y expedición de los documentos de identificación.</w:t>
            </w:r>
          </w:p>
        </w:tc>
        <w:tc>
          <w:tcPr>
            <w:tcW w:w="3798" w:type="dxa"/>
            <w:tcBorders>
              <w:top w:val="nil"/>
              <w:left w:val="nil"/>
              <w:bottom w:val="nil"/>
              <w:right w:val="single" w:sz="4" w:space="0" w:color="000000"/>
            </w:tcBorders>
            <w:shd w:val="clear" w:color="000000" w:fill="FFFFFF"/>
            <w:hideMark/>
          </w:tcPr>
          <w:p w14:paraId="66993D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Reparar y acreditar el enrolamiento de los datos de identificación para la preparación y expedición de los documentos de identificación.</w:t>
            </w:r>
          </w:p>
        </w:tc>
        <w:tc>
          <w:tcPr>
            <w:tcW w:w="1480" w:type="dxa"/>
            <w:tcBorders>
              <w:top w:val="nil"/>
              <w:left w:val="nil"/>
              <w:bottom w:val="nil"/>
              <w:right w:val="single" w:sz="4" w:space="0" w:color="000000"/>
            </w:tcBorders>
            <w:shd w:val="clear" w:color="000000" w:fill="FFFFFF"/>
            <w:hideMark/>
          </w:tcPr>
          <w:p w14:paraId="1FCD38E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D433CA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691A8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Colaborar en las campañas del registro civil e identificación cuando corresponda. </w:t>
            </w:r>
          </w:p>
        </w:tc>
        <w:tc>
          <w:tcPr>
            <w:tcW w:w="3798" w:type="dxa"/>
            <w:tcBorders>
              <w:top w:val="nil"/>
              <w:left w:val="nil"/>
              <w:bottom w:val="nil"/>
              <w:right w:val="single" w:sz="4" w:space="0" w:color="000000"/>
            </w:tcBorders>
            <w:shd w:val="clear" w:color="000000" w:fill="FFFFFF"/>
            <w:hideMark/>
          </w:tcPr>
          <w:p w14:paraId="7D0725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Colaborar en las campañas del registro civil e identificación cuando corresponda.</w:t>
            </w:r>
          </w:p>
        </w:tc>
        <w:tc>
          <w:tcPr>
            <w:tcW w:w="3798" w:type="dxa"/>
            <w:tcBorders>
              <w:top w:val="nil"/>
              <w:left w:val="nil"/>
              <w:bottom w:val="nil"/>
              <w:right w:val="single" w:sz="4" w:space="0" w:color="000000"/>
            </w:tcBorders>
            <w:shd w:val="clear" w:color="000000" w:fill="FFFFFF"/>
            <w:hideMark/>
          </w:tcPr>
          <w:p w14:paraId="1638B68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Colaborar en las campañas del registro civil e identificación cuando corresponda.</w:t>
            </w:r>
          </w:p>
        </w:tc>
        <w:tc>
          <w:tcPr>
            <w:tcW w:w="1480" w:type="dxa"/>
            <w:tcBorders>
              <w:top w:val="nil"/>
              <w:left w:val="nil"/>
              <w:bottom w:val="nil"/>
              <w:right w:val="single" w:sz="4" w:space="0" w:color="000000"/>
            </w:tcBorders>
            <w:shd w:val="clear" w:color="000000" w:fill="FFFFFF"/>
            <w:hideMark/>
          </w:tcPr>
          <w:p w14:paraId="18BFB30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BDC287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779AB5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Presentar al delegado seccional en registro civil e identificación, durante los cinco (5) primeros días de cada mes el informe de producción. </w:t>
            </w:r>
          </w:p>
        </w:tc>
        <w:tc>
          <w:tcPr>
            <w:tcW w:w="3798" w:type="dxa"/>
            <w:tcBorders>
              <w:top w:val="nil"/>
              <w:left w:val="nil"/>
              <w:bottom w:val="nil"/>
              <w:right w:val="single" w:sz="4" w:space="0" w:color="000000"/>
            </w:tcBorders>
            <w:shd w:val="clear" w:color="000000" w:fill="FFFFFF"/>
            <w:hideMark/>
          </w:tcPr>
          <w:p w14:paraId="41AF84B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Presentar al delegado seccional en registro civil e identificación, durante los cinco</w:t>
            </w:r>
            <w:r w:rsidRPr="00222F34">
              <w:rPr>
                <w:rFonts w:ascii="Calibri" w:eastAsia="Times New Roman" w:hAnsi="Calibri" w:cs="Calibri"/>
                <w:color w:val="000000"/>
                <w:lang w:val="es-CO" w:eastAsia="es-CO" w:bidi="ar-SA"/>
              </w:rPr>
              <w:br/>
              <w:t>(5) primeros días de cada mes el informe de producción.</w:t>
            </w:r>
          </w:p>
        </w:tc>
        <w:tc>
          <w:tcPr>
            <w:tcW w:w="3798" w:type="dxa"/>
            <w:tcBorders>
              <w:top w:val="nil"/>
              <w:left w:val="nil"/>
              <w:bottom w:val="nil"/>
              <w:right w:val="single" w:sz="4" w:space="0" w:color="000000"/>
            </w:tcBorders>
            <w:shd w:val="clear" w:color="000000" w:fill="FFFFFF"/>
            <w:hideMark/>
          </w:tcPr>
          <w:p w14:paraId="0584603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Presentar al delegado seccional en registro civil e identificación, durante los cinco</w:t>
            </w:r>
            <w:r w:rsidRPr="00222F34">
              <w:rPr>
                <w:rFonts w:ascii="Calibri" w:eastAsia="Times New Roman" w:hAnsi="Calibri" w:cs="Calibri"/>
                <w:color w:val="000000"/>
                <w:lang w:val="es-CO" w:eastAsia="es-CO" w:bidi="ar-SA"/>
              </w:rPr>
              <w:br/>
              <w:t>(5) primeros días de cada mes el informe de producción.</w:t>
            </w:r>
          </w:p>
        </w:tc>
        <w:tc>
          <w:tcPr>
            <w:tcW w:w="1480" w:type="dxa"/>
            <w:tcBorders>
              <w:top w:val="nil"/>
              <w:left w:val="nil"/>
              <w:bottom w:val="nil"/>
              <w:right w:val="single" w:sz="4" w:space="0" w:color="000000"/>
            </w:tcBorders>
            <w:shd w:val="clear" w:color="000000" w:fill="FFFFFF"/>
            <w:hideMark/>
          </w:tcPr>
          <w:p w14:paraId="426AF23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DDA809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8082A7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3798" w:type="dxa"/>
            <w:tcBorders>
              <w:top w:val="nil"/>
              <w:left w:val="nil"/>
              <w:bottom w:val="nil"/>
              <w:right w:val="single" w:sz="4" w:space="0" w:color="000000"/>
            </w:tcBorders>
            <w:shd w:val="clear" w:color="000000" w:fill="FFFFFF"/>
            <w:hideMark/>
          </w:tcPr>
          <w:p w14:paraId="1C516E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tc>
        <w:tc>
          <w:tcPr>
            <w:tcW w:w="3798" w:type="dxa"/>
            <w:tcBorders>
              <w:top w:val="nil"/>
              <w:left w:val="nil"/>
              <w:bottom w:val="nil"/>
              <w:right w:val="single" w:sz="4" w:space="0" w:color="000000"/>
            </w:tcBorders>
            <w:shd w:val="clear" w:color="000000" w:fill="FFFFFF"/>
            <w:hideMark/>
          </w:tcPr>
          <w:p w14:paraId="7B1631F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tc>
        <w:tc>
          <w:tcPr>
            <w:tcW w:w="1480" w:type="dxa"/>
            <w:tcBorders>
              <w:top w:val="nil"/>
              <w:left w:val="nil"/>
              <w:bottom w:val="nil"/>
              <w:right w:val="single" w:sz="4" w:space="0" w:color="000000"/>
            </w:tcBorders>
            <w:shd w:val="clear" w:color="000000" w:fill="FFFFFF"/>
            <w:hideMark/>
          </w:tcPr>
          <w:p w14:paraId="1D88380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FF2B70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28514F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Disponer la preparación de cédulas y tarjetas de identidad, atender las solicitudes de duplicados, rectificaciones, correcciones, renovaciones, impugnaciones y </w:t>
            </w:r>
            <w:r w:rsidRPr="00222F34">
              <w:rPr>
                <w:rFonts w:ascii="Calibri" w:eastAsia="Times New Roman" w:hAnsi="Calibri" w:cs="Calibri"/>
                <w:color w:val="000000"/>
                <w:lang w:val="es-CO" w:eastAsia="es-CO" w:bidi="ar-SA"/>
              </w:rPr>
              <w:lastRenderedPageBreak/>
              <w:t xml:space="preserve">cancelaciones de esos documentos y ordenar las inscripciones de cédulas. </w:t>
            </w:r>
          </w:p>
        </w:tc>
        <w:tc>
          <w:tcPr>
            <w:tcW w:w="3798" w:type="dxa"/>
            <w:tcBorders>
              <w:top w:val="nil"/>
              <w:left w:val="nil"/>
              <w:bottom w:val="nil"/>
              <w:right w:val="single" w:sz="4" w:space="0" w:color="000000"/>
            </w:tcBorders>
            <w:shd w:val="clear" w:color="000000" w:fill="FFFFFF"/>
            <w:hideMark/>
          </w:tcPr>
          <w:p w14:paraId="1681892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g. Disponer la preparación de cédulas y tarjetas de identidad, atender las solicitudes de duplicados, rectificaciones, correcciones, renovaciones, impugnaciones y </w:t>
            </w:r>
            <w:r w:rsidRPr="00222F34">
              <w:rPr>
                <w:rFonts w:ascii="Calibri" w:eastAsia="Times New Roman" w:hAnsi="Calibri" w:cs="Calibri"/>
                <w:color w:val="000000"/>
                <w:lang w:val="es-CO" w:eastAsia="es-CO" w:bidi="ar-SA"/>
              </w:rPr>
              <w:lastRenderedPageBreak/>
              <w:t>cancelaciones de esos documentos y ordenar las inscripciones de cédulas.</w:t>
            </w:r>
          </w:p>
        </w:tc>
        <w:tc>
          <w:tcPr>
            <w:tcW w:w="3798" w:type="dxa"/>
            <w:tcBorders>
              <w:top w:val="nil"/>
              <w:left w:val="nil"/>
              <w:bottom w:val="nil"/>
              <w:right w:val="single" w:sz="4" w:space="0" w:color="000000"/>
            </w:tcBorders>
            <w:shd w:val="clear" w:color="000000" w:fill="FFFFFF"/>
            <w:hideMark/>
          </w:tcPr>
          <w:p w14:paraId="0277F6C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g. Disponer la preparación de cédulas y tarjetas de identidad, atender las solicitudes de duplicados, rectificaciones, correcciones, renovaciones, impugnaciones y </w:t>
            </w:r>
            <w:r w:rsidRPr="00222F34">
              <w:rPr>
                <w:rFonts w:ascii="Calibri" w:eastAsia="Times New Roman" w:hAnsi="Calibri" w:cs="Calibri"/>
                <w:color w:val="000000"/>
                <w:lang w:val="es-CO" w:eastAsia="es-CO" w:bidi="ar-SA"/>
              </w:rPr>
              <w:lastRenderedPageBreak/>
              <w:t>cancelaciones de esos documentos y ordenar las inscripciones de cédulas.</w:t>
            </w:r>
          </w:p>
        </w:tc>
        <w:tc>
          <w:tcPr>
            <w:tcW w:w="1480" w:type="dxa"/>
            <w:tcBorders>
              <w:top w:val="nil"/>
              <w:left w:val="nil"/>
              <w:bottom w:val="nil"/>
              <w:right w:val="single" w:sz="4" w:space="0" w:color="000000"/>
            </w:tcBorders>
            <w:shd w:val="clear" w:color="000000" w:fill="FFFFFF"/>
            <w:hideMark/>
          </w:tcPr>
          <w:p w14:paraId="4F425C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1CC5467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D645F5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h. Participar en los comités municipales de estadísticas vitales. </w:t>
            </w:r>
          </w:p>
        </w:tc>
        <w:tc>
          <w:tcPr>
            <w:tcW w:w="3798" w:type="dxa"/>
            <w:tcBorders>
              <w:top w:val="nil"/>
              <w:left w:val="nil"/>
              <w:bottom w:val="nil"/>
              <w:right w:val="single" w:sz="4" w:space="0" w:color="000000"/>
            </w:tcBorders>
            <w:shd w:val="clear" w:color="000000" w:fill="FFFFFF"/>
            <w:hideMark/>
          </w:tcPr>
          <w:p w14:paraId="6EAB21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Participar en los comités municipales de estadísticas vitales.</w:t>
            </w:r>
          </w:p>
        </w:tc>
        <w:tc>
          <w:tcPr>
            <w:tcW w:w="3798" w:type="dxa"/>
            <w:tcBorders>
              <w:top w:val="nil"/>
              <w:left w:val="nil"/>
              <w:bottom w:val="nil"/>
              <w:right w:val="single" w:sz="4" w:space="0" w:color="000000"/>
            </w:tcBorders>
            <w:shd w:val="clear" w:color="000000" w:fill="FFFFFF"/>
            <w:hideMark/>
          </w:tcPr>
          <w:p w14:paraId="363B31C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Participar en los comités municipales de estadísticas vitales.</w:t>
            </w:r>
          </w:p>
        </w:tc>
        <w:tc>
          <w:tcPr>
            <w:tcW w:w="1480" w:type="dxa"/>
            <w:tcBorders>
              <w:top w:val="nil"/>
              <w:left w:val="nil"/>
              <w:bottom w:val="nil"/>
              <w:right w:val="single" w:sz="4" w:space="0" w:color="000000"/>
            </w:tcBorders>
            <w:shd w:val="clear" w:color="000000" w:fill="FFFFFF"/>
            <w:hideMark/>
          </w:tcPr>
          <w:p w14:paraId="17F13D3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AA5010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72DDA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Promover el uso de los servicios digitales establecidos por la entidad. </w:t>
            </w:r>
          </w:p>
        </w:tc>
        <w:tc>
          <w:tcPr>
            <w:tcW w:w="3798" w:type="dxa"/>
            <w:tcBorders>
              <w:top w:val="nil"/>
              <w:left w:val="nil"/>
              <w:bottom w:val="nil"/>
              <w:right w:val="single" w:sz="4" w:space="0" w:color="000000"/>
            </w:tcBorders>
            <w:shd w:val="clear" w:color="000000" w:fill="FFFFFF"/>
            <w:hideMark/>
          </w:tcPr>
          <w:p w14:paraId="1512870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Promover el uso de los servicios digitales establecidos por la entidad.</w:t>
            </w:r>
          </w:p>
        </w:tc>
        <w:tc>
          <w:tcPr>
            <w:tcW w:w="3798" w:type="dxa"/>
            <w:tcBorders>
              <w:top w:val="nil"/>
              <w:left w:val="nil"/>
              <w:bottom w:val="nil"/>
              <w:right w:val="single" w:sz="4" w:space="0" w:color="000000"/>
            </w:tcBorders>
            <w:shd w:val="clear" w:color="000000" w:fill="FFFFFF"/>
            <w:hideMark/>
          </w:tcPr>
          <w:p w14:paraId="02D3DA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Promover el uso de los servicios digitales establecidos por la entidad.</w:t>
            </w:r>
          </w:p>
        </w:tc>
        <w:tc>
          <w:tcPr>
            <w:tcW w:w="1480" w:type="dxa"/>
            <w:tcBorders>
              <w:top w:val="nil"/>
              <w:left w:val="nil"/>
              <w:bottom w:val="nil"/>
              <w:right w:val="single" w:sz="4" w:space="0" w:color="000000"/>
            </w:tcBorders>
            <w:shd w:val="clear" w:color="000000" w:fill="FFFFFF"/>
            <w:hideMark/>
          </w:tcPr>
          <w:p w14:paraId="1468FC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DECE3BB"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47244F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j. Las demás que les asigne la ley, el registrador Nacional del Estado Civil y el delegado seccional. </w:t>
            </w:r>
          </w:p>
        </w:tc>
        <w:tc>
          <w:tcPr>
            <w:tcW w:w="3798" w:type="dxa"/>
            <w:tcBorders>
              <w:top w:val="nil"/>
              <w:left w:val="nil"/>
              <w:bottom w:val="single" w:sz="4" w:space="0" w:color="000000"/>
              <w:right w:val="single" w:sz="4" w:space="0" w:color="000000"/>
            </w:tcBorders>
            <w:shd w:val="clear" w:color="000000" w:fill="FFFFFF"/>
            <w:hideMark/>
          </w:tcPr>
          <w:p w14:paraId="5712FC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Registrador departamental.</w:t>
            </w:r>
          </w:p>
        </w:tc>
        <w:tc>
          <w:tcPr>
            <w:tcW w:w="3798" w:type="dxa"/>
            <w:tcBorders>
              <w:top w:val="nil"/>
              <w:left w:val="nil"/>
              <w:bottom w:val="single" w:sz="4" w:space="0" w:color="000000"/>
              <w:right w:val="single" w:sz="4" w:space="0" w:color="000000"/>
            </w:tcBorders>
            <w:shd w:val="clear" w:color="000000" w:fill="FFFFFF"/>
            <w:hideMark/>
          </w:tcPr>
          <w:p w14:paraId="0E7AAA6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Registrador departamental.</w:t>
            </w:r>
          </w:p>
        </w:tc>
        <w:tc>
          <w:tcPr>
            <w:tcW w:w="1480" w:type="dxa"/>
            <w:tcBorders>
              <w:top w:val="nil"/>
              <w:left w:val="nil"/>
              <w:bottom w:val="single" w:sz="4" w:space="0" w:color="000000"/>
              <w:right w:val="single" w:sz="4" w:space="0" w:color="000000"/>
            </w:tcBorders>
            <w:shd w:val="clear" w:color="000000" w:fill="FFFFFF"/>
            <w:hideMark/>
          </w:tcPr>
          <w:p w14:paraId="12E749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7E6F17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3E962F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 Funciones de los registradores auxiliares.</w:t>
            </w:r>
            <w:r w:rsidRPr="00222F34">
              <w:rPr>
                <w:rFonts w:ascii="Calibri" w:eastAsia="Times New Roman" w:hAnsi="Calibri" w:cs="Calibri"/>
                <w:color w:val="000000"/>
                <w:lang w:val="es-CO" w:eastAsia="es-CO" w:bidi="ar-SA"/>
              </w:rPr>
              <w:t xml:space="preserve"> Los registradores auxiliares tendrán las siguientes funciones: </w:t>
            </w:r>
          </w:p>
        </w:tc>
        <w:tc>
          <w:tcPr>
            <w:tcW w:w="3798" w:type="dxa"/>
            <w:tcBorders>
              <w:top w:val="nil"/>
              <w:left w:val="nil"/>
              <w:bottom w:val="nil"/>
              <w:right w:val="single" w:sz="4" w:space="0" w:color="000000"/>
            </w:tcBorders>
            <w:shd w:val="clear" w:color="000000" w:fill="FFFFFF"/>
            <w:hideMark/>
          </w:tcPr>
          <w:p w14:paraId="7B87468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 Funciones de los registradores auxiliares.</w:t>
            </w:r>
            <w:r w:rsidRPr="00222F34">
              <w:rPr>
                <w:rFonts w:ascii="Calibri" w:eastAsia="Times New Roman" w:hAnsi="Calibri" w:cs="Calibri"/>
                <w:color w:val="000000"/>
                <w:lang w:val="es-CO" w:eastAsia="es-CO" w:bidi="ar-SA"/>
              </w:rPr>
              <w:t xml:space="preserve"> Los registradores auxiliares tendrán las siguientes funciones:</w:t>
            </w:r>
          </w:p>
        </w:tc>
        <w:tc>
          <w:tcPr>
            <w:tcW w:w="3798" w:type="dxa"/>
            <w:tcBorders>
              <w:top w:val="nil"/>
              <w:left w:val="nil"/>
              <w:bottom w:val="nil"/>
              <w:right w:val="single" w:sz="4" w:space="0" w:color="000000"/>
            </w:tcBorders>
            <w:shd w:val="clear" w:color="000000" w:fill="FFFFFF"/>
            <w:hideMark/>
          </w:tcPr>
          <w:p w14:paraId="0FA9488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 Funciones de los registradores auxiliares.</w:t>
            </w:r>
            <w:r w:rsidRPr="00222F34">
              <w:rPr>
                <w:rFonts w:ascii="Calibri" w:eastAsia="Times New Roman" w:hAnsi="Calibri" w:cs="Calibri"/>
                <w:color w:val="000000"/>
                <w:lang w:val="es-CO" w:eastAsia="es-CO" w:bidi="ar-SA"/>
              </w:rPr>
              <w:t xml:space="preserve"> Los registradores auxiliares tendrán las siguientes funciones:</w:t>
            </w:r>
          </w:p>
        </w:tc>
        <w:tc>
          <w:tcPr>
            <w:tcW w:w="1480" w:type="dxa"/>
            <w:tcBorders>
              <w:top w:val="nil"/>
              <w:left w:val="nil"/>
              <w:bottom w:val="nil"/>
              <w:right w:val="single" w:sz="4" w:space="0" w:color="000000"/>
            </w:tcBorders>
            <w:shd w:val="clear" w:color="000000" w:fill="FFFFFF"/>
            <w:hideMark/>
          </w:tcPr>
          <w:p w14:paraId="6C4FAE84" w14:textId="7DE3FE8C" w:rsidR="00222F34" w:rsidRPr="00222F34" w:rsidRDefault="00222F34" w:rsidP="00917B5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w:t>
            </w:r>
            <w:r w:rsidR="0081594B">
              <w:rPr>
                <w:rFonts w:ascii="Calibri" w:eastAsia="Times New Roman" w:hAnsi="Calibri" w:cs="Calibri"/>
                <w:color w:val="000000"/>
                <w:lang w:val="es-CO" w:eastAsia="es-CO" w:bidi="ar-SA"/>
              </w:rPr>
              <w:t>acoge texto de Cámara</w:t>
            </w:r>
            <w:r w:rsidRPr="00222F34">
              <w:rPr>
                <w:rFonts w:ascii="Calibri" w:eastAsia="Times New Roman" w:hAnsi="Calibri" w:cs="Calibri"/>
                <w:color w:val="000000"/>
                <w:lang w:val="es-CO" w:eastAsia="es-CO" w:bidi="ar-SA"/>
              </w:rPr>
              <w:t xml:space="preserve"> pero se ajusta la redacción en el literal h del numeral 1.</w:t>
            </w:r>
          </w:p>
        </w:tc>
      </w:tr>
      <w:tr w:rsidR="00222F34" w:rsidRPr="00222F34" w14:paraId="3D3C9BE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1CB4C3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1. Asuntos electorales: </w:t>
            </w:r>
          </w:p>
        </w:tc>
        <w:tc>
          <w:tcPr>
            <w:tcW w:w="3798" w:type="dxa"/>
            <w:tcBorders>
              <w:top w:val="nil"/>
              <w:left w:val="nil"/>
              <w:bottom w:val="nil"/>
              <w:right w:val="single" w:sz="4" w:space="0" w:color="000000"/>
            </w:tcBorders>
            <w:shd w:val="clear" w:color="000000" w:fill="FFFFFF"/>
            <w:hideMark/>
          </w:tcPr>
          <w:p w14:paraId="6F377A7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Asuntos electorales:</w:t>
            </w:r>
          </w:p>
        </w:tc>
        <w:tc>
          <w:tcPr>
            <w:tcW w:w="3798" w:type="dxa"/>
            <w:tcBorders>
              <w:top w:val="nil"/>
              <w:left w:val="nil"/>
              <w:bottom w:val="nil"/>
              <w:right w:val="single" w:sz="4" w:space="0" w:color="000000"/>
            </w:tcBorders>
            <w:shd w:val="clear" w:color="000000" w:fill="FFFFFF"/>
            <w:hideMark/>
          </w:tcPr>
          <w:p w14:paraId="3E6353E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Asuntos electorales:</w:t>
            </w:r>
          </w:p>
        </w:tc>
        <w:tc>
          <w:tcPr>
            <w:tcW w:w="1480" w:type="dxa"/>
            <w:tcBorders>
              <w:top w:val="nil"/>
              <w:left w:val="nil"/>
              <w:bottom w:val="nil"/>
              <w:right w:val="single" w:sz="4" w:space="0" w:color="000000"/>
            </w:tcBorders>
            <w:shd w:val="clear" w:color="000000" w:fill="FFFFFF"/>
            <w:hideMark/>
          </w:tcPr>
          <w:p w14:paraId="03966F6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15C79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935024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Organizar las elecciones y responder especialmente por la ubicación y los cambios de los puestos de votación y sitios para escrutinios. </w:t>
            </w:r>
          </w:p>
        </w:tc>
        <w:tc>
          <w:tcPr>
            <w:tcW w:w="3798" w:type="dxa"/>
            <w:tcBorders>
              <w:top w:val="nil"/>
              <w:left w:val="nil"/>
              <w:bottom w:val="nil"/>
              <w:right w:val="single" w:sz="4" w:space="0" w:color="000000"/>
            </w:tcBorders>
            <w:shd w:val="clear" w:color="000000" w:fill="FFFFFF"/>
            <w:hideMark/>
          </w:tcPr>
          <w:p w14:paraId="61A5E5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las elecciones y responder especialmente por la ubicación y los cambios de los puestos de votación y sitios para escrutinios.</w:t>
            </w:r>
          </w:p>
        </w:tc>
        <w:tc>
          <w:tcPr>
            <w:tcW w:w="3798" w:type="dxa"/>
            <w:tcBorders>
              <w:top w:val="nil"/>
              <w:left w:val="nil"/>
              <w:bottom w:val="nil"/>
              <w:right w:val="single" w:sz="4" w:space="0" w:color="000000"/>
            </w:tcBorders>
            <w:shd w:val="clear" w:color="000000" w:fill="FFFFFF"/>
            <w:hideMark/>
          </w:tcPr>
          <w:p w14:paraId="345847E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las elecciones y responder especialmente por la ubicación y los cambios de los puestos de votación y sitios para escrutinios.</w:t>
            </w:r>
          </w:p>
        </w:tc>
        <w:tc>
          <w:tcPr>
            <w:tcW w:w="1480" w:type="dxa"/>
            <w:tcBorders>
              <w:top w:val="nil"/>
              <w:left w:val="nil"/>
              <w:bottom w:val="nil"/>
              <w:right w:val="single" w:sz="4" w:space="0" w:color="000000"/>
            </w:tcBorders>
            <w:shd w:val="clear" w:color="000000" w:fill="FFFFFF"/>
            <w:hideMark/>
          </w:tcPr>
          <w:p w14:paraId="39CA39B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4014AF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49629E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Adelantar el proceso de zonificación en su circunscripción. </w:t>
            </w:r>
          </w:p>
        </w:tc>
        <w:tc>
          <w:tcPr>
            <w:tcW w:w="3798" w:type="dxa"/>
            <w:tcBorders>
              <w:top w:val="nil"/>
              <w:left w:val="nil"/>
              <w:bottom w:val="nil"/>
              <w:right w:val="single" w:sz="4" w:space="0" w:color="000000"/>
            </w:tcBorders>
            <w:shd w:val="clear" w:color="000000" w:fill="FFFFFF"/>
            <w:hideMark/>
          </w:tcPr>
          <w:p w14:paraId="4FD2FC3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Adelantar el proceso de zonificación en su circunscripción.</w:t>
            </w:r>
          </w:p>
        </w:tc>
        <w:tc>
          <w:tcPr>
            <w:tcW w:w="3798" w:type="dxa"/>
            <w:tcBorders>
              <w:top w:val="nil"/>
              <w:left w:val="nil"/>
              <w:bottom w:val="nil"/>
              <w:right w:val="single" w:sz="4" w:space="0" w:color="000000"/>
            </w:tcBorders>
            <w:shd w:val="clear" w:color="000000" w:fill="FFFFFF"/>
            <w:hideMark/>
          </w:tcPr>
          <w:p w14:paraId="6C223CF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Adelantar el proceso de zonificación en su circunscripción.</w:t>
            </w:r>
          </w:p>
        </w:tc>
        <w:tc>
          <w:tcPr>
            <w:tcW w:w="1480" w:type="dxa"/>
            <w:tcBorders>
              <w:top w:val="nil"/>
              <w:left w:val="nil"/>
              <w:bottom w:val="nil"/>
              <w:right w:val="single" w:sz="4" w:space="0" w:color="000000"/>
            </w:tcBorders>
            <w:shd w:val="clear" w:color="000000" w:fill="FFFFFF"/>
            <w:hideMark/>
          </w:tcPr>
          <w:p w14:paraId="7888D28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04A167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0A5384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Tomar todas las medidas necesarias para que las votaciones se realicen de conformidad con las disposiciones legales y las instrucciones que impartan sus superiores jerárquicos. </w:t>
            </w:r>
          </w:p>
        </w:tc>
        <w:tc>
          <w:tcPr>
            <w:tcW w:w="3798" w:type="dxa"/>
            <w:tcBorders>
              <w:top w:val="nil"/>
              <w:left w:val="nil"/>
              <w:bottom w:val="nil"/>
              <w:right w:val="single" w:sz="4" w:space="0" w:color="000000"/>
            </w:tcBorders>
            <w:shd w:val="clear" w:color="000000" w:fill="FFFFFF"/>
            <w:hideMark/>
          </w:tcPr>
          <w:p w14:paraId="4D6BBF4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Tomar todas las medidas necesarias para que las votaciones se realicen de conformidad con las disposiciones legales y las instrucciones que impartan sus superiores jerárquicos.</w:t>
            </w:r>
          </w:p>
        </w:tc>
        <w:tc>
          <w:tcPr>
            <w:tcW w:w="3798" w:type="dxa"/>
            <w:tcBorders>
              <w:top w:val="nil"/>
              <w:left w:val="nil"/>
              <w:bottom w:val="nil"/>
              <w:right w:val="single" w:sz="4" w:space="0" w:color="000000"/>
            </w:tcBorders>
            <w:shd w:val="clear" w:color="000000" w:fill="FFFFFF"/>
            <w:hideMark/>
          </w:tcPr>
          <w:p w14:paraId="3995B9F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Tomar todas las medidas necesarias para que las votaciones se realicen de conformidad con las disposiciones legales y las instrucciones que impartan sus superiores jerárquicos.</w:t>
            </w:r>
          </w:p>
        </w:tc>
        <w:tc>
          <w:tcPr>
            <w:tcW w:w="1480" w:type="dxa"/>
            <w:tcBorders>
              <w:top w:val="nil"/>
              <w:left w:val="nil"/>
              <w:bottom w:val="nil"/>
              <w:right w:val="single" w:sz="4" w:space="0" w:color="000000"/>
            </w:tcBorders>
            <w:shd w:val="clear" w:color="000000" w:fill="FFFFFF"/>
            <w:hideMark/>
          </w:tcPr>
          <w:p w14:paraId="400C3B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AF50C6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54D862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 Adelantar la inscripción de las candidaturas para juntas administradores locales. </w:t>
            </w:r>
          </w:p>
        </w:tc>
        <w:tc>
          <w:tcPr>
            <w:tcW w:w="3798" w:type="dxa"/>
            <w:tcBorders>
              <w:top w:val="nil"/>
              <w:left w:val="nil"/>
              <w:bottom w:val="nil"/>
              <w:right w:val="single" w:sz="4" w:space="0" w:color="000000"/>
            </w:tcBorders>
            <w:shd w:val="clear" w:color="000000" w:fill="FFFFFF"/>
            <w:hideMark/>
          </w:tcPr>
          <w:p w14:paraId="2A1FC6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Adelantar la inscripción de las candidaturas para juntas administradores locales.</w:t>
            </w:r>
          </w:p>
        </w:tc>
        <w:tc>
          <w:tcPr>
            <w:tcW w:w="3798" w:type="dxa"/>
            <w:tcBorders>
              <w:top w:val="nil"/>
              <w:left w:val="nil"/>
              <w:bottom w:val="nil"/>
              <w:right w:val="single" w:sz="4" w:space="0" w:color="000000"/>
            </w:tcBorders>
            <w:shd w:val="clear" w:color="000000" w:fill="FFFFFF"/>
            <w:hideMark/>
          </w:tcPr>
          <w:p w14:paraId="201107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Adelantar la inscripción de las candidaturas para juntas administradores locales.</w:t>
            </w:r>
          </w:p>
        </w:tc>
        <w:tc>
          <w:tcPr>
            <w:tcW w:w="1480" w:type="dxa"/>
            <w:tcBorders>
              <w:top w:val="nil"/>
              <w:left w:val="nil"/>
              <w:bottom w:val="nil"/>
              <w:right w:val="single" w:sz="4" w:space="0" w:color="000000"/>
            </w:tcBorders>
            <w:shd w:val="clear" w:color="000000" w:fill="FFFFFF"/>
            <w:hideMark/>
          </w:tcPr>
          <w:p w14:paraId="4850485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4EC73B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5E88A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Ejecutar la póliza de seriedad de la candidatura de los grupos significativos de ciudadanos inscritos en su circunscripción. </w:t>
            </w:r>
          </w:p>
        </w:tc>
        <w:tc>
          <w:tcPr>
            <w:tcW w:w="3798" w:type="dxa"/>
            <w:tcBorders>
              <w:top w:val="nil"/>
              <w:left w:val="nil"/>
              <w:bottom w:val="nil"/>
              <w:right w:val="single" w:sz="4" w:space="0" w:color="000000"/>
            </w:tcBorders>
            <w:shd w:val="clear" w:color="000000" w:fill="FFFFFF"/>
            <w:hideMark/>
          </w:tcPr>
          <w:p w14:paraId="351B0E7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Ejecutar la póliza de seriedad de la candidatura de los grupos significativos de ciudadanos inscritos en su circunscripción.</w:t>
            </w:r>
          </w:p>
        </w:tc>
        <w:tc>
          <w:tcPr>
            <w:tcW w:w="3798" w:type="dxa"/>
            <w:tcBorders>
              <w:top w:val="nil"/>
              <w:left w:val="nil"/>
              <w:bottom w:val="nil"/>
              <w:right w:val="single" w:sz="4" w:space="0" w:color="000000"/>
            </w:tcBorders>
            <w:shd w:val="clear" w:color="000000" w:fill="FFFFFF"/>
            <w:hideMark/>
          </w:tcPr>
          <w:p w14:paraId="6A06CC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Ejecutar la póliza de seriedad de la candidatura de los grupos significativos de ciudadanos inscritos en su circunscripción.</w:t>
            </w:r>
          </w:p>
        </w:tc>
        <w:tc>
          <w:tcPr>
            <w:tcW w:w="1480" w:type="dxa"/>
            <w:tcBorders>
              <w:top w:val="nil"/>
              <w:left w:val="nil"/>
              <w:bottom w:val="nil"/>
              <w:right w:val="single" w:sz="4" w:space="0" w:color="000000"/>
            </w:tcBorders>
            <w:shd w:val="clear" w:color="000000" w:fill="FFFFFF"/>
            <w:hideMark/>
          </w:tcPr>
          <w:p w14:paraId="21D1490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4A9051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E20980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Actuar como secretario de la comisión escrutadora. </w:t>
            </w:r>
          </w:p>
        </w:tc>
        <w:tc>
          <w:tcPr>
            <w:tcW w:w="3798" w:type="dxa"/>
            <w:tcBorders>
              <w:top w:val="nil"/>
              <w:left w:val="nil"/>
              <w:bottom w:val="nil"/>
              <w:right w:val="single" w:sz="4" w:space="0" w:color="000000"/>
            </w:tcBorders>
            <w:shd w:val="clear" w:color="000000" w:fill="FFFFFF"/>
            <w:hideMark/>
          </w:tcPr>
          <w:p w14:paraId="3374853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Actuar como secretario de la comisión escrutadora.</w:t>
            </w:r>
          </w:p>
        </w:tc>
        <w:tc>
          <w:tcPr>
            <w:tcW w:w="3798" w:type="dxa"/>
            <w:tcBorders>
              <w:top w:val="nil"/>
              <w:left w:val="nil"/>
              <w:bottom w:val="nil"/>
              <w:right w:val="single" w:sz="4" w:space="0" w:color="000000"/>
            </w:tcBorders>
            <w:shd w:val="clear" w:color="000000" w:fill="FFFFFF"/>
            <w:hideMark/>
          </w:tcPr>
          <w:p w14:paraId="1827EF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Actuar como secretario de la comisión escrutadora.</w:t>
            </w:r>
          </w:p>
        </w:tc>
        <w:tc>
          <w:tcPr>
            <w:tcW w:w="1480" w:type="dxa"/>
            <w:tcBorders>
              <w:top w:val="nil"/>
              <w:left w:val="nil"/>
              <w:bottom w:val="nil"/>
              <w:right w:val="single" w:sz="4" w:space="0" w:color="000000"/>
            </w:tcBorders>
            <w:shd w:val="clear" w:color="000000" w:fill="FFFFFF"/>
            <w:hideMark/>
          </w:tcPr>
          <w:p w14:paraId="4F2049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81F3D9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333F4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Conducir y entregar personalmente al registrador distrital, especial o municipal, según sea el caso, los documentos que las comisiones escrutadoras hayan tenido presentes y las actas de escrutinio levantadas por estas. </w:t>
            </w:r>
          </w:p>
        </w:tc>
        <w:tc>
          <w:tcPr>
            <w:tcW w:w="3798" w:type="dxa"/>
            <w:tcBorders>
              <w:top w:val="nil"/>
              <w:left w:val="nil"/>
              <w:bottom w:val="nil"/>
              <w:right w:val="single" w:sz="4" w:space="0" w:color="000000"/>
            </w:tcBorders>
            <w:shd w:val="clear" w:color="000000" w:fill="FFFFFF"/>
            <w:hideMark/>
          </w:tcPr>
          <w:p w14:paraId="7B36D8F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Conducir y entregar personalmente al registrador distrital, especial o municipal, según sea el caso, los documentos que las comisiones escrutadoras hayan tenido presentes y las actas de escrutinio levantadas por estas.</w:t>
            </w:r>
          </w:p>
        </w:tc>
        <w:tc>
          <w:tcPr>
            <w:tcW w:w="3798" w:type="dxa"/>
            <w:tcBorders>
              <w:top w:val="nil"/>
              <w:left w:val="nil"/>
              <w:bottom w:val="nil"/>
              <w:right w:val="single" w:sz="4" w:space="0" w:color="000000"/>
            </w:tcBorders>
            <w:shd w:val="clear" w:color="000000" w:fill="FFFFFF"/>
            <w:hideMark/>
          </w:tcPr>
          <w:p w14:paraId="022E641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Conducir y entregar personalmente al registrador distrital, especial o municipal, según sea el caso, los documentos que las comisiones escrutadoras hayan tenido presentes y las actas de escrutinio levantadas por estas.</w:t>
            </w:r>
          </w:p>
        </w:tc>
        <w:tc>
          <w:tcPr>
            <w:tcW w:w="1480" w:type="dxa"/>
            <w:tcBorders>
              <w:top w:val="nil"/>
              <w:left w:val="nil"/>
              <w:bottom w:val="nil"/>
              <w:right w:val="single" w:sz="4" w:space="0" w:color="000000"/>
            </w:tcBorders>
            <w:shd w:val="clear" w:color="000000" w:fill="FFFFFF"/>
            <w:hideMark/>
          </w:tcPr>
          <w:p w14:paraId="48C351A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DCB012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18AD2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Las demás que les asigne la ley, el registrador Nacional del Estado Civil y el delegado seccional. </w:t>
            </w:r>
          </w:p>
        </w:tc>
        <w:tc>
          <w:tcPr>
            <w:tcW w:w="3798" w:type="dxa"/>
            <w:tcBorders>
              <w:top w:val="nil"/>
              <w:left w:val="nil"/>
              <w:bottom w:val="nil"/>
              <w:right w:val="single" w:sz="4" w:space="0" w:color="000000"/>
            </w:tcBorders>
            <w:shd w:val="clear" w:color="000000" w:fill="FFFFFF"/>
            <w:hideMark/>
          </w:tcPr>
          <w:p w14:paraId="35AFC507" w14:textId="77777777" w:rsidR="00222F34" w:rsidRPr="00222F34" w:rsidRDefault="00222F34" w:rsidP="00222F34">
            <w:pPr>
              <w:widowControl/>
              <w:autoSpaceDE/>
              <w:autoSpaceDN/>
              <w:jc w:val="left"/>
              <w:rPr>
                <w:rFonts w:ascii="Calibri" w:eastAsia="Times New Roman" w:hAnsi="Calibri" w:cs="Calibri"/>
                <w:lang w:val="es-CO" w:eastAsia="es-CO" w:bidi="ar-SA"/>
              </w:rPr>
            </w:pPr>
            <w:r w:rsidRPr="00222F34">
              <w:rPr>
                <w:rFonts w:ascii="Calibri" w:eastAsia="Times New Roman" w:hAnsi="Calibri" w:cs="Calibri"/>
                <w:lang w:val="es-CO" w:eastAsia="es-CO" w:bidi="ar-SA"/>
              </w:rPr>
              <w:t>h. Las demás que les asigne la ley, el registrador Nacional del Estado Civil y el delegado seccional. Registrador departamental.</w:t>
            </w:r>
          </w:p>
        </w:tc>
        <w:tc>
          <w:tcPr>
            <w:tcW w:w="3798" w:type="dxa"/>
            <w:tcBorders>
              <w:top w:val="nil"/>
              <w:left w:val="nil"/>
              <w:bottom w:val="nil"/>
              <w:right w:val="single" w:sz="4" w:space="0" w:color="000000"/>
            </w:tcBorders>
            <w:shd w:val="clear" w:color="000000" w:fill="FFFFFF"/>
            <w:hideMark/>
          </w:tcPr>
          <w:p w14:paraId="33265BBC" w14:textId="77777777" w:rsidR="00222F34" w:rsidRPr="00222F34" w:rsidRDefault="00222F34" w:rsidP="00222F34">
            <w:pPr>
              <w:widowControl/>
              <w:autoSpaceDE/>
              <w:autoSpaceDN/>
              <w:jc w:val="left"/>
              <w:rPr>
                <w:rFonts w:ascii="Calibri" w:eastAsia="Times New Roman" w:hAnsi="Calibri" w:cs="Calibri"/>
                <w:lang w:val="es-CO" w:eastAsia="es-CO" w:bidi="ar-SA"/>
              </w:rPr>
            </w:pPr>
            <w:r w:rsidRPr="00222F34">
              <w:rPr>
                <w:rFonts w:ascii="Calibri" w:eastAsia="Times New Roman" w:hAnsi="Calibri" w:cs="Calibri"/>
                <w:lang w:val="es-CO" w:eastAsia="es-CO" w:bidi="ar-SA"/>
              </w:rPr>
              <w:t>h. Las demás que les asigne la ley, el registrador Nacional del Estado Civil</w:t>
            </w:r>
            <w:r w:rsidRPr="00222F34">
              <w:rPr>
                <w:rFonts w:ascii="Calibri" w:eastAsia="Times New Roman" w:hAnsi="Calibri" w:cs="Calibri"/>
                <w:b/>
                <w:bCs/>
                <w:u w:val="single"/>
                <w:lang w:val="es-CO" w:eastAsia="es-CO" w:bidi="ar-SA"/>
              </w:rPr>
              <w:t>, el Registrador Departamental</w:t>
            </w:r>
            <w:r w:rsidRPr="00222F34">
              <w:rPr>
                <w:rFonts w:ascii="Calibri" w:eastAsia="Times New Roman" w:hAnsi="Calibri" w:cs="Calibri"/>
                <w:lang w:val="es-CO" w:eastAsia="es-CO" w:bidi="ar-SA"/>
              </w:rPr>
              <w:t xml:space="preserve"> y el delegado seccional. </w:t>
            </w:r>
            <w:r w:rsidRPr="00222F34">
              <w:rPr>
                <w:rFonts w:ascii="Calibri" w:eastAsia="Times New Roman" w:hAnsi="Calibri" w:cs="Calibri"/>
                <w:strike/>
                <w:lang w:val="es-CO" w:eastAsia="es-CO" w:bidi="ar-SA"/>
              </w:rPr>
              <w:t>Registrador departamental</w:t>
            </w:r>
            <w:r w:rsidRPr="00222F34">
              <w:rPr>
                <w:rFonts w:ascii="Calibri" w:eastAsia="Times New Roman" w:hAnsi="Calibri" w:cs="Calibri"/>
                <w:lang w:val="es-CO" w:eastAsia="es-CO" w:bidi="ar-SA"/>
              </w:rPr>
              <w:t>.</w:t>
            </w:r>
          </w:p>
        </w:tc>
        <w:tc>
          <w:tcPr>
            <w:tcW w:w="1480" w:type="dxa"/>
            <w:tcBorders>
              <w:top w:val="nil"/>
              <w:left w:val="nil"/>
              <w:bottom w:val="nil"/>
              <w:right w:val="single" w:sz="4" w:space="0" w:color="000000"/>
            </w:tcBorders>
            <w:shd w:val="clear" w:color="000000" w:fill="FFFFFF"/>
            <w:hideMark/>
          </w:tcPr>
          <w:p w14:paraId="619A0B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FA3460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FF885B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 Registro del estado civil e identificación: </w:t>
            </w:r>
          </w:p>
        </w:tc>
        <w:tc>
          <w:tcPr>
            <w:tcW w:w="3798" w:type="dxa"/>
            <w:tcBorders>
              <w:top w:val="nil"/>
              <w:left w:val="nil"/>
              <w:bottom w:val="nil"/>
              <w:right w:val="single" w:sz="4" w:space="0" w:color="000000"/>
            </w:tcBorders>
            <w:shd w:val="clear" w:color="000000" w:fill="FFFFFF"/>
            <w:hideMark/>
          </w:tcPr>
          <w:p w14:paraId="1C2DC4A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Registro del estado civil e identificación:</w:t>
            </w:r>
          </w:p>
        </w:tc>
        <w:tc>
          <w:tcPr>
            <w:tcW w:w="3798" w:type="dxa"/>
            <w:tcBorders>
              <w:top w:val="nil"/>
              <w:left w:val="nil"/>
              <w:bottom w:val="nil"/>
              <w:right w:val="single" w:sz="4" w:space="0" w:color="000000"/>
            </w:tcBorders>
            <w:shd w:val="clear" w:color="000000" w:fill="FFFFFF"/>
            <w:hideMark/>
          </w:tcPr>
          <w:p w14:paraId="22DCE22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Registro del estado civil e identificación:</w:t>
            </w:r>
          </w:p>
        </w:tc>
        <w:tc>
          <w:tcPr>
            <w:tcW w:w="1480" w:type="dxa"/>
            <w:tcBorders>
              <w:top w:val="nil"/>
              <w:left w:val="nil"/>
              <w:bottom w:val="nil"/>
              <w:right w:val="single" w:sz="4" w:space="0" w:color="000000"/>
            </w:tcBorders>
            <w:shd w:val="clear" w:color="000000" w:fill="FFFFFF"/>
            <w:hideMark/>
          </w:tcPr>
          <w:p w14:paraId="0EDBC1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41AEF8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5C225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Prestar de manera oportuna y correcta el servicio de registro civil e identificación, remitir y actualizar oportunamente la información en los Sistemas de Registro Civil y Archivo Nacional de Identificación. </w:t>
            </w:r>
          </w:p>
        </w:tc>
        <w:tc>
          <w:tcPr>
            <w:tcW w:w="3798" w:type="dxa"/>
            <w:tcBorders>
              <w:top w:val="nil"/>
              <w:left w:val="nil"/>
              <w:bottom w:val="nil"/>
              <w:right w:val="single" w:sz="4" w:space="0" w:color="000000"/>
            </w:tcBorders>
            <w:shd w:val="clear" w:color="000000" w:fill="FFFFFF"/>
            <w:hideMark/>
          </w:tcPr>
          <w:p w14:paraId="1413570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Prestar de manera oportuna y correcta el servicio de registro civil e identificación, remitir y actualizar oportunamente la información en los Sistemas de Registro Civil y Archivo Nacional de Identificación.</w:t>
            </w:r>
          </w:p>
        </w:tc>
        <w:tc>
          <w:tcPr>
            <w:tcW w:w="3798" w:type="dxa"/>
            <w:tcBorders>
              <w:top w:val="nil"/>
              <w:left w:val="nil"/>
              <w:bottom w:val="nil"/>
              <w:right w:val="single" w:sz="4" w:space="0" w:color="000000"/>
            </w:tcBorders>
            <w:shd w:val="clear" w:color="000000" w:fill="FFFFFF"/>
            <w:hideMark/>
          </w:tcPr>
          <w:p w14:paraId="44FDBCE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Prestar de manera oportuna y correcta el servicio de registro civil e identificación, remitir y actualizar oportunamente la información en los Sistemas de Registro Civil y Archivo Nacional de Identificación.</w:t>
            </w:r>
          </w:p>
        </w:tc>
        <w:tc>
          <w:tcPr>
            <w:tcW w:w="1480" w:type="dxa"/>
            <w:tcBorders>
              <w:top w:val="nil"/>
              <w:left w:val="nil"/>
              <w:bottom w:val="nil"/>
              <w:right w:val="single" w:sz="4" w:space="0" w:color="000000"/>
            </w:tcBorders>
            <w:shd w:val="clear" w:color="000000" w:fill="FFFFFF"/>
            <w:hideMark/>
          </w:tcPr>
          <w:p w14:paraId="554571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37755F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862DE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b. Realizar las inscripciones de todos los hechos, los actos y las providencias relacionados con el estado civil de las personas, de acuerdo con la ley y los lineamientos de la entidad. </w:t>
            </w:r>
          </w:p>
        </w:tc>
        <w:tc>
          <w:tcPr>
            <w:tcW w:w="3798" w:type="dxa"/>
            <w:tcBorders>
              <w:top w:val="nil"/>
              <w:left w:val="nil"/>
              <w:bottom w:val="nil"/>
              <w:right w:val="single" w:sz="4" w:space="0" w:color="000000"/>
            </w:tcBorders>
            <w:shd w:val="clear" w:color="000000" w:fill="FFFFFF"/>
            <w:hideMark/>
          </w:tcPr>
          <w:p w14:paraId="040C843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Realizar las inscripciones de todos los hechos, los actos y las providencias relacionados con el estado civil de las personas, de acuerdo con la ley y los lineamientos de la entidad.</w:t>
            </w:r>
          </w:p>
        </w:tc>
        <w:tc>
          <w:tcPr>
            <w:tcW w:w="3798" w:type="dxa"/>
            <w:tcBorders>
              <w:top w:val="nil"/>
              <w:left w:val="nil"/>
              <w:bottom w:val="nil"/>
              <w:right w:val="single" w:sz="4" w:space="0" w:color="000000"/>
            </w:tcBorders>
            <w:shd w:val="clear" w:color="000000" w:fill="FFFFFF"/>
            <w:hideMark/>
          </w:tcPr>
          <w:p w14:paraId="6F3870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Realizar las inscripciones de todos los hechos, los actos y las providencias relacionados con el estado civil de las personas, de acuerdo con la ley y los lineamientos de la entidad.</w:t>
            </w:r>
          </w:p>
        </w:tc>
        <w:tc>
          <w:tcPr>
            <w:tcW w:w="1480" w:type="dxa"/>
            <w:tcBorders>
              <w:top w:val="nil"/>
              <w:left w:val="nil"/>
              <w:bottom w:val="nil"/>
              <w:right w:val="single" w:sz="4" w:space="0" w:color="000000"/>
            </w:tcBorders>
            <w:shd w:val="clear" w:color="000000" w:fill="FFFFFF"/>
            <w:hideMark/>
          </w:tcPr>
          <w:p w14:paraId="633215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6064D6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429815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Preparar y acreditar el enrolamiento de los datos de identificación para la preparación y expedición de los documentos de identificación. </w:t>
            </w:r>
          </w:p>
        </w:tc>
        <w:tc>
          <w:tcPr>
            <w:tcW w:w="3798" w:type="dxa"/>
            <w:tcBorders>
              <w:top w:val="nil"/>
              <w:left w:val="nil"/>
              <w:bottom w:val="nil"/>
              <w:right w:val="single" w:sz="4" w:space="0" w:color="000000"/>
            </w:tcBorders>
            <w:shd w:val="clear" w:color="000000" w:fill="FFFFFF"/>
            <w:hideMark/>
          </w:tcPr>
          <w:p w14:paraId="2754425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Preparar y acreditar el enrolamiento de los datos de identificación para la preparación y expedición de los documentos de identificación.</w:t>
            </w:r>
          </w:p>
        </w:tc>
        <w:tc>
          <w:tcPr>
            <w:tcW w:w="3798" w:type="dxa"/>
            <w:tcBorders>
              <w:top w:val="nil"/>
              <w:left w:val="nil"/>
              <w:bottom w:val="nil"/>
              <w:right w:val="single" w:sz="4" w:space="0" w:color="000000"/>
            </w:tcBorders>
            <w:shd w:val="clear" w:color="000000" w:fill="FFFFFF"/>
            <w:hideMark/>
          </w:tcPr>
          <w:p w14:paraId="668306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Preparar y acreditar el enrolamiento de los datos de identificación para la preparación y expedición de los documentos de identificación.</w:t>
            </w:r>
          </w:p>
        </w:tc>
        <w:tc>
          <w:tcPr>
            <w:tcW w:w="1480" w:type="dxa"/>
            <w:tcBorders>
              <w:top w:val="nil"/>
              <w:left w:val="nil"/>
              <w:bottom w:val="nil"/>
              <w:right w:val="single" w:sz="4" w:space="0" w:color="000000"/>
            </w:tcBorders>
            <w:shd w:val="clear" w:color="000000" w:fill="FFFFFF"/>
            <w:hideMark/>
          </w:tcPr>
          <w:p w14:paraId="4BAA0EC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EF8616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AD513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Colaborar en las campañas del registro civil e identificación, cuando corresponda. </w:t>
            </w:r>
          </w:p>
        </w:tc>
        <w:tc>
          <w:tcPr>
            <w:tcW w:w="3798" w:type="dxa"/>
            <w:tcBorders>
              <w:top w:val="nil"/>
              <w:left w:val="nil"/>
              <w:bottom w:val="nil"/>
              <w:right w:val="single" w:sz="4" w:space="0" w:color="000000"/>
            </w:tcBorders>
            <w:shd w:val="clear" w:color="000000" w:fill="FFFFFF"/>
            <w:hideMark/>
          </w:tcPr>
          <w:p w14:paraId="6B5E064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Colaborar en las campañas del registro civil e identificación, cuando corresponda.</w:t>
            </w:r>
          </w:p>
        </w:tc>
        <w:tc>
          <w:tcPr>
            <w:tcW w:w="3798" w:type="dxa"/>
            <w:tcBorders>
              <w:top w:val="nil"/>
              <w:left w:val="nil"/>
              <w:bottom w:val="nil"/>
              <w:right w:val="single" w:sz="4" w:space="0" w:color="000000"/>
            </w:tcBorders>
            <w:shd w:val="clear" w:color="000000" w:fill="FFFFFF"/>
            <w:hideMark/>
          </w:tcPr>
          <w:p w14:paraId="1124FF3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Colaborar en las campañas del registro civil e identificación, cuando corresponda.</w:t>
            </w:r>
          </w:p>
        </w:tc>
        <w:tc>
          <w:tcPr>
            <w:tcW w:w="1480" w:type="dxa"/>
            <w:tcBorders>
              <w:top w:val="nil"/>
              <w:left w:val="nil"/>
              <w:bottom w:val="nil"/>
              <w:right w:val="single" w:sz="4" w:space="0" w:color="000000"/>
            </w:tcBorders>
            <w:shd w:val="clear" w:color="000000" w:fill="FFFFFF"/>
            <w:hideMark/>
          </w:tcPr>
          <w:p w14:paraId="535F6D7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36A478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9BE669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Presentar al delegado seccional en registro civil e identificación, durante los cinco (5) primeros días de cada mes, el informe de producción. </w:t>
            </w:r>
          </w:p>
        </w:tc>
        <w:tc>
          <w:tcPr>
            <w:tcW w:w="3798" w:type="dxa"/>
            <w:tcBorders>
              <w:top w:val="nil"/>
              <w:left w:val="nil"/>
              <w:bottom w:val="nil"/>
              <w:right w:val="single" w:sz="4" w:space="0" w:color="000000"/>
            </w:tcBorders>
            <w:shd w:val="clear" w:color="000000" w:fill="FFFFFF"/>
            <w:hideMark/>
          </w:tcPr>
          <w:p w14:paraId="4872A07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Presentar al delegado seccional en registro civil e identificación, durante los cinco</w:t>
            </w:r>
            <w:r w:rsidRPr="00222F34">
              <w:rPr>
                <w:rFonts w:ascii="Calibri" w:eastAsia="Times New Roman" w:hAnsi="Calibri" w:cs="Calibri"/>
                <w:color w:val="000000"/>
                <w:lang w:val="es-CO" w:eastAsia="es-CO" w:bidi="ar-SA"/>
              </w:rPr>
              <w:br/>
              <w:t>(5) primeros días de cada mes, el informe de producción.</w:t>
            </w:r>
          </w:p>
        </w:tc>
        <w:tc>
          <w:tcPr>
            <w:tcW w:w="3798" w:type="dxa"/>
            <w:tcBorders>
              <w:top w:val="nil"/>
              <w:left w:val="nil"/>
              <w:bottom w:val="nil"/>
              <w:right w:val="single" w:sz="4" w:space="0" w:color="000000"/>
            </w:tcBorders>
            <w:shd w:val="clear" w:color="000000" w:fill="FFFFFF"/>
            <w:hideMark/>
          </w:tcPr>
          <w:p w14:paraId="70821D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Presentar al delegado seccional en registro civil e identificación, durante los cinco</w:t>
            </w:r>
            <w:r w:rsidRPr="00222F34">
              <w:rPr>
                <w:rFonts w:ascii="Calibri" w:eastAsia="Times New Roman" w:hAnsi="Calibri" w:cs="Calibri"/>
                <w:color w:val="000000"/>
                <w:lang w:val="es-CO" w:eastAsia="es-CO" w:bidi="ar-SA"/>
              </w:rPr>
              <w:br/>
              <w:t>(5) primeros días de cada mes, el informe de producción.</w:t>
            </w:r>
          </w:p>
        </w:tc>
        <w:tc>
          <w:tcPr>
            <w:tcW w:w="1480" w:type="dxa"/>
            <w:tcBorders>
              <w:top w:val="nil"/>
              <w:left w:val="nil"/>
              <w:bottom w:val="nil"/>
              <w:right w:val="single" w:sz="4" w:space="0" w:color="000000"/>
            </w:tcBorders>
            <w:shd w:val="clear" w:color="000000" w:fill="FFFFFF"/>
            <w:hideMark/>
          </w:tcPr>
          <w:p w14:paraId="4AAC69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120001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F45F5B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3798" w:type="dxa"/>
            <w:tcBorders>
              <w:top w:val="nil"/>
              <w:left w:val="nil"/>
              <w:bottom w:val="nil"/>
              <w:right w:val="single" w:sz="4" w:space="0" w:color="000000"/>
            </w:tcBorders>
            <w:shd w:val="clear" w:color="000000" w:fill="FFFFFF"/>
            <w:hideMark/>
          </w:tcPr>
          <w:p w14:paraId="29F0E6E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3798" w:type="dxa"/>
            <w:tcBorders>
              <w:top w:val="nil"/>
              <w:left w:val="nil"/>
              <w:bottom w:val="nil"/>
              <w:right w:val="single" w:sz="4" w:space="0" w:color="000000"/>
            </w:tcBorders>
            <w:shd w:val="clear" w:color="000000" w:fill="FFFFFF"/>
            <w:hideMark/>
          </w:tcPr>
          <w:p w14:paraId="19D793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tc>
        <w:tc>
          <w:tcPr>
            <w:tcW w:w="1480" w:type="dxa"/>
            <w:tcBorders>
              <w:top w:val="nil"/>
              <w:left w:val="nil"/>
              <w:bottom w:val="nil"/>
              <w:right w:val="single" w:sz="4" w:space="0" w:color="000000"/>
            </w:tcBorders>
            <w:shd w:val="clear" w:color="000000" w:fill="FFFFFF"/>
            <w:hideMark/>
          </w:tcPr>
          <w:p w14:paraId="7E2F215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79B353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3B076C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Disponer la preparación de cédulas y tarjetas de identidad, atender las solicitudes de duplicados, rectificaciones, correcciones, renovaciones, impugnaciones y cancelaciones de esos documentos. </w:t>
            </w:r>
          </w:p>
        </w:tc>
        <w:tc>
          <w:tcPr>
            <w:tcW w:w="3798" w:type="dxa"/>
            <w:tcBorders>
              <w:top w:val="nil"/>
              <w:left w:val="nil"/>
              <w:bottom w:val="nil"/>
              <w:right w:val="single" w:sz="4" w:space="0" w:color="000000"/>
            </w:tcBorders>
            <w:shd w:val="clear" w:color="000000" w:fill="FFFFFF"/>
            <w:hideMark/>
          </w:tcPr>
          <w:p w14:paraId="53C8A27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Disponer la preparación de cédulas y tarjetas de identidad, atender las solicitudes de duplicados, rectificaciones, correcciones, renovaciones, impugnaciones y cancelaciones de esos documentos.</w:t>
            </w:r>
          </w:p>
        </w:tc>
        <w:tc>
          <w:tcPr>
            <w:tcW w:w="3798" w:type="dxa"/>
            <w:tcBorders>
              <w:top w:val="nil"/>
              <w:left w:val="nil"/>
              <w:bottom w:val="nil"/>
              <w:right w:val="single" w:sz="4" w:space="0" w:color="000000"/>
            </w:tcBorders>
            <w:shd w:val="clear" w:color="000000" w:fill="FFFFFF"/>
            <w:hideMark/>
          </w:tcPr>
          <w:p w14:paraId="530D1B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Disponer la preparación de cédulas y tarjetas de identidad, atender las solicitudes de duplicados, rectificaciones, correcciones, renovaciones, impugnaciones y cancelaciones de esos documentos.</w:t>
            </w:r>
          </w:p>
        </w:tc>
        <w:tc>
          <w:tcPr>
            <w:tcW w:w="1480" w:type="dxa"/>
            <w:tcBorders>
              <w:top w:val="nil"/>
              <w:left w:val="nil"/>
              <w:bottom w:val="nil"/>
              <w:right w:val="single" w:sz="4" w:space="0" w:color="000000"/>
            </w:tcBorders>
            <w:shd w:val="clear" w:color="000000" w:fill="FFFFFF"/>
            <w:hideMark/>
          </w:tcPr>
          <w:p w14:paraId="38F7058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93179D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854D1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h. Participar en los comités municipales de estadísticas vitales. </w:t>
            </w:r>
          </w:p>
        </w:tc>
        <w:tc>
          <w:tcPr>
            <w:tcW w:w="3798" w:type="dxa"/>
            <w:tcBorders>
              <w:top w:val="nil"/>
              <w:left w:val="nil"/>
              <w:bottom w:val="nil"/>
              <w:right w:val="single" w:sz="4" w:space="0" w:color="000000"/>
            </w:tcBorders>
            <w:shd w:val="clear" w:color="000000" w:fill="FFFFFF"/>
            <w:hideMark/>
          </w:tcPr>
          <w:p w14:paraId="08FE8B2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Participar en los comités municipales de estadísticas vitales.</w:t>
            </w:r>
          </w:p>
        </w:tc>
        <w:tc>
          <w:tcPr>
            <w:tcW w:w="3798" w:type="dxa"/>
            <w:tcBorders>
              <w:top w:val="nil"/>
              <w:left w:val="nil"/>
              <w:bottom w:val="nil"/>
              <w:right w:val="single" w:sz="4" w:space="0" w:color="000000"/>
            </w:tcBorders>
            <w:shd w:val="clear" w:color="000000" w:fill="FFFFFF"/>
            <w:hideMark/>
          </w:tcPr>
          <w:p w14:paraId="282C8AE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Participar en los comités municipales de estadísticas vitales.</w:t>
            </w:r>
          </w:p>
        </w:tc>
        <w:tc>
          <w:tcPr>
            <w:tcW w:w="1480" w:type="dxa"/>
            <w:tcBorders>
              <w:top w:val="nil"/>
              <w:left w:val="nil"/>
              <w:bottom w:val="nil"/>
              <w:right w:val="single" w:sz="4" w:space="0" w:color="000000"/>
            </w:tcBorders>
            <w:shd w:val="clear" w:color="000000" w:fill="FFFFFF"/>
            <w:hideMark/>
          </w:tcPr>
          <w:p w14:paraId="4FD92A1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004460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A1C2F1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Promover el uso de los servicios digitales establecidos por la entidad. </w:t>
            </w:r>
          </w:p>
        </w:tc>
        <w:tc>
          <w:tcPr>
            <w:tcW w:w="3798" w:type="dxa"/>
            <w:tcBorders>
              <w:top w:val="nil"/>
              <w:left w:val="nil"/>
              <w:bottom w:val="nil"/>
              <w:right w:val="single" w:sz="4" w:space="0" w:color="000000"/>
            </w:tcBorders>
            <w:shd w:val="clear" w:color="000000" w:fill="FFFFFF"/>
            <w:hideMark/>
          </w:tcPr>
          <w:p w14:paraId="0647FE4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Promover el uso de los servicios digitales establecidos por la entidad.</w:t>
            </w:r>
          </w:p>
        </w:tc>
        <w:tc>
          <w:tcPr>
            <w:tcW w:w="3798" w:type="dxa"/>
            <w:tcBorders>
              <w:top w:val="nil"/>
              <w:left w:val="nil"/>
              <w:bottom w:val="nil"/>
              <w:right w:val="single" w:sz="4" w:space="0" w:color="000000"/>
            </w:tcBorders>
            <w:shd w:val="clear" w:color="000000" w:fill="FFFFFF"/>
            <w:hideMark/>
          </w:tcPr>
          <w:p w14:paraId="12F2604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Promover el uso de los servicios digitales establecidos por la entidad.</w:t>
            </w:r>
          </w:p>
        </w:tc>
        <w:tc>
          <w:tcPr>
            <w:tcW w:w="1480" w:type="dxa"/>
            <w:tcBorders>
              <w:top w:val="nil"/>
              <w:left w:val="nil"/>
              <w:bottom w:val="nil"/>
              <w:right w:val="single" w:sz="4" w:space="0" w:color="000000"/>
            </w:tcBorders>
            <w:shd w:val="clear" w:color="000000" w:fill="FFFFFF"/>
            <w:hideMark/>
          </w:tcPr>
          <w:p w14:paraId="77645B0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0A85F0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F0030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j. Las demás que les asigne la ley, el registrador Nacional del Estado Civil y el delegado seccional. </w:t>
            </w:r>
          </w:p>
        </w:tc>
        <w:tc>
          <w:tcPr>
            <w:tcW w:w="3798" w:type="dxa"/>
            <w:tcBorders>
              <w:top w:val="nil"/>
              <w:left w:val="nil"/>
              <w:bottom w:val="nil"/>
              <w:right w:val="single" w:sz="4" w:space="0" w:color="000000"/>
            </w:tcBorders>
            <w:shd w:val="clear" w:color="000000" w:fill="FFFFFF"/>
            <w:hideMark/>
          </w:tcPr>
          <w:p w14:paraId="6563888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el Registrador departamental.</w:t>
            </w:r>
          </w:p>
        </w:tc>
        <w:tc>
          <w:tcPr>
            <w:tcW w:w="3798" w:type="dxa"/>
            <w:tcBorders>
              <w:top w:val="nil"/>
              <w:left w:val="nil"/>
              <w:bottom w:val="nil"/>
              <w:right w:val="single" w:sz="4" w:space="0" w:color="000000"/>
            </w:tcBorders>
            <w:shd w:val="clear" w:color="000000" w:fill="FFFFFF"/>
            <w:hideMark/>
          </w:tcPr>
          <w:p w14:paraId="3679E5E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el Registrador departamental.</w:t>
            </w:r>
          </w:p>
        </w:tc>
        <w:tc>
          <w:tcPr>
            <w:tcW w:w="1480" w:type="dxa"/>
            <w:tcBorders>
              <w:top w:val="nil"/>
              <w:left w:val="nil"/>
              <w:bottom w:val="nil"/>
              <w:right w:val="single" w:sz="4" w:space="0" w:color="000000"/>
            </w:tcBorders>
            <w:shd w:val="clear" w:color="000000" w:fill="FFFFFF"/>
            <w:hideMark/>
          </w:tcPr>
          <w:p w14:paraId="7D76C67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CEB078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652785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3. Otras funciones: </w:t>
            </w:r>
          </w:p>
        </w:tc>
        <w:tc>
          <w:tcPr>
            <w:tcW w:w="3798" w:type="dxa"/>
            <w:tcBorders>
              <w:top w:val="nil"/>
              <w:left w:val="nil"/>
              <w:bottom w:val="nil"/>
              <w:right w:val="single" w:sz="4" w:space="0" w:color="000000"/>
            </w:tcBorders>
            <w:shd w:val="clear" w:color="000000" w:fill="FFFFFF"/>
            <w:hideMark/>
          </w:tcPr>
          <w:p w14:paraId="04E08C6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3. Otras funciones:</w:t>
            </w:r>
          </w:p>
        </w:tc>
        <w:tc>
          <w:tcPr>
            <w:tcW w:w="3798" w:type="dxa"/>
            <w:tcBorders>
              <w:top w:val="nil"/>
              <w:left w:val="nil"/>
              <w:bottom w:val="nil"/>
              <w:right w:val="single" w:sz="4" w:space="0" w:color="000000"/>
            </w:tcBorders>
            <w:shd w:val="clear" w:color="000000" w:fill="FFFFFF"/>
            <w:hideMark/>
          </w:tcPr>
          <w:p w14:paraId="35775EF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3. Otras funciones:</w:t>
            </w:r>
          </w:p>
        </w:tc>
        <w:tc>
          <w:tcPr>
            <w:tcW w:w="1480" w:type="dxa"/>
            <w:tcBorders>
              <w:top w:val="nil"/>
              <w:left w:val="nil"/>
              <w:bottom w:val="nil"/>
              <w:right w:val="single" w:sz="4" w:space="0" w:color="000000"/>
            </w:tcBorders>
            <w:shd w:val="clear" w:color="000000" w:fill="FFFFFF"/>
            <w:hideMark/>
          </w:tcPr>
          <w:p w14:paraId="3F82831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95BB89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F8BC2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Recibir y entregar bajo inventario los elementos de oficina. </w:t>
            </w:r>
          </w:p>
        </w:tc>
        <w:tc>
          <w:tcPr>
            <w:tcW w:w="3798" w:type="dxa"/>
            <w:tcBorders>
              <w:top w:val="nil"/>
              <w:left w:val="nil"/>
              <w:bottom w:val="nil"/>
              <w:right w:val="single" w:sz="4" w:space="0" w:color="000000"/>
            </w:tcBorders>
            <w:shd w:val="clear" w:color="000000" w:fill="FFFFFF"/>
            <w:hideMark/>
          </w:tcPr>
          <w:p w14:paraId="1F9F11B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Recibir y entregar bajo inventario los elementos de oficina.</w:t>
            </w:r>
          </w:p>
        </w:tc>
        <w:tc>
          <w:tcPr>
            <w:tcW w:w="3798" w:type="dxa"/>
            <w:tcBorders>
              <w:top w:val="nil"/>
              <w:left w:val="nil"/>
              <w:bottom w:val="nil"/>
              <w:right w:val="single" w:sz="4" w:space="0" w:color="000000"/>
            </w:tcBorders>
            <w:shd w:val="clear" w:color="000000" w:fill="FFFFFF"/>
            <w:hideMark/>
          </w:tcPr>
          <w:p w14:paraId="3477291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Recibir y entregar bajo inventario los elementos de oficina.</w:t>
            </w:r>
          </w:p>
        </w:tc>
        <w:tc>
          <w:tcPr>
            <w:tcW w:w="1480" w:type="dxa"/>
            <w:tcBorders>
              <w:top w:val="nil"/>
              <w:left w:val="nil"/>
              <w:bottom w:val="nil"/>
              <w:right w:val="single" w:sz="4" w:space="0" w:color="000000"/>
            </w:tcBorders>
            <w:shd w:val="clear" w:color="000000" w:fill="FFFFFF"/>
            <w:hideMark/>
          </w:tcPr>
          <w:p w14:paraId="5A6F429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0F0DA8A"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4EC613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Las demás que les asignen el Registrador Nacional del Estado Civil o sus superiores jerárquicos. </w:t>
            </w:r>
          </w:p>
        </w:tc>
        <w:tc>
          <w:tcPr>
            <w:tcW w:w="3798" w:type="dxa"/>
            <w:tcBorders>
              <w:top w:val="nil"/>
              <w:left w:val="nil"/>
              <w:bottom w:val="single" w:sz="4" w:space="0" w:color="000000"/>
              <w:right w:val="single" w:sz="4" w:space="0" w:color="000000"/>
            </w:tcBorders>
            <w:shd w:val="clear" w:color="000000" w:fill="FFFFFF"/>
            <w:hideMark/>
          </w:tcPr>
          <w:p w14:paraId="1FDDBC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Las demás que les asignen el Registrador Nacional del Estado Civil o sus superiores jerárquicos.</w:t>
            </w:r>
          </w:p>
        </w:tc>
        <w:tc>
          <w:tcPr>
            <w:tcW w:w="3798" w:type="dxa"/>
            <w:tcBorders>
              <w:top w:val="nil"/>
              <w:left w:val="nil"/>
              <w:bottom w:val="single" w:sz="4" w:space="0" w:color="000000"/>
              <w:right w:val="single" w:sz="4" w:space="0" w:color="000000"/>
            </w:tcBorders>
            <w:shd w:val="clear" w:color="000000" w:fill="FFFFFF"/>
            <w:hideMark/>
          </w:tcPr>
          <w:p w14:paraId="1883CF8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Las demás que les asignen el Registrador Nacional del Estado Civil o sus superiores jerárquicos.</w:t>
            </w:r>
          </w:p>
        </w:tc>
        <w:tc>
          <w:tcPr>
            <w:tcW w:w="1480" w:type="dxa"/>
            <w:tcBorders>
              <w:top w:val="nil"/>
              <w:left w:val="nil"/>
              <w:bottom w:val="single" w:sz="4" w:space="0" w:color="000000"/>
              <w:right w:val="single" w:sz="4" w:space="0" w:color="000000"/>
            </w:tcBorders>
            <w:shd w:val="clear" w:color="000000" w:fill="FFFFFF"/>
            <w:hideMark/>
          </w:tcPr>
          <w:p w14:paraId="13BC7C1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7A70932"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72FCC0B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18. Calidades</w:t>
            </w:r>
            <w:r w:rsidRPr="00222F34">
              <w:rPr>
                <w:rFonts w:ascii="Calibri" w:eastAsia="Times New Roman" w:hAnsi="Calibri" w:cs="Calibri"/>
                <w:color w:val="000000"/>
                <w:lang w:val="es-CO" w:eastAsia="es-CO" w:bidi="ar-SA"/>
              </w:rPr>
              <w:t xml:space="preserve">. Para ser registrador municipal o auxiliar se requiere ser colombiano de nacimiento, ciudadano en ejercicio y título profesional. </w:t>
            </w:r>
          </w:p>
        </w:tc>
        <w:tc>
          <w:tcPr>
            <w:tcW w:w="3798" w:type="dxa"/>
            <w:tcBorders>
              <w:top w:val="nil"/>
              <w:left w:val="nil"/>
              <w:bottom w:val="single" w:sz="4" w:space="0" w:color="000000"/>
              <w:right w:val="single" w:sz="4" w:space="0" w:color="000000"/>
            </w:tcBorders>
            <w:shd w:val="clear" w:color="00FF00" w:fill="FFFFFF"/>
            <w:hideMark/>
          </w:tcPr>
          <w:p w14:paraId="657A0B7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 Calidades.</w:t>
            </w:r>
            <w:r w:rsidRPr="00222F34">
              <w:rPr>
                <w:rFonts w:ascii="Calibri" w:eastAsia="Times New Roman" w:hAnsi="Calibri" w:cs="Calibri"/>
                <w:color w:val="000000"/>
                <w:lang w:val="es-CO" w:eastAsia="es-CO" w:bidi="ar-SA"/>
              </w:rPr>
              <w:t xml:space="preserve"> Para ser registrador municipal o auxiliar se requiere ser colombiano de nacimiento, ciudadano en ejercicio y título profesional en disciplinas académicas teniendo en cuenta los procesos y la naturaleza de las funciones misionales de la entidad.</w:t>
            </w:r>
          </w:p>
        </w:tc>
        <w:tc>
          <w:tcPr>
            <w:tcW w:w="3798" w:type="dxa"/>
            <w:tcBorders>
              <w:top w:val="nil"/>
              <w:left w:val="nil"/>
              <w:bottom w:val="single" w:sz="4" w:space="0" w:color="000000"/>
              <w:right w:val="single" w:sz="4" w:space="0" w:color="000000"/>
            </w:tcBorders>
            <w:shd w:val="clear" w:color="00FF00" w:fill="FFFFFF"/>
            <w:hideMark/>
          </w:tcPr>
          <w:p w14:paraId="1617A08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 Calidades.</w:t>
            </w:r>
            <w:r w:rsidRPr="00222F34">
              <w:rPr>
                <w:rFonts w:ascii="Calibri" w:eastAsia="Times New Roman" w:hAnsi="Calibri" w:cs="Calibri"/>
                <w:color w:val="000000"/>
                <w:lang w:val="es-CO" w:eastAsia="es-CO" w:bidi="ar-SA"/>
              </w:rPr>
              <w:t xml:space="preserve"> Para ser registrador municipal o auxiliar se requiere ser colombiano de nacimiento, ciudadano en ejercicio y título profesional en disciplinas académicas teniendo en cuenta los procesos y la naturaleza de las funciones misionales de la entidad.</w:t>
            </w:r>
          </w:p>
        </w:tc>
        <w:tc>
          <w:tcPr>
            <w:tcW w:w="1480" w:type="dxa"/>
            <w:tcBorders>
              <w:top w:val="nil"/>
              <w:left w:val="nil"/>
              <w:bottom w:val="single" w:sz="4" w:space="0" w:color="000000"/>
              <w:right w:val="single" w:sz="4" w:space="0" w:color="000000"/>
            </w:tcBorders>
            <w:shd w:val="clear" w:color="000000" w:fill="FFFFFF"/>
            <w:hideMark/>
          </w:tcPr>
          <w:p w14:paraId="237697B7" w14:textId="5CFBECAC"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54F047EF"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7E18821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19. Posesión.</w:t>
            </w:r>
            <w:r w:rsidRPr="00222F34">
              <w:rPr>
                <w:rFonts w:ascii="Calibri" w:eastAsia="Times New Roman" w:hAnsi="Calibri" w:cs="Calibri"/>
                <w:color w:val="000000"/>
                <w:lang w:val="es-CO" w:eastAsia="es-CO" w:bidi="ar-SA"/>
              </w:rPr>
              <w:t xml:space="preserve"> Los registradores especiales, municipales y auxiliares se posesionarán ante el nominador correspondiente.  </w:t>
            </w:r>
          </w:p>
        </w:tc>
        <w:tc>
          <w:tcPr>
            <w:tcW w:w="3798" w:type="dxa"/>
            <w:tcBorders>
              <w:top w:val="nil"/>
              <w:left w:val="nil"/>
              <w:bottom w:val="single" w:sz="4" w:space="0" w:color="000000"/>
              <w:right w:val="single" w:sz="4" w:space="0" w:color="000000"/>
            </w:tcBorders>
            <w:shd w:val="clear" w:color="000000" w:fill="FFFFFF"/>
            <w:hideMark/>
          </w:tcPr>
          <w:p w14:paraId="0D440F7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 Posesión.</w:t>
            </w:r>
            <w:r w:rsidRPr="00222F34">
              <w:rPr>
                <w:rFonts w:ascii="Calibri" w:eastAsia="Times New Roman" w:hAnsi="Calibri" w:cs="Calibri"/>
                <w:color w:val="000000"/>
                <w:lang w:val="es-CO" w:eastAsia="es-CO" w:bidi="ar-SA"/>
              </w:rPr>
              <w:t xml:space="preserve"> Los registradores especiales, municipales y auxiliares se posesionarán ante el nominador correspondiente.</w:t>
            </w:r>
          </w:p>
        </w:tc>
        <w:tc>
          <w:tcPr>
            <w:tcW w:w="3798" w:type="dxa"/>
            <w:tcBorders>
              <w:top w:val="nil"/>
              <w:left w:val="nil"/>
              <w:bottom w:val="single" w:sz="4" w:space="0" w:color="000000"/>
              <w:right w:val="single" w:sz="4" w:space="0" w:color="000000"/>
            </w:tcBorders>
            <w:shd w:val="clear" w:color="000000" w:fill="FFFFFF"/>
            <w:hideMark/>
          </w:tcPr>
          <w:p w14:paraId="071210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 Posesión.</w:t>
            </w:r>
            <w:r w:rsidRPr="00222F34">
              <w:rPr>
                <w:rFonts w:ascii="Calibri" w:eastAsia="Times New Roman" w:hAnsi="Calibri" w:cs="Calibri"/>
                <w:color w:val="000000"/>
                <w:lang w:val="es-CO" w:eastAsia="es-CO" w:bidi="ar-SA"/>
              </w:rPr>
              <w:t xml:space="preserve"> Los registradores especiales, municipales y auxiliares se posesionarán ante el nominador correspondiente.</w:t>
            </w:r>
          </w:p>
        </w:tc>
        <w:tc>
          <w:tcPr>
            <w:tcW w:w="1480" w:type="dxa"/>
            <w:tcBorders>
              <w:top w:val="nil"/>
              <w:left w:val="nil"/>
              <w:bottom w:val="nil"/>
              <w:right w:val="single" w:sz="4" w:space="0" w:color="000000"/>
            </w:tcBorders>
            <w:shd w:val="clear" w:color="000000" w:fill="FFFFFF"/>
            <w:hideMark/>
          </w:tcPr>
          <w:p w14:paraId="5B227BB2" w14:textId="60245606"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17FA847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10487B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3798" w:type="dxa"/>
            <w:tcBorders>
              <w:top w:val="nil"/>
              <w:left w:val="nil"/>
              <w:bottom w:val="nil"/>
              <w:right w:val="single" w:sz="4" w:space="0" w:color="000000"/>
            </w:tcBorders>
            <w:shd w:val="clear" w:color="000000" w:fill="FFFFFF"/>
            <w:hideMark/>
          </w:tcPr>
          <w:p w14:paraId="45D78D43"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3798" w:type="dxa"/>
            <w:tcBorders>
              <w:top w:val="nil"/>
              <w:left w:val="nil"/>
              <w:bottom w:val="nil"/>
              <w:right w:val="single" w:sz="4" w:space="0" w:color="000000"/>
            </w:tcBorders>
            <w:shd w:val="clear" w:color="000000" w:fill="FFFFFF"/>
            <w:hideMark/>
          </w:tcPr>
          <w:p w14:paraId="795320F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1480" w:type="dxa"/>
            <w:tcBorders>
              <w:top w:val="single" w:sz="4" w:space="0" w:color="000000"/>
              <w:left w:val="nil"/>
              <w:bottom w:val="nil"/>
              <w:right w:val="single" w:sz="4" w:space="0" w:color="000000"/>
            </w:tcBorders>
            <w:shd w:val="clear" w:color="000000" w:fill="FFFFFF"/>
            <w:hideMark/>
          </w:tcPr>
          <w:p w14:paraId="0525D8C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7032640"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00B997B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de puesto de los registradores distritales, especiales y municipales</w:t>
            </w:r>
          </w:p>
        </w:tc>
        <w:tc>
          <w:tcPr>
            <w:tcW w:w="3798" w:type="dxa"/>
            <w:tcBorders>
              <w:top w:val="nil"/>
              <w:left w:val="nil"/>
              <w:bottom w:val="single" w:sz="4" w:space="0" w:color="000000"/>
              <w:right w:val="single" w:sz="4" w:space="0" w:color="000000"/>
            </w:tcBorders>
            <w:shd w:val="clear" w:color="000000" w:fill="FFFFFF"/>
            <w:hideMark/>
          </w:tcPr>
          <w:p w14:paraId="6AFDF4F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de puesto de los registradores distritales, especiales y municipales</w:t>
            </w:r>
          </w:p>
        </w:tc>
        <w:tc>
          <w:tcPr>
            <w:tcW w:w="3798" w:type="dxa"/>
            <w:tcBorders>
              <w:top w:val="nil"/>
              <w:left w:val="nil"/>
              <w:bottom w:val="single" w:sz="4" w:space="0" w:color="000000"/>
              <w:right w:val="single" w:sz="4" w:space="0" w:color="000000"/>
            </w:tcBorders>
            <w:shd w:val="clear" w:color="000000" w:fill="FFFFFF"/>
            <w:hideMark/>
          </w:tcPr>
          <w:p w14:paraId="2BAB650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de puesto de los registradores distritales, especiales y municipales</w:t>
            </w:r>
          </w:p>
        </w:tc>
        <w:tc>
          <w:tcPr>
            <w:tcW w:w="1480" w:type="dxa"/>
            <w:tcBorders>
              <w:top w:val="nil"/>
              <w:left w:val="nil"/>
              <w:bottom w:val="single" w:sz="4" w:space="0" w:color="000000"/>
              <w:right w:val="single" w:sz="4" w:space="0" w:color="000000"/>
            </w:tcBorders>
            <w:shd w:val="clear" w:color="000000" w:fill="FFFFFF"/>
            <w:hideMark/>
          </w:tcPr>
          <w:p w14:paraId="694F6C8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B251877"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3EDF295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20. Delegado de puesto.</w:t>
            </w:r>
            <w:r w:rsidRPr="00222F34">
              <w:rPr>
                <w:rFonts w:ascii="Calibri" w:eastAsia="Times New Roman" w:hAnsi="Calibri" w:cs="Calibri"/>
                <w:color w:val="000000"/>
                <w:lang w:val="es-CO" w:eastAsia="es-CO" w:bidi="ar-SA"/>
              </w:rPr>
              <w:t xml:space="preserve"> En todos los puestos de votación habrá delegados, nombrados por los registradores distritales de Bogotá D.C. del Estado Civil. </w:t>
            </w:r>
          </w:p>
        </w:tc>
        <w:tc>
          <w:tcPr>
            <w:tcW w:w="3798" w:type="dxa"/>
            <w:tcBorders>
              <w:top w:val="nil"/>
              <w:left w:val="nil"/>
              <w:bottom w:val="single" w:sz="4" w:space="0" w:color="000000"/>
              <w:right w:val="single" w:sz="4" w:space="0" w:color="000000"/>
            </w:tcBorders>
            <w:shd w:val="clear" w:color="00FF00" w:fill="FFFFFF"/>
            <w:hideMark/>
          </w:tcPr>
          <w:p w14:paraId="12428C8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 Delegado de puesto.</w:t>
            </w:r>
            <w:r w:rsidRPr="00222F34">
              <w:rPr>
                <w:rFonts w:ascii="Calibri" w:eastAsia="Times New Roman" w:hAnsi="Calibri" w:cs="Calibri"/>
                <w:color w:val="000000"/>
                <w:lang w:val="es-CO" w:eastAsia="es-CO" w:bidi="ar-SA"/>
              </w:rPr>
              <w:t xml:space="preserve"> En todos los puestos de votación habrá delegados, nombrados por los registradores departamentales y los registradores distritales de Bogotá D.C.</w:t>
            </w:r>
          </w:p>
        </w:tc>
        <w:tc>
          <w:tcPr>
            <w:tcW w:w="3798" w:type="dxa"/>
            <w:tcBorders>
              <w:top w:val="nil"/>
              <w:left w:val="nil"/>
              <w:bottom w:val="single" w:sz="4" w:space="0" w:color="000000"/>
              <w:right w:val="single" w:sz="4" w:space="0" w:color="000000"/>
            </w:tcBorders>
            <w:shd w:val="clear" w:color="00FF00" w:fill="FFFFFF"/>
            <w:hideMark/>
          </w:tcPr>
          <w:p w14:paraId="1E161CA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 Delegado de puesto.</w:t>
            </w:r>
            <w:r w:rsidRPr="00222F34">
              <w:rPr>
                <w:rFonts w:ascii="Calibri" w:eastAsia="Times New Roman" w:hAnsi="Calibri" w:cs="Calibri"/>
                <w:color w:val="000000"/>
                <w:lang w:val="es-CO" w:eastAsia="es-CO" w:bidi="ar-SA"/>
              </w:rPr>
              <w:t xml:space="preserve"> En todos los puestos de votación habrá delegados, nombrados por los registradores departamentales y los registradores distritales de Bogotá D.C.</w:t>
            </w:r>
          </w:p>
        </w:tc>
        <w:tc>
          <w:tcPr>
            <w:tcW w:w="1480" w:type="dxa"/>
            <w:tcBorders>
              <w:top w:val="nil"/>
              <w:left w:val="nil"/>
              <w:bottom w:val="single" w:sz="4" w:space="0" w:color="000000"/>
              <w:right w:val="single" w:sz="4" w:space="0" w:color="000000"/>
            </w:tcBorders>
            <w:shd w:val="clear" w:color="000000" w:fill="FFFFFF"/>
            <w:hideMark/>
          </w:tcPr>
          <w:p w14:paraId="5155943F" w14:textId="4787C6B6"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75D5290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928766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 Funciones.</w:t>
            </w:r>
            <w:r w:rsidRPr="00222F34">
              <w:rPr>
                <w:rFonts w:ascii="Calibri" w:eastAsia="Times New Roman" w:hAnsi="Calibri" w:cs="Calibri"/>
                <w:color w:val="000000"/>
                <w:lang w:val="es-CO" w:eastAsia="es-CO" w:bidi="ar-SA"/>
              </w:rPr>
              <w:t xml:space="preserve"> Los delegados de puesto de los registradores distritales, especiales y municipales tendrán las siguientes funciones: </w:t>
            </w:r>
          </w:p>
        </w:tc>
        <w:tc>
          <w:tcPr>
            <w:tcW w:w="3798" w:type="dxa"/>
            <w:tcBorders>
              <w:top w:val="nil"/>
              <w:left w:val="nil"/>
              <w:bottom w:val="nil"/>
              <w:right w:val="single" w:sz="4" w:space="0" w:color="000000"/>
            </w:tcBorders>
            <w:shd w:val="clear" w:color="000000" w:fill="FFFFFF"/>
            <w:hideMark/>
          </w:tcPr>
          <w:p w14:paraId="605434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 Funciones.</w:t>
            </w:r>
            <w:r w:rsidRPr="00222F34">
              <w:rPr>
                <w:rFonts w:ascii="Calibri" w:eastAsia="Times New Roman" w:hAnsi="Calibri" w:cs="Calibri"/>
                <w:color w:val="000000"/>
                <w:lang w:val="es-CO" w:eastAsia="es-CO" w:bidi="ar-SA"/>
              </w:rPr>
              <w:t xml:space="preserve"> Los delegados de puesto de los registradores distritales, especiales y municipales tendrán las siguientes funciones:</w:t>
            </w:r>
          </w:p>
        </w:tc>
        <w:tc>
          <w:tcPr>
            <w:tcW w:w="3798" w:type="dxa"/>
            <w:tcBorders>
              <w:top w:val="nil"/>
              <w:left w:val="nil"/>
              <w:bottom w:val="nil"/>
              <w:right w:val="single" w:sz="4" w:space="0" w:color="000000"/>
            </w:tcBorders>
            <w:shd w:val="clear" w:color="000000" w:fill="FFFFFF"/>
            <w:hideMark/>
          </w:tcPr>
          <w:p w14:paraId="19768F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 Funciones.</w:t>
            </w:r>
            <w:r w:rsidRPr="00222F34">
              <w:rPr>
                <w:rFonts w:ascii="Calibri" w:eastAsia="Times New Roman" w:hAnsi="Calibri" w:cs="Calibri"/>
                <w:color w:val="000000"/>
                <w:lang w:val="es-CO" w:eastAsia="es-CO" w:bidi="ar-SA"/>
              </w:rPr>
              <w:t xml:space="preserve"> Los delegados de puesto de los registradores distritales, especiales y municipales tendrán las siguientes funciones:</w:t>
            </w:r>
          </w:p>
        </w:tc>
        <w:tc>
          <w:tcPr>
            <w:tcW w:w="1480" w:type="dxa"/>
            <w:tcBorders>
              <w:top w:val="nil"/>
              <w:left w:val="nil"/>
              <w:bottom w:val="nil"/>
              <w:right w:val="single" w:sz="4" w:space="0" w:color="000000"/>
            </w:tcBorders>
            <w:shd w:val="clear" w:color="000000" w:fill="FFFFFF"/>
            <w:hideMark/>
          </w:tcPr>
          <w:p w14:paraId="746F8884" w14:textId="7726CE3B"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0BA0662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D942C7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Atender la preparación y realización de las elecciones y de los mecanismos de participación ciudadana en los lugares que les corresponda. </w:t>
            </w:r>
          </w:p>
        </w:tc>
        <w:tc>
          <w:tcPr>
            <w:tcW w:w="3798" w:type="dxa"/>
            <w:tcBorders>
              <w:top w:val="nil"/>
              <w:left w:val="nil"/>
              <w:bottom w:val="nil"/>
              <w:right w:val="single" w:sz="4" w:space="0" w:color="000000"/>
            </w:tcBorders>
            <w:shd w:val="clear" w:color="000000" w:fill="FFFFFF"/>
            <w:hideMark/>
          </w:tcPr>
          <w:p w14:paraId="087B98B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Atender la preparación y realización de las elecciones y de los mecanismos de participación ciudadana en los lugares que les corresponda. </w:t>
            </w:r>
          </w:p>
        </w:tc>
        <w:tc>
          <w:tcPr>
            <w:tcW w:w="3798" w:type="dxa"/>
            <w:tcBorders>
              <w:top w:val="nil"/>
              <w:left w:val="nil"/>
              <w:bottom w:val="nil"/>
              <w:right w:val="single" w:sz="4" w:space="0" w:color="000000"/>
            </w:tcBorders>
            <w:shd w:val="clear" w:color="000000" w:fill="FFFFFF"/>
            <w:hideMark/>
          </w:tcPr>
          <w:p w14:paraId="089F88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Atender la preparación y realización de las elecciones y de los mecanismos de participación ciudadana en los lugares que les corresponda. </w:t>
            </w:r>
          </w:p>
        </w:tc>
        <w:tc>
          <w:tcPr>
            <w:tcW w:w="1480" w:type="dxa"/>
            <w:tcBorders>
              <w:top w:val="nil"/>
              <w:left w:val="nil"/>
              <w:bottom w:val="nil"/>
              <w:right w:val="single" w:sz="4" w:space="0" w:color="000000"/>
            </w:tcBorders>
            <w:shd w:val="clear" w:color="000000" w:fill="FFFFFF"/>
            <w:hideMark/>
          </w:tcPr>
          <w:p w14:paraId="6B5735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9D8E17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37AC4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Reemplazar oportunamente a los jurados de votación el día de las elecciones que no vayan a desempeñar sus funciones o las abandonen. </w:t>
            </w:r>
          </w:p>
        </w:tc>
        <w:tc>
          <w:tcPr>
            <w:tcW w:w="3798" w:type="dxa"/>
            <w:tcBorders>
              <w:top w:val="nil"/>
              <w:left w:val="nil"/>
              <w:bottom w:val="nil"/>
              <w:right w:val="single" w:sz="4" w:space="0" w:color="000000"/>
            </w:tcBorders>
            <w:shd w:val="clear" w:color="000000" w:fill="FFFFFF"/>
            <w:hideMark/>
          </w:tcPr>
          <w:p w14:paraId="37DE8F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Reemplazar oportunamente a los jurados de votación el día de las elecciones que no vayan a desempeñar sus funciones o las abandonen. </w:t>
            </w:r>
          </w:p>
        </w:tc>
        <w:tc>
          <w:tcPr>
            <w:tcW w:w="3798" w:type="dxa"/>
            <w:tcBorders>
              <w:top w:val="nil"/>
              <w:left w:val="nil"/>
              <w:bottom w:val="nil"/>
              <w:right w:val="single" w:sz="4" w:space="0" w:color="000000"/>
            </w:tcBorders>
            <w:shd w:val="clear" w:color="000000" w:fill="FFFFFF"/>
            <w:hideMark/>
          </w:tcPr>
          <w:p w14:paraId="704346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Reemplazar oportunamente a los jurados de votación el día de las elecciones que no vayan a desempeñar sus funciones o las abandonen. </w:t>
            </w:r>
          </w:p>
        </w:tc>
        <w:tc>
          <w:tcPr>
            <w:tcW w:w="1480" w:type="dxa"/>
            <w:tcBorders>
              <w:top w:val="nil"/>
              <w:left w:val="nil"/>
              <w:bottom w:val="nil"/>
              <w:right w:val="single" w:sz="4" w:space="0" w:color="000000"/>
            </w:tcBorders>
            <w:shd w:val="clear" w:color="000000" w:fill="FFFFFF"/>
            <w:hideMark/>
          </w:tcPr>
          <w:p w14:paraId="600563F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924EC2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04E20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Comunicar al registrador respectivo del incumplimiento o mal desempeño de las funciones de los jurados de votación, para las sanciones a que hubiere lugar. </w:t>
            </w:r>
          </w:p>
        </w:tc>
        <w:tc>
          <w:tcPr>
            <w:tcW w:w="3798" w:type="dxa"/>
            <w:tcBorders>
              <w:top w:val="nil"/>
              <w:left w:val="nil"/>
              <w:bottom w:val="nil"/>
              <w:right w:val="single" w:sz="4" w:space="0" w:color="000000"/>
            </w:tcBorders>
            <w:shd w:val="clear" w:color="000000" w:fill="FFFFFF"/>
            <w:hideMark/>
          </w:tcPr>
          <w:p w14:paraId="704062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Comunicar al registrador respectivo del incumplimiento o mal desempeño de las funciones de los jurados de votación, para las sanciones a que hubiere lugar. </w:t>
            </w:r>
          </w:p>
        </w:tc>
        <w:tc>
          <w:tcPr>
            <w:tcW w:w="3798" w:type="dxa"/>
            <w:tcBorders>
              <w:top w:val="nil"/>
              <w:left w:val="nil"/>
              <w:bottom w:val="nil"/>
              <w:right w:val="single" w:sz="4" w:space="0" w:color="000000"/>
            </w:tcBorders>
            <w:shd w:val="clear" w:color="000000" w:fill="FFFFFF"/>
            <w:hideMark/>
          </w:tcPr>
          <w:p w14:paraId="7117555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Comunicar al registrador respectivo del incumplimiento o mal desempeño de las funciones de los jurados de votación, para las sanciones a que hubiere lugar. </w:t>
            </w:r>
          </w:p>
        </w:tc>
        <w:tc>
          <w:tcPr>
            <w:tcW w:w="1480" w:type="dxa"/>
            <w:tcBorders>
              <w:top w:val="nil"/>
              <w:left w:val="nil"/>
              <w:bottom w:val="nil"/>
              <w:right w:val="single" w:sz="4" w:space="0" w:color="000000"/>
            </w:tcBorders>
            <w:shd w:val="clear" w:color="000000" w:fill="FFFFFF"/>
            <w:hideMark/>
          </w:tcPr>
          <w:p w14:paraId="27314B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BEF20A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88464F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Conducir, custodiados por la fuerza pública, y entregar personalmente a la comisión escrutadora todos los documentos provenientes de las mesas de votación. </w:t>
            </w:r>
          </w:p>
        </w:tc>
        <w:tc>
          <w:tcPr>
            <w:tcW w:w="3798" w:type="dxa"/>
            <w:tcBorders>
              <w:top w:val="nil"/>
              <w:left w:val="nil"/>
              <w:bottom w:val="nil"/>
              <w:right w:val="single" w:sz="4" w:space="0" w:color="000000"/>
            </w:tcBorders>
            <w:shd w:val="clear" w:color="000000" w:fill="FFFFFF"/>
            <w:hideMark/>
          </w:tcPr>
          <w:p w14:paraId="5A2144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Conducir, custodiados por la fuerza pública, y entregar personalmente a la comisión escrutadora todos los documentos provenientes de las mesas de votación. </w:t>
            </w:r>
          </w:p>
        </w:tc>
        <w:tc>
          <w:tcPr>
            <w:tcW w:w="3798" w:type="dxa"/>
            <w:tcBorders>
              <w:top w:val="nil"/>
              <w:left w:val="nil"/>
              <w:bottom w:val="nil"/>
              <w:right w:val="single" w:sz="4" w:space="0" w:color="000000"/>
            </w:tcBorders>
            <w:shd w:val="clear" w:color="000000" w:fill="FFFFFF"/>
            <w:hideMark/>
          </w:tcPr>
          <w:p w14:paraId="493C59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Conducir, custodiados por la fuerza pública, y entregar personalmente a la comisión escrutadora todos los documentos provenientes de las mesas de votación. </w:t>
            </w:r>
          </w:p>
        </w:tc>
        <w:tc>
          <w:tcPr>
            <w:tcW w:w="1480" w:type="dxa"/>
            <w:tcBorders>
              <w:top w:val="nil"/>
              <w:left w:val="nil"/>
              <w:bottom w:val="nil"/>
              <w:right w:val="single" w:sz="4" w:space="0" w:color="000000"/>
            </w:tcBorders>
            <w:shd w:val="clear" w:color="000000" w:fill="FFFFFF"/>
            <w:hideMark/>
          </w:tcPr>
          <w:p w14:paraId="2B49091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2CB962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FC5A5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Facilitar la trasmisión de los resultados electorales y en los casos a que haya lugar, la digitalización de las actas de escrutinio de los jurados de votación. </w:t>
            </w:r>
          </w:p>
        </w:tc>
        <w:tc>
          <w:tcPr>
            <w:tcW w:w="3798" w:type="dxa"/>
            <w:tcBorders>
              <w:top w:val="nil"/>
              <w:left w:val="nil"/>
              <w:bottom w:val="nil"/>
              <w:right w:val="single" w:sz="4" w:space="0" w:color="000000"/>
            </w:tcBorders>
            <w:shd w:val="clear" w:color="000000" w:fill="FFFFFF"/>
            <w:hideMark/>
          </w:tcPr>
          <w:p w14:paraId="2C5E93C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Facilitar la trasmisión de los resultados electorales y en los casos a que haya lugar, la digitalización de las actas de escrutinio de los jurados de votación. </w:t>
            </w:r>
          </w:p>
        </w:tc>
        <w:tc>
          <w:tcPr>
            <w:tcW w:w="3798" w:type="dxa"/>
            <w:tcBorders>
              <w:top w:val="nil"/>
              <w:left w:val="nil"/>
              <w:bottom w:val="nil"/>
              <w:right w:val="single" w:sz="4" w:space="0" w:color="000000"/>
            </w:tcBorders>
            <w:shd w:val="clear" w:color="000000" w:fill="FFFFFF"/>
            <w:hideMark/>
          </w:tcPr>
          <w:p w14:paraId="435715E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Facilitar la trasmisión de los resultados electorales y en los casos a que haya lugar, la digitalización de las actas de escrutinio de los jurados de votación. </w:t>
            </w:r>
          </w:p>
        </w:tc>
        <w:tc>
          <w:tcPr>
            <w:tcW w:w="1480" w:type="dxa"/>
            <w:tcBorders>
              <w:top w:val="nil"/>
              <w:left w:val="nil"/>
              <w:bottom w:val="nil"/>
              <w:right w:val="single" w:sz="4" w:space="0" w:color="000000"/>
            </w:tcBorders>
            <w:shd w:val="clear" w:color="000000" w:fill="FFFFFF"/>
            <w:hideMark/>
          </w:tcPr>
          <w:p w14:paraId="7EEF062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CBAF47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74B3D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Verificar la identidad de los jurados y de los testigos electorales de los puestos de votación. </w:t>
            </w:r>
          </w:p>
        </w:tc>
        <w:tc>
          <w:tcPr>
            <w:tcW w:w="3798" w:type="dxa"/>
            <w:tcBorders>
              <w:top w:val="nil"/>
              <w:left w:val="nil"/>
              <w:bottom w:val="nil"/>
              <w:right w:val="single" w:sz="4" w:space="0" w:color="000000"/>
            </w:tcBorders>
            <w:shd w:val="clear" w:color="000000" w:fill="FFFFFF"/>
            <w:hideMark/>
          </w:tcPr>
          <w:p w14:paraId="2C95F0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Verificar la identidad de los jurados y de los testigos electorales de los puestos de votación. </w:t>
            </w:r>
          </w:p>
        </w:tc>
        <w:tc>
          <w:tcPr>
            <w:tcW w:w="3798" w:type="dxa"/>
            <w:tcBorders>
              <w:top w:val="nil"/>
              <w:left w:val="nil"/>
              <w:bottom w:val="nil"/>
              <w:right w:val="single" w:sz="4" w:space="0" w:color="000000"/>
            </w:tcBorders>
            <w:shd w:val="clear" w:color="000000" w:fill="FFFFFF"/>
            <w:hideMark/>
          </w:tcPr>
          <w:p w14:paraId="0F29AD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Verificar la identidad de los jurados y de los testigos electorales de los puestos de votación. </w:t>
            </w:r>
          </w:p>
        </w:tc>
        <w:tc>
          <w:tcPr>
            <w:tcW w:w="1480" w:type="dxa"/>
            <w:tcBorders>
              <w:top w:val="nil"/>
              <w:left w:val="nil"/>
              <w:bottom w:val="nil"/>
              <w:right w:val="single" w:sz="4" w:space="0" w:color="000000"/>
            </w:tcBorders>
            <w:shd w:val="clear" w:color="000000" w:fill="FFFFFF"/>
            <w:hideMark/>
          </w:tcPr>
          <w:p w14:paraId="4CF5CCB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D71781E"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7B41B30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demás que le señale el registrador Nacional del Estado Civil, o el delegado seccional en lo electoral o su superior jerárquico. </w:t>
            </w:r>
          </w:p>
        </w:tc>
        <w:tc>
          <w:tcPr>
            <w:tcW w:w="3798" w:type="dxa"/>
            <w:tcBorders>
              <w:top w:val="nil"/>
              <w:left w:val="nil"/>
              <w:bottom w:val="single" w:sz="4" w:space="0" w:color="000000"/>
              <w:right w:val="single" w:sz="4" w:space="0" w:color="000000"/>
            </w:tcBorders>
            <w:shd w:val="clear" w:color="000000" w:fill="FFFFFF"/>
            <w:hideMark/>
          </w:tcPr>
          <w:p w14:paraId="227EE5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demás que le señale el registrador Nacional del Estado Civil, o el delegado seccional en lo electoral o su superior jerárquico. </w:t>
            </w:r>
          </w:p>
        </w:tc>
        <w:tc>
          <w:tcPr>
            <w:tcW w:w="3798" w:type="dxa"/>
            <w:tcBorders>
              <w:top w:val="nil"/>
              <w:left w:val="nil"/>
              <w:bottom w:val="single" w:sz="4" w:space="0" w:color="000000"/>
              <w:right w:val="single" w:sz="4" w:space="0" w:color="000000"/>
            </w:tcBorders>
            <w:shd w:val="clear" w:color="000000" w:fill="FFFFFF"/>
            <w:hideMark/>
          </w:tcPr>
          <w:p w14:paraId="7938EE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demás que le señale el registrador Nacional del Estado Civil, o el delegado seccional en lo electoral o su superior jerárquico. </w:t>
            </w:r>
          </w:p>
        </w:tc>
        <w:tc>
          <w:tcPr>
            <w:tcW w:w="1480" w:type="dxa"/>
            <w:tcBorders>
              <w:top w:val="nil"/>
              <w:left w:val="nil"/>
              <w:bottom w:val="single" w:sz="4" w:space="0" w:color="000000"/>
              <w:right w:val="single" w:sz="4" w:space="0" w:color="000000"/>
            </w:tcBorders>
            <w:shd w:val="clear" w:color="000000" w:fill="FFFFFF"/>
            <w:hideMark/>
          </w:tcPr>
          <w:p w14:paraId="18101E9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252F44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519EFC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 Fondo Rotatorio de la Registraduría Nacional del Estado Civil.</w:t>
            </w:r>
            <w:r w:rsidRPr="00222F34">
              <w:rPr>
                <w:rFonts w:ascii="Calibri" w:eastAsia="Times New Roman" w:hAnsi="Calibri" w:cs="Calibri"/>
                <w:color w:val="000000"/>
                <w:lang w:val="es-CO" w:eastAsia="es-CO" w:bidi="ar-SA"/>
              </w:rPr>
              <w:t xml:space="preserve"> La representación legal y la administración del Fondo Rotatorio de la Registraduría Nacional del Estado Civil corresponden al registrador Nacional del Estado Civil. </w:t>
            </w:r>
          </w:p>
        </w:tc>
        <w:tc>
          <w:tcPr>
            <w:tcW w:w="3798" w:type="dxa"/>
            <w:tcBorders>
              <w:top w:val="nil"/>
              <w:left w:val="nil"/>
              <w:bottom w:val="nil"/>
              <w:right w:val="single" w:sz="4" w:space="0" w:color="000000"/>
            </w:tcBorders>
            <w:shd w:val="clear" w:color="000000" w:fill="FFFFFF"/>
            <w:hideMark/>
          </w:tcPr>
          <w:p w14:paraId="0F0FF6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 Fondo Rotatorio de la Registraduría Nacional del Estado Civil</w:t>
            </w:r>
            <w:r w:rsidRPr="00222F34">
              <w:rPr>
                <w:rFonts w:ascii="Calibri" w:eastAsia="Times New Roman" w:hAnsi="Calibri" w:cs="Calibri"/>
                <w:color w:val="000000"/>
                <w:lang w:val="es-CO" w:eastAsia="es-CO" w:bidi="ar-SA"/>
              </w:rPr>
              <w:t>. La representación legal y la administración del Fondo Rotatorio de la Registraduría Nacional del Estado Civil corresponden al registrador Nacional del Estado Civil.</w:t>
            </w:r>
          </w:p>
        </w:tc>
        <w:tc>
          <w:tcPr>
            <w:tcW w:w="3798" w:type="dxa"/>
            <w:tcBorders>
              <w:top w:val="nil"/>
              <w:left w:val="nil"/>
              <w:bottom w:val="nil"/>
              <w:right w:val="single" w:sz="4" w:space="0" w:color="000000"/>
            </w:tcBorders>
            <w:shd w:val="clear" w:color="000000" w:fill="FFFFFF"/>
            <w:hideMark/>
          </w:tcPr>
          <w:p w14:paraId="725DB9B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 Fondo Rotatorio de la Registraduría Nacional del Estado Civil</w:t>
            </w:r>
            <w:r w:rsidRPr="00222F34">
              <w:rPr>
                <w:rFonts w:ascii="Calibri" w:eastAsia="Times New Roman" w:hAnsi="Calibri" w:cs="Calibri"/>
                <w:color w:val="000000"/>
                <w:lang w:val="es-CO" w:eastAsia="es-CO" w:bidi="ar-SA"/>
              </w:rPr>
              <w:t>. La representación legal y la administración del Fondo Rotatorio de la Registraduría Nacional del Estado Civil corresponden al registrador Nacional del Estado Civil.</w:t>
            </w:r>
          </w:p>
        </w:tc>
        <w:tc>
          <w:tcPr>
            <w:tcW w:w="1480" w:type="dxa"/>
            <w:tcBorders>
              <w:top w:val="nil"/>
              <w:left w:val="nil"/>
              <w:bottom w:val="nil"/>
              <w:right w:val="single" w:sz="4" w:space="0" w:color="000000"/>
            </w:tcBorders>
            <w:shd w:val="clear" w:color="000000" w:fill="FFFFFF"/>
            <w:hideMark/>
          </w:tcPr>
          <w:p w14:paraId="10A984A9" w14:textId="13F3EA54"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43D4F9B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3721A1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recaudo proveniente de las sanciones pecuniarias y todo hecho generador por los servicios que preste la entidad, cuyo destino no se prevea específicamente, ingresará al Fondo Rotatorio de la Registraduría Nacional del Estado Civil, para su fortalecimiento. </w:t>
            </w:r>
          </w:p>
        </w:tc>
        <w:tc>
          <w:tcPr>
            <w:tcW w:w="3798" w:type="dxa"/>
            <w:tcBorders>
              <w:top w:val="nil"/>
              <w:left w:val="nil"/>
              <w:bottom w:val="nil"/>
              <w:right w:val="single" w:sz="4" w:space="0" w:color="000000"/>
            </w:tcBorders>
            <w:shd w:val="clear" w:color="000000" w:fill="FFFFFF"/>
            <w:hideMark/>
          </w:tcPr>
          <w:p w14:paraId="5B5EC29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recaudo proveniente de las sanciones pecuniarias y todo hecho generador por los servicios que preste la entidad, cuyo destino no se prevea específicamente, ingresará al Fondo Rotatorio de la Registraduría Nacional del Estado Civil, para su fortalecimiento.</w:t>
            </w:r>
          </w:p>
        </w:tc>
        <w:tc>
          <w:tcPr>
            <w:tcW w:w="3798" w:type="dxa"/>
            <w:tcBorders>
              <w:top w:val="nil"/>
              <w:left w:val="nil"/>
              <w:bottom w:val="nil"/>
              <w:right w:val="single" w:sz="4" w:space="0" w:color="000000"/>
            </w:tcBorders>
            <w:shd w:val="clear" w:color="000000" w:fill="FFFFFF"/>
            <w:hideMark/>
          </w:tcPr>
          <w:p w14:paraId="5D5BC8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recaudo proveniente de las sanciones pecuniarias y todo hecho generador por los servicios que preste la entidad, cuyo destino no se prevea específicamente, ingresará al Fondo Rotatorio de la Registraduría Nacional del Estado Civil, para su fortalecimiento.</w:t>
            </w:r>
          </w:p>
        </w:tc>
        <w:tc>
          <w:tcPr>
            <w:tcW w:w="1480" w:type="dxa"/>
            <w:tcBorders>
              <w:top w:val="nil"/>
              <w:left w:val="nil"/>
              <w:bottom w:val="nil"/>
              <w:right w:val="single" w:sz="4" w:space="0" w:color="000000"/>
            </w:tcBorders>
            <w:shd w:val="clear" w:color="000000" w:fill="FFFFFF"/>
            <w:hideMark/>
          </w:tcPr>
          <w:p w14:paraId="2518CF4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88F44C3"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C7BAA6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Fondo Rotatorio del Consejo Nacional Electoral se creará y entrará en funcionamiento en un término no superior a dos (2) años. La representación legal estará a cargo del presidente de la Corporación o a quien la Sala Plena delegue. El recaudo proveniente de las sanciones pecuniarias y todo hecho generador por los servicios que preste la entidad, cuyo </w:t>
            </w:r>
            <w:r w:rsidRPr="00222F34">
              <w:rPr>
                <w:rFonts w:ascii="Calibri" w:eastAsia="Times New Roman" w:hAnsi="Calibri" w:cs="Calibri"/>
                <w:color w:val="000000"/>
                <w:lang w:val="es-CO" w:eastAsia="es-CO" w:bidi="ar-SA"/>
              </w:rPr>
              <w:lastRenderedPageBreak/>
              <w:t>destino no se prevea específicamente, ingresará al Fondo Rotatorio del Consejo Nacional Electoral, para su fortalecimiento.</w:t>
            </w:r>
          </w:p>
        </w:tc>
        <w:tc>
          <w:tcPr>
            <w:tcW w:w="3798" w:type="dxa"/>
            <w:tcBorders>
              <w:top w:val="nil"/>
              <w:left w:val="nil"/>
              <w:bottom w:val="nil"/>
              <w:right w:val="single" w:sz="4" w:space="0" w:color="000000"/>
            </w:tcBorders>
            <w:shd w:val="clear" w:color="000000" w:fill="FFFFFF"/>
            <w:hideMark/>
          </w:tcPr>
          <w:p w14:paraId="0F4621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Fondo Rotatorio del Consejo Nacional Electoral se creará y entrará en funcionamiento en un término no superior a dos (2) años. La representación legal estará a cargo del presidente de la Corporación o a quien la Sala Plena delegue. El recaudo proveniente de las sanciones pecuniarias y todo hecho generador por los servicios que preste la entidad, cuyo </w:t>
            </w:r>
            <w:r w:rsidRPr="00222F34">
              <w:rPr>
                <w:rFonts w:ascii="Calibri" w:eastAsia="Times New Roman" w:hAnsi="Calibri" w:cs="Calibri"/>
                <w:color w:val="000000"/>
                <w:lang w:val="es-CO" w:eastAsia="es-CO" w:bidi="ar-SA"/>
              </w:rPr>
              <w:lastRenderedPageBreak/>
              <w:t>destino no se prevea específicamente, ingresará al Fondo Rotatorio del Consejo Nacional Electoral, para su fortalecimiento.</w:t>
            </w:r>
          </w:p>
        </w:tc>
        <w:tc>
          <w:tcPr>
            <w:tcW w:w="3798" w:type="dxa"/>
            <w:tcBorders>
              <w:top w:val="nil"/>
              <w:left w:val="nil"/>
              <w:bottom w:val="nil"/>
              <w:right w:val="single" w:sz="4" w:space="0" w:color="000000"/>
            </w:tcBorders>
            <w:shd w:val="clear" w:color="000000" w:fill="FFFFFF"/>
            <w:hideMark/>
          </w:tcPr>
          <w:p w14:paraId="107EB47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Fondo Rotatorio del Consejo Nacional Electoral se creará y entrará en funcionamiento en un término no superior a dos (2) años. La representación legal estará a cargo del presidente de la Corporación o a quien la Sala Plena delegue. El recaudo proveniente de las sanciones pecuniarias y todo hecho generador por los servicios que preste la entidad, cuyo </w:t>
            </w:r>
            <w:r w:rsidRPr="00222F34">
              <w:rPr>
                <w:rFonts w:ascii="Calibri" w:eastAsia="Times New Roman" w:hAnsi="Calibri" w:cs="Calibri"/>
                <w:color w:val="000000"/>
                <w:lang w:val="es-CO" w:eastAsia="es-CO" w:bidi="ar-SA"/>
              </w:rPr>
              <w:lastRenderedPageBreak/>
              <w:t>destino no se prevea específicamente, ingresará al Fondo Rotatorio del Consejo Nacional Electoral, para su fortalecimiento.</w:t>
            </w:r>
          </w:p>
        </w:tc>
        <w:tc>
          <w:tcPr>
            <w:tcW w:w="1480" w:type="dxa"/>
            <w:tcBorders>
              <w:top w:val="nil"/>
              <w:left w:val="nil"/>
              <w:bottom w:val="nil"/>
              <w:right w:val="single" w:sz="4" w:space="0" w:color="000000"/>
            </w:tcBorders>
            <w:shd w:val="clear" w:color="000000" w:fill="FFFFFF"/>
            <w:hideMark/>
          </w:tcPr>
          <w:p w14:paraId="67DDF1B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0D49804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B4DBEA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tc>
        <w:tc>
          <w:tcPr>
            <w:tcW w:w="3798" w:type="dxa"/>
            <w:tcBorders>
              <w:top w:val="nil"/>
              <w:left w:val="nil"/>
              <w:bottom w:val="nil"/>
              <w:right w:val="single" w:sz="4" w:space="0" w:color="000000"/>
            </w:tcBorders>
            <w:shd w:val="clear" w:color="000000" w:fill="FFFFFF"/>
            <w:hideMark/>
          </w:tcPr>
          <w:p w14:paraId="309840B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tc>
        <w:tc>
          <w:tcPr>
            <w:tcW w:w="3798" w:type="dxa"/>
            <w:tcBorders>
              <w:top w:val="nil"/>
              <w:left w:val="nil"/>
              <w:bottom w:val="nil"/>
              <w:right w:val="single" w:sz="4" w:space="0" w:color="000000"/>
            </w:tcBorders>
            <w:shd w:val="clear" w:color="000000" w:fill="FFFFFF"/>
            <w:hideMark/>
          </w:tcPr>
          <w:p w14:paraId="5BF7BF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tc>
        <w:tc>
          <w:tcPr>
            <w:tcW w:w="1480" w:type="dxa"/>
            <w:tcBorders>
              <w:top w:val="nil"/>
              <w:left w:val="nil"/>
              <w:bottom w:val="nil"/>
              <w:right w:val="single" w:sz="4" w:space="0" w:color="000000"/>
            </w:tcBorders>
            <w:shd w:val="clear" w:color="000000" w:fill="FFFFFF"/>
            <w:hideMark/>
          </w:tcPr>
          <w:p w14:paraId="4A6E874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2B30C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57CAB51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Consejo Nacional Electoral continuará siendo parte de la junta directiva del Fondo Rotatorio de la Registraduría Nacional del Estado Civil hasta que se regule su propio Fondo. </w:t>
            </w:r>
          </w:p>
        </w:tc>
        <w:tc>
          <w:tcPr>
            <w:tcW w:w="3798" w:type="dxa"/>
            <w:tcBorders>
              <w:top w:val="nil"/>
              <w:left w:val="nil"/>
              <w:bottom w:val="single" w:sz="4" w:space="0" w:color="000000"/>
              <w:right w:val="single" w:sz="4" w:space="0" w:color="000000"/>
            </w:tcBorders>
            <w:shd w:val="clear" w:color="000000" w:fill="FFFFFF"/>
            <w:hideMark/>
          </w:tcPr>
          <w:p w14:paraId="16927E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Consejo Nacional Electoral continuará siendo parte de la junta directiva del Fondo Rotatorio de la Registraduría Nacional del Estado Civil hasta que se regule su propio Fondo.</w:t>
            </w:r>
          </w:p>
        </w:tc>
        <w:tc>
          <w:tcPr>
            <w:tcW w:w="3798" w:type="dxa"/>
            <w:tcBorders>
              <w:top w:val="nil"/>
              <w:left w:val="nil"/>
              <w:bottom w:val="single" w:sz="4" w:space="0" w:color="000000"/>
              <w:right w:val="single" w:sz="4" w:space="0" w:color="000000"/>
            </w:tcBorders>
            <w:shd w:val="clear" w:color="000000" w:fill="FFFFFF"/>
            <w:hideMark/>
          </w:tcPr>
          <w:p w14:paraId="0D13E4E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Consejo Nacional Electoral continuará siendo parte de la junta directiva del Fondo Rotatorio de la Registraduría Nacional del Estado Civil hasta que se regule su propio Fondo.</w:t>
            </w:r>
          </w:p>
        </w:tc>
        <w:tc>
          <w:tcPr>
            <w:tcW w:w="1480" w:type="dxa"/>
            <w:tcBorders>
              <w:top w:val="nil"/>
              <w:left w:val="nil"/>
              <w:bottom w:val="single" w:sz="4" w:space="0" w:color="000000"/>
              <w:right w:val="single" w:sz="4" w:space="0" w:color="000000"/>
            </w:tcBorders>
            <w:shd w:val="clear" w:color="000000" w:fill="FFFFFF"/>
            <w:hideMark/>
          </w:tcPr>
          <w:p w14:paraId="4F417B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B739A7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9FABE8B"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SEGUNDA</w:t>
            </w:r>
          </w:p>
        </w:tc>
        <w:tc>
          <w:tcPr>
            <w:tcW w:w="3798" w:type="dxa"/>
            <w:tcBorders>
              <w:top w:val="nil"/>
              <w:left w:val="nil"/>
              <w:bottom w:val="nil"/>
              <w:right w:val="single" w:sz="4" w:space="0" w:color="000000"/>
            </w:tcBorders>
            <w:shd w:val="clear" w:color="000000" w:fill="FFFFFF"/>
            <w:hideMark/>
          </w:tcPr>
          <w:p w14:paraId="236CD78E"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SEGUNDA</w:t>
            </w:r>
          </w:p>
        </w:tc>
        <w:tc>
          <w:tcPr>
            <w:tcW w:w="3798" w:type="dxa"/>
            <w:tcBorders>
              <w:top w:val="nil"/>
              <w:left w:val="nil"/>
              <w:bottom w:val="nil"/>
              <w:right w:val="single" w:sz="4" w:space="0" w:color="000000"/>
            </w:tcBorders>
            <w:shd w:val="clear" w:color="000000" w:fill="FFFFFF"/>
            <w:hideMark/>
          </w:tcPr>
          <w:p w14:paraId="21961C35"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SEGUNDA</w:t>
            </w:r>
          </w:p>
        </w:tc>
        <w:tc>
          <w:tcPr>
            <w:tcW w:w="1480" w:type="dxa"/>
            <w:tcBorders>
              <w:top w:val="nil"/>
              <w:left w:val="nil"/>
              <w:bottom w:val="nil"/>
              <w:right w:val="single" w:sz="4" w:space="0" w:color="000000"/>
            </w:tcBorders>
            <w:shd w:val="clear" w:color="000000" w:fill="FFFFFF"/>
            <w:hideMark/>
          </w:tcPr>
          <w:p w14:paraId="16C4EAE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F14507E"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CF9DA8A"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 SOBRE LA IDENTIFICACIÓN DE LAS PERSONAS</w:t>
            </w:r>
          </w:p>
        </w:tc>
        <w:tc>
          <w:tcPr>
            <w:tcW w:w="3798" w:type="dxa"/>
            <w:tcBorders>
              <w:top w:val="nil"/>
              <w:left w:val="nil"/>
              <w:bottom w:val="single" w:sz="4" w:space="0" w:color="000000"/>
              <w:right w:val="single" w:sz="4" w:space="0" w:color="000000"/>
            </w:tcBorders>
            <w:shd w:val="clear" w:color="000000" w:fill="FFFFFF"/>
            <w:hideMark/>
          </w:tcPr>
          <w:p w14:paraId="5841BE04"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 SOBRE LA IDENTIFICACIÓN DE LAS PERSONAS</w:t>
            </w:r>
          </w:p>
        </w:tc>
        <w:tc>
          <w:tcPr>
            <w:tcW w:w="3798" w:type="dxa"/>
            <w:tcBorders>
              <w:top w:val="nil"/>
              <w:left w:val="nil"/>
              <w:bottom w:val="single" w:sz="4" w:space="0" w:color="000000"/>
              <w:right w:val="single" w:sz="4" w:space="0" w:color="000000"/>
            </w:tcBorders>
            <w:shd w:val="clear" w:color="000000" w:fill="FFFFFF"/>
            <w:hideMark/>
          </w:tcPr>
          <w:p w14:paraId="6D239025"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 SOBRE LA IDENTIFICACIÓN DE LAS PERSONAS</w:t>
            </w:r>
          </w:p>
        </w:tc>
        <w:tc>
          <w:tcPr>
            <w:tcW w:w="1480" w:type="dxa"/>
            <w:tcBorders>
              <w:top w:val="nil"/>
              <w:left w:val="nil"/>
              <w:bottom w:val="single" w:sz="4" w:space="0" w:color="000000"/>
              <w:right w:val="single" w:sz="4" w:space="0" w:color="000000"/>
            </w:tcBorders>
            <w:shd w:val="clear" w:color="000000" w:fill="FFFFFF"/>
            <w:hideMark/>
          </w:tcPr>
          <w:p w14:paraId="085DBC7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DA8E03"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9609FC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23.- Inscripción de providencias o actos administrativos debidamente ejecutoriados.</w:t>
            </w:r>
            <w:r w:rsidRPr="00222F34">
              <w:rPr>
                <w:rFonts w:ascii="Calibri" w:eastAsia="Times New Roman" w:hAnsi="Calibri" w:cs="Calibri"/>
                <w:color w:val="000000"/>
                <w:lang w:val="es-CO" w:eastAsia="es-CO" w:bidi="ar-SA"/>
              </w:rPr>
              <w:t xml:space="preserve">  Los jueces o funcionarios administrativos que resuelvan asuntos que afecten el estado civil de las personas, tendrán la obligación de remitir copia de la providencia o del acto administrativo debidamente ejecutoriado a cualquier oficina de registro civil para que se haga la respectiva inscripción, en un plazo no mayor a 10 días o en el plazo que determine la providencia. </w:t>
            </w:r>
          </w:p>
        </w:tc>
        <w:tc>
          <w:tcPr>
            <w:tcW w:w="3798" w:type="dxa"/>
            <w:tcBorders>
              <w:top w:val="nil"/>
              <w:left w:val="nil"/>
              <w:bottom w:val="nil"/>
              <w:right w:val="single" w:sz="4" w:space="0" w:color="000000"/>
            </w:tcBorders>
            <w:shd w:val="clear" w:color="00FF00" w:fill="FFFFFF"/>
            <w:hideMark/>
          </w:tcPr>
          <w:p w14:paraId="2ADE83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 Inscripción de providencias o actos administrativos debidamente ejecutoriados</w:t>
            </w:r>
            <w:r w:rsidRPr="00222F34">
              <w:rPr>
                <w:rFonts w:ascii="Calibri" w:eastAsia="Times New Roman" w:hAnsi="Calibri" w:cs="Calibri"/>
                <w:color w:val="000000"/>
                <w:lang w:val="es-CO" w:eastAsia="es-CO" w:bidi="ar-SA"/>
              </w:rPr>
              <w:t>. Los jueces funcionarios públicos o notarios que resuelvan asuntos que afecten el estado civil de las personas, tendrán la obligación de remitir copia de la providencia, del acto administrativo o notarial debidamente ejecutoriado a cualquier oficina de registro civil para que se haga la respectiva inscripción, en un plazo no mayor a 10 días o en el plazo que determine la providencia.</w:t>
            </w:r>
          </w:p>
        </w:tc>
        <w:tc>
          <w:tcPr>
            <w:tcW w:w="3798" w:type="dxa"/>
            <w:tcBorders>
              <w:top w:val="nil"/>
              <w:left w:val="nil"/>
              <w:bottom w:val="nil"/>
              <w:right w:val="single" w:sz="4" w:space="0" w:color="000000"/>
            </w:tcBorders>
            <w:shd w:val="clear" w:color="000000" w:fill="FFFFFF"/>
            <w:hideMark/>
          </w:tcPr>
          <w:p w14:paraId="35625A1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 Inscripción de providencias o actos administrativos debidamente ejecutoriados.</w:t>
            </w:r>
            <w:r w:rsidRPr="00222F34">
              <w:rPr>
                <w:rFonts w:ascii="Calibri" w:eastAsia="Times New Roman" w:hAnsi="Calibri" w:cs="Calibri"/>
                <w:color w:val="000000"/>
                <w:lang w:val="es-CO" w:eastAsia="es-CO" w:bidi="ar-SA"/>
              </w:rPr>
              <w:t xml:space="preserve">  Los jueces o funcionarios administrativos que resuelvan asuntos que afecten el estado civil de las personas, tendrán la obligación de remitir copia de la providencia o del acto administrativo debidamente ejecutoriado a cualquier oficina de registro civil para que se haga la respectiva inscripción, en un plazo no mayor a 10 días o en el plazo que determine la providencia. </w:t>
            </w:r>
          </w:p>
        </w:tc>
        <w:tc>
          <w:tcPr>
            <w:tcW w:w="1480" w:type="dxa"/>
            <w:tcBorders>
              <w:top w:val="nil"/>
              <w:left w:val="nil"/>
              <w:bottom w:val="nil"/>
              <w:right w:val="single" w:sz="4" w:space="0" w:color="000000"/>
            </w:tcBorders>
            <w:shd w:val="clear" w:color="000000" w:fill="FFFFFF"/>
            <w:hideMark/>
          </w:tcPr>
          <w:p w14:paraId="1927970D" w14:textId="0AECE4E3"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04829618"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4186DD1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jueces o funcionarios administrativos que resuelvan asuntos que afecten el estado civil de las personas deberán interoperar para remitir en línea la información, garantizando su actualización permanente, de acuerdo con los procedimientos establecidos por la Registraduría Nacional del Estado Civil para tal fin. </w:t>
            </w:r>
          </w:p>
        </w:tc>
        <w:tc>
          <w:tcPr>
            <w:tcW w:w="3798" w:type="dxa"/>
            <w:tcBorders>
              <w:top w:val="nil"/>
              <w:left w:val="nil"/>
              <w:bottom w:val="single" w:sz="4" w:space="0" w:color="000000"/>
              <w:right w:val="single" w:sz="4" w:space="0" w:color="000000"/>
            </w:tcBorders>
            <w:shd w:val="clear" w:color="00FF00" w:fill="FFFFFF"/>
            <w:hideMark/>
          </w:tcPr>
          <w:p w14:paraId="6DDC603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jueces funcionarios públicos o notarios que resuelvan asuntos que afecten el estado civil de las personas deberán interoperar para remitir en línea la información, garantizando su actualización permanente, de acuerdo con los procedimientos establecidos por la Registraduría Nacional del Estado Civil para tal fin.</w:t>
            </w:r>
          </w:p>
        </w:tc>
        <w:tc>
          <w:tcPr>
            <w:tcW w:w="3798" w:type="dxa"/>
            <w:tcBorders>
              <w:top w:val="nil"/>
              <w:left w:val="nil"/>
              <w:bottom w:val="single" w:sz="4" w:space="0" w:color="000000"/>
              <w:right w:val="single" w:sz="4" w:space="0" w:color="000000"/>
            </w:tcBorders>
            <w:shd w:val="clear" w:color="000000" w:fill="FFFFFF"/>
            <w:hideMark/>
          </w:tcPr>
          <w:p w14:paraId="3A642C4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jueces o funcionarios administrativos que resuelvan asuntos que afecten el estado civil de las personas deberán interoperar para remitir en línea la información, garantizando su actualización permanente, de acuerdo con los procedimientos establecidos por la Registraduría Nacional del Estado Civil para tal fin. </w:t>
            </w:r>
          </w:p>
        </w:tc>
        <w:tc>
          <w:tcPr>
            <w:tcW w:w="1480" w:type="dxa"/>
            <w:tcBorders>
              <w:top w:val="nil"/>
              <w:left w:val="nil"/>
              <w:bottom w:val="single" w:sz="4" w:space="0" w:color="000000"/>
              <w:right w:val="single" w:sz="4" w:space="0" w:color="000000"/>
            </w:tcBorders>
            <w:shd w:val="clear" w:color="000000" w:fill="FFFFFF"/>
            <w:hideMark/>
          </w:tcPr>
          <w:p w14:paraId="30032A8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28EE5F6"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20C4DA8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3B0055A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 Uso de tecnologías para la actualización de la base de datos de registro civil. </w:t>
            </w:r>
            <w:r w:rsidRPr="00222F34">
              <w:rPr>
                <w:rFonts w:ascii="Calibri" w:eastAsia="Times New Roman" w:hAnsi="Calibri" w:cs="Calibri"/>
                <w:color w:val="000000"/>
                <w:lang w:val="es-CO" w:eastAsia="es-CO" w:bidi="ar-SA"/>
              </w:rPr>
              <w:t>La Registraduría Nacional del Estado Civil propenderá por el uso de mecanismos tecnológicos que permitan la actualización permanente del registro civil.</w:t>
            </w:r>
          </w:p>
        </w:tc>
        <w:tc>
          <w:tcPr>
            <w:tcW w:w="3798" w:type="dxa"/>
            <w:tcBorders>
              <w:top w:val="nil"/>
              <w:left w:val="nil"/>
              <w:bottom w:val="nil"/>
              <w:right w:val="single" w:sz="4" w:space="0" w:color="000000"/>
            </w:tcBorders>
            <w:shd w:val="clear" w:color="000000" w:fill="FFFFFF"/>
            <w:hideMark/>
          </w:tcPr>
          <w:p w14:paraId="16E2644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 Uso de tecnologías para la actualización de la base de datos de registro civil. </w:t>
            </w:r>
            <w:r w:rsidRPr="00222F34">
              <w:rPr>
                <w:rFonts w:ascii="Calibri" w:eastAsia="Times New Roman" w:hAnsi="Calibri" w:cs="Calibri"/>
                <w:color w:val="000000"/>
                <w:lang w:val="es-CO" w:eastAsia="es-CO" w:bidi="ar-SA"/>
              </w:rPr>
              <w:t>La Registraduría Nacional del Estado Civil propenderá por el uso de mecanismos tecnológicos que permitan la actualización permanente del registro civil.</w:t>
            </w:r>
          </w:p>
        </w:tc>
        <w:tc>
          <w:tcPr>
            <w:tcW w:w="1480" w:type="dxa"/>
            <w:tcBorders>
              <w:top w:val="nil"/>
              <w:left w:val="nil"/>
              <w:bottom w:val="single" w:sz="4" w:space="0" w:color="000000"/>
              <w:right w:val="single" w:sz="4" w:space="0" w:color="000000"/>
            </w:tcBorders>
            <w:shd w:val="clear" w:color="000000" w:fill="FFFFFF"/>
            <w:hideMark/>
          </w:tcPr>
          <w:p w14:paraId="062E8AC9" w14:textId="0E9D1C60"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755E287D" w14:textId="77777777" w:rsidTr="00222F34">
        <w:trPr>
          <w:trHeight w:val="900"/>
        </w:trPr>
        <w:tc>
          <w:tcPr>
            <w:tcW w:w="3798" w:type="dxa"/>
            <w:tcBorders>
              <w:top w:val="single" w:sz="4" w:space="0" w:color="000000"/>
              <w:left w:val="single" w:sz="4" w:space="0" w:color="000000"/>
              <w:bottom w:val="nil"/>
              <w:right w:val="single" w:sz="4" w:space="0" w:color="000000"/>
            </w:tcBorders>
            <w:shd w:val="clear" w:color="000000" w:fill="FFFFFF"/>
            <w:hideMark/>
          </w:tcPr>
          <w:p w14:paraId="7F18D6E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24.</w:t>
            </w:r>
            <w:r w:rsidRPr="00222F34">
              <w:rPr>
                <w:rFonts w:ascii="Calibri" w:eastAsia="Times New Roman" w:hAnsi="Calibri" w:cs="Calibri"/>
                <w:color w:val="000000"/>
                <w:lang w:val="es-CO" w:eastAsia="es-CO" w:bidi="ar-SA"/>
              </w:rPr>
              <w:t xml:space="preserve">- </w:t>
            </w:r>
            <w:r w:rsidRPr="00222F34">
              <w:rPr>
                <w:rFonts w:ascii="Calibri" w:eastAsia="Times New Roman" w:hAnsi="Calibri" w:cs="Calibri"/>
                <w:b/>
                <w:bCs/>
                <w:color w:val="000000"/>
                <w:lang w:val="es-CO" w:eastAsia="es-CO" w:bidi="ar-SA"/>
              </w:rPr>
              <w:t>Documento antecedente para la inscripción del nacimiento.</w:t>
            </w:r>
            <w:r w:rsidRPr="00222F34">
              <w:rPr>
                <w:rFonts w:ascii="Calibri" w:eastAsia="Times New Roman" w:hAnsi="Calibri" w:cs="Calibri"/>
                <w:color w:val="000000"/>
                <w:lang w:val="es-CO" w:eastAsia="es-CO" w:bidi="ar-SA"/>
              </w:rPr>
              <w:t xml:space="preserve"> El nacimiento de las personas se acreditará ante el funcionario encargado de llevar el registro del estado civil mediante: </w:t>
            </w:r>
          </w:p>
        </w:tc>
        <w:tc>
          <w:tcPr>
            <w:tcW w:w="3798" w:type="dxa"/>
            <w:tcBorders>
              <w:top w:val="single" w:sz="4" w:space="0" w:color="000000"/>
              <w:left w:val="nil"/>
              <w:bottom w:val="nil"/>
              <w:right w:val="single" w:sz="4" w:space="0" w:color="000000"/>
            </w:tcBorders>
            <w:shd w:val="clear" w:color="00FF00" w:fill="FFFFFF"/>
            <w:hideMark/>
          </w:tcPr>
          <w:p w14:paraId="76F908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 Documento antecedente para la inscripción del nacimiento.</w:t>
            </w:r>
            <w:r w:rsidRPr="00222F34">
              <w:rPr>
                <w:rFonts w:ascii="Calibri" w:eastAsia="Times New Roman" w:hAnsi="Calibri" w:cs="Calibri"/>
                <w:color w:val="000000"/>
                <w:lang w:val="es-CO" w:eastAsia="es-CO" w:bidi="ar-SA"/>
              </w:rPr>
              <w:t xml:space="preserve"> El nacimiento de las personas se acreditará ante el funcionario encargado de llevar el registro del estado civil mediante:</w:t>
            </w:r>
          </w:p>
        </w:tc>
        <w:tc>
          <w:tcPr>
            <w:tcW w:w="3798" w:type="dxa"/>
            <w:tcBorders>
              <w:top w:val="single" w:sz="4" w:space="0" w:color="000000"/>
              <w:left w:val="nil"/>
              <w:bottom w:val="nil"/>
              <w:right w:val="single" w:sz="4" w:space="0" w:color="000000"/>
            </w:tcBorders>
            <w:shd w:val="clear" w:color="00FF00" w:fill="FFFFFF"/>
            <w:hideMark/>
          </w:tcPr>
          <w:p w14:paraId="4AD372D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 Documento antecedente para la inscripción del nacimiento.</w:t>
            </w:r>
            <w:r w:rsidRPr="00222F34">
              <w:rPr>
                <w:rFonts w:ascii="Calibri" w:eastAsia="Times New Roman" w:hAnsi="Calibri" w:cs="Calibri"/>
                <w:color w:val="000000"/>
                <w:lang w:val="es-CO" w:eastAsia="es-CO" w:bidi="ar-SA"/>
              </w:rPr>
              <w:t xml:space="preserve"> El nacimiento de las personas se acreditará ante el funcionario encargado de llevar el registro del estado civil mediante:</w:t>
            </w:r>
          </w:p>
        </w:tc>
        <w:tc>
          <w:tcPr>
            <w:tcW w:w="1480" w:type="dxa"/>
            <w:tcBorders>
              <w:top w:val="nil"/>
              <w:left w:val="nil"/>
              <w:bottom w:val="nil"/>
              <w:right w:val="single" w:sz="4" w:space="0" w:color="000000"/>
            </w:tcBorders>
            <w:shd w:val="clear" w:color="000000" w:fill="FFFFFF"/>
            <w:hideMark/>
          </w:tcPr>
          <w:p w14:paraId="2CE8ADBE" w14:textId="5797C1B3"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64496A0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84434C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Certificado médico de nacido vivo debidamente diligenciado y firmado por del profesional de la salud que atienda el hecho vital. </w:t>
            </w:r>
          </w:p>
        </w:tc>
        <w:tc>
          <w:tcPr>
            <w:tcW w:w="3798" w:type="dxa"/>
            <w:tcBorders>
              <w:top w:val="nil"/>
              <w:left w:val="nil"/>
              <w:bottom w:val="nil"/>
              <w:right w:val="single" w:sz="4" w:space="0" w:color="000000"/>
            </w:tcBorders>
            <w:shd w:val="clear" w:color="00FF00" w:fill="FFFFFF"/>
            <w:hideMark/>
          </w:tcPr>
          <w:p w14:paraId="2BA9896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Certificado médico de nacido vivo debidamente diligenciado y firmado por del profesional de la salud que atienda el hecho vital. </w:t>
            </w:r>
          </w:p>
        </w:tc>
        <w:tc>
          <w:tcPr>
            <w:tcW w:w="3798" w:type="dxa"/>
            <w:tcBorders>
              <w:top w:val="nil"/>
              <w:left w:val="nil"/>
              <w:bottom w:val="nil"/>
              <w:right w:val="single" w:sz="4" w:space="0" w:color="000000"/>
            </w:tcBorders>
            <w:shd w:val="clear" w:color="00FF00" w:fill="FFFFFF"/>
            <w:hideMark/>
          </w:tcPr>
          <w:p w14:paraId="220885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Certificado médico de nacido vivo debidamente diligenciado y firmado por del profesional de la salud que atienda el hecho vital. </w:t>
            </w:r>
          </w:p>
        </w:tc>
        <w:tc>
          <w:tcPr>
            <w:tcW w:w="1480" w:type="dxa"/>
            <w:tcBorders>
              <w:top w:val="nil"/>
              <w:left w:val="nil"/>
              <w:bottom w:val="nil"/>
              <w:right w:val="single" w:sz="4" w:space="0" w:color="000000"/>
            </w:tcBorders>
            <w:shd w:val="clear" w:color="000000" w:fill="FFFFFF"/>
            <w:hideMark/>
          </w:tcPr>
          <w:p w14:paraId="3BFC976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772FE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F74F13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Cédulas de ciudadanía.</w:t>
            </w:r>
          </w:p>
        </w:tc>
        <w:tc>
          <w:tcPr>
            <w:tcW w:w="3798" w:type="dxa"/>
            <w:tcBorders>
              <w:top w:val="nil"/>
              <w:left w:val="nil"/>
              <w:bottom w:val="nil"/>
              <w:right w:val="single" w:sz="4" w:space="0" w:color="000000"/>
            </w:tcBorders>
            <w:shd w:val="clear" w:color="00FF00" w:fill="FFFFFF"/>
            <w:hideMark/>
          </w:tcPr>
          <w:p w14:paraId="7457D6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Cédulas de ciudadanía.</w:t>
            </w:r>
          </w:p>
        </w:tc>
        <w:tc>
          <w:tcPr>
            <w:tcW w:w="3798" w:type="dxa"/>
            <w:tcBorders>
              <w:top w:val="nil"/>
              <w:left w:val="nil"/>
              <w:bottom w:val="nil"/>
              <w:right w:val="single" w:sz="4" w:space="0" w:color="000000"/>
            </w:tcBorders>
            <w:shd w:val="clear" w:color="00FF00" w:fill="FFFFFF"/>
            <w:hideMark/>
          </w:tcPr>
          <w:p w14:paraId="68DC2D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Cédulas de ciudadanía.</w:t>
            </w:r>
          </w:p>
        </w:tc>
        <w:tc>
          <w:tcPr>
            <w:tcW w:w="1480" w:type="dxa"/>
            <w:tcBorders>
              <w:top w:val="nil"/>
              <w:left w:val="nil"/>
              <w:bottom w:val="nil"/>
              <w:right w:val="single" w:sz="4" w:space="0" w:color="000000"/>
            </w:tcBorders>
            <w:shd w:val="clear" w:color="000000" w:fill="FFFFFF"/>
            <w:hideMark/>
          </w:tcPr>
          <w:p w14:paraId="61D0B3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C0F40E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D746C6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Sentencias de adopción.</w:t>
            </w:r>
          </w:p>
        </w:tc>
        <w:tc>
          <w:tcPr>
            <w:tcW w:w="3798" w:type="dxa"/>
            <w:tcBorders>
              <w:top w:val="nil"/>
              <w:left w:val="nil"/>
              <w:bottom w:val="nil"/>
              <w:right w:val="single" w:sz="4" w:space="0" w:color="000000"/>
            </w:tcBorders>
            <w:shd w:val="clear" w:color="00FF00" w:fill="FFFFFF"/>
            <w:hideMark/>
          </w:tcPr>
          <w:p w14:paraId="566EB46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Sentencias de adopción.</w:t>
            </w:r>
          </w:p>
        </w:tc>
        <w:tc>
          <w:tcPr>
            <w:tcW w:w="3798" w:type="dxa"/>
            <w:tcBorders>
              <w:top w:val="nil"/>
              <w:left w:val="nil"/>
              <w:bottom w:val="nil"/>
              <w:right w:val="single" w:sz="4" w:space="0" w:color="000000"/>
            </w:tcBorders>
            <w:shd w:val="clear" w:color="00FF00" w:fill="FFFFFF"/>
            <w:hideMark/>
          </w:tcPr>
          <w:p w14:paraId="700CCF1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Sentencias de adopción.</w:t>
            </w:r>
          </w:p>
        </w:tc>
        <w:tc>
          <w:tcPr>
            <w:tcW w:w="1480" w:type="dxa"/>
            <w:tcBorders>
              <w:top w:val="nil"/>
              <w:left w:val="nil"/>
              <w:bottom w:val="nil"/>
              <w:right w:val="single" w:sz="4" w:space="0" w:color="000000"/>
            </w:tcBorders>
            <w:shd w:val="clear" w:color="000000" w:fill="FFFFFF"/>
            <w:hideMark/>
          </w:tcPr>
          <w:p w14:paraId="36711A6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A020A3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03ABDE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Copia de las actas de las partidas parroquiales respecto de las personas bautizadas en el seno de la Iglesia Católica con certificación de competencia de quien celebra el acto o de las anotaciones de origen religioso correspondientes a personas de otros credos que tengan convenio de derecho público con el Estado Colombiano. </w:t>
            </w:r>
          </w:p>
        </w:tc>
        <w:tc>
          <w:tcPr>
            <w:tcW w:w="3798" w:type="dxa"/>
            <w:tcBorders>
              <w:top w:val="nil"/>
              <w:left w:val="nil"/>
              <w:bottom w:val="nil"/>
              <w:right w:val="single" w:sz="4" w:space="0" w:color="000000"/>
            </w:tcBorders>
            <w:shd w:val="clear" w:color="00FF00" w:fill="FFFFFF"/>
            <w:hideMark/>
          </w:tcPr>
          <w:p w14:paraId="48953AA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Copia de las actas de las partidas parroquiales respecto de las personas bautizadas en el seno de la Iglesia Católica con certificación de competencia de quien celebra el acto o de las anotaciones de origen religioso correspondientes a personas de otros credos que tengan convenio de derecho público con el Estado Colombiano. </w:t>
            </w:r>
          </w:p>
        </w:tc>
        <w:tc>
          <w:tcPr>
            <w:tcW w:w="3798" w:type="dxa"/>
            <w:tcBorders>
              <w:top w:val="nil"/>
              <w:left w:val="nil"/>
              <w:bottom w:val="nil"/>
              <w:right w:val="single" w:sz="4" w:space="0" w:color="000000"/>
            </w:tcBorders>
            <w:shd w:val="clear" w:color="00FF00" w:fill="FFFFFF"/>
            <w:hideMark/>
          </w:tcPr>
          <w:p w14:paraId="1FF75DA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Copia de las actas de las partidas parroquiales respecto de las personas bautizadas en el seno de la Iglesia Católica con certificación de competencia de quien celebra el acto o de las anotaciones de origen religioso correspondientes a personas de otros credos que tengan convenio de derecho público con el Estado Colombiano. </w:t>
            </w:r>
          </w:p>
        </w:tc>
        <w:tc>
          <w:tcPr>
            <w:tcW w:w="1480" w:type="dxa"/>
            <w:tcBorders>
              <w:top w:val="nil"/>
              <w:left w:val="nil"/>
              <w:bottom w:val="nil"/>
              <w:right w:val="single" w:sz="4" w:space="0" w:color="000000"/>
            </w:tcBorders>
            <w:shd w:val="clear" w:color="000000" w:fill="FFFFFF"/>
            <w:hideMark/>
          </w:tcPr>
          <w:p w14:paraId="6FCF97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2B3B09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B4E056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Orden de Defensor de Familia en el curso de un proceso de restablecimiento del derecho.  </w:t>
            </w:r>
          </w:p>
        </w:tc>
        <w:tc>
          <w:tcPr>
            <w:tcW w:w="3798" w:type="dxa"/>
            <w:tcBorders>
              <w:top w:val="nil"/>
              <w:left w:val="nil"/>
              <w:bottom w:val="nil"/>
              <w:right w:val="single" w:sz="4" w:space="0" w:color="000000"/>
            </w:tcBorders>
            <w:shd w:val="clear" w:color="00FF00" w:fill="FFFFFF"/>
            <w:hideMark/>
          </w:tcPr>
          <w:p w14:paraId="4B31B66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Orden de Defensor de Familia en el curso de un proceso de restablecimiento del derecho.  </w:t>
            </w:r>
          </w:p>
        </w:tc>
        <w:tc>
          <w:tcPr>
            <w:tcW w:w="3798" w:type="dxa"/>
            <w:tcBorders>
              <w:top w:val="nil"/>
              <w:left w:val="nil"/>
              <w:bottom w:val="nil"/>
              <w:right w:val="single" w:sz="4" w:space="0" w:color="000000"/>
            </w:tcBorders>
            <w:shd w:val="clear" w:color="00FF00" w:fill="FFFFFF"/>
            <w:hideMark/>
          </w:tcPr>
          <w:p w14:paraId="4D2E74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Orden de Defensor de Familia en el curso de un proceso de restablecimiento del derecho.  </w:t>
            </w:r>
          </w:p>
        </w:tc>
        <w:tc>
          <w:tcPr>
            <w:tcW w:w="1480" w:type="dxa"/>
            <w:tcBorders>
              <w:top w:val="nil"/>
              <w:left w:val="nil"/>
              <w:bottom w:val="nil"/>
              <w:right w:val="single" w:sz="4" w:space="0" w:color="000000"/>
            </w:tcBorders>
            <w:shd w:val="clear" w:color="000000" w:fill="FFFFFF"/>
            <w:hideMark/>
          </w:tcPr>
          <w:p w14:paraId="0A26847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05F63D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28ADDB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Resolución del Director Nacional de Registro Civil. </w:t>
            </w:r>
          </w:p>
        </w:tc>
        <w:tc>
          <w:tcPr>
            <w:tcW w:w="3798" w:type="dxa"/>
            <w:tcBorders>
              <w:top w:val="nil"/>
              <w:left w:val="nil"/>
              <w:bottom w:val="nil"/>
              <w:right w:val="single" w:sz="4" w:space="0" w:color="000000"/>
            </w:tcBorders>
            <w:shd w:val="clear" w:color="00FF00" w:fill="FFFFFF"/>
            <w:hideMark/>
          </w:tcPr>
          <w:p w14:paraId="646859D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Resolución del Director Nacional de Registro Civil. </w:t>
            </w:r>
          </w:p>
        </w:tc>
        <w:tc>
          <w:tcPr>
            <w:tcW w:w="3798" w:type="dxa"/>
            <w:tcBorders>
              <w:top w:val="nil"/>
              <w:left w:val="nil"/>
              <w:bottom w:val="nil"/>
              <w:right w:val="single" w:sz="4" w:space="0" w:color="000000"/>
            </w:tcBorders>
            <w:shd w:val="clear" w:color="00FF00" w:fill="FFFFFF"/>
            <w:hideMark/>
          </w:tcPr>
          <w:p w14:paraId="124AC1C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Resolución del Director Nacional de Registro Civil. </w:t>
            </w:r>
          </w:p>
        </w:tc>
        <w:tc>
          <w:tcPr>
            <w:tcW w:w="1480" w:type="dxa"/>
            <w:tcBorders>
              <w:top w:val="nil"/>
              <w:left w:val="nil"/>
              <w:bottom w:val="nil"/>
              <w:right w:val="single" w:sz="4" w:space="0" w:color="000000"/>
            </w:tcBorders>
            <w:shd w:val="clear" w:color="000000" w:fill="FFFFFF"/>
            <w:hideMark/>
          </w:tcPr>
          <w:p w14:paraId="58F9C0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3BEF5B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686CF6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Autorización expedida por la autoridad tradicional para la inscripción del nacimiento del integrante de la comunidad étnica. </w:t>
            </w:r>
          </w:p>
        </w:tc>
        <w:tc>
          <w:tcPr>
            <w:tcW w:w="3798" w:type="dxa"/>
            <w:tcBorders>
              <w:top w:val="nil"/>
              <w:left w:val="nil"/>
              <w:bottom w:val="nil"/>
              <w:right w:val="single" w:sz="4" w:space="0" w:color="000000"/>
            </w:tcBorders>
            <w:shd w:val="clear" w:color="00FF00" w:fill="FFFFFF"/>
            <w:hideMark/>
          </w:tcPr>
          <w:p w14:paraId="5CD087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Autorización expedida por la autoridad tradicional para la inscripción del nacimiento del integrante de la comunidad étnica. </w:t>
            </w:r>
          </w:p>
        </w:tc>
        <w:tc>
          <w:tcPr>
            <w:tcW w:w="3798" w:type="dxa"/>
            <w:tcBorders>
              <w:top w:val="nil"/>
              <w:left w:val="nil"/>
              <w:bottom w:val="nil"/>
              <w:right w:val="single" w:sz="4" w:space="0" w:color="000000"/>
            </w:tcBorders>
            <w:shd w:val="clear" w:color="00FF00" w:fill="FFFFFF"/>
            <w:hideMark/>
          </w:tcPr>
          <w:p w14:paraId="46D803A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Autorización expedida por la autoridad tradicional para la inscripción del nacimiento del integrante de la comunidad étnica. </w:t>
            </w:r>
          </w:p>
        </w:tc>
        <w:tc>
          <w:tcPr>
            <w:tcW w:w="1480" w:type="dxa"/>
            <w:tcBorders>
              <w:top w:val="nil"/>
              <w:left w:val="nil"/>
              <w:bottom w:val="nil"/>
              <w:right w:val="single" w:sz="4" w:space="0" w:color="000000"/>
            </w:tcBorders>
            <w:shd w:val="clear" w:color="000000" w:fill="FFFFFF"/>
            <w:hideMark/>
          </w:tcPr>
          <w:p w14:paraId="6810489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5EEEB7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FE66F2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Certificado expedido por partera. </w:t>
            </w:r>
          </w:p>
        </w:tc>
        <w:tc>
          <w:tcPr>
            <w:tcW w:w="3798" w:type="dxa"/>
            <w:tcBorders>
              <w:top w:val="nil"/>
              <w:left w:val="nil"/>
              <w:bottom w:val="nil"/>
              <w:right w:val="single" w:sz="4" w:space="0" w:color="000000"/>
            </w:tcBorders>
            <w:shd w:val="clear" w:color="00FF00" w:fill="FFFFFF"/>
            <w:hideMark/>
          </w:tcPr>
          <w:p w14:paraId="264267E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Certificado expedido por partera. </w:t>
            </w:r>
          </w:p>
        </w:tc>
        <w:tc>
          <w:tcPr>
            <w:tcW w:w="3798" w:type="dxa"/>
            <w:tcBorders>
              <w:top w:val="nil"/>
              <w:left w:val="nil"/>
              <w:bottom w:val="nil"/>
              <w:right w:val="single" w:sz="4" w:space="0" w:color="000000"/>
            </w:tcBorders>
            <w:shd w:val="clear" w:color="00FF00" w:fill="FFFFFF"/>
            <w:hideMark/>
          </w:tcPr>
          <w:p w14:paraId="5C981E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Certificado expedido por partera. </w:t>
            </w:r>
          </w:p>
        </w:tc>
        <w:tc>
          <w:tcPr>
            <w:tcW w:w="1480" w:type="dxa"/>
            <w:tcBorders>
              <w:top w:val="nil"/>
              <w:left w:val="nil"/>
              <w:bottom w:val="nil"/>
              <w:right w:val="single" w:sz="4" w:space="0" w:color="000000"/>
            </w:tcBorders>
            <w:shd w:val="clear" w:color="000000" w:fill="FFFFFF"/>
            <w:hideMark/>
          </w:tcPr>
          <w:p w14:paraId="52DA90B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5263CA2"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9CB068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La Registraduría Nacional del Estado Civil reglamentará el procedimiento para la certificación de nacimientos atendidos por parteras y la autorización para la inscripción del nacimiento expedida por las respectivas autoridades tradicionales étnicas. Para el efecto, concertará la reglamentación con los pueblos étnicos en un plazo máximo de doce (12) meses a partir de la entrada en vigencia de la presente ley. Se contará con el apoyo del Departamento Nacional de Estadística, DANE.</w:t>
            </w:r>
          </w:p>
        </w:tc>
        <w:tc>
          <w:tcPr>
            <w:tcW w:w="3798" w:type="dxa"/>
            <w:tcBorders>
              <w:top w:val="nil"/>
              <w:left w:val="nil"/>
              <w:bottom w:val="nil"/>
              <w:right w:val="single" w:sz="4" w:space="0" w:color="000000"/>
            </w:tcBorders>
            <w:shd w:val="clear" w:color="00FF00" w:fill="FFFFFF"/>
            <w:hideMark/>
          </w:tcPr>
          <w:p w14:paraId="5CC701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reglamentará el procedimiento para la certificación de nacimientos atendidos por parteras y la autorización para la inscripción del nacimiento expedida por las respectivas autoridades tradicionales étnicas.</w:t>
            </w:r>
          </w:p>
        </w:tc>
        <w:tc>
          <w:tcPr>
            <w:tcW w:w="3798" w:type="dxa"/>
            <w:tcBorders>
              <w:top w:val="nil"/>
              <w:left w:val="nil"/>
              <w:bottom w:val="nil"/>
              <w:right w:val="single" w:sz="4" w:space="0" w:color="000000"/>
            </w:tcBorders>
            <w:shd w:val="clear" w:color="00FF00" w:fill="FFFFFF"/>
            <w:hideMark/>
          </w:tcPr>
          <w:p w14:paraId="5980218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reglamentará el procedimiento para la certificación de nacimientos atendidos por parteras y la autorización para la inscripción del nacimiento expedida por las respectivas autoridades tradicionales étnicas.</w:t>
            </w:r>
          </w:p>
        </w:tc>
        <w:tc>
          <w:tcPr>
            <w:tcW w:w="1480" w:type="dxa"/>
            <w:tcBorders>
              <w:top w:val="nil"/>
              <w:left w:val="nil"/>
              <w:bottom w:val="nil"/>
              <w:right w:val="single" w:sz="4" w:space="0" w:color="000000"/>
            </w:tcBorders>
            <w:shd w:val="clear" w:color="000000" w:fill="FFFFFF"/>
            <w:hideMark/>
          </w:tcPr>
          <w:p w14:paraId="2393B8D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A060FA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6F105B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documento antecedente para la inscripción del nacimiento cuando el hecho haya ocurrido fuera del territorio nacional, será el respectivo registro civil extranjero, traducido y apostillado o legalizado, según corresponda.</w:t>
            </w:r>
          </w:p>
        </w:tc>
        <w:tc>
          <w:tcPr>
            <w:tcW w:w="3798" w:type="dxa"/>
            <w:tcBorders>
              <w:top w:val="nil"/>
              <w:left w:val="nil"/>
              <w:bottom w:val="nil"/>
              <w:right w:val="single" w:sz="4" w:space="0" w:color="000000"/>
            </w:tcBorders>
            <w:shd w:val="clear" w:color="00FF00" w:fill="FFFFFF"/>
            <w:hideMark/>
          </w:tcPr>
          <w:p w14:paraId="777528D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documento antecedente para la inscripción del nacimiento cuando el hecho haya ocurrido fuera del territorio nacional, será el respectivo registro civil extranjero, traducido y apostillado o legalizado, según corresponda.</w:t>
            </w:r>
          </w:p>
        </w:tc>
        <w:tc>
          <w:tcPr>
            <w:tcW w:w="3798" w:type="dxa"/>
            <w:tcBorders>
              <w:top w:val="nil"/>
              <w:left w:val="nil"/>
              <w:bottom w:val="nil"/>
              <w:right w:val="single" w:sz="4" w:space="0" w:color="000000"/>
            </w:tcBorders>
            <w:shd w:val="clear" w:color="00FF00" w:fill="FFFFFF"/>
            <w:hideMark/>
          </w:tcPr>
          <w:p w14:paraId="64AD183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documento antecedente para la inscripción del nacimiento cuando el hecho haya ocurrido fuera del territorio nacional, será el respectivo registro civil extranjero, traducido y apostillado o legalizado, según corresponda.</w:t>
            </w:r>
          </w:p>
        </w:tc>
        <w:tc>
          <w:tcPr>
            <w:tcW w:w="1480" w:type="dxa"/>
            <w:tcBorders>
              <w:top w:val="nil"/>
              <w:left w:val="nil"/>
              <w:bottom w:val="nil"/>
              <w:right w:val="single" w:sz="4" w:space="0" w:color="000000"/>
            </w:tcBorders>
            <w:shd w:val="clear" w:color="000000" w:fill="FFFFFF"/>
            <w:hideMark/>
          </w:tcPr>
          <w:p w14:paraId="5F8630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8C7ABD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59332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Al realizar la inscripción del nacimiento con base en registro civil extranjero, la información relativa a los nombres del inscrito se consignará tal como aparece en el documento antecedente. </w:t>
            </w:r>
          </w:p>
        </w:tc>
        <w:tc>
          <w:tcPr>
            <w:tcW w:w="3798" w:type="dxa"/>
            <w:tcBorders>
              <w:top w:val="nil"/>
              <w:left w:val="nil"/>
              <w:bottom w:val="nil"/>
              <w:right w:val="single" w:sz="4" w:space="0" w:color="000000"/>
            </w:tcBorders>
            <w:shd w:val="clear" w:color="00FF00" w:fill="FFFFFF"/>
            <w:hideMark/>
          </w:tcPr>
          <w:p w14:paraId="4B17EC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Al realizar la inscripción del nacimiento con base en registro civil extranjero, la información relativa a los nombres del inscrito se consignará tal como aparece en el documento antecedente.</w:t>
            </w:r>
          </w:p>
        </w:tc>
        <w:tc>
          <w:tcPr>
            <w:tcW w:w="3798" w:type="dxa"/>
            <w:tcBorders>
              <w:top w:val="nil"/>
              <w:left w:val="nil"/>
              <w:bottom w:val="nil"/>
              <w:right w:val="single" w:sz="4" w:space="0" w:color="000000"/>
            </w:tcBorders>
            <w:shd w:val="clear" w:color="00FF00" w:fill="FFFFFF"/>
            <w:hideMark/>
          </w:tcPr>
          <w:p w14:paraId="6FC6936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Al realizar la inscripción del nacimiento con base en registro civil extranjero, la información relativa a los nombres del inscrito se consignará tal como aparece en el documento antecedente.</w:t>
            </w:r>
          </w:p>
        </w:tc>
        <w:tc>
          <w:tcPr>
            <w:tcW w:w="1480" w:type="dxa"/>
            <w:tcBorders>
              <w:top w:val="nil"/>
              <w:left w:val="nil"/>
              <w:bottom w:val="nil"/>
              <w:right w:val="single" w:sz="4" w:space="0" w:color="000000"/>
            </w:tcBorders>
            <w:shd w:val="clear" w:color="000000" w:fill="FFFFFF"/>
            <w:hideMark/>
          </w:tcPr>
          <w:p w14:paraId="3011752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0E52AB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F180EB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los casos de filiación adoptiva el documento antecedente para la inscripción del nacimiento en el registro civil será la sentencia judicial en firme. </w:t>
            </w:r>
          </w:p>
        </w:tc>
        <w:tc>
          <w:tcPr>
            <w:tcW w:w="3798" w:type="dxa"/>
            <w:tcBorders>
              <w:top w:val="nil"/>
              <w:left w:val="nil"/>
              <w:bottom w:val="nil"/>
              <w:right w:val="single" w:sz="4" w:space="0" w:color="000000"/>
            </w:tcBorders>
            <w:shd w:val="clear" w:color="00FF00" w:fill="FFFFFF"/>
            <w:hideMark/>
          </w:tcPr>
          <w:p w14:paraId="28F8E0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En los casos de filiación adoptiva el documento antecedente para la inscripción del nacimiento en el registro civil será la sentencia judicial en firme.</w:t>
            </w:r>
          </w:p>
        </w:tc>
        <w:tc>
          <w:tcPr>
            <w:tcW w:w="3798" w:type="dxa"/>
            <w:tcBorders>
              <w:top w:val="nil"/>
              <w:left w:val="nil"/>
              <w:bottom w:val="nil"/>
              <w:right w:val="single" w:sz="4" w:space="0" w:color="000000"/>
            </w:tcBorders>
            <w:shd w:val="clear" w:color="00FF00" w:fill="FFFFFF"/>
            <w:hideMark/>
          </w:tcPr>
          <w:p w14:paraId="6ED09C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En los casos de filiación adoptiva el documento antecedente para la inscripción del nacimiento en el registro civil será la sentencia judicial en firme.</w:t>
            </w:r>
          </w:p>
        </w:tc>
        <w:tc>
          <w:tcPr>
            <w:tcW w:w="1480" w:type="dxa"/>
            <w:tcBorders>
              <w:top w:val="nil"/>
              <w:left w:val="nil"/>
              <w:bottom w:val="nil"/>
              <w:right w:val="single" w:sz="4" w:space="0" w:color="000000"/>
            </w:tcBorders>
            <w:shd w:val="clear" w:color="000000" w:fill="FFFFFF"/>
            <w:hideMark/>
          </w:tcPr>
          <w:p w14:paraId="541E13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0EA287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2A46CA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 </w:t>
            </w:r>
          </w:p>
        </w:tc>
        <w:tc>
          <w:tcPr>
            <w:tcW w:w="3798" w:type="dxa"/>
            <w:tcBorders>
              <w:top w:val="nil"/>
              <w:left w:val="nil"/>
              <w:bottom w:val="nil"/>
              <w:right w:val="single" w:sz="4" w:space="0" w:color="000000"/>
            </w:tcBorders>
            <w:shd w:val="clear" w:color="00FF00" w:fill="FFFFFF"/>
            <w:hideMark/>
          </w:tcPr>
          <w:p w14:paraId="48E9D32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w:t>
            </w:r>
          </w:p>
        </w:tc>
        <w:tc>
          <w:tcPr>
            <w:tcW w:w="3798" w:type="dxa"/>
            <w:tcBorders>
              <w:top w:val="nil"/>
              <w:left w:val="nil"/>
              <w:bottom w:val="nil"/>
              <w:right w:val="single" w:sz="4" w:space="0" w:color="000000"/>
            </w:tcBorders>
            <w:shd w:val="clear" w:color="00FF00" w:fill="FFFFFF"/>
            <w:hideMark/>
          </w:tcPr>
          <w:p w14:paraId="4D577D9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w:t>
            </w:r>
          </w:p>
        </w:tc>
        <w:tc>
          <w:tcPr>
            <w:tcW w:w="1480" w:type="dxa"/>
            <w:tcBorders>
              <w:top w:val="nil"/>
              <w:left w:val="nil"/>
              <w:bottom w:val="nil"/>
              <w:right w:val="single" w:sz="4" w:space="0" w:color="000000"/>
            </w:tcBorders>
            <w:shd w:val="clear" w:color="000000" w:fill="FFFFFF"/>
            <w:hideMark/>
          </w:tcPr>
          <w:p w14:paraId="307A5A6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49CB929"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121FF07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5. </w:t>
            </w:r>
            <w:r w:rsidRPr="00222F34">
              <w:rPr>
                <w:rFonts w:ascii="Calibri" w:eastAsia="Times New Roman" w:hAnsi="Calibri" w:cs="Calibri"/>
                <w:color w:val="000000"/>
                <w:lang w:val="es-CO" w:eastAsia="es-CO" w:bidi="ar-SA"/>
              </w:rPr>
              <w:t xml:space="preserve"> Para la inscripción del nacimiento de los miembros de pueblos indígenas, la información que se consigne en el Registro Civil de nacimiento deberá ser acorde con las formas y técnicas lingüísticas de cada pueblo con el fin de respetar la diversidad cultural y el derecho al autoreconocimiento. La Registraduría reglamentará los mecanismos idóneos y adecuados para su cumplimiento. La Registraduría expedirá la reglamentación en máximo doce (12) meses contados a partir de la entrada en vigencia de esta Ley.  Para su expedición, se deberán respetar los derechos fundamentales de las comunidades étnicas.</w:t>
            </w:r>
          </w:p>
        </w:tc>
        <w:tc>
          <w:tcPr>
            <w:tcW w:w="3798" w:type="dxa"/>
            <w:tcBorders>
              <w:top w:val="nil"/>
              <w:left w:val="nil"/>
              <w:bottom w:val="nil"/>
              <w:right w:val="single" w:sz="4" w:space="0" w:color="000000"/>
            </w:tcBorders>
            <w:shd w:val="clear" w:color="00FF00" w:fill="FFFFFF"/>
            <w:hideMark/>
          </w:tcPr>
          <w:p w14:paraId="6E57FF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Para la inscripción del nacimiento de los miembros de pueblos indígenas, la información que se consigne en el Registro Civil de nacimiento deberá ser acorde con las formas y técnicas lingüísticas de cada pueblo con el fin de respetar la diversidad cultural y el derecho al autoreconocimiento. La Registraduría reglamentará los mecanismos idóneos y adecuados para su cumplimiento. La Registraduría expedirá la reglamentación en máximo doce (12) meses contados a partir de la entrada en vigencia de esta Ley. Para su expedición, se deberán respetar los derechos fundamentales de las comunidades étnicas. En todo caso, se deberá garantizar los derechos de los grupos étnicos previstos en la constitución </w:t>
            </w:r>
            <w:r w:rsidRPr="00222F34">
              <w:rPr>
                <w:rFonts w:ascii="Calibri" w:eastAsia="Times New Roman" w:hAnsi="Calibri" w:cs="Calibri"/>
                <w:color w:val="000000"/>
                <w:lang w:val="es-CO" w:eastAsia="es-CO" w:bidi="ar-SA"/>
              </w:rPr>
              <w:lastRenderedPageBreak/>
              <w:t>política de 1991 y el convenio 169 de la OIT.</w:t>
            </w:r>
          </w:p>
        </w:tc>
        <w:tc>
          <w:tcPr>
            <w:tcW w:w="3798" w:type="dxa"/>
            <w:tcBorders>
              <w:top w:val="nil"/>
              <w:left w:val="nil"/>
              <w:bottom w:val="nil"/>
              <w:right w:val="single" w:sz="4" w:space="0" w:color="000000"/>
            </w:tcBorders>
            <w:shd w:val="clear" w:color="00FF00" w:fill="FFFFFF"/>
            <w:hideMark/>
          </w:tcPr>
          <w:p w14:paraId="40E8698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5</w:t>
            </w:r>
            <w:r w:rsidRPr="00222F34">
              <w:rPr>
                <w:rFonts w:ascii="Calibri" w:eastAsia="Times New Roman" w:hAnsi="Calibri" w:cs="Calibri"/>
                <w:color w:val="000000"/>
                <w:lang w:val="es-CO" w:eastAsia="es-CO" w:bidi="ar-SA"/>
              </w:rPr>
              <w:t xml:space="preserve">. Para la inscripción del nacimiento de los miembros de pueblos indígenas, la información que se consigne en el Registro Civil de nacimiento deberá ser acorde con las formas y técnicas lingüísticas de cada pueblo con el fin de respetar la diversidad cultural y el derecho al autoreconocimiento. La Registraduría reglamentará los mecanismos idóneos y adecuados para su cumplimiento. La Registraduría expedirá la reglamentación en máximo doce (12) meses contados a partir de la entrada en vigencia de esta Ley. Para su expedición, se deberán respetar los derechos fundamentales de las comunidades étnicas. En todo caso, se deberá garantizar los derechos de los grupos étnicos previstos en la constitución </w:t>
            </w:r>
            <w:r w:rsidRPr="00222F34">
              <w:rPr>
                <w:rFonts w:ascii="Calibri" w:eastAsia="Times New Roman" w:hAnsi="Calibri" w:cs="Calibri"/>
                <w:color w:val="000000"/>
                <w:lang w:val="es-CO" w:eastAsia="es-CO" w:bidi="ar-SA"/>
              </w:rPr>
              <w:lastRenderedPageBreak/>
              <w:t>política de 1991 y el convenio 169 de la OIT.</w:t>
            </w:r>
          </w:p>
        </w:tc>
        <w:tc>
          <w:tcPr>
            <w:tcW w:w="1480" w:type="dxa"/>
            <w:tcBorders>
              <w:top w:val="nil"/>
              <w:left w:val="nil"/>
              <w:bottom w:val="nil"/>
              <w:right w:val="single" w:sz="4" w:space="0" w:color="000000"/>
            </w:tcBorders>
            <w:shd w:val="clear" w:color="000000" w:fill="FFFFFF"/>
            <w:hideMark/>
          </w:tcPr>
          <w:p w14:paraId="2F2474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428FB8C9" w14:textId="77777777" w:rsidTr="00222F34">
        <w:trPr>
          <w:trHeight w:val="2400"/>
        </w:trPr>
        <w:tc>
          <w:tcPr>
            <w:tcW w:w="3798" w:type="dxa"/>
            <w:tcBorders>
              <w:top w:val="nil"/>
              <w:left w:val="single" w:sz="4" w:space="0" w:color="000000"/>
              <w:bottom w:val="nil"/>
              <w:right w:val="single" w:sz="4" w:space="0" w:color="000000"/>
            </w:tcBorders>
            <w:shd w:val="clear" w:color="FFC000" w:fill="FFFFFF"/>
            <w:hideMark/>
          </w:tcPr>
          <w:p w14:paraId="2B78291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 </w:t>
            </w:r>
          </w:p>
        </w:tc>
        <w:tc>
          <w:tcPr>
            <w:tcW w:w="3798" w:type="dxa"/>
            <w:tcBorders>
              <w:top w:val="nil"/>
              <w:left w:val="nil"/>
              <w:bottom w:val="nil"/>
              <w:right w:val="single" w:sz="4" w:space="0" w:color="000000"/>
            </w:tcBorders>
            <w:shd w:val="clear" w:color="00FF00" w:fill="FFFFFF"/>
            <w:hideMark/>
          </w:tcPr>
          <w:p w14:paraId="3BCD57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6.</w:t>
            </w:r>
            <w:r w:rsidRPr="00222F34">
              <w:rPr>
                <w:rFonts w:ascii="Calibri" w:eastAsia="Times New Roman" w:hAnsi="Calibri" w:cs="Calibri"/>
                <w:color w:val="000000"/>
                <w:lang w:val="es-CO" w:eastAsia="es-CO" w:bidi="ar-SA"/>
              </w:rPr>
              <w:t xml:space="preserve"> Para la inscripción del nacimiento de los miembros de los pueblos indígenas y de la comunidad palenquera o raizal, la Registraduría Nacional del Estado Civil reglamentará el procedimiento que deberá atender criterios diferenciales para asegurar su autoreconocimiento, formas tradicionales, diversidad cultural y derechos fundamentales de las comunidades étnicas en máximos doce(12) meses contados a partir de la entrada en vigencia de la presente ley. </w:t>
            </w:r>
          </w:p>
        </w:tc>
        <w:tc>
          <w:tcPr>
            <w:tcW w:w="3798" w:type="dxa"/>
            <w:tcBorders>
              <w:top w:val="nil"/>
              <w:left w:val="nil"/>
              <w:bottom w:val="nil"/>
              <w:right w:val="single" w:sz="4" w:space="0" w:color="000000"/>
            </w:tcBorders>
            <w:shd w:val="clear" w:color="00FF00" w:fill="FFFFFF"/>
            <w:hideMark/>
          </w:tcPr>
          <w:p w14:paraId="4F9C3B0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6.</w:t>
            </w:r>
            <w:r w:rsidRPr="00222F34">
              <w:rPr>
                <w:rFonts w:ascii="Calibri" w:eastAsia="Times New Roman" w:hAnsi="Calibri" w:cs="Calibri"/>
                <w:color w:val="000000"/>
                <w:lang w:val="es-CO" w:eastAsia="es-CO" w:bidi="ar-SA"/>
              </w:rPr>
              <w:t xml:space="preserve"> Para la inscripción del nacimiento de los miembros de los pueblos indígenas y de la comunidad palenquera o raizal, la Registraduría Nacional del Estado Civil reglamentará el procedimiento que deberá atender criterios diferenciales para asegurar su autoreconocimiento, formas tradicionales, diversidad cultural y derechos fundamentales de las comunidades étnicas en máximos doce(12) meses contados a partir de la entrada en vigencia de la presente ley. </w:t>
            </w:r>
          </w:p>
        </w:tc>
        <w:tc>
          <w:tcPr>
            <w:tcW w:w="1480" w:type="dxa"/>
            <w:tcBorders>
              <w:top w:val="nil"/>
              <w:left w:val="nil"/>
              <w:bottom w:val="single" w:sz="4" w:space="0" w:color="000000"/>
              <w:right w:val="single" w:sz="4" w:space="0" w:color="000000"/>
            </w:tcBorders>
            <w:shd w:val="clear" w:color="000000" w:fill="FFFFFF"/>
            <w:hideMark/>
          </w:tcPr>
          <w:p w14:paraId="3790A17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4B58BB5" w14:textId="77777777" w:rsidTr="00222F34">
        <w:trPr>
          <w:trHeight w:val="2400"/>
        </w:trPr>
        <w:tc>
          <w:tcPr>
            <w:tcW w:w="3798" w:type="dxa"/>
            <w:tcBorders>
              <w:top w:val="single" w:sz="4" w:space="0" w:color="auto"/>
              <w:left w:val="single" w:sz="4" w:space="0" w:color="000000"/>
              <w:bottom w:val="nil"/>
              <w:right w:val="single" w:sz="4" w:space="0" w:color="000000"/>
            </w:tcBorders>
            <w:shd w:val="clear" w:color="000000" w:fill="FFFFFF"/>
            <w:hideMark/>
          </w:tcPr>
          <w:p w14:paraId="1EB0CD5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25.- Administración y actualización de la base de datos del registro civil de defunción e inscripción oficiosa en el registro civil de defunción.</w:t>
            </w:r>
            <w:r w:rsidRPr="00222F34">
              <w:rPr>
                <w:rFonts w:ascii="Calibri" w:eastAsia="Times New Roman" w:hAnsi="Calibri" w:cs="Calibri"/>
                <w:color w:val="000000"/>
                <w:lang w:val="es-CO" w:eastAsia="es-CO" w:bidi="ar-SA"/>
              </w:rPr>
              <w:t xml:space="preserve"> La Registraduría Nacional del Estado Civil administrará la base de datos del Registro Civil de Defunción, la cual se actualizará con la información del Registro Único de Afiliados a la Protección Social – Nacimientos y Defunciones (RUAF-ND), administrado por el Ministerio de Salud y Protección Social y con la que remitan las notarías, los consulados, los registradores del estado civil y las demás autoridades encargadas de llevar el registro civil. </w:t>
            </w:r>
          </w:p>
        </w:tc>
        <w:tc>
          <w:tcPr>
            <w:tcW w:w="3798" w:type="dxa"/>
            <w:tcBorders>
              <w:top w:val="single" w:sz="4" w:space="0" w:color="auto"/>
              <w:left w:val="nil"/>
              <w:bottom w:val="nil"/>
              <w:right w:val="single" w:sz="4" w:space="0" w:color="000000"/>
            </w:tcBorders>
            <w:shd w:val="clear" w:color="000000" w:fill="FFFFFF"/>
            <w:hideMark/>
          </w:tcPr>
          <w:p w14:paraId="7FC23FA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28.- Administración y actualización de la base de datos del registro civil de defunción e inscripción oficiosa en el registro civil de defunción</w:t>
            </w:r>
            <w:r w:rsidRPr="00222F34">
              <w:rPr>
                <w:rFonts w:ascii="Calibri" w:eastAsia="Times New Roman" w:hAnsi="Calibri" w:cs="Calibri"/>
                <w:color w:val="000000"/>
                <w:lang w:val="es-CO" w:eastAsia="es-CO" w:bidi="ar-SA"/>
              </w:rPr>
              <w:t>. La Registraduría Nacional del Estado Civil administrará la base de datos del Registro Civil de Defunción, la cual se actualizará con la información del Registro Único de Afiliados a la Protección Social – Nacimientos y Defunciones (RUAF-ND), administrado por el Ministerio de Salud y Protección Social y con la que remitan las notarías, los consulados, los registradores del estado civil y las demás autoridades encargadas de llevar el registro civil.</w:t>
            </w:r>
          </w:p>
        </w:tc>
        <w:tc>
          <w:tcPr>
            <w:tcW w:w="3798" w:type="dxa"/>
            <w:tcBorders>
              <w:top w:val="single" w:sz="4" w:space="0" w:color="auto"/>
              <w:left w:val="nil"/>
              <w:bottom w:val="nil"/>
              <w:right w:val="single" w:sz="4" w:space="0" w:color="000000"/>
            </w:tcBorders>
            <w:shd w:val="clear" w:color="000000" w:fill="FFFFFF"/>
            <w:hideMark/>
          </w:tcPr>
          <w:p w14:paraId="5A1184B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28.- Administración y actualización de la base de datos del registro civil de defunción e inscripción oficiosa en el registro civil de defunción</w:t>
            </w:r>
            <w:r w:rsidRPr="00222F34">
              <w:rPr>
                <w:rFonts w:ascii="Calibri" w:eastAsia="Times New Roman" w:hAnsi="Calibri" w:cs="Calibri"/>
                <w:color w:val="000000"/>
                <w:lang w:val="es-CO" w:eastAsia="es-CO" w:bidi="ar-SA"/>
              </w:rPr>
              <w:t>. La Registraduría Nacional del Estado Civil administrará la base de datos del Registro Civil de Defunción, la cual se actualizará con la información del Registro Único de Afiliados a la Protección Social – Nacimientos y Defunciones (RUAF-ND), administrado por el Ministerio de Salud y Protección Social y con la que remitan las notarías, los consulados, los registradores del estado civil y las demás autoridades encargadas de llevar el registro civil.</w:t>
            </w:r>
          </w:p>
        </w:tc>
        <w:tc>
          <w:tcPr>
            <w:tcW w:w="1480" w:type="dxa"/>
            <w:tcBorders>
              <w:top w:val="nil"/>
              <w:left w:val="nil"/>
              <w:bottom w:val="nil"/>
              <w:right w:val="single" w:sz="4" w:space="0" w:color="000000"/>
            </w:tcBorders>
            <w:shd w:val="clear" w:color="000000" w:fill="FFFFFF"/>
            <w:hideMark/>
          </w:tcPr>
          <w:p w14:paraId="6D1E7684" w14:textId="7CCC238F"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2EFB94CD"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3BD6C0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autoridades o particulares que presten el servicio de Registro Civil deberán implementar los mecanismos tecnológicos necesarios para interoperar con la Registraduría Nacional del Estado Civil, a fin de reportar en tiempo real los registros civiles de defunción tramitados en sus dependencias los cuales se incorporarán a la base de datos. </w:t>
            </w:r>
          </w:p>
        </w:tc>
        <w:tc>
          <w:tcPr>
            <w:tcW w:w="3798" w:type="dxa"/>
            <w:tcBorders>
              <w:top w:val="nil"/>
              <w:left w:val="nil"/>
              <w:bottom w:val="nil"/>
              <w:right w:val="single" w:sz="4" w:space="0" w:color="000000"/>
            </w:tcBorders>
            <w:shd w:val="clear" w:color="000000" w:fill="FFFFFF"/>
            <w:hideMark/>
          </w:tcPr>
          <w:p w14:paraId="14E5469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o particulares que presten el servicio de Registro Civil deberán implementar los mecanismos tecnológicos necesarios para interoperar con la Registraduría Nacional del Estado Civil, a fin de reportar en tiempo real los registros civiles de defunción tramitados en sus dependencias los cuales se incorporarán a la base de datos.</w:t>
            </w:r>
          </w:p>
        </w:tc>
        <w:tc>
          <w:tcPr>
            <w:tcW w:w="3798" w:type="dxa"/>
            <w:tcBorders>
              <w:top w:val="nil"/>
              <w:left w:val="nil"/>
              <w:bottom w:val="nil"/>
              <w:right w:val="single" w:sz="4" w:space="0" w:color="000000"/>
            </w:tcBorders>
            <w:shd w:val="clear" w:color="000000" w:fill="FFFFFF"/>
            <w:hideMark/>
          </w:tcPr>
          <w:p w14:paraId="3AD2F69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o particulares que presten el servicio de Registro Civil deberán implementar los mecanismos tecnológicos necesarios para interoperar con la Registraduría Nacional del Estado Civil, a fin de reportar en tiempo real los registros civiles de defunción tramitados en sus dependencias los cuales se incorporarán a la base de datos.</w:t>
            </w:r>
          </w:p>
        </w:tc>
        <w:tc>
          <w:tcPr>
            <w:tcW w:w="1480" w:type="dxa"/>
            <w:tcBorders>
              <w:top w:val="nil"/>
              <w:left w:val="nil"/>
              <w:bottom w:val="nil"/>
              <w:right w:val="single" w:sz="4" w:space="0" w:color="000000"/>
            </w:tcBorders>
            <w:shd w:val="clear" w:color="000000" w:fill="FFFFFF"/>
            <w:hideMark/>
          </w:tcPr>
          <w:p w14:paraId="4A4AB48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1864706"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488517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efectuará las verificaciones pertinentes y cruzará, corregirá, cancelará, anulará e inscribirá de oficio y en línea los Registros Civiles de Defunción siendo el documento antecedente el certificado médico de defunción que se genera en el Módulo de Nacimientos y Defunciones del Registro Único de Afiliados a la Protección Social RUAF-ND, para mantener actualizadas las bases de datos de registro civil, identificación y electoral. </w:t>
            </w:r>
          </w:p>
        </w:tc>
        <w:tc>
          <w:tcPr>
            <w:tcW w:w="3798" w:type="dxa"/>
            <w:tcBorders>
              <w:top w:val="nil"/>
              <w:left w:val="nil"/>
              <w:bottom w:val="nil"/>
              <w:right w:val="single" w:sz="4" w:space="0" w:color="000000"/>
            </w:tcBorders>
            <w:shd w:val="clear" w:color="000000" w:fill="FFFFFF"/>
            <w:hideMark/>
          </w:tcPr>
          <w:p w14:paraId="7CA9352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efectuará las verificaciones pertinentes y cruzará, corregirá, cancelará, anulará e inscribirá de oficio y en línea los Registros Civiles de Defunción siendo el documento antecedente el certificado médico de defunción que se genera en el Módulo de Nacimientos y Defunciones del Registro Único de Afiliados a la Protección Social RUAF-ND, para mantener actualizadas las bases de datos de registro civil, identificación y electoral.</w:t>
            </w:r>
          </w:p>
        </w:tc>
        <w:tc>
          <w:tcPr>
            <w:tcW w:w="3798" w:type="dxa"/>
            <w:tcBorders>
              <w:top w:val="nil"/>
              <w:left w:val="nil"/>
              <w:bottom w:val="nil"/>
              <w:right w:val="single" w:sz="4" w:space="0" w:color="000000"/>
            </w:tcBorders>
            <w:shd w:val="clear" w:color="000000" w:fill="FFFFFF"/>
            <w:hideMark/>
          </w:tcPr>
          <w:p w14:paraId="02687E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efectuará las verificaciones pertinentes y cruzará, corregirá, cancelará, anulará e inscribirá de oficio y en línea los Registros Civiles de Defunción siendo el documento antecedente el certificado médico de defunción que se genera en el Módulo de Nacimientos y Defunciones del Registro Único de Afiliados a la Protección Social RUAF-ND, para mantener actualizadas las bases de datos de registro civil, identificación y electoral.</w:t>
            </w:r>
          </w:p>
        </w:tc>
        <w:tc>
          <w:tcPr>
            <w:tcW w:w="1480" w:type="dxa"/>
            <w:tcBorders>
              <w:top w:val="nil"/>
              <w:left w:val="nil"/>
              <w:bottom w:val="nil"/>
              <w:right w:val="single" w:sz="4" w:space="0" w:color="000000"/>
            </w:tcBorders>
            <w:shd w:val="clear" w:color="000000" w:fill="FFFFFF"/>
            <w:hideMark/>
          </w:tcPr>
          <w:p w14:paraId="7DD50DF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B607CB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75FB7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Instituto Nacional de Medicina Legal y Ciencias Forenses, utilizará como medios de identificación las huellas dactilares del fallecido, la información odontológica o su perfil genético. </w:t>
            </w:r>
          </w:p>
        </w:tc>
        <w:tc>
          <w:tcPr>
            <w:tcW w:w="3798" w:type="dxa"/>
            <w:tcBorders>
              <w:top w:val="nil"/>
              <w:left w:val="nil"/>
              <w:bottom w:val="nil"/>
              <w:right w:val="single" w:sz="4" w:space="0" w:color="000000"/>
            </w:tcBorders>
            <w:shd w:val="clear" w:color="000000" w:fill="FFFFFF"/>
            <w:hideMark/>
          </w:tcPr>
          <w:p w14:paraId="3E0504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Instituto Nacional de Medicina Legal y Ciencias Forenses, utilizará como medios de identificación las huellas dactilares del fallecido, la información odontológica o su perfil genético.</w:t>
            </w:r>
          </w:p>
        </w:tc>
        <w:tc>
          <w:tcPr>
            <w:tcW w:w="3798" w:type="dxa"/>
            <w:tcBorders>
              <w:top w:val="nil"/>
              <w:left w:val="nil"/>
              <w:bottom w:val="nil"/>
              <w:right w:val="single" w:sz="4" w:space="0" w:color="000000"/>
            </w:tcBorders>
            <w:shd w:val="clear" w:color="000000" w:fill="FFFFFF"/>
            <w:hideMark/>
          </w:tcPr>
          <w:p w14:paraId="6181502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Instituto Nacional de Medicina Legal y Ciencias Forenses, utilizará como medios de identificación las huellas dactilares del fallecido, la información odontológica o su perfil genético.</w:t>
            </w:r>
          </w:p>
        </w:tc>
        <w:tc>
          <w:tcPr>
            <w:tcW w:w="1480" w:type="dxa"/>
            <w:tcBorders>
              <w:top w:val="nil"/>
              <w:left w:val="nil"/>
              <w:bottom w:val="nil"/>
              <w:right w:val="single" w:sz="4" w:space="0" w:color="000000"/>
            </w:tcBorders>
            <w:shd w:val="clear" w:color="000000" w:fill="FFFFFF"/>
            <w:hideMark/>
          </w:tcPr>
          <w:p w14:paraId="38ED1C3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C81A4A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F9C5EC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reglamentará los procedimientos de administración y actualización de la base de datos del registro civil de defunción e inscripción oficiosa en el registro civil de defunción.  </w:t>
            </w:r>
          </w:p>
        </w:tc>
        <w:tc>
          <w:tcPr>
            <w:tcW w:w="3798" w:type="dxa"/>
            <w:tcBorders>
              <w:top w:val="nil"/>
              <w:left w:val="nil"/>
              <w:bottom w:val="nil"/>
              <w:right w:val="single" w:sz="4" w:space="0" w:color="000000"/>
            </w:tcBorders>
            <w:shd w:val="clear" w:color="000000" w:fill="FFFFFF"/>
            <w:hideMark/>
          </w:tcPr>
          <w:p w14:paraId="6CEDC9D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reglamentará los procedimientos de administración y actualización de la base de datos del registro civil de defunción e inscripción oficiosa en el registro civil de defunción.</w:t>
            </w:r>
          </w:p>
        </w:tc>
        <w:tc>
          <w:tcPr>
            <w:tcW w:w="3798" w:type="dxa"/>
            <w:tcBorders>
              <w:top w:val="nil"/>
              <w:left w:val="nil"/>
              <w:bottom w:val="nil"/>
              <w:right w:val="single" w:sz="4" w:space="0" w:color="000000"/>
            </w:tcBorders>
            <w:shd w:val="clear" w:color="000000" w:fill="FFFFFF"/>
            <w:hideMark/>
          </w:tcPr>
          <w:p w14:paraId="796548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reglamentará los procedimientos de administración y actualización de la base de datos del registro civil de defunción e inscripción oficiosa en el registro civil de defunción.</w:t>
            </w:r>
          </w:p>
        </w:tc>
        <w:tc>
          <w:tcPr>
            <w:tcW w:w="1480" w:type="dxa"/>
            <w:tcBorders>
              <w:top w:val="nil"/>
              <w:left w:val="nil"/>
              <w:bottom w:val="nil"/>
              <w:right w:val="single" w:sz="4" w:space="0" w:color="000000"/>
            </w:tcBorders>
            <w:shd w:val="clear" w:color="000000" w:fill="FFFFFF"/>
            <w:hideMark/>
          </w:tcPr>
          <w:p w14:paraId="3D9A1E1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278C82C"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7497B43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Con el fin de garantizar la confiabilidad y actualidad de la base de datos del Registro Civil de Defunción, cuando no existan medios tecnológicos, las funerarias y parques cementerios solo podrán inhumar o cremar personas </w:t>
            </w:r>
            <w:r w:rsidRPr="00222F34">
              <w:rPr>
                <w:rFonts w:ascii="Calibri" w:eastAsia="Times New Roman" w:hAnsi="Calibri" w:cs="Calibri"/>
                <w:color w:val="000000"/>
                <w:lang w:val="es-CO" w:eastAsia="es-CO" w:bidi="ar-SA"/>
              </w:rPr>
              <w:lastRenderedPageBreak/>
              <w:t xml:space="preserve">fallecidas cuando se acompañe el certificado médico de defunción en físico, el dictamen del Instituto de Medicina Legal y Ciencias Forenses o la orden de autoridad competente. </w:t>
            </w:r>
          </w:p>
        </w:tc>
        <w:tc>
          <w:tcPr>
            <w:tcW w:w="3798" w:type="dxa"/>
            <w:tcBorders>
              <w:top w:val="nil"/>
              <w:left w:val="nil"/>
              <w:bottom w:val="single" w:sz="4" w:space="0" w:color="000000"/>
              <w:right w:val="single" w:sz="4" w:space="0" w:color="000000"/>
            </w:tcBorders>
            <w:shd w:val="clear" w:color="000000" w:fill="FFFFFF"/>
            <w:hideMark/>
          </w:tcPr>
          <w:p w14:paraId="7AE9E91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2. </w:t>
            </w:r>
            <w:r w:rsidRPr="00222F34">
              <w:rPr>
                <w:rFonts w:ascii="Calibri" w:eastAsia="Times New Roman" w:hAnsi="Calibri" w:cs="Calibri"/>
                <w:color w:val="000000"/>
                <w:lang w:val="es-CO" w:eastAsia="es-CO" w:bidi="ar-SA"/>
              </w:rPr>
              <w:t xml:space="preserve">Con el fin de garantizar la confiabilidad y actualidad de la base de datos del Registro Civil de Defunción, cuando no existan medios tecnológicos, las funerarias y parques cementerios solo podrán inhumar o cremar personas </w:t>
            </w:r>
            <w:r w:rsidRPr="00222F34">
              <w:rPr>
                <w:rFonts w:ascii="Calibri" w:eastAsia="Times New Roman" w:hAnsi="Calibri" w:cs="Calibri"/>
                <w:color w:val="000000"/>
                <w:lang w:val="es-CO" w:eastAsia="es-CO" w:bidi="ar-SA"/>
              </w:rPr>
              <w:lastRenderedPageBreak/>
              <w:t>fallecidas cuando se acompañe el certificado médico de defunción en físico, el dictamen del Instituto de Medicina Legal y Ciencias Forenses o la orden de autoridad competente.</w:t>
            </w:r>
          </w:p>
        </w:tc>
        <w:tc>
          <w:tcPr>
            <w:tcW w:w="3798" w:type="dxa"/>
            <w:tcBorders>
              <w:top w:val="nil"/>
              <w:left w:val="nil"/>
              <w:bottom w:val="single" w:sz="4" w:space="0" w:color="000000"/>
              <w:right w:val="single" w:sz="4" w:space="0" w:color="000000"/>
            </w:tcBorders>
            <w:shd w:val="clear" w:color="000000" w:fill="FFFFFF"/>
            <w:hideMark/>
          </w:tcPr>
          <w:p w14:paraId="7A9EFC7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2. </w:t>
            </w:r>
            <w:r w:rsidRPr="00222F34">
              <w:rPr>
                <w:rFonts w:ascii="Calibri" w:eastAsia="Times New Roman" w:hAnsi="Calibri" w:cs="Calibri"/>
                <w:color w:val="000000"/>
                <w:lang w:val="es-CO" w:eastAsia="es-CO" w:bidi="ar-SA"/>
              </w:rPr>
              <w:t xml:space="preserve">Con el fin de garantizar la confiabilidad y actualidad de la base de datos del Registro Civil de Defunción, cuando no existan medios tecnológicos, las funerarias y parques cementerios solo podrán inhumar o cremar personas </w:t>
            </w:r>
            <w:r w:rsidRPr="00222F34">
              <w:rPr>
                <w:rFonts w:ascii="Calibri" w:eastAsia="Times New Roman" w:hAnsi="Calibri" w:cs="Calibri"/>
                <w:color w:val="000000"/>
                <w:lang w:val="es-CO" w:eastAsia="es-CO" w:bidi="ar-SA"/>
              </w:rPr>
              <w:lastRenderedPageBreak/>
              <w:t>fallecidas cuando se acompañe el certificado médico de defunción en físico, el dictamen del Instituto de Medicina Legal y Ciencias Forenses o la orden de autoridad competente.</w:t>
            </w:r>
          </w:p>
        </w:tc>
        <w:tc>
          <w:tcPr>
            <w:tcW w:w="1480" w:type="dxa"/>
            <w:tcBorders>
              <w:top w:val="nil"/>
              <w:left w:val="nil"/>
              <w:bottom w:val="single" w:sz="4" w:space="0" w:color="000000"/>
              <w:right w:val="single" w:sz="4" w:space="0" w:color="000000"/>
            </w:tcBorders>
            <w:shd w:val="clear" w:color="000000" w:fill="FFFFFF"/>
            <w:hideMark/>
          </w:tcPr>
          <w:p w14:paraId="4048C34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04FC48B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EA4151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26.- Documento de identificación personal.</w:t>
            </w:r>
            <w:r w:rsidRPr="00222F34">
              <w:rPr>
                <w:rFonts w:ascii="Calibri" w:eastAsia="Times New Roman" w:hAnsi="Calibri" w:cs="Calibri"/>
                <w:color w:val="000000"/>
                <w:lang w:val="es-CO" w:eastAsia="es-CO" w:bidi="ar-SA"/>
              </w:rPr>
              <w:t xml:space="preserve"> Los colombianos se identificarán y podrán autenticar su identidad en todos los actos civiles, políticos, judiciales y administrativos con el documento de identificación personal.  </w:t>
            </w:r>
          </w:p>
        </w:tc>
        <w:tc>
          <w:tcPr>
            <w:tcW w:w="3798" w:type="dxa"/>
            <w:tcBorders>
              <w:top w:val="nil"/>
              <w:left w:val="nil"/>
              <w:bottom w:val="nil"/>
              <w:right w:val="single" w:sz="4" w:space="0" w:color="000000"/>
            </w:tcBorders>
            <w:shd w:val="clear" w:color="FFC000" w:fill="FFFFFF"/>
            <w:hideMark/>
          </w:tcPr>
          <w:p w14:paraId="67CA6D7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eliminado.</w:t>
            </w:r>
          </w:p>
        </w:tc>
        <w:tc>
          <w:tcPr>
            <w:tcW w:w="3798" w:type="dxa"/>
            <w:vMerge w:val="restart"/>
            <w:tcBorders>
              <w:top w:val="nil"/>
              <w:left w:val="single" w:sz="4" w:space="0" w:color="000000"/>
              <w:bottom w:val="single" w:sz="4" w:space="0" w:color="000000"/>
              <w:right w:val="single" w:sz="4" w:space="0" w:color="000000"/>
            </w:tcBorders>
            <w:shd w:val="clear" w:color="FFC000" w:fill="FFFFFF"/>
            <w:hideMark/>
          </w:tcPr>
          <w:p w14:paraId="5BD68B6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0AFD7F2" w14:textId="2A0283FD"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05CDE6C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D7E5A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registrador Nacional del Estado Civil fijará las dimensiones y, características de seguridad de la cédula de ciudadanía y de la tarjeta de identidad o su equivalente funcional. La cédula de ciudadanía y la tarjeta de identidad podrán ser expedidas en formato digital, como equivalente funcional de estos documentos de identidad. </w:t>
            </w:r>
          </w:p>
        </w:tc>
        <w:tc>
          <w:tcPr>
            <w:tcW w:w="3798" w:type="dxa"/>
            <w:tcBorders>
              <w:top w:val="nil"/>
              <w:left w:val="nil"/>
              <w:bottom w:val="nil"/>
              <w:right w:val="single" w:sz="4" w:space="0" w:color="000000"/>
            </w:tcBorders>
            <w:shd w:val="clear" w:color="000000" w:fill="FFFFFF"/>
            <w:noWrap/>
            <w:vAlign w:val="bottom"/>
            <w:hideMark/>
          </w:tcPr>
          <w:p w14:paraId="5358B41F" w14:textId="77777777" w:rsidR="00222F34" w:rsidRPr="00222F34" w:rsidRDefault="00222F34" w:rsidP="00222F34">
            <w:pPr>
              <w:widowControl/>
              <w:autoSpaceDE/>
              <w:autoSpaceDN/>
              <w:jc w:val="left"/>
              <w:rPr>
                <w:rFonts w:ascii="Calibri" w:eastAsia="Times New Roman" w:hAnsi="Calibri" w:cs="Calibri"/>
                <w:lang w:val="es-CO" w:eastAsia="es-CO" w:bidi="ar-SA"/>
              </w:rPr>
            </w:pPr>
            <w:r w:rsidRPr="00222F34">
              <w:rPr>
                <w:rFonts w:ascii="Calibri" w:eastAsia="Times New Roman" w:hAnsi="Calibri" w:cs="Calibri"/>
                <w:lang w:val="es-CO" w:eastAsia="es-CO" w:bidi="ar-SA"/>
              </w:rPr>
              <w:t> </w:t>
            </w:r>
          </w:p>
        </w:tc>
        <w:tc>
          <w:tcPr>
            <w:tcW w:w="3798" w:type="dxa"/>
            <w:vMerge/>
            <w:tcBorders>
              <w:top w:val="nil"/>
              <w:left w:val="single" w:sz="4" w:space="0" w:color="000000"/>
              <w:bottom w:val="single" w:sz="4" w:space="0" w:color="000000"/>
              <w:right w:val="single" w:sz="4" w:space="0" w:color="000000"/>
            </w:tcBorders>
            <w:vAlign w:val="center"/>
            <w:hideMark/>
          </w:tcPr>
          <w:p w14:paraId="0D02DA9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p>
        </w:tc>
        <w:tc>
          <w:tcPr>
            <w:tcW w:w="1480" w:type="dxa"/>
            <w:tcBorders>
              <w:top w:val="nil"/>
              <w:left w:val="nil"/>
              <w:bottom w:val="nil"/>
              <w:right w:val="single" w:sz="4" w:space="0" w:color="000000"/>
            </w:tcBorders>
            <w:shd w:val="clear" w:color="000000" w:fill="FFFFFF"/>
            <w:hideMark/>
          </w:tcPr>
          <w:p w14:paraId="41877C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946D34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71A43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documento de identificación personal de los colombianos se elaborará con base en la captura y almacenamiento de los datos biográficos, biométricos y morfológicos que constituyen los elementos identificadores, asignando a cada colombiano un Número Único de Identificación Personal (NUIP) </w:t>
            </w:r>
          </w:p>
        </w:tc>
        <w:tc>
          <w:tcPr>
            <w:tcW w:w="3798" w:type="dxa"/>
            <w:tcBorders>
              <w:top w:val="nil"/>
              <w:left w:val="nil"/>
              <w:bottom w:val="nil"/>
              <w:right w:val="single" w:sz="4" w:space="0" w:color="000000"/>
            </w:tcBorders>
            <w:shd w:val="clear" w:color="000000" w:fill="FFFFFF"/>
            <w:noWrap/>
            <w:vAlign w:val="bottom"/>
            <w:hideMark/>
          </w:tcPr>
          <w:p w14:paraId="55AF44DC" w14:textId="77777777" w:rsidR="00222F34" w:rsidRPr="00222F34" w:rsidRDefault="00222F34" w:rsidP="00222F34">
            <w:pPr>
              <w:widowControl/>
              <w:autoSpaceDE/>
              <w:autoSpaceDN/>
              <w:jc w:val="left"/>
              <w:rPr>
                <w:rFonts w:ascii="Calibri" w:eastAsia="Times New Roman" w:hAnsi="Calibri" w:cs="Calibri"/>
                <w:lang w:val="es-CO" w:eastAsia="es-CO" w:bidi="ar-SA"/>
              </w:rPr>
            </w:pPr>
            <w:r w:rsidRPr="00222F34">
              <w:rPr>
                <w:rFonts w:ascii="Calibri" w:eastAsia="Times New Roman" w:hAnsi="Calibri" w:cs="Calibri"/>
                <w:lang w:val="es-CO" w:eastAsia="es-CO" w:bidi="ar-SA"/>
              </w:rPr>
              <w:t> </w:t>
            </w:r>
          </w:p>
        </w:tc>
        <w:tc>
          <w:tcPr>
            <w:tcW w:w="3798" w:type="dxa"/>
            <w:vMerge/>
            <w:tcBorders>
              <w:top w:val="nil"/>
              <w:left w:val="single" w:sz="4" w:space="0" w:color="000000"/>
              <w:bottom w:val="single" w:sz="4" w:space="0" w:color="000000"/>
              <w:right w:val="single" w:sz="4" w:space="0" w:color="000000"/>
            </w:tcBorders>
            <w:vAlign w:val="center"/>
            <w:hideMark/>
          </w:tcPr>
          <w:p w14:paraId="3FF180B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p>
        </w:tc>
        <w:tc>
          <w:tcPr>
            <w:tcW w:w="1480" w:type="dxa"/>
            <w:tcBorders>
              <w:top w:val="nil"/>
              <w:left w:val="nil"/>
              <w:bottom w:val="nil"/>
              <w:right w:val="single" w:sz="4" w:space="0" w:color="000000"/>
            </w:tcBorders>
            <w:shd w:val="clear" w:color="000000" w:fill="FFFFFF"/>
            <w:hideMark/>
          </w:tcPr>
          <w:p w14:paraId="2EE4C4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86D118F"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D2532D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w:t>
            </w:r>
            <w:r w:rsidRPr="00222F34">
              <w:rPr>
                <w:rFonts w:ascii="Calibri" w:eastAsia="Times New Roman" w:hAnsi="Calibri" w:cs="Calibri"/>
                <w:color w:val="000000"/>
                <w:lang w:val="es-CO" w:eastAsia="es-CO" w:bidi="ar-SA"/>
              </w:rPr>
              <w:t>La Registraduría Nacional del Estado Civil realizará e impulsará jornadas en territorios étnicos para que se expidan los documentos de identidad para los miembros de estas comunidades.</w:t>
            </w:r>
          </w:p>
        </w:tc>
        <w:tc>
          <w:tcPr>
            <w:tcW w:w="3798" w:type="dxa"/>
            <w:tcBorders>
              <w:top w:val="nil"/>
              <w:left w:val="nil"/>
              <w:bottom w:val="single" w:sz="4" w:space="0" w:color="000000"/>
              <w:right w:val="single" w:sz="4" w:space="0" w:color="000000"/>
            </w:tcBorders>
            <w:shd w:val="clear" w:color="000000" w:fill="FFFFFF"/>
            <w:noWrap/>
            <w:vAlign w:val="bottom"/>
            <w:hideMark/>
          </w:tcPr>
          <w:p w14:paraId="271B9A2D" w14:textId="77777777" w:rsidR="00222F34" w:rsidRPr="00222F34" w:rsidRDefault="00222F34" w:rsidP="00222F34">
            <w:pPr>
              <w:widowControl/>
              <w:autoSpaceDE/>
              <w:autoSpaceDN/>
              <w:jc w:val="left"/>
              <w:rPr>
                <w:rFonts w:ascii="Calibri" w:eastAsia="Times New Roman" w:hAnsi="Calibri" w:cs="Calibri"/>
                <w:lang w:val="es-CO" w:eastAsia="es-CO" w:bidi="ar-SA"/>
              </w:rPr>
            </w:pPr>
            <w:r w:rsidRPr="00222F34">
              <w:rPr>
                <w:rFonts w:ascii="Calibri" w:eastAsia="Times New Roman" w:hAnsi="Calibri" w:cs="Calibri"/>
                <w:lang w:val="es-CO" w:eastAsia="es-CO" w:bidi="ar-SA"/>
              </w:rPr>
              <w:t> </w:t>
            </w:r>
          </w:p>
        </w:tc>
        <w:tc>
          <w:tcPr>
            <w:tcW w:w="3798" w:type="dxa"/>
            <w:vMerge/>
            <w:tcBorders>
              <w:top w:val="nil"/>
              <w:left w:val="single" w:sz="4" w:space="0" w:color="000000"/>
              <w:bottom w:val="single" w:sz="4" w:space="0" w:color="000000"/>
              <w:right w:val="single" w:sz="4" w:space="0" w:color="000000"/>
            </w:tcBorders>
            <w:vAlign w:val="center"/>
            <w:hideMark/>
          </w:tcPr>
          <w:p w14:paraId="68F67BC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p>
        </w:tc>
        <w:tc>
          <w:tcPr>
            <w:tcW w:w="1480" w:type="dxa"/>
            <w:tcBorders>
              <w:top w:val="nil"/>
              <w:left w:val="nil"/>
              <w:bottom w:val="single" w:sz="4" w:space="0" w:color="000000"/>
              <w:right w:val="single" w:sz="4" w:space="0" w:color="000000"/>
            </w:tcBorders>
            <w:shd w:val="clear" w:color="000000" w:fill="FFFFFF"/>
            <w:hideMark/>
          </w:tcPr>
          <w:p w14:paraId="52F83D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70CA21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B47479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27.- Tipos de documentos de identificación personal.</w:t>
            </w:r>
            <w:r w:rsidRPr="00222F34">
              <w:rPr>
                <w:rFonts w:ascii="Calibri" w:eastAsia="Times New Roman" w:hAnsi="Calibri" w:cs="Calibri"/>
                <w:color w:val="000000"/>
                <w:lang w:val="es-CO" w:eastAsia="es-CO" w:bidi="ar-SA"/>
              </w:rPr>
              <w:t xml:space="preserve"> La Registraduría Nacional del Estado Civil expedirá el documento de identificación a los colombianos, que conforme a la edad será: </w:t>
            </w:r>
          </w:p>
        </w:tc>
        <w:tc>
          <w:tcPr>
            <w:tcW w:w="3798" w:type="dxa"/>
            <w:tcBorders>
              <w:top w:val="nil"/>
              <w:left w:val="nil"/>
              <w:bottom w:val="nil"/>
              <w:right w:val="single" w:sz="4" w:space="0" w:color="000000"/>
            </w:tcBorders>
            <w:shd w:val="clear" w:color="000000" w:fill="FFFFFF"/>
            <w:hideMark/>
          </w:tcPr>
          <w:p w14:paraId="6892E90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29. Tipos de documentos de identificación personal.</w:t>
            </w:r>
            <w:r w:rsidRPr="00222F34">
              <w:rPr>
                <w:rFonts w:ascii="Calibri" w:eastAsia="Times New Roman" w:hAnsi="Calibri" w:cs="Calibri"/>
                <w:color w:val="000000"/>
                <w:lang w:val="es-CO" w:eastAsia="es-CO" w:bidi="ar-SA"/>
              </w:rPr>
              <w:t xml:space="preserve"> La Registraduría Nacional del Estado Civil expedirá el documento de identificación a los colombianos, que conforme a la edad será:</w:t>
            </w:r>
          </w:p>
        </w:tc>
        <w:tc>
          <w:tcPr>
            <w:tcW w:w="3798" w:type="dxa"/>
            <w:tcBorders>
              <w:top w:val="nil"/>
              <w:left w:val="nil"/>
              <w:bottom w:val="nil"/>
              <w:right w:val="single" w:sz="4" w:space="0" w:color="000000"/>
            </w:tcBorders>
            <w:shd w:val="clear" w:color="000000" w:fill="FFFFFF"/>
            <w:hideMark/>
          </w:tcPr>
          <w:p w14:paraId="6702F56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29. Tipos de documentos de identificación personal.</w:t>
            </w:r>
            <w:r w:rsidRPr="00222F34">
              <w:rPr>
                <w:rFonts w:ascii="Calibri" w:eastAsia="Times New Roman" w:hAnsi="Calibri" w:cs="Calibri"/>
                <w:color w:val="000000"/>
                <w:lang w:val="es-CO" w:eastAsia="es-CO" w:bidi="ar-SA"/>
              </w:rPr>
              <w:t xml:space="preserve"> La Registraduría Nacional del Estado Civil expedirá el documento de identificación a los colombianos, que conforme a la edad será:</w:t>
            </w:r>
          </w:p>
        </w:tc>
        <w:tc>
          <w:tcPr>
            <w:tcW w:w="1480" w:type="dxa"/>
            <w:tcBorders>
              <w:top w:val="nil"/>
              <w:left w:val="nil"/>
              <w:bottom w:val="nil"/>
              <w:right w:val="single" w:sz="4" w:space="0" w:color="000000"/>
            </w:tcBorders>
            <w:shd w:val="clear" w:color="000000" w:fill="FFFFFF"/>
            <w:hideMark/>
          </w:tcPr>
          <w:p w14:paraId="778D6946" w14:textId="60608DD9"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5CCDA8A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AB3D3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Tarjeta de identidad desde los cero (0) años hasta cumplir dieciocho (18) años de edad. </w:t>
            </w:r>
          </w:p>
        </w:tc>
        <w:tc>
          <w:tcPr>
            <w:tcW w:w="3798" w:type="dxa"/>
            <w:tcBorders>
              <w:top w:val="nil"/>
              <w:left w:val="nil"/>
              <w:bottom w:val="nil"/>
              <w:right w:val="single" w:sz="4" w:space="0" w:color="000000"/>
            </w:tcBorders>
            <w:shd w:val="clear" w:color="000000" w:fill="FFFFFF"/>
            <w:hideMark/>
          </w:tcPr>
          <w:p w14:paraId="2FC2F2D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Tarjeta de identidad desde los cero (0) años hasta cumplir dieciocho (18) años de edad. </w:t>
            </w:r>
          </w:p>
        </w:tc>
        <w:tc>
          <w:tcPr>
            <w:tcW w:w="3798" w:type="dxa"/>
            <w:tcBorders>
              <w:top w:val="nil"/>
              <w:left w:val="nil"/>
              <w:bottom w:val="nil"/>
              <w:right w:val="single" w:sz="4" w:space="0" w:color="000000"/>
            </w:tcBorders>
            <w:shd w:val="clear" w:color="000000" w:fill="FFFFFF"/>
            <w:hideMark/>
          </w:tcPr>
          <w:p w14:paraId="64EAC75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Tarjeta de identidad desde los cero (0) años hasta cumplir dieciocho (18) años de edad. </w:t>
            </w:r>
          </w:p>
        </w:tc>
        <w:tc>
          <w:tcPr>
            <w:tcW w:w="1480" w:type="dxa"/>
            <w:tcBorders>
              <w:top w:val="nil"/>
              <w:left w:val="nil"/>
              <w:bottom w:val="nil"/>
              <w:right w:val="single" w:sz="4" w:space="0" w:color="000000"/>
            </w:tcBorders>
            <w:shd w:val="clear" w:color="000000" w:fill="FFFFFF"/>
            <w:hideMark/>
          </w:tcPr>
          <w:p w14:paraId="1DEE5F6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AFA563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8CB48F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Cédula de ciudadanía a partir de los dieciocho (18) años de edad. </w:t>
            </w:r>
          </w:p>
        </w:tc>
        <w:tc>
          <w:tcPr>
            <w:tcW w:w="3798" w:type="dxa"/>
            <w:tcBorders>
              <w:top w:val="nil"/>
              <w:left w:val="nil"/>
              <w:bottom w:val="nil"/>
              <w:right w:val="single" w:sz="4" w:space="0" w:color="000000"/>
            </w:tcBorders>
            <w:shd w:val="clear" w:color="000000" w:fill="FFFFFF"/>
            <w:hideMark/>
          </w:tcPr>
          <w:p w14:paraId="09BBC8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Cédula de ciudadanía a partir de los dieciocho (18) años de edad. </w:t>
            </w:r>
          </w:p>
        </w:tc>
        <w:tc>
          <w:tcPr>
            <w:tcW w:w="3798" w:type="dxa"/>
            <w:tcBorders>
              <w:top w:val="nil"/>
              <w:left w:val="nil"/>
              <w:bottom w:val="nil"/>
              <w:right w:val="single" w:sz="4" w:space="0" w:color="000000"/>
            </w:tcBorders>
            <w:shd w:val="clear" w:color="000000" w:fill="FFFFFF"/>
            <w:hideMark/>
          </w:tcPr>
          <w:p w14:paraId="03FD73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Cédula de ciudadanía a partir de los dieciocho (18) años de edad. </w:t>
            </w:r>
          </w:p>
        </w:tc>
        <w:tc>
          <w:tcPr>
            <w:tcW w:w="1480" w:type="dxa"/>
            <w:tcBorders>
              <w:top w:val="nil"/>
              <w:left w:val="nil"/>
              <w:bottom w:val="nil"/>
              <w:right w:val="single" w:sz="4" w:space="0" w:color="000000"/>
            </w:tcBorders>
            <w:shd w:val="clear" w:color="000000" w:fill="FFFFFF"/>
            <w:hideMark/>
          </w:tcPr>
          <w:p w14:paraId="2D4D567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5E28C0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0CB418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documentos de identificación cobijan los equivalentes funcionales electrónicos y/o digitales.  </w:t>
            </w:r>
          </w:p>
        </w:tc>
        <w:tc>
          <w:tcPr>
            <w:tcW w:w="3798" w:type="dxa"/>
            <w:tcBorders>
              <w:top w:val="nil"/>
              <w:left w:val="nil"/>
              <w:bottom w:val="nil"/>
              <w:right w:val="single" w:sz="4" w:space="0" w:color="000000"/>
            </w:tcBorders>
            <w:shd w:val="clear" w:color="000000" w:fill="FFFFFF"/>
            <w:hideMark/>
          </w:tcPr>
          <w:p w14:paraId="509E541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documentos de identificación cobijan los equivalentes funcionales electrónicos y/o digitales.  </w:t>
            </w:r>
          </w:p>
        </w:tc>
        <w:tc>
          <w:tcPr>
            <w:tcW w:w="3798" w:type="dxa"/>
            <w:tcBorders>
              <w:top w:val="nil"/>
              <w:left w:val="nil"/>
              <w:bottom w:val="nil"/>
              <w:right w:val="single" w:sz="4" w:space="0" w:color="000000"/>
            </w:tcBorders>
            <w:shd w:val="clear" w:color="000000" w:fill="FFFFFF"/>
            <w:hideMark/>
          </w:tcPr>
          <w:p w14:paraId="650D44C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documentos de identificación cobijan los equivalentes funcionales electrónicos y/o digitales.  </w:t>
            </w:r>
          </w:p>
        </w:tc>
        <w:tc>
          <w:tcPr>
            <w:tcW w:w="1480" w:type="dxa"/>
            <w:tcBorders>
              <w:top w:val="nil"/>
              <w:left w:val="nil"/>
              <w:bottom w:val="nil"/>
              <w:right w:val="single" w:sz="4" w:space="0" w:color="000000"/>
            </w:tcBorders>
            <w:shd w:val="clear" w:color="000000" w:fill="FFFFFF"/>
            <w:hideMark/>
          </w:tcPr>
          <w:p w14:paraId="491496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E83BBDB"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4F21D81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entidades públicas, entidades administrativas y privadas podrán solicitar la producción de documentos para acreditación institucional asumiendo el costo respectivo y de acuerdo con las condiciones jurídico técnicas definidas por la Registraduría Nacional del Estado Civil. </w:t>
            </w:r>
          </w:p>
        </w:tc>
        <w:tc>
          <w:tcPr>
            <w:tcW w:w="3798" w:type="dxa"/>
            <w:tcBorders>
              <w:top w:val="nil"/>
              <w:left w:val="nil"/>
              <w:bottom w:val="single" w:sz="4" w:space="0" w:color="000000"/>
              <w:right w:val="single" w:sz="4" w:space="0" w:color="000000"/>
            </w:tcBorders>
            <w:shd w:val="clear" w:color="000000" w:fill="FFFFFF"/>
            <w:hideMark/>
          </w:tcPr>
          <w:p w14:paraId="606B6FA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entidades públicas, entidades administrativas y privadas podrán solicitar la producción de documentos para acreditación institucional asumiendo el costo respectivo y de acuerdo con las condiciones jurídico técnicas definidas por la Registraduría Nacional del Estado Civil. </w:t>
            </w:r>
          </w:p>
        </w:tc>
        <w:tc>
          <w:tcPr>
            <w:tcW w:w="3798" w:type="dxa"/>
            <w:tcBorders>
              <w:top w:val="nil"/>
              <w:left w:val="nil"/>
              <w:bottom w:val="single" w:sz="4" w:space="0" w:color="000000"/>
              <w:right w:val="single" w:sz="4" w:space="0" w:color="000000"/>
            </w:tcBorders>
            <w:shd w:val="clear" w:color="000000" w:fill="FFFFFF"/>
            <w:hideMark/>
          </w:tcPr>
          <w:p w14:paraId="14A815B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entidades públicas, entidades administrativas y privadas podrán solicitar la producción de documentos para acreditación institucional asumiendo el costo respectivo y de acuerdo con las condiciones jurídico técnicas definidas por la Registraduría Nacional del Estado Civil. </w:t>
            </w:r>
          </w:p>
        </w:tc>
        <w:tc>
          <w:tcPr>
            <w:tcW w:w="1480" w:type="dxa"/>
            <w:tcBorders>
              <w:top w:val="nil"/>
              <w:left w:val="nil"/>
              <w:bottom w:val="single" w:sz="4" w:space="0" w:color="000000"/>
              <w:right w:val="single" w:sz="4" w:space="0" w:color="000000"/>
            </w:tcBorders>
            <w:shd w:val="clear" w:color="000000" w:fill="FFFFFF"/>
            <w:hideMark/>
          </w:tcPr>
          <w:p w14:paraId="0F55ED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CB51C1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ECAA14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28.- Documento base.</w:t>
            </w:r>
            <w:r w:rsidRPr="00222F34">
              <w:rPr>
                <w:rFonts w:ascii="Calibri" w:eastAsia="Times New Roman" w:hAnsi="Calibri" w:cs="Calibri"/>
                <w:color w:val="000000"/>
                <w:lang w:val="es-CO" w:eastAsia="es-CO" w:bidi="ar-SA"/>
              </w:rPr>
              <w:t xml:space="preserve"> La Tarjeta de Identidad y su equivalente funcional serán elaboradas y expedidas con base en el registro civil de nacimiento. </w:t>
            </w:r>
          </w:p>
        </w:tc>
        <w:tc>
          <w:tcPr>
            <w:tcW w:w="3798" w:type="dxa"/>
            <w:tcBorders>
              <w:top w:val="nil"/>
              <w:left w:val="nil"/>
              <w:bottom w:val="nil"/>
              <w:right w:val="single" w:sz="4" w:space="0" w:color="000000"/>
            </w:tcBorders>
            <w:shd w:val="clear" w:color="00FF00" w:fill="FFFFFF"/>
            <w:hideMark/>
          </w:tcPr>
          <w:p w14:paraId="4E9A80E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30. Documento base</w:t>
            </w:r>
            <w:r w:rsidRPr="00222F34">
              <w:rPr>
                <w:rFonts w:ascii="Calibri" w:eastAsia="Times New Roman" w:hAnsi="Calibri" w:cs="Calibri"/>
                <w:color w:val="000000"/>
                <w:lang w:val="es-CO" w:eastAsia="es-CO" w:bidi="ar-SA"/>
              </w:rPr>
              <w:t>. La Tarjeta de Identidad y su equivalente funcional serán elaboradas y expedidas con base en el registro civil de nacimiento.</w:t>
            </w:r>
          </w:p>
        </w:tc>
        <w:tc>
          <w:tcPr>
            <w:tcW w:w="3798" w:type="dxa"/>
            <w:tcBorders>
              <w:top w:val="nil"/>
              <w:left w:val="nil"/>
              <w:bottom w:val="nil"/>
              <w:right w:val="single" w:sz="4" w:space="0" w:color="000000"/>
            </w:tcBorders>
            <w:shd w:val="clear" w:color="00FF00" w:fill="FFFFFF"/>
            <w:hideMark/>
          </w:tcPr>
          <w:p w14:paraId="185002C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30. Documento base</w:t>
            </w:r>
            <w:r w:rsidRPr="00222F34">
              <w:rPr>
                <w:rFonts w:ascii="Calibri" w:eastAsia="Times New Roman" w:hAnsi="Calibri" w:cs="Calibri"/>
                <w:color w:val="000000"/>
                <w:lang w:val="es-CO" w:eastAsia="es-CO" w:bidi="ar-SA"/>
              </w:rPr>
              <w:t>. La Tarjeta de Identidad y su equivalente funcional serán elaboradas y expedidas con base en el registro civil de nacimiento.</w:t>
            </w:r>
          </w:p>
        </w:tc>
        <w:tc>
          <w:tcPr>
            <w:tcW w:w="1480" w:type="dxa"/>
            <w:tcBorders>
              <w:top w:val="nil"/>
              <w:left w:val="nil"/>
              <w:bottom w:val="nil"/>
              <w:right w:val="single" w:sz="4" w:space="0" w:color="000000"/>
            </w:tcBorders>
            <w:shd w:val="clear" w:color="000000" w:fill="FFFFFF"/>
            <w:hideMark/>
          </w:tcPr>
          <w:p w14:paraId="50872C23" w14:textId="14907F39"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y se corrige error de ortografía en el parágrafo.</w:t>
            </w:r>
          </w:p>
        </w:tc>
      </w:tr>
      <w:tr w:rsidR="00222F34" w:rsidRPr="00222F34" w14:paraId="048A43F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04B03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cédula de ciudadanía y su equivalente funcional serán elaboradas y expedidas con base en el registro civil de nacimiento o la tarjeta de identidad. </w:t>
            </w:r>
          </w:p>
        </w:tc>
        <w:tc>
          <w:tcPr>
            <w:tcW w:w="3798" w:type="dxa"/>
            <w:tcBorders>
              <w:top w:val="nil"/>
              <w:left w:val="nil"/>
              <w:bottom w:val="nil"/>
              <w:right w:val="single" w:sz="4" w:space="0" w:color="000000"/>
            </w:tcBorders>
            <w:shd w:val="clear" w:color="00FF00" w:fill="FFFFFF"/>
            <w:hideMark/>
          </w:tcPr>
          <w:p w14:paraId="7DE84D6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cédula de ciudadanía y su equivalente funcional serán elaboradas y expedidas con base en el registro civil de nacimiento o la tarjeta de identidad.</w:t>
            </w:r>
          </w:p>
        </w:tc>
        <w:tc>
          <w:tcPr>
            <w:tcW w:w="3798" w:type="dxa"/>
            <w:tcBorders>
              <w:top w:val="nil"/>
              <w:left w:val="nil"/>
              <w:bottom w:val="nil"/>
              <w:right w:val="single" w:sz="4" w:space="0" w:color="000000"/>
            </w:tcBorders>
            <w:shd w:val="clear" w:color="00FF00" w:fill="FFFFFF"/>
            <w:hideMark/>
          </w:tcPr>
          <w:p w14:paraId="53EE16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cédula de ciudadanía y su equivalente funcional serán elaboradas y expedidas con base en el registro civil de nacimiento o la tarjeta de identidad.</w:t>
            </w:r>
          </w:p>
        </w:tc>
        <w:tc>
          <w:tcPr>
            <w:tcW w:w="1480" w:type="dxa"/>
            <w:tcBorders>
              <w:top w:val="nil"/>
              <w:left w:val="nil"/>
              <w:bottom w:val="nil"/>
              <w:right w:val="single" w:sz="4" w:space="0" w:color="000000"/>
            </w:tcBorders>
            <w:shd w:val="clear" w:color="000000" w:fill="FFFFFF"/>
            <w:hideMark/>
          </w:tcPr>
          <w:p w14:paraId="6FED7AB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EC0A24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75ECB5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colombianos por adopción requieren carta de naturaleza o resolución de Inscripción, acompañada del acta de juramento correspondiente ante la autoridad competente. </w:t>
            </w:r>
          </w:p>
        </w:tc>
        <w:tc>
          <w:tcPr>
            <w:tcW w:w="3798" w:type="dxa"/>
            <w:tcBorders>
              <w:top w:val="nil"/>
              <w:left w:val="nil"/>
              <w:bottom w:val="nil"/>
              <w:right w:val="single" w:sz="4" w:space="0" w:color="000000"/>
            </w:tcBorders>
            <w:shd w:val="clear" w:color="00FF00" w:fill="FFFFFF"/>
            <w:hideMark/>
          </w:tcPr>
          <w:p w14:paraId="1AAB128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colombianos por adopción requieren carta de naturaleza o resolución de Inscripción, acompañada del acta de juramento correspondiente ante la autoridad competente.</w:t>
            </w:r>
          </w:p>
        </w:tc>
        <w:tc>
          <w:tcPr>
            <w:tcW w:w="3798" w:type="dxa"/>
            <w:tcBorders>
              <w:top w:val="nil"/>
              <w:left w:val="nil"/>
              <w:bottom w:val="nil"/>
              <w:right w:val="single" w:sz="4" w:space="0" w:color="000000"/>
            </w:tcBorders>
            <w:shd w:val="clear" w:color="00FF00" w:fill="FFFFFF"/>
            <w:hideMark/>
          </w:tcPr>
          <w:p w14:paraId="2FF1D98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colombianos por adopción requieren carta de naturaleza o resolución de Inscripción, acompañada del acta de juramento correspondiente ante la autoridad competente.</w:t>
            </w:r>
          </w:p>
        </w:tc>
        <w:tc>
          <w:tcPr>
            <w:tcW w:w="1480" w:type="dxa"/>
            <w:tcBorders>
              <w:top w:val="nil"/>
              <w:left w:val="nil"/>
              <w:bottom w:val="nil"/>
              <w:right w:val="single" w:sz="4" w:space="0" w:color="000000"/>
            </w:tcBorders>
            <w:shd w:val="clear" w:color="000000" w:fill="FFFFFF"/>
            <w:hideMark/>
          </w:tcPr>
          <w:p w14:paraId="6C32AA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3C94DF3"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FFC000" w:fill="FFFFFF"/>
            <w:hideMark/>
          </w:tcPr>
          <w:p w14:paraId="6F1FB00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single" w:sz="4" w:space="0" w:color="000000"/>
              <w:right w:val="single" w:sz="4" w:space="0" w:color="000000"/>
            </w:tcBorders>
            <w:shd w:val="clear" w:color="00FF00" w:fill="FFFFFF"/>
            <w:hideMark/>
          </w:tcPr>
          <w:p w14:paraId="2DAFE13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A partir de la sanción del presente Código, se dispondrá mediante acto administrativo de un plazo de seis (6) meses para la perdida de vigencia en el archivo nacional de identificación de las cédulas de ciudadanía blancas laminadas y cafés plastificadas no renovadas por los colombianos.</w:t>
            </w:r>
          </w:p>
        </w:tc>
        <w:tc>
          <w:tcPr>
            <w:tcW w:w="3798" w:type="dxa"/>
            <w:tcBorders>
              <w:top w:val="nil"/>
              <w:left w:val="nil"/>
              <w:bottom w:val="single" w:sz="4" w:space="0" w:color="000000"/>
              <w:right w:val="single" w:sz="4" w:space="0" w:color="000000"/>
            </w:tcBorders>
            <w:shd w:val="clear" w:color="00FF00" w:fill="FFFFFF"/>
            <w:hideMark/>
          </w:tcPr>
          <w:p w14:paraId="4F5FE68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A partir de la sanción del presente Código, se dispondrá mediante acto administrativo de un plazo de seis (6) meses para la </w:t>
            </w:r>
            <w:r w:rsidRPr="00222F34">
              <w:rPr>
                <w:rFonts w:ascii="Calibri" w:eastAsia="Times New Roman" w:hAnsi="Calibri" w:cs="Calibri"/>
                <w:strike/>
                <w:color w:val="000000"/>
                <w:lang w:val="es-CO" w:eastAsia="es-CO" w:bidi="ar-SA"/>
              </w:rPr>
              <w:t>perdida</w:t>
            </w:r>
            <w:r w:rsidRPr="00222F34">
              <w:rPr>
                <w:rFonts w:ascii="Calibri" w:eastAsia="Times New Roman" w:hAnsi="Calibri" w:cs="Calibri"/>
                <w:color w:val="000000"/>
                <w:lang w:val="es-CO" w:eastAsia="es-CO" w:bidi="ar-SA"/>
              </w:rPr>
              <w:t xml:space="preserve"> </w:t>
            </w:r>
            <w:r w:rsidRPr="00222F34">
              <w:rPr>
                <w:rFonts w:ascii="Calibri" w:eastAsia="Times New Roman" w:hAnsi="Calibri" w:cs="Calibri"/>
                <w:b/>
                <w:bCs/>
                <w:color w:val="000000"/>
                <w:u w:val="single"/>
                <w:lang w:val="es-CO" w:eastAsia="es-CO" w:bidi="ar-SA"/>
              </w:rPr>
              <w:t>pérdida</w:t>
            </w:r>
            <w:r w:rsidRPr="00222F34">
              <w:rPr>
                <w:rFonts w:ascii="Calibri" w:eastAsia="Times New Roman" w:hAnsi="Calibri" w:cs="Calibri"/>
                <w:color w:val="000000"/>
                <w:lang w:val="es-CO" w:eastAsia="es-CO" w:bidi="ar-SA"/>
              </w:rPr>
              <w:t xml:space="preserve"> de vigencia en el archivo nacional de identificación de las cédulas de ciudadanía blancas laminadas y cafés plastificadas no renovadas por los colombianos.</w:t>
            </w:r>
          </w:p>
        </w:tc>
        <w:tc>
          <w:tcPr>
            <w:tcW w:w="1480" w:type="dxa"/>
            <w:tcBorders>
              <w:top w:val="nil"/>
              <w:left w:val="nil"/>
              <w:bottom w:val="single" w:sz="4" w:space="0" w:color="000000"/>
              <w:right w:val="single" w:sz="4" w:space="0" w:color="000000"/>
            </w:tcBorders>
            <w:shd w:val="clear" w:color="000000" w:fill="FFFFFF"/>
            <w:hideMark/>
          </w:tcPr>
          <w:p w14:paraId="2D1AAF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CECDA90"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CC0638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29.- Causales de cancelación del documento de identidad.</w:t>
            </w:r>
            <w:r w:rsidRPr="00222F34">
              <w:rPr>
                <w:rFonts w:ascii="Calibri" w:eastAsia="Times New Roman" w:hAnsi="Calibri" w:cs="Calibri"/>
                <w:color w:val="000000"/>
                <w:lang w:val="es-CO" w:eastAsia="es-CO" w:bidi="ar-SA"/>
              </w:rPr>
              <w:t xml:space="preserve"> Son causales de cancelación de los documentos de identificación: </w:t>
            </w:r>
          </w:p>
        </w:tc>
        <w:tc>
          <w:tcPr>
            <w:tcW w:w="3798" w:type="dxa"/>
            <w:tcBorders>
              <w:top w:val="nil"/>
              <w:left w:val="nil"/>
              <w:bottom w:val="nil"/>
              <w:right w:val="single" w:sz="4" w:space="0" w:color="000000"/>
            </w:tcBorders>
            <w:shd w:val="clear" w:color="00FF00" w:fill="FFFFFF"/>
            <w:hideMark/>
          </w:tcPr>
          <w:p w14:paraId="4BB817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31. Causales de cancelación del documento de identidad</w:t>
            </w:r>
            <w:r w:rsidRPr="00222F34">
              <w:rPr>
                <w:rFonts w:ascii="Calibri" w:eastAsia="Times New Roman" w:hAnsi="Calibri" w:cs="Calibri"/>
                <w:color w:val="000000"/>
                <w:lang w:val="es-CO" w:eastAsia="es-CO" w:bidi="ar-SA"/>
              </w:rPr>
              <w:t>. Son causales de cancelación de los documentos de identificación:</w:t>
            </w:r>
          </w:p>
        </w:tc>
        <w:tc>
          <w:tcPr>
            <w:tcW w:w="3798" w:type="dxa"/>
            <w:tcBorders>
              <w:top w:val="nil"/>
              <w:left w:val="nil"/>
              <w:bottom w:val="nil"/>
              <w:right w:val="single" w:sz="4" w:space="0" w:color="000000"/>
            </w:tcBorders>
            <w:shd w:val="clear" w:color="00FF00" w:fill="FFFFFF"/>
            <w:hideMark/>
          </w:tcPr>
          <w:p w14:paraId="705FE1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31. Causales de cancelación del documento de identidad</w:t>
            </w:r>
            <w:r w:rsidRPr="00222F34">
              <w:rPr>
                <w:rFonts w:ascii="Calibri" w:eastAsia="Times New Roman" w:hAnsi="Calibri" w:cs="Calibri"/>
                <w:color w:val="000000"/>
                <w:lang w:val="es-CO" w:eastAsia="es-CO" w:bidi="ar-SA"/>
              </w:rPr>
              <w:t>. Son causales de cancelación de los documentos de identificación:</w:t>
            </w:r>
          </w:p>
        </w:tc>
        <w:tc>
          <w:tcPr>
            <w:tcW w:w="1480" w:type="dxa"/>
            <w:tcBorders>
              <w:top w:val="nil"/>
              <w:left w:val="nil"/>
              <w:bottom w:val="nil"/>
              <w:right w:val="single" w:sz="4" w:space="0" w:color="000000"/>
            </w:tcBorders>
            <w:shd w:val="clear" w:color="000000" w:fill="FFFFFF"/>
            <w:hideMark/>
          </w:tcPr>
          <w:p w14:paraId="29549535" w14:textId="3118AD00"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salvo en el parágrafo 3 que se acoge el aprobado por el Senado.</w:t>
            </w:r>
          </w:p>
        </w:tc>
      </w:tr>
      <w:tr w:rsidR="00222F34" w:rsidRPr="00222F34" w14:paraId="54EAFF1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58984A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Muerte del titular. </w:t>
            </w:r>
          </w:p>
        </w:tc>
        <w:tc>
          <w:tcPr>
            <w:tcW w:w="3798" w:type="dxa"/>
            <w:tcBorders>
              <w:top w:val="nil"/>
              <w:left w:val="nil"/>
              <w:bottom w:val="nil"/>
              <w:right w:val="single" w:sz="4" w:space="0" w:color="000000"/>
            </w:tcBorders>
            <w:shd w:val="clear" w:color="00FF00" w:fill="FFFFFF"/>
            <w:hideMark/>
          </w:tcPr>
          <w:p w14:paraId="57B2D94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Muerte del titular. </w:t>
            </w:r>
          </w:p>
        </w:tc>
        <w:tc>
          <w:tcPr>
            <w:tcW w:w="3798" w:type="dxa"/>
            <w:tcBorders>
              <w:top w:val="nil"/>
              <w:left w:val="nil"/>
              <w:bottom w:val="nil"/>
              <w:right w:val="single" w:sz="4" w:space="0" w:color="000000"/>
            </w:tcBorders>
            <w:shd w:val="clear" w:color="00FF00" w:fill="FFFFFF"/>
            <w:hideMark/>
          </w:tcPr>
          <w:p w14:paraId="034748A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Muerte del titular. </w:t>
            </w:r>
          </w:p>
        </w:tc>
        <w:tc>
          <w:tcPr>
            <w:tcW w:w="1480" w:type="dxa"/>
            <w:tcBorders>
              <w:top w:val="nil"/>
              <w:left w:val="nil"/>
              <w:bottom w:val="nil"/>
              <w:right w:val="single" w:sz="4" w:space="0" w:color="000000"/>
            </w:tcBorders>
            <w:shd w:val="clear" w:color="000000" w:fill="FFFFFF"/>
            <w:hideMark/>
          </w:tcPr>
          <w:p w14:paraId="60B9D9F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21DD38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64A097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Expedición de documento de identificación a un extranjero que no tenga carta de naturaleza o Resolución de inscripción. </w:t>
            </w:r>
          </w:p>
        </w:tc>
        <w:tc>
          <w:tcPr>
            <w:tcW w:w="3798" w:type="dxa"/>
            <w:tcBorders>
              <w:top w:val="nil"/>
              <w:left w:val="nil"/>
              <w:bottom w:val="nil"/>
              <w:right w:val="single" w:sz="4" w:space="0" w:color="000000"/>
            </w:tcBorders>
            <w:shd w:val="clear" w:color="00FF00" w:fill="FFFFFF"/>
            <w:hideMark/>
          </w:tcPr>
          <w:p w14:paraId="71595B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Expedición de documento de identificación a un extranjero que no tenga carta de naturaleza o Resolución de inscripción. </w:t>
            </w:r>
          </w:p>
        </w:tc>
        <w:tc>
          <w:tcPr>
            <w:tcW w:w="3798" w:type="dxa"/>
            <w:tcBorders>
              <w:top w:val="nil"/>
              <w:left w:val="nil"/>
              <w:bottom w:val="nil"/>
              <w:right w:val="single" w:sz="4" w:space="0" w:color="000000"/>
            </w:tcBorders>
            <w:shd w:val="clear" w:color="00FF00" w:fill="FFFFFF"/>
            <w:hideMark/>
          </w:tcPr>
          <w:p w14:paraId="0C1E6F4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Expedición de documento de identificación a un extranjero que no tenga carta de naturaleza o Resolución de inscripción. </w:t>
            </w:r>
          </w:p>
        </w:tc>
        <w:tc>
          <w:tcPr>
            <w:tcW w:w="1480" w:type="dxa"/>
            <w:tcBorders>
              <w:top w:val="nil"/>
              <w:left w:val="nil"/>
              <w:bottom w:val="nil"/>
              <w:right w:val="single" w:sz="4" w:space="0" w:color="000000"/>
            </w:tcBorders>
            <w:shd w:val="clear" w:color="000000" w:fill="FFFFFF"/>
            <w:hideMark/>
          </w:tcPr>
          <w:p w14:paraId="069F236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3B4A2F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D48A2D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Expedición de documento de identificación a una persona que no cumpla con la edad requerida. </w:t>
            </w:r>
          </w:p>
        </w:tc>
        <w:tc>
          <w:tcPr>
            <w:tcW w:w="3798" w:type="dxa"/>
            <w:tcBorders>
              <w:top w:val="nil"/>
              <w:left w:val="nil"/>
              <w:bottom w:val="nil"/>
              <w:right w:val="single" w:sz="4" w:space="0" w:color="000000"/>
            </w:tcBorders>
            <w:shd w:val="clear" w:color="00FF00" w:fill="FFFFFF"/>
            <w:hideMark/>
          </w:tcPr>
          <w:p w14:paraId="169C89F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Expedición de documento de identificación a una persona que no cumpla con la edad requerida. </w:t>
            </w:r>
          </w:p>
        </w:tc>
        <w:tc>
          <w:tcPr>
            <w:tcW w:w="3798" w:type="dxa"/>
            <w:tcBorders>
              <w:top w:val="nil"/>
              <w:left w:val="nil"/>
              <w:bottom w:val="nil"/>
              <w:right w:val="single" w:sz="4" w:space="0" w:color="000000"/>
            </w:tcBorders>
            <w:shd w:val="clear" w:color="00FF00" w:fill="FFFFFF"/>
            <w:hideMark/>
          </w:tcPr>
          <w:p w14:paraId="0E65C3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Expedición de documento de identificación a una persona que no cumpla con la edad requerida. </w:t>
            </w:r>
          </w:p>
        </w:tc>
        <w:tc>
          <w:tcPr>
            <w:tcW w:w="1480" w:type="dxa"/>
            <w:tcBorders>
              <w:top w:val="nil"/>
              <w:left w:val="nil"/>
              <w:bottom w:val="nil"/>
              <w:right w:val="single" w:sz="4" w:space="0" w:color="000000"/>
            </w:tcBorders>
            <w:shd w:val="clear" w:color="000000" w:fill="FFFFFF"/>
            <w:hideMark/>
          </w:tcPr>
          <w:p w14:paraId="7116D34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642529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3DC92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Perdida de la Nacionalidad para los colombianos por adopción.  </w:t>
            </w:r>
          </w:p>
        </w:tc>
        <w:tc>
          <w:tcPr>
            <w:tcW w:w="3798" w:type="dxa"/>
            <w:tcBorders>
              <w:top w:val="nil"/>
              <w:left w:val="nil"/>
              <w:bottom w:val="nil"/>
              <w:right w:val="single" w:sz="4" w:space="0" w:color="000000"/>
            </w:tcBorders>
            <w:shd w:val="clear" w:color="00FF00" w:fill="FFFFFF"/>
            <w:hideMark/>
          </w:tcPr>
          <w:p w14:paraId="0FEF2D9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Perdida de la Nacionalidad para los colombianos por adopción.  </w:t>
            </w:r>
          </w:p>
        </w:tc>
        <w:tc>
          <w:tcPr>
            <w:tcW w:w="3798" w:type="dxa"/>
            <w:tcBorders>
              <w:top w:val="nil"/>
              <w:left w:val="nil"/>
              <w:bottom w:val="nil"/>
              <w:right w:val="single" w:sz="4" w:space="0" w:color="000000"/>
            </w:tcBorders>
            <w:shd w:val="clear" w:color="00FF00" w:fill="FFFFFF"/>
            <w:hideMark/>
          </w:tcPr>
          <w:p w14:paraId="65B5228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Perdida de la Nacionalidad para los colombianos por adopción.  </w:t>
            </w:r>
          </w:p>
        </w:tc>
        <w:tc>
          <w:tcPr>
            <w:tcW w:w="1480" w:type="dxa"/>
            <w:tcBorders>
              <w:top w:val="nil"/>
              <w:left w:val="nil"/>
              <w:bottom w:val="nil"/>
              <w:right w:val="single" w:sz="4" w:space="0" w:color="000000"/>
            </w:tcBorders>
            <w:shd w:val="clear" w:color="000000" w:fill="FFFFFF"/>
            <w:hideMark/>
          </w:tcPr>
          <w:p w14:paraId="70FA1D4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524EB7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968037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Renuncia a la Nacionalidad. </w:t>
            </w:r>
          </w:p>
        </w:tc>
        <w:tc>
          <w:tcPr>
            <w:tcW w:w="3798" w:type="dxa"/>
            <w:tcBorders>
              <w:top w:val="nil"/>
              <w:left w:val="nil"/>
              <w:bottom w:val="nil"/>
              <w:right w:val="single" w:sz="4" w:space="0" w:color="000000"/>
            </w:tcBorders>
            <w:shd w:val="clear" w:color="00FF00" w:fill="FFFFFF"/>
            <w:hideMark/>
          </w:tcPr>
          <w:p w14:paraId="2659A91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Renuncia a la Nacionalidad. </w:t>
            </w:r>
          </w:p>
        </w:tc>
        <w:tc>
          <w:tcPr>
            <w:tcW w:w="3798" w:type="dxa"/>
            <w:tcBorders>
              <w:top w:val="nil"/>
              <w:left w:val="nil"/>
              <w:bottom w:val="nil"/>
              <w:right w:val="single" w:sz="4" w:space="0" w:color="000000"/>
            </w:tcBorders>
            <w:shd w:val="clear" w:color="00FF00" w:fill="FFFFFF"/>
            <w:hideMark/>
          </w:tcPr>
          <w:p w14:paraId="58B804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Renuncia a la Nacionalidad. </w:t>
            </w:r>
          </w:p>
        </w:tc>
        <w:tc>
          <w:tcPr>
            <w:tcW w:w="1480" w:type="dxa"/>
            <w:tcBorders>
              <w:top w:val="nil"/>
              <w:left w:val="nil"/>
              <w:bottom w:val="nil"/>
              <w:right w:val="single" w:sz="4" w:space="0" w:color="000000"/>
            </w:tcBorders>
            <w:shd w:val="clear" w:color="000000" w:fill="FFFFFF"/>
            <w:hideMark/>
          </w:tcPr>
          <w:p w14:paraId="268847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17221F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46AAD9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Múltiple documento de identificación. </w:t>
            </w:r>
          </w:p>
        </w:tc>
        <w:tc>
          <w:tcPr>
            <w:tcW w:w="3798" w:type="dxa"/>
            <w:tcBorders>
              <w:top w:val="nil"/>
              <w:left w:val="nil"/>
              <w:bottom w:val="nil"/>
              <w:right w:val="single" w:sz="4" w:space="0" w:color="000000"/>
            </w:tcBorders>
            <w:shd w:val="clear" w:color="00FF00" w:fill="FFFFFF"/>
            <w:hideMark/>
          </w:tcPr>
          <w:p w14:paraId="0B9266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Múltiple documento de identificación. </w:t>
            </w:r>
          </w:p>
        </w:tc>
        <w:tc>
          <w:tcPr>
            <w:tcW w:w="3798" w:type="dxa"/>
            <w:tcBorders>
              <w:top w:val="nil"/>
              <w:left w:val="nil"/>
              <w:bottom w:val="nil"/>
              <w:right w:val="single" w:sz="4" w:space="0" w:color="000000"/>
            </w:tcBorders>
            <w:shd w:val="clear" w:color="00FF00" w:fill="FFFFFF"/>
            <w:hideMark/>
          </w:tcPr>
          <w:p w14:paraId="0A81843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Múltiple documento de identificación. </w:t>
            </w:r>
          </w:p>
        </w:tc>
        <w:tc>
          <w:tcPr>
            <w:tcW w:w="1480" w:type="dxa"/>
            <w:tcBorders>
              <w:top w:val="nil"/>
              <w:left w:val="nil"/>
              <w:bottom w:val="nil"/>
              <w:right w:val="single" w:sz="4" w:space="0" w:color="000000"/>
            </w:tcBorders>
            <w:shd w:val="clear" w:color="000000" w:fill="FFFFFF"/>
            <w:hideMark/>
          </w:tcPr>
          <w:p w14:paraId="25BA91A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EAFE1D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28E9F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Falsa identidad.  </w:t>
            </w:r>
          </w:p>
        </w:tc>
        <w:tc>
          <w:tcPr>
            <w:tcW w:w="3798" w:type="dxa"/>
            <w:tcBorders>
              <w:top w:val="nil"/>
              <w:left w:val="nil"/>
              <w:bottom w:val="nil"/>
              <w:right w:val="single" w:sz="4" w:space="0" w:color="000000"/>
            </w:tcBorders>
            <w:shd w:val="clear" w:color="00FF00" w:fill="FFFFFF"/>
            <w:hideMark/>
          </w:tcPr>
          <w:p w14:paraId="048910D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Falsa identidad.  </w:t>
            </w:r>
          </w:p>
        </w:tc>
        <w:tc>
          <w:tcPr>
            <w:tcW w:w="3798" w:type="dxa"/>
            <w:tcBorders>
              <w:top w:val="nil"/>
              <w:left w:val="nil"/>
              <w:bottom w:val="nil"/>
              <w:right w:val="single" w:sz="4" w:space="0" w:color="000000"/>
            </w:tcBorders>
            <w:shd w:val="clear" w:color="00FF00" w:fill="FFFFFF"/>
            <w:hideMark/>
          </w:tcPr>
          <w:p w14:paraId="195807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Falsa identidad.  </w:t>
            </w:r>
          </w:p>
        </w:tc>
        <w:tc>
          <w:tcPr>
            <w:tcW w:w="1480" w:type="dxa"/>
            <w:tcBorders>
              <w:top w:val="nil"/>
              <w:left w:val="nil"/>
              <w:bottom w:val="nil"/>
              <w:right w:val="single" w:sz="4" w:space="0" w:color="000000"/>
            </w:tcBorders>
            <w:shd w:val="clear" w:color="000000" w:fill="FFFFFF"/>
            <w:hideMark/>
          </w:tcPr>
          <w:p w14:paraId="612B21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C846AC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C77737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Suplantación. </w:t>
            </w:r>
          </w:p>
        </w:tc>
        <w:tc>
          <w:tcPr>
            <w:tcW w:w="3798" w:type="dxa"/>
            <w:tcBorders>
              <w:top w:val="nil"/>
              <w:left w:val="nil"/>
              <w:bottom w:val="nil"/>
              <w:right w:val="single" w:sz="4" w:space="0" w:color="000000"/>
            </w:tcBorders>
            <w:shd w:val="clear" w:color="00FF00" w:fill="FFFFFF"/>
            <w:hideMark/>
          </w:tcPr>
          <w:p w14:paraId="1D95297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Suplantación. </w:t>
            </w:r>
          </w:p>
        </w:tc>
        <w:tc>
          <w:tcPr>
            <w:tcW w:w="3798" w:type="dxa"/>
            <w:tcBorders>
              <w:top w:val="nil"/>
              <w:left w:val="nil"/>
              <w:bottom w:val="nil"/>
              <w:right w:val="single" w:sz="4" w:space="0" w:color="000000"/>
            </w:tcBorders>
            <w:shd w:val="clear" w:color="00FF00" w:fill="FFFFFF"/>
            <w:hideMark/>
          </w:tcPr>
          <w:p w14:paraId="7E65A66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Suplantación. </w:t>
            </w:r>
          </w:p>
        </w:tc>
        <w:tc>
          <w:tcPr>
            <w:tcW w:w="1480" w:type="dxa"/>
            <w:tcBorders>
              <w:top w:val="nil"/>
              <w:left w:val="nil"/>
              <w:bottom w:val="nil"/>
              <w:right w:val="single" w:sz="4" w:space="0" w:color="000000"/>
            </w:tcBorders>
            <w:shd w:val="clear" w:color="000000" w:fill="FFFFFF"/>
            <w:hideMark/>
          </w:tcPr>
          <w:p w14:paraId="1CACCEC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2BA7D2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F0206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Inconsistencia técnica en su expedición.  </w:t>
            </w:r>
          </w:p>
        </w:tc>
        <w:tc>
          <w:tcPr>
            <w:tcW w:w="3798" w:type="dxa"/>
            <w:tcBorders>
              <w:top w:val="nil"/>
              <w:left w:val="nil"/>
              <w:bottom w:val="nil"/>
              <w:right w:val="single" w:sz="4" w:space="0" w:color="000000"/>
            </w:tcBorders>
            <w:shd w:val="clear" w:color="00FF00" w:fill="FFFFFF"/>
            <w:hideMark/>
          </w:tcPr>
          <w:p w14:paraId="3BB2CB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Inconsistencia técnica en su expedición.  </w:t>
            </w:r>
          </w:p>
        </w:tc>
        <w:tc>
          <w:tcPr>
            <w:tcW w:w="3798" w:type="dxa"/>
            <w:tcBorders>
              <w:top w:val="nil"/>
              <w:left w:val="nil"/>
              <w:bottom w:val="nil"/>
              <w:right w:val="single" w:sz="4" w:space="0" w:color="000000"/>
            </w:tcBorders>
            <w:shd w:val="clear" w:color="00FF00" w:fill="FFFFFF"/>
            <w:hideMark/>
          </w:tcPr>
          <w:p w14:paraId="5529626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Inconsistencia técnica en su expedición.  </w:t>
            </w:r>
          </w:p>
        </w:tc>
        <w:tc>
          <w:tcPr>
            <w:tcW w:w="1480" w:type="dxa"/>
            <w:tcBorders>
              <w:top w:val="nil"/>
              <w:left w:val="nil"/>
              <w:bottom w:val="nil"/>
              <w:right w:val="single" w:sz="4" w:space="0" w:color="000000"/>
            </w:tcBorders>
            <w:shd w:val="clear" w:color="000000" w:fill="FFFFFF"/>
            <w:hideMark/>
          </w:tcPr>
          <w:p w14:paraId="2FB1CAB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B6B76E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7606DF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Corrección en el componente sexo, cuando se requiera la actualización del NUIP. </w:t>
            </w:r>
          </w:p>
        </w:tc>
        <w:tc>
          <w:tcPr>
            <w:tcW w:w="3798" w:type="dxa"/>
            <w:tcBorders>
              <w:top w:val="nil"/>
              <w:left w:val="nil"/>
              <w:bottom w:val="nil"/>
              <w:right w:val="single" w:sz="4" w:space="0" w:color="000000"/>
            </w:tcBorders>
            <w:shd w:val="clear" w:color="00FF00" w:fill="FFFFFF"/>
            <w:hideMark/>
          </w:tcPr>
          <w:p w14:paraId="2966FE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Corrección en el componente sexo, cuando se requiera la actualización del NUIP. </w:t>
            </w:r>
          </w:p>
        </w:tc>
        <w:tc>
          <w:tcPr>
            <w:tcW w:w="3798" w:type="dxa"/>
            <w:tcBorders>
              <w:top w:val="nil"/>
              <w:left w:val="nil"/>
              <w:bottom w:val="nil"/>
              <w:right w:val="single" w:sz="4" w:space="0" w:color="000000"/>
            </w:tcBorders>
            <w:shd w:val="clear" w:color="00FF00" w:fill="FFFFFF"/>
            <w:hideMark/>
          </w:tcPr>
          <w:p w14:paraId="6F34206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Corrección en el componente sexo, cuando se requiera la actualización del NUIP. </w:t>
            </w:r>
          </w:p>
        </w:tc>
        <w:tc>
          <w:tcPr>
            <w:tcW w:w="1480" w:type="dxa"/>
            <w:tcBorders>
              <w:top w:val="nil"/>
              <w:left w:val="nil"/>
              <w:bottom w:val="nil"/>
              <w:right w:val="single" w:sz="4" w:space="0" w:color="000000"/>
            </w:tcBorders>
            <w:shd w:val="clear" w:color="000000" w:fill="FFFFFF"/>
            <w:hideMark/>
          </w:tcPr>
          <w:p w14:paraId="3DCC231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C8629D7"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44BC9F2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se establezca múltiple documento de identificación, falsa identidad, suplantación, o se expida cédula de ciudadanía o tarjeta de identidad a un extranjero sin el lleno de los requisitos legales, la Registraduría Nacional del Estado Civil pondrá el hecho en conocimiento de la autoridad competente.  </w:t>
            </w:r>
          </w:p>
        </w:tc>
        <w:tc>
          <w:tcPr>
            <w:tcW w:w="3798" w:type="dxa"/>
            <w:tcBorders>
              <w:top w:val="nil"/>
              <w:left w:val="nil"/>
              <w:bottom w:val="nil"/>
              <w:right w:val="single" w:sz="4" w:space="0" w:color="000000"/>
            </w:tcBorders>
            <w:shd w:val="clear" w:color="00FF00" w:fill="FFFFFF"/>
            <w:hideMark/>
          </w:tcPr>
          <w:p w14:paraId="1332A0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se establezca múltiple documento de identificación, falsa identidad, suplantación, o se expida cédula de ciudadanía o tarjeta de identidad a un extranjero sin el lleno de los requisitos legales, la Registraduría Nacional del Estado Civil pondrá el hecho en conocimiento de la autoridad competente. Para los casos de la existencia de múltiple documento de identificación sin que concurran otras </w:t>
            </w:r>
            <w:r w:rsidRPr="00222F34">
              <w:rPr>
                <w:rFonts w:ascii="Calibri" w:eastAsia="Times New Roman" w:hAnsi="Calibri" w:cs="Calibri"/>
                <w:color w:val="000000"/>
                <w:lang w:val="es-CO" w:eastAsia="es-CO" w:bidi="ar-SA"/>
              </w:rPr>
              <w:lastRenderedPageBreak/>
              <w:t>causales de cancelación de las contempladas en el presente artículo, se establecerá un procedimiento administrativo expedito que asegure el debido proceso, la plena individualización y correcta identificación de la persona.</w:t>
            </w:r>
          </w:p>
        </w:tc>
        <w:tc>
          <w:tcPr>
            <w:tcW w:w="3798" w:type="dxa"/>
            <w:tcBorders>
              <w:top w:val="nil"/>
              <w:left w:val="nil"/>
              <w:bottom w:val="nil"/>
              <w:right w:val="single" w:sz="4" w:space="0" w:color="000000"/>
            </w:tcBorders>
            <w:shd w:val="clear" w:color="00FF00" w:fill="FFFFFF"/>
            <w:hideMark/>
          </w:tcPr>
          <w:p w14:paraId="183D14A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Cuando se establezca múltiple documento de identificación, falsa identidad, suplantación, o se expida cédula de ciudadanía o tarjeta de identidad a un extranjero sin el lleno de los requisitos legales, la Registraduría Nacional del Estado Civil pondrá el hecho en conocimiento de la autoridad competente. Para los casos de la existencia de múltiple documento de identificación sin que concurran otras </w:t>
            </w:r>
            <w:r w:rsidRPr="00222F34">
              <w:rPr>
                <w:rFonts w:ascii="Calibri" w:eastAsia="Times New Roman" w:hAnsi="Calibri" w:cs="Calibri"/>
                <w:color w:val="000000"/>
                <w:lang w:val="es-CO" w:eastAsia="es-CO" w:bidi="ar-SA"/>
              </w:rPr>
              <w:lastRenderedPageBreak/>
              <w:t>causales de cancelación de las contempladas en el presente artículo, se establecerá un procedimiento administrativo expedito que asegure el debido proceso, la plena individualización y correcta identificación de la persona.</w:t>
            </w:r>
          </w:p>
        </w:tc>
        <w:tc>
          <w:tcPr>
            <w:tcW w:w="1480" w:type="dxa"/>
            <w:tcBorders>
              <w:top w:val="nil"/>
              <w:left w:val="nil"/>
              <w:bottom w:val="nil"/>
              <w:right w:val="single" w:sz="4" w:space="0" w:color="000000"/>
            </w:tcBorders>
            <w:shd w:val="clear" w:color="000000" w:fill="FFFFFF"/>
            <w:hideMark/>
          </w:tcPr>
          <w:p w14:paraId="7A4DFA3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0E32909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1FFE6C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Si se establece que la cédula se expidió a un menor de edad cuando éste ya es mayor, la cédula no será cancelada sino rectificada. </w:t>
            </w:r>
          </w:p>
        </w:tc>
        <w:tc>
          <w:tcPr>
            <w:tcW w:w="3798" w:type="dxa"/>
            <w:tcBorders>
              <w:top w:val="nil"/>
              <w:left w:val="nil"/>
              <w:bottom w:val="nil"/>
              <w:right w:val="single" w:sz="4" w:space="0" w:color="000000"/>
            </w:tcBorders>
            <w:shd w:val="clear" w:color="00FF00" w:fill="FFFFFF"/>
            <w:hideMark/>
          </w:tcPr>
          <w:p w14:paraId="31448F8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se establece que la cédula se expidió a un menor de edad cuando éste ya es mayor, la cédula no será cancelada sino rectificada.</w:t>
            </w:r>
          </w:p>
        </w:tc>
        <w:tc>
          <w:tcPr>
            <w:tcW w:w="3798" w:type="dxa"/>
            <w:tcBorders>
              <w:top w:val="nil"/>
              <w:left w:val="nil"/>
              <w:bottom w:val="nil"/>
              <w:right w:val="single" w:sz="4" w:space="0" w:color="000000"/>
            </w:tcBorders>
            <w:shd w:val="clear" w:color="00FF00" w:fill="FFFFFF"/>
            <w:hideMark/>
          </w:tcPr>
          <w:p w14:paraId="2E42C28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se establece que la cédula se expidió a un menor de edad cuando éste ya es mayor, la cédula no será cancelada sino rectificada.</w:t>
            </w:r>
          </w:p>
        </w:tc>
        <w:tc>
          <w:tcPr>
            <w:tcW w:w="1480" w:type="dxa"/>
            <w:tcBorders>
              <w:top w:val="nil"/>
              <w:left w:val="nil"/>
              <w:bottom w:val="nil"/>
              <w:right w:val="single" w:sz="4" w:space="0" w:color="000000"/>
            </w:tcBorders>
            <w:shd w:val="clear" w:color="000000" w:fill="FFFFFF"/>
            <w:hideMark/>
          </w:tcPr>
          <w:p w14:paraId="522C72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52B1D9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4E0D74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inhabilidad por interdicción de derechos y funciones públicos y/o suspensión de los derechos políticos se reportará en el estado de vigencia de la cédula de ciudadanía del titular. </w:t>
            </w:r>
          </w:p>
        </w:tc>
        <w:tc>
          <w:tcPr>
            <w:tcW w:w="3798" w:type="dxa"/>
            <w:tcBorders>
              <w:top w:val="nil"/>
              <w:left w:val="nil"/>
              <w:bottom w:val="nil"/>
              <w:right w:val="single" w:sz="4" w:space="0" w:color="000000"/>
            </w:tcBorders>
            <w:shd w:val="clear" w:color="00FF00" w:fill="FFFFFF"/>
            <w:hideMark/>
          </w:tcPr>
          <w:p w14:paraId="00AEA48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La inhabilidad por interdicción de derechos y funciones públicas y/o suspensión de los derechos políticos se reportará en el estado de vigencia de la cédula de ciudadanía del titular.</w:t>
            </w:r>
          </w:p>
        </w:tc>
        <w:tc>
          <w:tcPr>
            <w:tcW w:w="3798" w:type="dxa"/>
            <w:tcBorders>
              <w:top w:val="nil"/>
              <w:left w:val="nil"/>
              <w:bottom w:val="nil"/>
              <w:right w:val="single" w:sz="4" w:space="0" w:color="000000"/>
            </w:tcBorders>
            <w:shd w:val="clear" w:color="00FF00" w:fill="FFFFFF"/>
            <w:hideMark/>
          </w:tcPr>
          <w:p w14:paraId="46EA35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La inhabilidad por interdicción de derechos y funciones públicas y/o suspensión de los derechos políticos se reportará en el estado de vigencia de la cédula de ciudadanía del titular.</w:t>
            </w:r>
          </w:p>
        </w:tc>
        <w:tc>
          <w:tcPr>
            <w:tcW w:w="1480" w:type="dxa"/>
            <w:tcBorders>
              <w:top w:val="nil"/>
              <w:left w:val="nil"/>
              <w:bottom w:val="nil"/>
              <w:right w:val="single" w:sz="4" w:space="0" w:color="000000"/>
            </w:tcBorders>
            <w:shd w:val="clear" w:color="000000" w:fill="FFFFFF"/>
            <w:hideMark/>
          </w:tcPr>
          <w:p w14:paraId="22215E4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106861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21BFCF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tarjeta de identidad estará vigente hasta que se cumple la mayoría de edad. </w:t>
            </w:r>
          </w:p>
        </w:tc>
        <w:tc>
          <w:tcPr>
            <w:tcW w:w="3798" w:type="dxa"/>
            <w:tcBorders>
              <w:top w:val="nil"/>
              <w:left w:val="nil"/>
              <w:bottom w:val="nil"/>
              <w:right w:val="single" w:sz="4" w:space="0" w:color="000000"/>
            </w:tcBorders>
            <w:shd w:val="clear" w:color="00FF00" w:fill="FFFFFF"/>
            <w:hideMark/>
          </w:tcPr>
          <w:p w14:paraId="56C5073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No se podrá negar el acceso a los servicios del Estado a los menores de edad por la existencia de un doble registro y la correspondiente emisión de múltiples documentos de identidad. Se entenderá válido aquel documento presentado por los padres o guardadores hasta la decisión de la autoridad competente respecto a la cancelación de alguno de los documentos.</w:t>
            </w:r>
          </w:p>
        </w:tc>
        <w:tc>
          <w:tcPr>
            <w:tcW w:w="3798" w:type="dxa"/>
            <w:tcBorders>
              <w:top w:val="nil"/>
              <w:left w:val="nil"/>
              <w:bottom w:val="nil"/>
              <w:right w:val="single" w:sz="4" w:space="0" w:color="000000"/>
            </w:tcBorders>
            <w:shd w:val="clear" w:color="000000" w:fill="FFFFFF"/>
            <w:hideMark/>
          </w:tcPr>
          <w:p w14:paraId="5FB2C79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tarjeta de identidad estará vigente hasta que se cumple la mayoría de edad. </w:t>
            </w:r>
          </w:p>
        </w:tc>
        <w:tc>
          <w:tcPr>
            <w:tcW w:w="1480" w:type="dxa"/>
            <w:tcBorders>
              <w:top w:val="nil"/>
              <w:left w:val="nil"/>
              <w:bottom w:val="nil"/>
              <w:right w:val="single" w:sz="4" w:space="0" w:color="000000"/>
            </w:tcBorders>
            <w:shd w:val="clear" w:color="000000" w:fill="FFFFFF"/>
            <w:hideMark/>
          </w:tcPr>
          <w:p w14:paraId="68A084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9335027" w14:textId="77777777" w:rsidTr="00222F34">
        <w:trPr>
          <w:trHeight w:val="930"/>
        </w:trPr>
        <w:tc>
          <w:tcPr>
            <w:tcW w:w="3798" w:type="dxa"/>
            <w:tcBorders>
              <w:top w:val="nil"/>
              <w:left w:val="single" w:sz="4" w:space="0" w:color="000000"/>
              <w:bottom w:val="single" w:sz="4" w:space="0" w:color="000000"/>
              <w:right w:val="single" w:sz="4" w:space="0" w:color="000000"/>
            </w:tcBorders>
            <w:shd w:val="clear" w:color="FFC000" w:fill="FFFFFF"/>
            <w:hideMark/>
          </w:tcPr>
          <w:p w14:paraId="22524D4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 </w:t>
            </w:r>
          </w:p>
        </w:tc>
        <w:tc>
          <w:tcPr>
            <w:tcW w:w="3798" w:type="dxa"/>
            <w:tcBorders>
              <w:top w:val="nil"/>
              <w:left w:val="nil"/>
              <w:bottom w:val="single" w:sz="4" w:space="0" w:color="000000"/>
              <w:right w:val="single" w:sz="4" w:space="0" w:color="000000"/>
            </w:tcBorders>
            <w:shd w:val="clear" w:color="00FF00" w:fill="FFFFFF"/>
            <w:hideMark/>
          </w:tcPr>
          <w:p w14:paraId="4A6ACC6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La Registraduría Nacional del Estado Civil reglamentará el procedimiento para la cancelación de las cédulas de ciudadanía y tarjeta de identidad.</w:t>
            </w:r>
          </w:p>
        </w:tc>
        <w:tc>
          <w:tcPr>
            <w:tcW w:w="3798" w:type="dxa"/>
            <w:tcBorders>
              <w:top w:val="nil"/>
              <w:left w:val="nil"/>
              <w:bottom w:val="single" w:sz="4" w:space="0" w:color="000000"/>
              <w:right w:val="single" w:sz="4" w:space="0" w:color="000000"/>
            </w:tcBorders>
            <w:shd w:val="clear" w:color="00FF00" w:fill="FFFFFF"/>
            <w:hideMark/>
          </w:tcPr>
          <w:p w14:paraId="7E301C5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La Registraduría Nacional del Estado Civil reglamentará el procedimiento para la cancelación de las cédulas de ciudadanía y tarjeta de identidad.</w:t>
            </w:r>
          </w:p>
        </w:tc>
        <w:tc>
          <w:tcPr>
            <w:tcW w:w="1480" w:type="dxa"/>
            <w:tcBorders>
              <w:top w:val="nil"/>
              <w:left w:val="nil"/>
              <w:bottom w:val="single" w:sz="4" w:space="0" w:color="000000"/>
              <w:right w:val="single" w:sz="4" w:space="0" w:color="000000"/>
            </w:tcBorders>
            <w:shd w:val="clear" w:color="000000" w:fill="FFFFFF"/>
            <w:hideMark/>
          </w:tcPr>
          <w:p w14:paraId="16BC84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3F9DE8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096D07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30.- Pena de inhabilitación para ejercer derechos políticos.</w:t>
            </w:r>
            <w:r w:rsidRPr="00222F34">
              <w:rPr>
                <w:rFonts w:ascii="Calibri" w:eastAsia="Times New Roman" w:hAnsi="Calibri" w:cs="Calibri"/>
                <w:color w:val="000000"/>
                <w:lang w:val="es-CO" w:eastAsia="es-CO" w:bidi="ar-SA"/>
              </w:rPr>
              <w:t xml:space="preserve"> Los jueces y magistrados deberán informar a la Registraduría Nacional del Estado Civil mediante los medios tecnológicos dispuestos para tal fin, a fin de comunicar la parte resolutiva de las sentencias penales en la cuales se decrete la inhabilitación de derechos y funciones públicas, con el fin de que las cédulas de ciudadanía sean afectadas en su vigencia y dadas de baja en el censo electoral.  </w:t>
            </w:r>
          </w:p>
        </w:tc>
        <w:tc>
          <w:tcPr>
            <w:tcW w:w="3798" w:type="dxa"/>
            <w:tcBorders>
              <w:top w:val="nil"/>
              <w:left w:val="nil"/>
              <w:bottom w:val="nil"/>
              <w:right w:val="single" w:sz="4" w:space="0" w:color="000000"/>
            </w:tcBorders>
            <w:shd w:val="clear" w:color="00FF00" w:fill="FFFFFF"/>
            <w:hideMark/>
          </w:tcPr>
          <w:p w14:paraId="54C85F7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32. Pena de inhabilitación para ejercer derechos políticos</w:t>
            </w:r>
            <w:r w:rsidRPr="00222F34">
              <w:rPr>
                <w:rFonts w:ascii="Calibri" w:eastAsia="Times New Roman" w:hAnsi="Calibri" w:cs="Calibri"/>
                <w:color w:val="000000"/>
                <w:lang w:val="es-CO" w:eastAsia="es-CO" w:bidi="ar-SA"/>
              </w:rPr>
              <w:t>. Los jueces y magistrados deberán comunicar a la Registraduría Nacional del Estado Civil mediante los medios tecnológicos dispuestos para tal fin, la parte resolutiva de las sentencias penales en la cuales se decrete la inhabilitación de derechos y funciones públicas, con el fin de que las cédulas de ciudadanía sean afectadas en su vigencia y dadas de baja en el censo electoral.</w:t>
            </w:r>
          </w:p>
        </w:tc>
        <w:tc>
          <w:tcPr>
            <w:tcW w:w="3798" w:type="dxa"/>
            <w:tcBorders>
              <w:top w:val="nil"/>
              <w:left w:val="nil"/>
              <w:bottom w:val="nil"/>
              <w:right w:val="single" w:sz="4" w:space="0" w:color="000000"/>
            </w:tcBorders>
            <w:shd w:val="clear" w:color="00FF00" w:fill="FFFFFF"/>
            <w:hideMark/>
          </w:tcPr>
          <w:p w14:paraId="26022F5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32. Pena de inhabilitación para ejercer derechos políticos</w:t>
            </w:r>
            <w:r w:rsidRPr="00222F34">
              <w:rPr>
                <w:rFonts w:ascii="Calibri" w:eastAsia="Times New Roman" w:hAnsi="Calibri" w:cs="Calibri"/>
                <w:color w:val="000000"/>
                <w:lang w:val="es-CO" w:eastAsia="es-CO" w:bidi="ar-SA"/>
              </w:rPr>
              <w:t>. Los jueces y magistrados deberán comunicar a la Registraduría Nacional del Estado Civil mediante los medios tecnológicos dispuestos para tal fin, la parte resolutiva de las sentencias penales en la cuales se decrete la inhabilitación de derechos y funciones públicas, con el fin de que las cédulas de ciudadanía sean afectadas en su vigencia y dadas de baja en el censo electoral.</w:t>
            </w:r>
          </w:p>
        </w:tc>
        <w:tc>
          <w:tcPr>
            <w:tcW w:w="1480" w:type="dxa"/>
            <w:tcBorders>
              <w:top w:val="nil"/>
              <w:left w:val="nil"/>
              <w:bottom w:val="nil"/>
              <w:right w:val="single" w:sz="4" w:space="0" w:color="000000"/>
            </w:tcBorders>
            <w:shd w:val="clear" w:color="000000" w:fill="FFFFFF"/>
            <w:hideMark/>
          </w:tcPr>
          <w:p w14:paraId="3CDF0CC6" w14:textId="2D1E3FAD"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6D37676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3DB79C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funcionario que incumpliere esta obligación incurrirá en la falta respectiva prevista en el código general disciplinario o norma que lo modifique que se sancionará de conformidad con lo previsto en el régimen disciplinario de los servidores públicos. </w:t>
            </w:r>
          </w:p>
        </w:tc>
        <w:tc>
          <w:tcPr>
            <w:tcW w:w="3798" w:type="dxa"/>
            <w:tcBorders>
              <w:top w:val="nil"/>
              <w:left w:val="nil"/>
              <w:bottom w:val="nil"/>
              <w:right w:val="single" w:sz="4" w:space="0" w:color="000000"/>
            </w:tcBorders>
            <w:shd w:val="clear" w:color="00FF00" w:fill="FFFFFF"/>
            <w:hideMark/>
          </w:tcPr>
          <w:p w14:paraId="05DC784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funcionario que incumpliere esta obligación incurrirá en la falta respectiva prevista en el código general disciplinario o norma que lo modifique que se sancionará de conformidad con lo previsto en el régimen disciplinario de los servidores públicos.</w:t>
            </w:r>
          </w:p>
        </w:tc>
        <w:tc>
          <w:tcPr>
            <w:tcW w:w="3798" w:type="dxa"/>
            <w:tcBorders>
              <w:top w:val="nil"/>
              <w:left w:val="nil"/>
              <w:bottom w:val="nil"/>
              <w:right w:val="single" w:sz="4" w:space="0" w:color="000000"/>
            </w:tcBorders>
            <w:shd w:val="clear" w:color="00FF00" w:fill="FFFFFF"/>
            <w:hideMark/>
          </w:tcPr>
          <w:p w14:paraId="75FE13B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funcionario que incumpliere esta obligación incurrirá en la falta respectiva prevista en el código general disciplinario o norma que lo modifique que se sancionará de conformidad con lo previsto en el régimen disciplinario de los servidores públicos.</w:t>
            </w:r>
          </w:p>
        </w:tc>
        <w:tc>
          <w:tcPr>
            <w:tcW w:w="1480" w:type="dxa"/>
            <w:tcBorders>
              <w:top w:val="nil"/>
              <w:left w:val="nil"/>
              <w:bottom w:val="nil"/>
              <w:right w:val="single" w:sz="4" w:space="0" w:color="000000"/>
            </w:tcBorders>
            <w:shd w:val="clear" w:color="000000" w:fill="FFFFFF"/>
            <w:hideMark/>
          </w:tcPr>
          <w:p w14:paraId="2F47B6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218CCF7"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186DDD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y las autoridades judiciales implementarán los mecanismos tecnológicos, en atención al principio de progresividad, que permitan optimizar la remisión de la información.   </w:t>
            </w:r>
          </w:p>
        </w:tc>
        <w:tc>
          <w:tcPr>
            <w:tcW w:w="3798" w:type="dxa"/>
            <w:tcBorders>
              <w:top w:val="nil"/>
              <w:left w:val="nil"/>
              <w:bottom w:val="single" w:sz="4" w:space="0" w:color="000000"/>
              <w:right w:val="single" w:sz="4" w:space="0" w:color="000000"/>
            </w:tcBorders>
            <w:shd w:val="clear" w:color="00FF00" w:fill="FFFFFF"/>
            <w:hideMark/>
          </w:tcPr>
          <w:p w14:paraId="2DF9720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y las autoridades judiciales implementarán los mecanismos tecnológicos, en atención al principio de progresividad, que permitan optimizar la remisión de la información.</w:t>
            </w:r>
          </w:p>
        </w:tc>
        <w:tc>
          <w:tcPr>
            <w:tcW w:w="3798" w:type="dxa"/>
            <w:tcBorders>
              <w:top w:val="nil"/>
              <w:left w:val="nil"/>
              <w:bottom w:val="single" w:sz="4" w:space="0" w:color="000000"/>
              <w:right w:val="single" w:sz="4" w:space="0" w:color="000000"/>
            </w:tcBorders>
            <w:shd w:val="clear" w:color="00FF00" w:fill="FFFFFF"/>
            <w:hideMark/>
          </w:tcPr>
          <w:p w14:paraId="55981FC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y las autoridades judiciales implementarán los mecanismos tecnológicos, en atención al principio de progresividad, que permitan optimizar la remisión de la información.</w:t>
            </w:r>
          </w:p>
        </w:tc>
        <w:tc>
          <w:tcPr>
            <w:tcW w:w="1480" w:type="dxa"/>
            <w:tcBorders>
              <w:top w:val="nil"/>
              <w:left w:val="nil"/>
              <w:bottom w:val="single" w:sz="4" w:space="0" w:color="000000"/>
              <w:right w:val="single" w:sz="4" w:space="0" w:color="000000"/>
            </w:tcBorders>
            <w:shd w:val="clear" w:color="000000" w:fill="FFFFFF"/>
            <w:hideMark/>
          </w:tcPr>
          <w:p w14:paraId="480710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9A3F98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C7BF81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31.- Rehabilitación de derechos políticos.</w:t>
            </w:r>
            <w:r w:rsidRPr="00222F34">
              <w:rPr>
                <w:rFonts w:ascii="Calibri" w:eastAsia="Times New Roman" w:hAnsi="Calibri" w:cs="Calibri"/>
                <w:color w:val="000000"/>
                <w:lang w:val="es-CO" w:eastAsia="es-CO" w:bidi="ar-SA"/>
              </w:rPr>
              <w:t xml:space="preserve"> Las rehabilitaciones de derechos y funciones públicas operarán automáticamente al cumplirse el término o cuando sea remitida la orden de extinción por parte del despacho judicial. </w:t>
            </w:r>
          </w:p>
        </w:tc>
        <w:tc>
          <w:tcPr>
            <w:tcW w:w="3798" w:type="dxa"/>
            <w:tcBorders>
              <w:top w:val="nil"/>
              <w:left w:val="nil"/>
              <w:bottom w:val="nil"/>
              <w:right w:val="single" w:sz="4" w:space="0" w:color="000000"/>
            </w:tcBorders>
            <w:shd w:val="clear" w:color="00FF00" w:fill="FFFFFF"/>
            <w:hideMark/>
          </w:tcPr>
          <w:p w14:paraId="5AE8AA4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33. Rehabilitación de derechos políticos.</w:t>
            </w:r>
            <w:r w:rsidRPr="00222F34">
              <w:rPr>
                <w:rFonts w:ascii="Calibri" w:eastAsia="Times New Roman" w:hAnsi="Calibri" w:cs="Calibri"/>
                <w:color w:val="000000"/>
                <w:lang w:val="es-CO" w:eastAsia="es-CO" w:bidi="ar-SA"/>
              </w:rPr>
              <w:t xml:space="preserve"> Las rehabilitaciones de derechos y funciones públicas operarán automáticamente al cumplirse el término o cuando sea remitida la orden de extinción por parte del despacho judicial.</w:t>
            </w:r>
          </w:p>
        </w:tc>
        <w:tc>
          <w:tcPr>
            <w:tcW w:w="3798" w:type="dxa"/>
            <w:tcBorders>
              <w:top w:val="nil"/>
              <w:left w:val="nil"/>
              <w:bottom w:val="nil"/>
              <w:right w:val="single" w:sz="4" w:space="0" w:color="000000"/>
            </w:tcBorders>
            <w:shd w:val="clear" w:color="00FF00" w:fill="FFFFFF"/>
            <w:hideMark/>
          </w:tcPr>
          <w:p w14:paraId="2ADA04B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33. Rehabilitación de derechos políticos.</w:t>
            </w:r>
            <w:r w:rsidRPr="00222F34">
              <w:rPr>
                <w:rFonts w:ascii="Calibri" w:eastAsia="Times New Roman" w:hAnsi="Calibri" w:cs="Calibri"/>
                <w:color w:val="000000"/>
                <w:lang w:val="es-CO" w:eastAsia="es-CO" w:bidi="ar-SA"/>
              </w:rPr>
              <w:t xml:space="preserve"> Las rehabilitaciones de derechos y funciones públicas operarán automáticamente al cumplirse el término o cuando sea remitida la orden de extinción por parte del despacho judicial.</w:t>
            </w:r>
          </w:p>
        </w:tc>
        <w:tc>
          <w:tcPr>
            <w:tcW w:w="1480" w:type="dxa"/>
            <w:tcBorders>
              <w:top w:val="nil"/>
              <w:left w:val="nil"/>
              <w:bottom w:val="nil"/>
              <w:right w:val="single" w:sz="4" w:space="0" w:color="000000"/>
            </w:tcBorders>
            <w:shd w:val="clear" w:color="000000" w:fill="FFFFFF"/>
            <w:hideMark/>
          </w:tcPr>
          <w:p w14:paraId="08F2E766" w14:textId="7B25DF24"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4E6FE77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52A7FF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implementará, en el marco de los principios de publicidad y transparencia, un proceso para incluir de nuevo en el censo electoral a las personas que les sean rehabilitados sus derechos políticos. </w:t>
            </w:r>
          </w:p>
        </w:tc>
        <w:tc>
          <w:tcPr>
            <w:tcW w:w="3798" w:type="dxa"/>
            <w:tcBorders>
              <w:top w:val="nil"/>
              <w:left w:val="nil"/>
              <w:bottom w:val="single" w:sz="4" w:space="0" w:color="000000"/>
              <w:right w:val="single" w:sz="4" w:space="0" w:color="000000"/>
            </w:tcBorders>
            <w:shd w:val="clear" w:color="00FF00" w:fill="FFFFFF"/>
            <w:hideMark/>
          </w:tcPr>
          <w:p w14:paraId="11F0046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implementará, en el marco de los principios de publicidad, transparencia y celeridad, un proceso para incluir de nuevo en el censo electoral a las personas que les sean rehabilitados sus derechos políticos.</w:t>
            </w:r>
          </w:p>
        </w:tc>
        <w:tc>
          <w:tcPr>
            <w:tcW w:w="3798" w:type="dxa"/>
            <w:tcBorders>
              <w:top w:val="nil"/>
              <w:left w:val="nil"/>
              <w:bottom w:val="single" w:sz="4" w:space="0" w:color="000000"/>
              <w:right w:val="single" w:sz="4" w:space="0" w:color="000000"/>
            </w:tcBorders>
            <w:shd w:val="clear" w:color="00FF00" w:fill="FFFFFF"/>
            <w:hideMark/>
          </w:tcPr>
          <w:p w14:paraId="3FE631E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implementará, en el marco de los principios de publicidad, transparencia y celeridad, un proceso para incluir de nuevo en el censo electoral a las personas que les sean rehabilitados sus derechos políticos.</w:t>
            </w:r>
          </w:p>
        </w:tc>
        <w:tc>
          <w:tcPr>
            <w:tcW w:w="1480" w:type="dxa"/>
            <w:tcBorders>
              <w:top w:val="nil"/>
              <w:left w:val="nil"/>
              <w:bottom w:val="single" w:sz="4" w:space="0" w:color="000000"/>
              <w:right w:val="single" w:sz="4" w:space="0" w:color="000000"/>
            </w:tcBorders>
            <w:shd w:val="clear" w:color="000000" w:fill="FFFFFF"/>
            <w:hideMark/>
          </w:tcPr>
          <w:p w14:paraId="7D15F54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3C879D4" w14:textId="77777777" w:rsidTr="00222F34">
        <w:trPr>
          <w:trHeight w:val="2100"/>
        </w:trPr>
        <w:tc>
          <w:tcPr>
            <w:tcW w:w="3798" w:type="dxa"/>
            <w:tcBorders>
              <w:top w:val="nil"/>
              <w:left w:val="single" w:sz="4" w:space="0" w:color="000000"/>
              <w:bottom w:val="single" w:sz="4" w:space="0" w:color="000000"/>
              <w:right w:val="single" w:sz="4" w:space="0" w:color="000000"/>
            </w:tcBorders>
            <w:shd w:val="clear" w:color="000000" w:fill="FFFFFF"/>
            <w:hideMark/>
          </w:tcPr>
          <w:p w14:paraId="360F49B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32.- Cancelación de documento con pérdida de derechos políticos.</w:t>
            </w:r>
            <w:r w:rsidRPr="00222F34">
              <w:rPr>
                <w:rFonts w:ascii="Calibri" w:eastAsia="Times New Roman" w:hAnsi="Calibri" w:cs="Calibri"/>
                <w:color w:val="000000"/>
                <w:lang w:val="es-CO" w:eastAsia="es-CO" w:bidi="ar-SA"/>
              </w:rPr>
              <w:t xml:space="preserve"> Cuando se solicite la cancelación de una cédula de ciudadanía por múltiple cedulación, suplantación o falsa identidad, y dicho documento esté dado de baja por pérdida o suspensión de los derechos políticos, se comunicará a la autoridad judicial que haya emitido las penas accesorias para que se establezca la verdadera identidad y se decida cual cédula de ciudadanía debe quedar vigente con anotación de suspensión o pérdida de derechos políticos. </w:t>
            </w:r>
          </w:p>
        </w:tc>
        <w:tc>
          <w:tcPr>
            <w:tcW w:w="3798" w:type="dxa"/>
            <w:tcBorders>
              <w:top w:val="nil"/>
              <w:left w:val="nil"/>
              <w:bottom w:val="single" w:sz="4" w:space="0" w:color="000000"/>
              <w:right w:val="single" w:sz="4" w:space="0" w:color="000000"/>
            </w:tcBorders>
            <w:shd w:val="clear" w:color="000000" w:fill="FFFFFF"/>
            <w:hideMark/>
          </w:tcPr>
          <w:p w14:paraId="038D00D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34. Cancelación de documento con pérdida de derechos políticos.</w:t>
            </w:r>
            <w:r w:rsidRPr="00222F34">
              <w:rPr>
                <w:rFonts w:ascii="Calibri" w:eastAsia="Times New Roman" w:hAnsi="Calibri" w:cs="Calibri"/>
                <w:color w:val="000000"/>
                <w:lang w:val="es-CO" w:eastAsia="es-CO" w:bidi="ar-SA"/>
              </w:rPr>
              <w:t xml:space="preserve"> Cuando se solicite la cancelación de una cédula de ciudadanía por múltiple cedulación, suplantación o falsa identidad, y dicho documento esté dado de baja por pérdida o suspensión de los derechos políticos, se comunicará a la autoridad judicial que haya emitido las penas accesorias para que se establezca la verdadera identidad y se decida cuál cédula de ciudadanía debe quedar vigente con anotación de suspensión o pérdida de derechos políticos.</w:t>
            </w:r>
          </w:p>
        </w:tc>
        <w:tc>
          <w:tcPr>
            <w:tcW w:w="3798" w:type="dxa"/>
            <w:tcBorders>
              <w:top w:val="nil"/>
              <w:left w:val="nil"/>
              <w:bottom w:val="single" w:sz="4" w:space="0" w:color="000000"/>
              <w:right w:val="single" w:sz="4" w:space="0" w:color="000000"/>
            </w:tcBorders>
            <w:shd w:val="clear" w:color="000000" w:fill="FFFFFF"/>
            <w:hideMark/>
          </w:tcPr>
          <w:p w14:paraId="5366643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34. Cancelación de documento con pérdida de derechos políticos.</w:t>
            </w:r>
            <w:r w:rsidRPr="00222F34">
              <w:rPr>
                <w:rFonts w:ascii="Calibri" w:eastAsia="Times New Roman" w:hAnsi="Calibri" w:cs="Calibri"/>
                <w:color w:val="000000"/>
                <w:lang w:val="es-CO" w:eastAsia="es-CO" w:bidi="ar-SA"/>
              </w:rPr>
              <w:t xml:space="preserve"> Cuando se solicite la cancelación de una cédula de ciudadanía por múltiple cedulación, suplantación o falsa identidad, y dicho documento esté dado de baja por pérdida o suspensión de los derechos políticos, se comunicará a la autoridad judicial que haya emitido las penas accesorias para que se establezca la verdadera identidad y se decida cuál cédula de ciudadanía debe quedar vigente con anotación de suspensión o pérdida de derechos políticos.</w:t>
            </w:r>
          </w:p>
        </w:tc>
        <w:tc>
          <w:tcPr>
            <w:tcW w:w="1480" w:type="dxa"/>
            <w:tcBorders>
              <w:top w:val="nil"/>
              <w:left w:val="nil"/>
              <w:bottom w:val="nil"/>
              <w:right w:val="single" w:sz="4" w:space="0" w:color="000000"/>
            </w:tcBorders>
            <w:shd w:val="clear" w:color="000000" w:fill="FFFFFF"/>
            <w:hideMark/>
          </w:tcPr>
          <w:p w14:paraId="1A1F7497" w14:textId="61F85F8E"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4B5B6BB7"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7CF6A3F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33.- Traslado de penas accesorias.</w:t>
            </w:r>
            <w:r w:rsidRPr="00222F34">
              <w:rPr>
                <w:rFonts w:ascii="Calibri" w:eastAsia="Times New Roman" w:hAnsi="Calibri" w:cs="Calibri"/>
                <w:color w:val="000000"/>
                <w:lang w:val="es-CO" w:eastAsia="es-CO" w:bidi="ar-SA"/>
              </w:rPr>
              <w:t xml:space="preserve"> Las penas accesorias del documento cancelado deberán ser trasladadas al documento que establezca la verdadera identidad del ciudadano.</w:t>
            </w:r>
          </w:p>
        </w:tc>
        <w:tc>
          <w:tcPr>
            <w:tcW w:w="3798" w:type="dxa"/>
            <w:tcBorders>
              <w:top w:val="nil"/>
              <w:left w:val="nil"/>
              <w:bottom w:val="single" w:sz="4" w:space="0" w:color="000000"/>
              <w:right w:val="single" w:sz="4" w:space="0" w:color="000000"/>
            </w:tcBorders>
            <w:shd w:val="clear" w:color="000000" w:fill="FFFFFF"/>
            <w:hideMark/>
          </w:tcPr>
          <w:p w14:paraId="1CFD0E6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35. Traslado de penas accesorias</w:t>
            </w:r>
            <w:r w:rsidRPr="00222F34">
              <w:rPr>
                <w:rFonts w:ascii="Calibri" w:eastAsia="Times New Roman" w:hAnsi="Calibri" w:cs="Calibri"/>
                <w:color w:val="000000"/>
                <w:lang w:val="es-CO" w:eastAsia="es-CO" w:bidi="ar-SA"/>
              </w:rPr>
              <w:t>. Las penas accesorias del documento cancelado deberán ser trasladadas al documento que establezca la verdadera identidad del ciudadano responsable.</w:t>
            </w:r>
          </w:p>
        </w:tc>
        <w:tc>
          <w:tcPr>
            <w:tcW w:w="3798" w:type="dxa"/>
            <w:tcBorders>
              <w:top w:val="nil"/>
              <w:left w:val="nil"/>
              <w:bottom w:val="single" w:sz="4" w:space="0" w:color="000000"/>
              <w:right w:val="single" w:sz="4" w:space="0" w:color="000000"/>
            </w:tcBorders>
            <w:shd w:val="clear" w:color="000000" w:fill="FFFFFF"/>
            <w:hideMark/>
          </w:tcPr>
          <w:p w14:paraId="331F416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35. Traslado de penas accesorias</w:t>
            </w:r>
            <w:r w:rsidRPr="00222F34">
              <w:rPr>
                <w:rFonts w:ascii="Calibri" w:eastAsia="Times New Roman" w:hAnsi="Calibri" w:cs="Calibri"/>
                <w:color w:val="000000"/>
                <w:lang w:val="es-CO" w:eastAsia="es-CO" w:bidi="ar-SA"/>
              </w:rPr>
              <w:t>. Las penas accesorias del documento cancelado deberán ser trasladadas al documento que establezca la verdadera identidad del ciudadano responsable.</w:t>
            </w:r>
          </w:p>
        </w:tc>
        <w:tc>
          <w:tcPr>
            <w:tcW w:w="1480" w:type="dxa"/>
            <w:tcBorders>
              <w:top w:val="single" w:sz="4" w:space="0" w:color="000000"/>
              <w:left w:val="nil"/>
              <w:bottom w:val="nil"/>
              <w:right w:val="single" w:sz="4" w:space="0" w:color="000000"/>
            </w:tcBorders>
            <w:shd w:val="clear" w:color="000000" w:fill="FFFFFF"/>
            <w:hideMark/>
          </w:tcPr>
          <w:p w14:paraId="511C7258" w14:textId="334C72BC"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049FF5C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D402BD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TERCERA</w:t>
            </w:r>
          </w:p>
        </w:tc>
        <w:tc>
          <w:tcPr>
            <w:tcW w:w="3798" w:type="dxa"/>
            <w:tcBorders>
              <w:top w:val="nil"/>
              <w:left w:val="nil"/>
              <w:bottom w:val="nil"/>
              <w:right w:val="single" w:sz="4" w:space="0" w:color="000000"/>
            </w:tcBorders>
            <w:shd w:val="clear" w:color="000000" w:fill="FFFFFF"/>
            <w:hideMark/>
          </w:tcPr>
          <w:p w14:paraId="71DEA135"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TERCERA</w:t>
            </w:r>
          </w:p>
        </w:tc>
        <w:tc>
          <w:tcPr>
            <w:tcW w:w="3798" w:type="dxa"/>
            <w:tcBorders>
              <w:top w:val="nil"/>
              <w:left w:val="nil"/>
              <w:bottom w:val="nil"/>
              <w:right w:val="single" w:sz="4" w:space="0" w:color="000000"/>
            </w:tcBorders>
            <w:shd w:val="clear" w:color="000000" w:fill="FFFFFF"/>
            <w:hideMark/>
          </w:tcPr>
          <w:p w14:paraId="04DB60C0"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TERCERA</w:t>
            </w:r>
          </w:p>
        </w:tc>
        <w:tc>
          <w:tcPr>
            <w:tcW w:w="1480" w:type="dxa"/>
            <w:tcBorders>
              <w:top w:val="single" w:sz="4" w:space="0" w:color="000000"/>
              <w:left w:val="nil"/>
              <w:bottom w:val="nil"/>
              <w:right w:val="single" w:sz="4" w:space="0" w:color="000000"/>
            </w:tcBorders>
            <w:shd w:val="clear" w:color="000000" w:fill="FFFFFF"/>
            <w:hideMark/>
          </w:tcPr>
          <w:p w14:paraId="6F1B47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39369D0"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07A376E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PROCESO ELECTORAL</w:t>
            </w:r>
          </w:p>
        </w:tc>
        <w:tc>
          <w:tcPr>
            <w:tcW w:w="3798" w:type="dxa"/>
            <w:tcBorders>
              <w:top w:val="nil"/>
              <w:left w:val="nil"/>
              <w:bottom w:val="single" w:sz="4" w:space="0" w:color="000000"/>
              <w:right w:val="single" w:sz="4" w:space="0" w:color="000000"/>
            </w:tcBorders>
            <w:shd w:val="clear" w:color="000000" w:fill="FFFFFF"/>
            <w:hideMark/>
          </w:tcPr>
          <w:p w14:paraId="25165A6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PROCESO ELECTORAL</w:t>
            </w:r>
          </w:p>
        </w:tc>
        <w:tc>
          <w:tcPr>
            <w:tcW w:w="3798" w:type="dxa"/>
            <w:tcBorders>
              <w:top w:val="nil"/>
              <w:left w:val="nil"/>
              <w:bottom w:val="single" w:sz="4" w:space="0" w:color="000000"/>
              <w:right w:val="single" w:sz="4" w:space="0" w:color="000000"/>
            </w:tcBorders>
            <w:shd w:val="clear" w:color="000000" w:fill="FFFFFF"/>
            <w:hideMark/>
          </w:tcPr>
          <w:p w14:paraId="6598233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PROCESO ELECTORAL</w:t>
            </w:r>
          </w:p>
        </w:tc>
        <w:tc>
          <w:tcPr>
            <w:tcW w:w="1480" w:type="dxa"/>
            <w:tcBorders>
              <w:top w:val="nil"/>
              <w:left w:val="nil"/>
              <w:bottom w:val="single" w:sz="4" w:space="0" w:color="000000"/>
              <w:right w:val="single" w:sz="4" w:space="0" w:color="000000"/>
            </w:tcBorders>
            <w:shd w:val="clear" w:color="000000" w:fill="FFFFFF"/>
            <w:hideMark/>
          </w:tcPr>
          <w:p w14:paraId="188C25D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5BA4E2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94F34D1"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tc>
        <w:tc>
          <w:tcPr>
            <w:tcW w:w="3798" w:type="dxa"/>
            <w:tcBorders>
              <w:top w:val="nil"/>
              <w:left w:val="nil"/>
              <w:bottom w:val="nil"/>
              <w:right w:val="single" w:sz="4" w:space="0" w:color="000000"/>
            </w:tcBorders>
            <w:shd w:val="clear" w:color="000000" w:fill="FFFFFF"/>
            <w:hideMark/>
          </w:tcPr>
          <w:p w14:paraId="4EAA111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tc>
        <w:tc>
          <w:tcPr>
            <w:tcW w:w="3798" w:type="dxa"/>
            <w:tcBorders>
              <w:top w:val="nil"/>
              <w:left w:val="nil"/>
              <w:bottom w:val="nil"/>
              <w:right w:val="single" w:sz="4" w:space="0" w:color="000000"/>
            </w:tcBorders>
            <w:shd w:val="clear" w:color="000000" w:fill="FFFFFF"/>
            <w:hideMark/>
          </w:tcPr>
          <w:p w14:paraId="6D5F618B"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tc>
        <w:tc>
          <w:tcPr>
            <w:tcW w:w="1480" w:type="dxa"/>
            <w:tcBorders>
              <w:top w:val="nil"/>
              <w:left w:val="nil"/>
              <w:bottom w:val="nil"/>
              <w:right w:val="single" w:sz="4" w:space="0" w:color="000000"/>
            </w:tcBorders>
            <w:shd w:val="clear" w:color="000000" w:fill="FFFFFF"/>
            <w:hideMark/>
          </w:tcPr>
          <w:p w14:paraId="7F2E13C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D8C251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7550E4C"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Y PRINCIPIOS GENERALES DEL PROCESO ELECTORAL</w:t>
            </w:r>
          </w:p>
        </w:tc>
        <w:tc>
          <w:tcPr>
            <w:tcW w:w="3798" w:type="dxa"/>
            <w:tcBorders>
              <w:top w:val="nil"/>
              <w:left w:val="nil"/>
              <w:bottom w:val="single" w:sz="4" w:space="0" w:color="000000"/>
              <w:right w:val="single" w:sz="4" w:space="0" w:color="000000"/>
            </w:tcBorders>
            <w:shd w:val="clear" w:color="000000" w:fill="FFFFFF"/>
            <w:hideMark/>
          </w:tcPr>
          <w:p w14:paraId="15127B8A"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Y PRINCIPIOS GENERALES DEL PROCESO ELECTORAL</w:t>
            </w:r>
          </w:p>
        </w:tc>
        <w:tc>
          <w:tcPr>
            <w:tcW w:w="3798" w:type="dxa"/>
            <w:tcBorders>
              <w:top w:val="nil"/>
              <w:left w:val="nil"/>
              <w:bottom w:val="single" w:sz="4" w:space="0" w:color="000000"/>
              <w:right w:val="single" w:sz="4" w:space="0" w:color="000000"/>
            </w:tcBorders>
            <w:shd w:val="clear" w:color="000000" w:fill="FFFFFF"/>
            <w:hideMark/>
          </w:tcPr>
          <w:p w14:paraId="011A0F6A"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Y PRINCIPIOS GENERALES DEL PROCESO ELECTORAL</w:t>
            </w:r>
          </w:p>
        </w:tc>
        <w:tc>
          <w:tcPr>
            <w:tcW w:w="1480" w:type="dxa"/>
            <w:tcBorders>
              <w:top w:val="nil"/>
              <w:left w:val="nil"/>
              <w:bottom w:val="single" w:sz="4" w:space="0" w:color="000000"/>
              <w:right w:val="single" w:sz="4" w:space="0" w:color="000000"/>
            </w:tcBorders>
            <w:shd w:val="clear" w:color="000000" w:fill="FFFFFF"/>
            <w:hideMark/>
          </w:tcPr>
          <w:p w14:paraId="5FCE046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EA5E718"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47876D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34.- Del concepto de ciudadanía electoral.</w:t>
            </w:r>
            <w:r w:rsidRPr="00222F34">
              <w:rPr>
                <w:rFonts w:ascii="Calibri" w:eastAsia="Times New Roman" w:hAnsi="Calibri" w:cs="Calibri"/>
                <w:color w:val="000000"/>
                <w:lang w:val="es-CO" w:eastAsia="es-CO" w:bidi="ar-SA"/>
              </w:rPr>
              <w:t xml:space="preserve"> La ciudadanía electoral es la calidad que habilita a los nacionales colombianos para ejercer los derechos políticos y contraer deberes. La ciudadanía electoral se adquiere al cumplir los dieciocho (18) años de edad y faculta para ejercer el derecho al voto y el de ser elegido. </w:t>
            </w:r>
          </w:p>
        </w:tc>
        <w:tc>
          <w:tcPr>
            <w:tcW w:w="3798" w:type="dxa"/>
            <w:tcBorders>
              <w:top w:val="nil"/>
              <w:left w:val="nil"/>
              <w:bottom w:val="nil"/>
              <w:right w:val="single" w:sz="4" w:space="0" w:color="000000"/>
            </w:tcBorders>
            <w:shd w:val="clear" w:color="000000" w:fill="FFFFFF"/>
            <w:hideMark/>
          </w:tcPr>
          <w:p w14:paraId="1C74F87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36. Del concepto de ciudadanía electoral.</w:t>
            </w:r>
            <w:r w:rsidRPr="00222F34">
              <w:rPr>
                <w:rFonts w:ascii="Calibri" w:eastAsia="Times New Roman" w:hAnsi="Calibri" w:cs="Calibri"/>
                <w:color w:val="000000"/>
                <w:lang w:val="es-CO" w:eastAsia="es-CO" w:bidi="ar-SA"/>
              </w:rPr>
              <w:t xml:space="preserve"> La ciudadanía electoral es la calidad que habilita a los nacionales colombianos para ejercer los derechos políticos y contraer deberes. La ciudadanía electoral se adquiere al cumplir los dieciocho (18) años de edad y faculta para ejercer el derecho al voto y el de ser elegido, éste último con el cumplimiento de otros requisitos que establece la Constitución y la Ley; en los cargos que determine la Constitución Política.</w:t>
            </w:r>
          </w:p>
        </w:tc>
        <w:tc>
          <w:tcPr>
            <w:tcW w:w="3798" w:type="dxa"/>
            <w:tcBorders>
              <w:top w:val="nil"/>
              <w:left w:val="nil"/>
              <w:bottom w:val="nil"/>
              <w:right w:val="single" w:sz="4" w:space="0" w:color="000000"/>
            </w:tcBorders>
            <w:shd w:val="clear" w:color="000000" w:fill="FFFFFF"/>
            <w:hideMark/>
          </w:tcPr>
          <w:p w14:paraId="4E6BE01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36. Del concepto de ciudadanía electoral.</w:t>
            </w:r>
            <w:r w:rsidRPr="00222F34">
              <w:rPr>
                <w:rFonts w:ascii="Calibri" w:eastAsia="Times New Roman" w:hAnsi="Calibri" w:cs="Calibri"/>
                <w:color w:val="000000"/>
                <w:lang w:val="es-CO" w:eastAsia="es-CO" w:bidi="ar-SA"/>
              </w:rPr>
              <w:t xml:space="preserve"> La ciudadanía electoral es la calidad que habilita a los nacionales colombianos para ejercer los derechos políticos y contraer deberes. La ciudadanía electoral se adquiere al cumplir los dieciocho (18) años de edad y faculta para ejercer el derecho al voto y el de ser elegido, éste último con el cumplimiento de otros requisitos que establece la Constitución y la Ley; en los cargos que determine la Constitución Política.</w:t>
            </w:r>
          </w:p>
        </w:tc>
        <w:tc>
          <w:tcPr>
            <w:tcW w:w="1480" w:type="dxa"/>
            <w:tcBorders>
              <w:top w:val="nil"/>
              <w:left w:val="nil"/>
              <w:bottom w:val="nil"/>
              <w:right w:val="single" w:sz="4" w:space="0" w:color="000000"/>
            </w:tcBorders>
            <w:shd w:val="clear" w:color="000000" w:fill="FFFFFF"/>
            <w:hideMark/>
          </w:tcPr>
          <w:p w14:paraId="1B7FBDED" w14:textId="33965EBB"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4F838DF4"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0D9F4D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ciudadanía juvenil habilita a los jóvenes colombianos a partir de los catorce (14) años de edad para ejercer el derecho al voto, para elegir y ser elegido en las elecciones que la ley disponga para la conformación del Consejo </w:t>
            </w:r>
            <w:r w:rsidRPr="00222F34">
              <w:rPr>
                <w:rFonts w:ascii="Calibri" w:eastAsia="Times New Roman" w:hAnsi="Calibri" w:cs="Calibri"/>
                <w:color w:val="000000"/>
                <w:lang w:val="es-CO" w:eastAsia="es-CO" w:bidi="ar-SA"/>
              </w:rPr>
              <w:lastRenderedPageBreak/>
              <w:t xml:space="preserve">Nacional de Juventud, los Consejos Departamentales de Juventud y a los Consejos Distritales, Municipales y Locales de Juventud. </w:t>
            </w:r>
          </w:p>
        </w:tc>
        <w:tc>
          <w:tcPr>
            <w:tcW w:w="3798" w:type="dxa"/>
            <w:tcBorders>
              <w:top w:val="nil"/>
              <w:left w:val="nil"/>
              <w:bottom w:val="single" w:sz="4" w:space="0" w:color="000000"/>
              <w:right w:val="single" w:sz="4" w:space="0" w:color="000000"/>
            </w:tcBorders>
            <w:shd w:val="clear" w:color="000000" w:fill="FFFFFF"/>
            <w:hideMark/>
          </w:tcPr>
          <w:p w14:paraId="337963C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ciudadanía juvenil habilita a los jóvenes colombianos a partir de los catorce (14) años de edad para ejercer el derecho al voto, para elegir y ser elegido en las elecciones que la ley disponga para la conformación del Consejo </w:t>
            </w:r>
            <w:r w:rsidRPr="00222F34">
              <w:rPr>
                <w:rFonts w:ascii="Calibri" w:eastAsia="Times New Roman" w:hAnsi="Calibri" w:cs="Calibri"/>
                <w:color w:val="000000"/>
                <w:lang w:val="es-CO" w:eastAsia="es-CO" w:bidi="ar-SA"/>
              </w:rPr>
              <w:lastRenderedPageBreak/>
              <w:t>Nacional de Juventud, los Consejos Departamentales de Juventud y a los Consejos Distritales, Municipales y Locales de Juventud.</w:t>
            </w:r>
          </w:p>
        </w:tc>
        <w:tc>
          <w:tcPr>
            <w:tcW w:w="3798" w:type="dxa"/>
            <w:tcBorders>
              <w:top w:val="nil"/>
              <w:left w:val="nil"/>
              <w:bottom w:val="single" w:sz="4" w:space="0" w:color="000000"/>
              <w:right w:val="single" w:sz="4" w:space="0" w:color="000000"/>
            </w:tcBorders>
            <w:shd w:val="clear" w:color="000000" w:fill="FFFFFF"/>
            <w:hideMark/>
          </w:tcPr>
          <w:p w14:paraId="52F5B8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ciudadanía juvenil habilita a los jóvenes colombianos a partir de los catorce (14) años de edad para ejercer el derecho al voto, para elegir y ser elegido en las elecciones que la ley disponga para la conformación del Consejo </w:t>
            </w:r>
            <w:r w:rsidRPr="00222F34">
              <w:rPr>
                <w:rFonts w:ascii="Calibri" w:eastAsia="Times New Roman" w:hAnsi="Calibri" w:cs="Calibri"/>
                <w:color w:val="000000"/>
                <w:lang w:val="es-CO" w:eastAsia="es-CO" w:bidi="ar-SA"/>
              </w:rPr>
              <w:lastRenderedPageBreak/>
              <w:t>Nacional de Juventud, los Consejos Departamentales de Juventud y a los Consejos Distritales, Municipales y Locales de Juventud.</w:t>
            </w:r>
          </w:p>
        </w:tc>
        <w:tc>
          <w:tcPr>
            <w:tcW w:w="1480" w:type="dxa"/>
            <w:tcBorders>
              <w:top w:val="nil"/>
              <w:left w:val="nil"/>
              <w:bottom w:val="single" w:sz="4" w:space="0" w:color="000000"/>
              <w:right w:val="single" w:sz="4" w:space="0" w:color="000000"/>
            </w:tcBorders>
            <w:shd w:val="clear" w:color="000000" w:fill="FFFFFF"/>
            <w:hideMark/>
          </w:tcPr>
          <w:p w14:paraId="37A4FCD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11932FAB"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04E9B40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35.- Principios de la función electoral en los procesos electorales.</w:t>
            </w:r>
            <w:r w:rsidRPr="00222F34">
              <w:rPr>
                <w:rFonts w:ascii="Calibri" w:eastAsia="Times New Roman" w:hAnsi="Calibri" w:cs="Calibri"/>
                <w:color w:val="000000"/>
                <w:lang w:val="es-CO" w:eastAsia="es-CO" w:bidi="ar-SA"/>
              </w:rPr>
              <w:t xml:space="preserve"> Al interpretar las disposiciones de la presente ley, se tendrán en cuenta, además de los principios constitucionales que rigen las actuaciones administrativas, los siguientes principios de orden electoral: </w:t>
            </w:r>
          </w:p>
        </w:tc>
        <w:tc>
          <w:tcPr>
            <w:tcW w:w="3798" w:type="dxa"/>
            <w:tcBorders>
              <w:top w:val="nil"/>
              <w:left w:val="nil"/>
              <w:bottom w:val="nil"/>
              <w:right w:val="single" w:sz="4" w:space="0" w:color="000000"/>
            </w:tcBorders>
            <w:shd w:val="clear" w:color="000000" w:fill="FFFFFF"/>
            <w:hideMark/>
          </w:tcPr>
          <w:p w14:paraId="14ACBAC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37. Principios de la función electoral en los procesos electorales</w:t>
            </w:r>
            <w:r w:rsidRPr="00222F34">
              <w:rPr>
                <w:rFonts w:ascii="Calibri" w:eastAsia="Times New Roman" w:hAnsi="Calibri" w:cs="Calibri"/>
                <w:color w:val="000000"/>
                <w:lang w:val="es-CO" w:eastAsia="es-CO" w:bidi="ar-SA"/>
              </w:rPr>
              <w:t>. Al interpretar las disposiciones de la presente ley, se tendrán en cuenta, además de los principios constitucionales que rigen las actuaciones administrativas, los siguientes principios de orden electoral:</w:t>
            </w:r>
          </w:p>
        </w:tc>
        <w:tc>
          <w:tcPr>
            <w:tcW w:w="3798" w:type="dxa"/>
            <w:tcBorders>
              <w:top w:val="nil"/>
              <w:left w:val="nil"/>
              <w:bottom w:val="nil"/>
              <w:right w:val="single" w:sz="4" w:space="0" w:color="000000"/>
            </w:tcBorders>
            <w:shd w:val="clear" w:color="000000" w:fill="FFFFFF"/>
            <w:hideMark/>
          </w:tcPr>
          <w:p w14:paraId="4186214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37. Principios de la función electoral en los procesos electorales</w:t>
            </w:r>
            <w:r w:rsidRPr="00222F34">
              <w:rPr>
                <w:rFonts w:ascii="Calibri" w:eastAsia="Times New Roman" w:hAnsi="Calibri" w:cs="Calibri"/>
                <w:color w:val="000000"/>
                <w:lang w:val="es-CO" w:eastAsia="es-CO" w:bidi="ar-SA"/>
              </w:rPr>
              <w:t>. Al interpretar las disposiciones de la presente ley, se tendrán en cuenta, además de los principios constitucionales que rigen las actuaciones administrativas, los siguientes principios de orden electoral:</w:t>
            </w:r>
          </w:p>
        </w:tc>
        <w:tc>
          <w:tcPr>
            <w:tcW w:w="1480" w:type="dxa"/>
            <w:tcBorders>
              <w:top w:val="nil"/>
              <w:left w:val="nil"/>
              <w:bottom w:val="nil"/>
              <w:right w:val="single" w:sz="4" w:space="0" w:color="000000"/>
            </w:tcBorders>
            <w:shd w:val="clear" w:color="000000" w:fill="FFFFFF"/>
            <w:hideMark/>
          </w:tcPr>
          <w:p w14:paraId="51B7C1D0" w14:textId="2FDB56E1"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salvo en numeral 17 que se acoge el aprobado por el Senado de la República.</w:t>
            </w:r>
          </w:p>
        </w:tc>
      </w:tr>
      <w:tr w:rsidR="00222F34" w:rsidRPr="00222F34" w14:paraId="478CB4CD"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698643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Participación democrática.</w:t>
            </w:r>
            <w:r w:rsidRPr="00222F34">
              <w:rPr>
                <w:rFonts w:ascii="Calibri" w:eastAsia="Times New Roman" w:hAnsi="Calibri" w:cs="Calibri"/>
                <w:color w:val="000000"/>
                <w:lang w:val="es-CO" w:eastAsia="es-CO" w:bidi="ar-SA"/>
              </w:rPr>
              <w:t xml:space="preserve"> La Organización Electoral promoverá la participación democrática desde sus ámbitos universal y expansivo, con el fin de garantizar los derechos políticos, en especial, los grupos subrepresentados, las sujetas de especial protección constitucional y la oposición.  El control ciudadano al ejercicio del poder político y público es fundamental en todas las etapas del proceso electoral y debe contar con garantías diferenciales para su ejercicio. </w:t>
            </w:r>
          </w:p>
        </w:tc>
        <w:tc>
          <w:tcPr>
            <w:tcW w:w="3798" w:type="dxa"/>
            <w:tcBorders>
              <w:top w:val="nil"/>
              <w:left w:val="nil"/>
              <w:bottom w:val="nil"/>
              <w:right w:val="single" w:sz="4" w:space="0" w:color="000000"/>
            </w:tcBorders>
            <w:shd w:val="clear" w:color="000000" w:fill="FFFFFF"/>
            <w:hideMark/>
          </w:tcPr>
          <w:p w14:paraId="2F48D16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Participación democrática.</w:t>
            </w:r>
            <w:r w:rsidRPr="00222F34">
              <w:rPr>
                <w:rFonts w:ascii="Calibri" w:eastAsia="Times New Roman" w:hAnsi="Calibri" w:cs="Calibri"/>
                <w:color w:val="000000"/>
                <w:lang w:val="es-CO" w:eastAsia="es-CO" w:bidi="ar-SA"/>
              </w:rPr>
              <w:t xml:space="preserve"> La Organización Electoral promoverá la participación democrática desde sus ámbitos universal y expansivo, con el fin de garantizar los derechos políticos, en especial, los grupos subrepresentados, las sujetas de especial protección constitucional y la oposición.  El control ciudadano al ejercicio del poder político y público es fundamental en todas las etapas del proceso electoral y debe contar con garantías diferenciales para su ejercicio. </w:t>
            </w:r>
          </w:p>
        </w:tc>
        <w:tc>
          <w:tcPr>
            <w:tcW w:w="3798" w:type="dxa"/>
            <w:tcBorders>
              <w:top w:val="nil"/>
              <w:left w:val="nil"/>
              <w:bottom w:val="nil"/>
              <w:right w:val="single" w:sz="4" w:space="0" w:color="000000"/>
            </w:tcBorders>
            <w:shd w:val="clear" w:color="000000" w:fill="FFFFFF"/>
            <w:hideMark/>
          </w:tcPr>
          <w:p w14:paraId="1795D38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Participación democrática.</w:t>
            </w:r>
            <w:r w:rsidRPr="00222F34">
              <w:rPr>
                <w:rFonts w:ascii="Calibri" w:eastAsia="Times New Roman" w:hAnsi="Calibri" w:cs="Calibri"/>
                <w:color w:val="000000"/>
                <w:lang w:val="es-CO" w:eastAsia="es-CO" w:bidi="ar-SA"/>
              </w:rPr>
              <w:t xml:space="preserve"> La Organización Electoral promoverá la participación democrática desde sus ámbitos universal y expansivo, con el fin de garantizar los derechos políticos, en especial, los grupos subrepresentados, las sujetas de especial protección constitucional y la oposición.  El control ciudadano al ejercicio del poder político y público es fundamental en todas las etapas del proceso electoral y debe contar con garantías diferenciales para su ejercicio. </w:t>
            </w:r>
          </w:p>
        </w:tc>
        <w:tc>
          <w:tcPr>
            <w:tcW w:w="1480" w:type="dxa"/>
            <w:tcBorders>
              <w:top w:val="nil"/>
              <w:left w:val="nil"/>
              <w:bottom w:val="nil"/>
              <w:right w:val="single" w:sz="4" w:space="0" w:color="000000"/>
            </w:tcBorders>
            <w:shd w:val="clear" w:color="000000" w:fill="FFFFFF"/>
            <w:hideMark/>
          </w:tcPr>
          <w:p w14:paraId="69DFBE1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293200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C00EFA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Capacidad electoral.</w:t>
            </w:r>
            <w:r w:rsidRPr="00222F34">
              <w:rPr>
                <w:rFonts w:ascii="Calibri" w:eastAsia="Times New Roman" w:hAnsi="Calibri" w:cs="Calibri"/>
                <w:color w:val="000000"/>
                <w:lang w:val="es-CO" w:eastAsia="es-CO" w:bidi="ar-SA"/>
              </w:rPr>
              <w:t xml:space="preserve"> Toda persona hábil para votar puede elegir y ser elegida siempre y cuando no existan </w:t>
            </w:r>
            <w:r w:rsidRPr="00222F34">
              <w:rPr>
                <w:rFonts w:ascii="Calibri" w:eastAsia="Times New Roman" w:hAnsi="Calibri" w:cs="Calibri"/>
                <w:color w:val="000000"/>
                <w:lang w:val="es-CO" w:eastAsia="es-CO" w:bidi="ar-SA"/>
              </w:rPr>
              <w:lastRenderedPageBreak/>
              <w:t>norma expresa o sentencia judicial que limiten su derecho.</w:t>
            </w:r>
          </w:p>
        </w:tc>
        <w:tc>
          <w:tcPr>
            <w:tcW w:w="3798" w:type="dxa"/>
            <w:tcBorders>
              <w:top w:val="nil"/>
              <w:left w:val="nil"/>
              <w:bottom w:val="nil"/>
              <w:right w:val="single" w:sz="4" w:space="0" w:color="000000"/>
            </w:tcBorders>
            <w:shd w:val="clear" w:color="000000" w:fill="FFFFFF"/>
            <w:hideMark/>
          </w:tcPr>
          <w:p w14:paraId="4AF6583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 Capacidad electoral.</w:t>
            </w:r>
            <w:r w:rsidRPr="00222F34">
              <w:rPr>
                <w:rFonts w:ascii="Calibri" w:eastAsia="Times New Roman" w:hAnsi="Calibri" w:cs="Calibri"/>
                <w:color w:val="000000"/>
                <w:lang w:val="es-CO" w:eastAsia="es-CO" w:bidi="ar-SA"/>
              </w:rPr>
              <w:t xml:space="preserve"> Toda persona hábil para votar puede elegir y ser elegida siempre y cuando no existan </w:t>
            </w:r>
            <w:r w:rsidRPr="00222F34">
              <w:rPr>
                <w:rFonts w:ascii="Calibri" w:eastAsia="Times New Roman" w:hAnsi="Calibri" w:cs="Calibri"/>
                <w:color w:val="000000"/>
                <w:lang w:val="es-CO" w:eastAsia="es-CO" w:bidi="ar-SA"/>
              </w:rPr>
              <w:lastRenderedPageBreak/>
              <w:t>norma expresa o sentencia judicial que limiten su derecho.</w:t>
            </w:r>
          </w:p>
        </w:tc>
        <w:tc>
          <w:tcPr>
            <w:tcW w:w="3798" w:type="dxa"/>
            <w:tcBorders>
              <w:top w:val="nil"/>
              <w:left w:val="nil"/>
              <w:bottom w:val="nil"/>
              <w:right w:val="single" w:sz="4" w:space="0" w:color="000000"/>
            </w:tcBorders>
            <w:shd w:val="clear" w:color="000000" w:fill="FFFFFF"/>
            <w:hideMark/>
          </w:tcPr>
          <w:p w14:paraId="67A4317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 Capacidad electoral.</w:t>
            </w:r>
            <w:r w:rsidRPr="00222F34">
              <w:rPr>
                <w:rFonts w:ascii="Calibri" w:eastAsia="Times New Roman" w:hAnsi="Calibri" w:cs="Calibri"/>
                <w:color w:val="000000"/>
                <w:lang w:val="es-CO" w:eastAsia="es-CO" w:bidi="ar-SA"/>
              </w:rPr>
              <w:t xml:space="preserve"> Toda persona hábil para votar puede elegir y ser elegida siempre y cuando no existan </w:t>
            </w:r>
            <w:r w:rsidRPr="00222F34">
              <w:rPr>
                <w:rFonts w:ascii="Calibri" w:eastAsia="Times New Roman" w:hAnsi="Calibri" w:cs="Calibri"/>
                <w:color w:val="000000"/>
                <w:lang w:val="es-CO" w:eastAsia="es-CO" w:bidi="ar-SA"/>
              </w:rPr>
              <w:lastRenderedPageBreak/>
              <w:t>norma expresa o sentencia judicial que limiten su derecho.</w:t>
            </w:r>
          </w:p>
        </w:tc>
        <w:tc>
          <w:tcPr>
            <w:tcW w:w="1480" w:type="dxa"/>
            <w:tcBorders>
              <w:top w:val="nil"/>
              <w:left w:val="nil"/>
              <w:bottom w:val="nil"/>
              <w:right w:val="single" w:sz="4" w:space="0" w:color="000000"/>
            </w:tcBorders>
            <w:shd w:val="clear" w:color="000000" w:fill="FFFFFF"/>
            <w:hideMark/>
          </w:tcPr>
          <w:p w14:paraId="210B88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30321A3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141CA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3</w:t>
            </w:r>
            <w:r w:rsidRPr="00222F34">
              <w:rPr>
                <w:rFonts w:ascii="Calibri" w:eastAsia="Times New Roman" w:hAnsi="Calibri" w:cs="Calibri"/>
                <w:b/>
                <w:bCs/>
                <w:color w:val="000000"/>
                <w:lang w:val="es-CO" w:eastAsia="es-CO" w:bidi="ar-SA"/>
              </w:rPr>
              <w:t>. Interpretación restringida</w:t>
            </w:r>
            <w:r w:rsidRPr="00222F34">
              <w:rPr>
                <w:rFonts w:ascii="Calibri" w:eastAsia="Times New Roman" w:hAnsi="Calibri" w:cs="Calibri"/>
                <w:color w:val="000000"/>
                <w:lang w:val="es-CO" w:eastAsia="es-CO" w:bidi="ar-SA"/>
              </w:rPr>
              <w:t xml:space="preserve">. Las disposiciones jurídicas que afectan o limitan el ejercicio del derecho a elegir y ser elegido son de interpretación restringida y taxativa, por lo tanto, no se aplicarán de manera extensiva o analógica. </w:t>
            </w:r>
          </w:p>
        </w:tc>
        <w:tc>
          <w:tcPr>
            <w:tcW w:w="3798" w:type="dxa"/>
            <w:tcBorders>
              <w:top w:val="nil"/>
              <w:left w:val="nil"/>
              <w:bottom w:val="nil"/>
              <w:right w:val="single" w:sz="4" w:space="0" w:color="000000"/>
            </w:tcBorders>
            <w:shd w:val="clear" w:color="000000" w:fill="FFFFFF"/>
            <w:hideMark/>
          </w:tcPr>
          <w:p w14:paraId="04061FA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3. Interpretación restringida</w:t>
            </w:r>
            <w:r w:rsidRPr="00222F34">
              <w:rPr>
                <w:rFonts w:ascii="Calibri" w:eastAsia="Times New Roman" w:hAnsi="Calibri" w:cs="Calibri"/>
                <w:color w:val="000000"/>
                <w:lang w:val="es-CO" w:eastAsia="es-CO" w:bidi="ar-SA"/>
              </w:rPr>
              <w:t xml:space="preserve">. Las disposiciones jurídicas que afectan o limitan el ejercicio del derecho a elegir y ser elegido son de interpretación restringida y taxativa, por lo tanto, no se aplicarán de manera extensiva o analógica. </w:t>
            </w:r>
          </w:p>
        </w:tc>
        <w:tc>
          <w:tcPr>
            <w:tcW w:w="3798" w:type="dxa"/>
            <w:tcBorders>
              <w:top w:val="nil"/>
              <w:left w:val="nil"/>
              <w:bottom w:val="nil"/>
              <w:right w:val="single" w:sz="4" w:space="0" w:color="000000"/>
            </w:tcBorders>
            <w:shd w:val="clear" w:color="000000" w:fill="FFFFFF"/>
            <w:hideMark/>
          </w:tcPr>
          <w:p w14:paraId="79FA36C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3. Interpretación restringida</w:t>
            </w:r>
            <w:r w:rsidRPr="00222F34">
              <w:rPr>
                <w:rFonts w:ascii="Calibri" w:eastAsia="Times New Roman" w:hAnsi="Calibri" w:cs="Calibri"/>
                <w:color w:val="000000"/>
                <w:lang w:val="es-CO" w:eastAsia="es-CO" w:bidi="ar-SA"/>
              </w:rPr>
              <w:t xml:space="preserve">. Las disposiciones jurídicas que afectan o limitan el ejercicio del derecho a elegir y ser elegido son de interpretación restringida y taxativa, por lo tanto, no se aplicarán de manera extensiva o analógica. </w:t>
            </w:r>
          </w:p>
        </w:tc>
        <w:tc>
          <w:tcPr>
            <w:tcW w:w="1480" w:type="dxa"/>
            <w:tcBorders>
              <w:top w:val="nil"/>
              <w:left w:val="nil"/>
              <w:bottom w:val="nil"/>
              <w:right w:val="single" w:sz="4" w:space="0" w:color="000000"/>
            </w:tcBorders>
            <w:shd w:val="clear" w:color="000000" w:fill="FFFFFF"/>
            <w:hideMark/>
          </w:tcPr>
          <w:p w14:paraId="0F14E8C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F4CECA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D25861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w:t>
            </w:r>
            <w:r w:rsidRPr="00222F34">
              <w:rPr>
                <w:rFonts w:ascii="Calibri" w:eastAsia="Times New Roman" w:hAnsi="Calibri" w:cs="Calibri"/>
                <w:b/>
                <w:bCs/>
                <w:color w:val="000000"/>
                <w:lang w:val="es-CO" w:eastAsia="es-CO" w:bidi="ar-SA"/>
              </w:rPr>
              <w:t>. Pro persona o Pro homine</w:t>
            </w:r>
            <w:r w:rsidRPr="00222F34">
              <w:rPr>
                <w:rFonts w:ascii="Calibri" w:eastAsia="Times New Roman" w:hAnsi="Calibri" w:cs="Calibri"/>
                <w:color w:val="000000"/>
                <w:lang w:val="es-CO" w:eastAsia="es-CO" w:bidi="ar-SA"/>
              </w:rPr>
              <w:t xml:space="preserve">.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 </w:t>
            </w:r>
          </w:p>
        </w:tc>
        <w:tc>
          <w:tcPr>
            <w:tcW w:w="3798" w:type="dxa"/>
            <w:tcBorders>
              <w:top w:val="nil"/>
              <w:left w:val="nil"/>
              <w:bottom w:val="nil"/>
              <w:right w:val="single" w:sz="4" w:space="0" w:color="000000"/>
            </w:tcBorders>
            <w:shd w:val="clear" w:color="000000" w:fill="FFFFFF"/>
            <w:hideMark/>
          </w:tcPr>
          <w:p w14:paraId="73967B8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4. Pro persona o Pro homine</w:t>
            </w:r>
            <w:r w:rsidRPr="00222F34">
              <w:rPr>
                <w:rFonts w:ascii="Calibri" w:eastAsia="Times New Roman" w:hAnsi="Calibri" w:cs="Calibri"/>
                <w:color w:val="000000"/>
                <w:lang w:val="es-CO" w:eastAsia="es-CO" w:bidi="ar-SA"/>
              </w:rPr>
              <w:t xml:space="preserve">.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 </w:t>
            </w:r>
          </w:p>
        </w:tc>
        <w:tc>
          <w:tcPr>
            <w:tcW w:w="3798" w:type="dxa"/>
            <w:tcBorders>
              <w:top w:val="nil"/>
              <w:left w:val="nil"/>
              <w:bottom w:val="nil"/>
              <w:right w:val="single" w:sz="4" w:space="0" w:color="000000"/>
            </w:tcBorders>
            <w:shd w:val="clear" w:color="000000" w:fill="FFFFFF"/>
            <w:hideMark/>
          </w:tcPr>
          <w:p w14:paraId="6F0D82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4. Pro persona o Pro homine</w:t>
            </w:r>
            <w:r w:rsidRPr="00222F34">
              <w:rPr>
                <w:rFonts w:ascii="Calibri" w:eastAsia="Times New Roman" w:hAnsi="Calibri" w:cs="Calibri"/>
                <w:color w:val="000000"/>
                <w:lang w:val="es-CO" w:eastAsia="es-CO" w:bidi="ar-SA"/>
              </w:rPr>
              <w:t xml:space="preserve">.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 </w:t>
            </w:r>
          </w:p>
        </w:tc>
        <w:tc>
          <w:tcPr>
            <w:tcW w:w="1480" w:type="dxa"/>
            <w:tcBorders>
              <w:top w:val="nil"/>
              <w:left w:val="nil"/>
              <w:bottom w:val="nil"/>
              <w:right w:val="single" w:sz="4" w:space="0" w:color="000000"/>
            </w:tcBorders>
            <w:shd w:val="clear" w:color="000000" w:fill="FFFFFF"/>
            <w:hideMark/>
          </w:tcPr>
          <w:p w14:paraId="7458D7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535BF33"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51E9E5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5. Pro electorado o Pro electoratem</w:t>
            </w:r>
            <w:r w:rsidRPr="00222F34">
              <w:rPr>
                <w:rFonts w:ascii="Calibri" w:eastAsia="Times New Roman" w:hAnsi="Calibri" w:cs="Calibri"/>
                <w:color w:val="000000"/>
                <w:lang w:val="es-CO" w:eastAsia="es-CO" w:bidi="ar-SA"/>
              </w:rPr>
              <w:t xml:space="preserve">. Impone que, en casos específicos, el acto electoral antes que favorecer exclusivamente el derecho del elegido, opere su interpretación en favor del derecho del elector. Este principio se aplicará cuando se cuestione la legalidad del acto que declara una elección o </w:t>
            </w:r>
            <w:r w:rsidRPr="00222F34">
              <w:rPr>
                <w:rFonts w:ascii="Calibri" w:eastAsia="Times New Roman" w:hAnsi="Calibri" w:cs="Calibri"/>
                <w:color w:val="000000"/>
                <w:lang w:val="es-CO" w:eastAsia="es-CO" w:bidi="ar-SA"/>
              </w:rPr>
              <w:lastRenderedPageBreak/>
              <w:t xml:space="preserve">resultado por causales objetivas de nulidad electoral. </w:t>
            </w:r>
          </w:p>
        </w:tc>
        <w:tc>
          <w:tcPr>
            <w:tcW w:w="3798" w:type="dxa"/>
            <w:tcBorders>
              <w:top w:val="nil"/>
              <w:left w:val="nil"/>
              <w:bottom w:val="nil"/>
              <w:right w:val="single" w:sz="4" w:space="0" w:color="000000"/>
            </w:tcBorders>
            <w:shd w:val="clear" w:color="000000" w:fill="FFFFFF"/>
            <w:hideMark/>
          </w:tcPr>
          <w:p w14:paraId="52ADAF9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5. Pro electorado o Pro electoratem</w:t>
            </w:r>
            <w:r w:rsidRPr="00222F34">
              <w:rPr>
                <w:rFonts w:ascii="Calibri" w:eastAsia="Times New Roman" w:hAnsi="Calibri" w:cs="Calibri"/>
                <w:color w:val="000000"/>
                <w:lang w:val="es-CO" w:eastAsia="es-CO" w:bidi="ar-SA"/>
              </w:rPr>
              <w:t xml:space="preserve">. Impone que, en casos específicos, el acto electoral antes que favorecer exclusivamente el derecho del elegido, opere su interpretación en favor del derecho del elector. Este principio se aplicará cuando se cuestione la legalidad del acto que declara una elección o </w:t>
            </w:r>
            <w:r w:rsidRPr="00222F34">
              <w:rPr>
                <w:rFonts w:ascii="Calibri" w:eastAsia="Times New Roman" w:hAnsi="Calibri" w:cs="Calibri"/>
                <w:color w:val="000000"/>
                <w:lang w:val="es-CO" w:eastAsia="es-CO" w:bidi="ar-SA"/>
              </w:rPr>
              <w:lastRenderedPageBreak/>
              <w:t xml:space="preserve">resultado por causales objetivas de nulidad electoral. </w:t>
            </w:r>
          </w:p>
        </w:tc>
        <w:tc>
          <w:tcPr>
            <w:tcW w:w="3798" w:type="dxa"/>
            <w:tcBorders>
              <w:top w:val="nil"/>
              <w:left w:val="nil"/>
              <w:bottom w:val="nil"/>
              <w:right w:val="single" w:sz="4" w:space="0" w:color="000000"/>
            </w:tcBorders>
            <w:shd w:val="clear" w:color="000000" w:fill="FFFFFF"/>
            <w:hideMark/>
          </w:tcPr>
          <w:p w14:paraId="6C355BD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5. Pro electorado o Pro electoratem</w:t>
            </w:r>
            <w:r w:rsidRPr="00222F34">
              <w:rPr>
                <w:rFonts w:ascii="Calibri" w:eastAsia="Times New Roman" w:hAnsi="Calibri" w:cs="Calibri"/>
                <w:color w:val="000000"/>
                <w:lang w:val="es-CO" w:eastAsia="es-CO" w:bidi="ar-SA"/>
              </w:rPr>
              <w:t xml:space="preserve">. Impone que, en casos específicos, el acto electoral antes que favorecer exclusivamente el derecho del elegido, opere su interpretación en favor del derecho del elector. Este principio se aplicará cuando se cuestione la legalidad del acto que declara una elección o </w:t>
            </w:r>
            <w:r w:rsidRPr="00222F34">
              <w:rPr>
                <w:rFonts w:ascii="Calibri" w:eastAsia="Times New Roman" w:hAnsi="Calibri" w:cs="Calibri"/>
                <w:color w:val="000000"/>
                <w:lang w:val="es-CO" w:eastAsia="es-CO" w:bidi="ar-SA"/>
              </w:rPr>
              <w:lastRenderedPageBreak/>
              <w:t xml:space="preserve">resultado por causales objetivas de nulidad electoral. </w:t>
            </w:r>
          </w:p>
        </w:tc>
        <w:tc>
          <w:tcPr>
            <w:tcW w:w="1480" w:type="dxa"/>
            <w:tcBorders>
              <w:top w:val="nil"/>
              <w:left w:val="nil"/>
              <w:bottom w:val="nil"/>
              <w:right w:val="single" w:sz="4" w:space="0" w:color="000000"/>
            </w:tcBorders>
            <w:shd w:val="clear" w:color="000000" w:fill="FFFFFF"/>
            <w:hideMark/>
          </w:tcPr>
          <w:p w14:paraId="56102A5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303BA39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9F4CEB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6. Pro sufragio o Pro sufragium. </w:t>
            </w:r>
            <w:r w:rsidRPr="00222F34">
              <w:rPr>
                <w:rFonts w:ascii="Calibri" w:eastAsia="Times New Roman" w:hAnsi="Calibri" w:cs="Calibri"/>
                <w:color w:val="000000"/>
                <w:lang w:val="es-CO" w:eastAsia="es-CO" w:bidi="ar-SA"/>
              </w:rPr>
              <w:t xml:space="preserve">Faculta a la Organización Electoral para tomar decisiones en materia electoral donde se proteja y prima la salvaguardia del derecho al voto, la verdad electoral y la participación ciudadana. </w:t>
            </w:r>
          </w:p>
        </w:tc>
        <w:tc>
          <w:tcPr>
            <w:tcW w:w="3798" w:type="dxa"/>
            <w:tcBorders>
              <w:top w:val="nil"/>
              <w:left w:val="nil"/>
              <w:bottom w:val="nil"/>
              <w:right w:val="single" w:sz="4" w:space="0" w:color="000000"/>
            </w:tcBorders>
            <w:shd w:val="clear" w:color="000000" w:fill="FFFFFF"/>
            <w:hideMark/>
          </w:tcPr>
          <w:p w14:paraId="7FAAE50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6. Pro sufragio o Pro sufragium. </w:t>
            </w:r>
            <w:r w:rsidRPr="00222F34">
              <w:rPr>
                <w:rFonts w:ascii="Calibri" w:eastAsia="Times New Roman" w:hAnsi="Calibri" w:cs="Calibri"/>
                <w:color w:val="000000"/>
                <w:lang w:val="es-CO" w:eastAsia="es-CO" w:bidi="ar-SA"/>
              </w:rPr>
              <w:t xml:space="preserve">Faculta a la Organización Electoral para tomar decisiones en materia electoral donde se proteja y prima la salvaguardia del derecho al voto, la verdad electoral y la participación ciudadana. </w:t>
            </w:r>
          </w:p>
        </w:tc>
        <w:tc>
          <w:tcPr>
            <w:tcW w:w="3798" w:type="dxa"/>
            <w:tcBorders>
              <w:top w:val="nil"/>
              <w:left w:val="nil"/>
              <w:bottom w:val="nil"/>
              <w:right w:val="single" w:sz="4" w:space="0" w:color="000000"/>
            </w:tcBorders>
            <w:shd w:val="clear" w:color="000000" w:fill="FFFFFF"/>
            <w:hideMark/>
          </w:tcPr>
          <w:p w14:paraId="5A20E6E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6. Pro sufragio o Pro sufragium. </w:t>
            </w:r>
            <w:r w:rsidRPr="00222F34">
              <w:rPr>
                <w:rFonts w:ascii="Calibri" w:eastAsia="Times New Roman" w:hAnsi="Calibri" w:cs="Calibri"/>
                <w:color w:val="000000"/>
                <w:lang w:val="es-CO" w:eastAsia="es-CO" w:bidi="ar-SA"/>
              </w:rPr>
              <w:t xml:space="preserve">Faculta a la Organización Electoral para tomar decisiones en materia electoral donde se proteja y prima la salvaguardia del derecho al voto, la verdad electoral y la participación ciudadana. </w:t>
            </w:r>
          </w:p>
        </w:tc>
        <w:tc>
          <w:tcPr>
            <w:tcW w:w="1480" w:type="dxa"/>
            <w:tcBorders>
              <w:top w:val="nil"/>
              <w:left w:val="nil"/>
              <w:bottom w:val="nil"/>
              <w:right w:val="single" w:sz="4" w:space="0" w:color="000000"/>
            </w:tcBorders>
            <w:shd w:val="clear" w:color="000000" w:fill="FFFFFF"/>
            <w:hideMark/>
          </w:tcPr>
          <w:p w14:paraId="3B470FF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3404D3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AFE8D5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7. Universalidad del voto</w:t>
            </w:r>
            <w:r w:rsidRPr="00222F34">
              <w:rPr>
                <w:rFonts w:ascii="Calibri" w:eastAsia="Times New Roman" w:hAnsi="Calibri" w:cs="Calibri"/>
                <w:color w:val="000000"/>
                <w:lang w:val="es-CO" w:eastAsia="es-CO" w:bidi="ar-SA"/>
              </w:rPr>
              <w:t xml:space="preserve">. El Estado garantizará a todos los colombianos, habilitados para votar, su ejercicio en condiciones de igualdad y accesibilidad. </w:t>
            </w:r>
          </w:p>
        </w:tc>
        <w:tc>
          <w:tcPr>
            <w:tcW w:w="3798" w:type="dxa"/>
            <w:tcBorders>
              <w:top w:val="nil"/>
              <w:left w:val="nil"/>
              <w:bottom w:val="nil"/>
              <w:right w:val="single" w:sz="4" w:space="0" w:color="000000"/>
            </w:tcBorders>
            <w:shd w:val="clear" w:color="000000" w:fill="FFFFFF"/>
            <w:hideMark/>
          </w:tcPr>
          <w:p w14:paraId="128083F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7. Universalidad del voto</w:t>
            </w:r>
            <w:r w:rsidRPr="00222F34">
              <w:rPr>
                <w:rFonts w:ascii="Calibri" w:eastAsia="Times New Roman" w:hAnsi="Calibri" w:cs="Calibri"/>
                <w:color w:val="000000"/>
                <w:lang w:val="es-CO" w:eastAsia="es-CO" w:bidi="ar-SA"/>
              </w:rPr>
              <w:t xml:space="preserve">. El Estado garantizará a todos los colombianos, habilitados para votar, su ejercicio en condiciones de igualdad y accesibilidad. </w:t>
            </w:r>
          </w:p>
        </w:tc>
        <w:tc>
          <w:tcPr>
            <w:tcW w:w="3798" w:type="dxa"/>
            <w:tcBorders>
              <w:top w:val="nil"/>
              <w:left w:val="nil"/>
              <w:bottom w:val="nil"/>
              <w:right w:val="single" w:sz="4" w:space="0" w:color="000000"/>
            </w:tcBorders>
            <w:shd w:val="clear" w:color="000000" w:fill="FFFFFF"/>
            <w:hideMark/>
          </w:tcPr>
          <w:p w14:paraId="67537A4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7. Universalidad del voto</w:t>
            </w:r>
            <w:r w:rsidRPr="00222F34">
              <w:rPr>
                <w:rFonts w:ascii="Calibri" w:eastAsia="Times New Roman" w:hAnsi="Calibri" w:cs="Calibri"/>
                <w:color w:val="000000"/>
                <w:lang w:val="es-CO" w:eastAsia="es-CO" w:bidi="ar-SA"/>
              </w:rPr>
              <w:t xml:space="preserve">. El Estado garantizará a todos los colombianos, habilitados para votar, su ejercicio en condiciones de igualdad y accesibilidad. </w:t>
            </w:r>
          </w:p>
        </w:tc>
        <w:tc>
          <w:tcPr>
            <w:tcW w:w="1480" w:type="dxa"/>
            <w:tcBorders>
              <w:top w:val="nil"/>
              <w:left w:val="nil"/>
              <w:bottom w:val="nil"/>
              <w:right w:val="single" w:sz="4" w:space="0" w:color="000000"/>
            </w:tcBorders>
            <w:shd w:val="clear" w:color="000000" w:fill="FFFFFF"/>
            <w:hideMark/>
          </w:tcPr>
          <w:p w14:paraId="08864CE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6AF8B6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4DE61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extranjeros residentes en Colombia votarán en las mismas condiciones de igualdad y accesibilidad, y solo para las elecciones previstas en la ley.</w:t>
            </w:r>
          </w:p>
        </w:tc>
        <w:tc>
          <w:tcPr>
            <w:tcW w:w="3798" w:type="dxa"/>
            <w:tcBorders>
              <w:top w:val="nil"/>
              <w:left w:val="nil"/>
              <w:bottom w:val="nil"/>
              <w:right w:val="single" w:sz="4" w:space="0" w:color="000000"/>
            </w:tcBorders>
            <w:shd w:val="clear" w:color="000000" w:fill="FFFFFF"/>
            <w:hideMark/>
          </w:tcPr>
          <w:p w14:paraId="125D27F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extranjeros residentes en Colombia votarán en las mismas condiciones de igualdad y accesibilidad, y solo para las elecciones previstas en la ley.</w:t>
            </w:r>
          </w:p>
        </w:tc>
        <w:tc>
          <w:tcPr>
            <w:tcW w:w="3798" w:type="dxa"/>
            <w:tcBorders>
              <w:top w:val="nil"/>
              <w:left w:val="nil"/>
              <w:bottom w:val="nil"/>
              <w:right w:val="single" w:sz="4" w:space="0" w:color="000000"/>
            </w:tcBorders>
            <w:shd w:val="clear" w:color="000000" w:fill="FFFFFF"/>
            <w:hideMark/>
          </w:tcPr>
          <w:p w14:paraId="1AD1F52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extranjeros residentes en Colombia votarán en las mismas condiciones de igualdad y accesibilidad, y solo para las elecciones previstas en la ley.</w:t>
            </w:r>
          </w:p>
        </w:tc>
        <w:tc>
          <w:tcPr>
            <w:tcW w:w="1480" w:type="dxa"/>
            <w:tcBorders>
              <w:top w:val="nil"/>
              <w:left w:val="nil"/>
              <w:bottom w:val="nil"/>
              <w:right w:val="single" w:sz="4" w:space="0" w:color="000000"/>
            </w:tcBorders>
            <w:shd w:val="clear" w:color="000000" w:fill="FFFFFF"/>
            <w:hideMark/>
          </w:tcPr>
          <w:p w14:paraId="03B5F6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2CDDE2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784CD1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8. Preclusividad.</w:t>
            </w:r>
            <w:r w:rsidRPr="00222F34">
              <w:rPr>
                <w:rFonts w:ascii="Calibri" w:eastAsia="Times New Roman" w:hAnsi="Calibri" w:cs="Calibri"/>
                <w:color w:val="000000"/>
                <w:lang w:val="es-CO" w:eastAsia="es-CO" w:bidi="ar-SA"/>
              </w:rPr>
              <w:t xml:space="preserve"> Los actos y decisiones proferidas por las comisiones escrutadoras gozarán de preclusividad. En consecuencia, solo podrán ser revisados por el Consejo Nacional Electoral con el fin de encontrar la verdad electoral, de conformidad con lo previsto en los artículos 237 y 265 de la Constitución Política. </w:t>
            </w:r>
          </w:p>
        </w:tc>
        <w:tc>
          <w:tcPr>
            <w:tcW w:w="3798" w:type="dxa"/>
            <w:tcBorders>
              <w:top w:val="nil"/>
              <w:left w:val="nil"/>
              <w:bottom w:val="nil"/>
              <w:right w:val="single" w:sz="4" w:space="0" w:color="000000"/>
            </w:tcBorders>
            <w:shd w:val="clear" w:color="000000" w:fill="FFFFFF"/>
            <w:hideMark/>
          </w:tcPr>
          <w:p w14:paraId="4CBC7B7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8. Preclusividad.</w:t>
            </w:r>
            <w:r w:rsidRPr="00222F34">
              <w:rPr>
                <w:rFonts w:ascii="Calibri" w:eastAsia="Times New Roman" w:hAnsi="Calibri" w:cs="Calibri"/>
                <w:color w:val="000000"/>
                <w:lang w:val="es-CO" w:eastAsia="es-CO" w:bidi="ar-SA"/>
              </w:rPr>
              <w:t xml:space="preserve"> Los actos y decisiones proferidas por las comisiones escrutadoras gozarán de preclusividad. En consecuencia, solo podrán ser revisados por el Consejo Nacional Electoral con el fin de encontrar la verdad electoral, de conformidad con lo previsto en los artículos 237 y 265 de la Constitución Política. </w:t>
            </w:r>
          </w:p>
        </w:tc>
        <w:tc>
          <w:tcPr>
            <w:tcW w:w="3798" w:type="dxa"/>
            <w:tcBorders>
              <w:top w:val="nil"/>
              <w:left w:val="nil"/>
              <w:bottom w:val="nil"/>
              <w:right w:val="single" w:sz="4" w:space="0" w:color="000000"/>
            </w:tcBorders>
            <w:shd w:val="clear" w:color="000000" w:fill="FFFFFF"/>
            <w:hideMark/>
          </w:tcPr>
          <w:p w14:paraId="75D9601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8. Preclusividad.</w:t>
            </w:r>
            <w:r w:rsidRPr="00222F34">
              <w:rPr>
                <w:rFonts w:ascii="Calibri" w:eastAsia="Times New Roman" w:hAnsi="Calibri" w:cs="Calibri"/>
                <w:color w:val="000000"/>
                <w:lang w:val="es-CO" w:eastAsia="es-CO" w:bidi="ar-SA"/>
              </w:rPr>
              <w:t xml:space="preserve"> Los actos y decisiones proferidas por las comisiones escrutadoras gozarán de preclusividad. En consecuencia, solo podrán ser revisados por el Consejo Nacional Electoral con el fin de encontrar la verdad electoral, de conformidad con lo previsto en los artículos 237 y 265 de la Constitución Política. </w:t>
            </w:r>
          </w:p>
        </w:tc>
        <w:tc>
          <w:tcPr>
            <w:tcW w:w="1480" w:type="dxa"/>
            <w:tcBorders>
              <w:top w:val="nil"/>
              <w:left w:val="nil"/>
              <w:bottom w:val="nil"/>
              <w:right w:val="single" w:sz="4" w:space="0" w:color="000000"/>
            </w:tcBorders>
            <w:shd w:val="clear" w:color="000000" w:fill="FFFFFF"/>
            <w:hideMark/>
          </w:tcPr>
          <w:p w14:paraId="2F4846B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54AEF2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ECF774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9. Celeridad.</w:t>
            </w:r>
            <w:r w:rsidRPr="00222F34">
              <w:rPr>
                <w:rFonts w:ascii="Calibri" w:eastAsia="Times New Roman" w:hAnsi="Calibri" w:cs="Calibri"/>
                <w:color w:val="000000"/>
                <w:lang w:val="es-CO" w:eastAsia="es-CO" w:bidi="ar-SA"/>
              </w:rPr>
              <w:t xml:space="preserve">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 </w:t>
            </w:r>
          </w:p>
        </w:tc>
        <w:tc>
          <w:tcPr>
            <w:tcW w:w="3798" w:type="dxa"/>
            <w:tcBorders>
              <w:top w:val="nil"/>
              <w:left w:val="nil"/>
              <w:bottom w:val="nil"/>
              <w:right w:val="single" w:sz="4" w:space="0" w:color="000000"/>
            </w:tcBorders>
            <w:shd w:val="clear" w:color="000000" w:fill="FFFFFF"/>
            <w:hideMark/>
          </w:tcPr>
          <w:p w14:paraId="68207A3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9. Celeridad.</w:t>
            </w:r>
            <w:r w:rsidRPr="00222F34">
              <w:rPr>
                <w:rFonts w:ascii="Calibri" w:eastAsia="Times New Roman" w:hAnsi="Calibri" w:cs="Calibri"/>
                <w:color w:val="000000"/>
                <w:lang w:val="es-CO" w:eastAsia="es-CO" w:bidi="ar-SA"/>
              </w:rPr>
              <w:t xml:space="preserve">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 </w:t>
            </w:r>
          </w:p>
        </w:tc>
        <w:tc>
          <w:tcPr>
            <w:tcW w:w="3798" w:type="dxa"/>
            <w:tcBorders>
              <w:top w:val="nil"/>
              <w:left w:val="nil"/>
              <w:bottom w:val="nil"/>
              <w:right w:val="single" w:sz="4" w:space="0" w:color="000000"/>
            </w:tcBorders>
            <w:shd w:val="clear" w:color="000000" w:fill="FFFFFF"/>
            <w:hideMark/>
          </w:tcPr>
          <w:p w14:paraId="40FEB95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9. Celeridad.</w:t>
            </w:r>
            <w:r w:rsidRPr="00222F34">
              <w:rPr>
                <w:rFonts w:ascii="Calibri" w:eastAsia="Times New Roman" w:hAnsi="Calibri" w:cs="Calibri"/>
                <w:color w:val="000000"/>
                <w:lang w:val="es-CO" w:eastAsia="es-CO" w:bidi="ar-SA"/>
              </w:rPr>
              <w:t xml:space="preserve">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 </w:t>
            </w:r>
          </w:p>
        </w:tc>
        <w:tc>
          <w:tcPr>
            <w:tcW w:w="1480" w:type="dxa"/>
            <w:tcBorders>
              <w:top w:val="nil"/>
              <w:left w:val="nil"/>
              <w:bottom w:val="nil"/>
              <w:right w:val="single" w:sz="4" w:space="0" w:color="000000"/>
            </w:tcBorders>
            <w:shd w:val="clear" w:color="000000" w:fill="FFFFFF"/>
            <w:hideMark/>
          </w:tcPr>
          <w:p w14:paraId="07196BD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02D17B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6C548B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10. Verdad electoral.</w:t>
            </w:r>
            <w:r w:rsidRPr="00222F34">
              <w:rPr>
                <w:rFonts w:ascii="Calibri" w:eastAsia="Times New Roman" w:hAnsi="Calibri" w:cs="Calibri"/>
                <w:color w:val="000000"/>
                <w:lang w:val="es-CO" w:eastAsia="es-CO" w:bidi="ar-SA"/>
              </w:rPr>
              <w:t xml:space="preserve"> Las autoridades electorales deberán garantizar que los resultados de las votaciones reflejen, de manera fidedigna, la voluntad popular manifestada en las urnas. </w:t>
            </w:r>
          </w:p>
        </w:tc>
        <w:tc>
          <w:tcPr>
            <w:tcW w:w="3798" w:type="dxa"/>
            <w:tcBorders>
              <w:top w:val="nil"/>
              <w:left w:val="nil"/>
              <w:bottom w:val="nil"/>
              <w:right w:val="single" w:sz="4" w:space="0" w:color="000000"/>
            </w:tcBorders>
            <w:shd w:val="clear" w:color="000000" w:fill="FFFFFF"/>
            <w:hideMark/>
          </w:tcPr>
          <w:p w14:paraId="698277A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10. Verdad electoral.</w:t>
            </w:r>
            <w:r w:rsidRPr="00222F34">
              <w:rPr>
                <w:rFonts w:ascii="Calibri" w:eastAsia="Times New Roman" w:hAnsi="Calibri" w:cs="Calibri"/>
                <w:color w:val="000000"/>
                <w:lang w:val="es-CO" w:eastAsia="es-CO" w:bidi="ar-SA"/>
              </w:rPr>
              <w:t xml:space="preserve"> Las autoridades electorales deberán garantizar que los resultados de las votaciones reflejen, de manera fidedigna, la voluntad popular manifestada en las urnas. </w:t>
            </w:r>
          </w:p>
        </w:tc>
        <w:tc>
          <w:tcPr>
            <w:tcW w:w="3798" w:type="dxa"/>
            <w:tcBorders>
              <w:top w:val="nil"/>
              <w:left w:val="nil"/>
              <w:bottom w:val="nil"/>
              <w:right w:val="single" w:sz="4" w:space="0" w:color="000000"/>
            </w:tcBorders>
            <w:shd w:val="clear" w:color="000000" w:fill="FFFFFF"/>
            <w:hideMark/>
          </w:tcPr>
          <w:p w14:paraId="4D353B3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10. Verdad electoral.</w:t>
            </w:r>
            <w:r w:rsidRPr="00222F34">
              <w:rPr>
                <w:rFonts w:ascii="Calibri" w:eastAsia="Times New Roman" w:hAnsi="Calibri" w:cs="Calibri"/>
                <w:color w:val="000000"/>
                <w:lang w:val="es-CO" w:eastAsia="es-CO" w:bidi="ar-SA"/>
              </w:rPr>
              <w:t xml:space="preserve"> Las autoridades electorales deberán garantizar que los resultados de las votaciones reflejen, de manera fidedigna, la voluntad popular manifestada en las urnas. </w:t>
            </w:r>
          </w:p>
        </w:tc>
        <w:tc>
          <w:tcPr>
            <w:tcW w:w="1480" w:type="dxa"/>
            <w:tcBorders>
              <w:top w:val="nil"/>
              <w:left w:val="nil"/>
              <w:bottom w:val="nil"/>
              <w:right w:val="single" w:sz="4" w:space="0" w:color="000000"/>
            </w:tcBorders>
            <w:shd w:val="clear" w:color="000000" w:fill="FFFFFF"/>
            <w:hideMark/>
          </w:tcPr>
          <w:p w14:paraId="0E2D053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FFB97B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CF2DAE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11. Secreto del voto</w:t>
            </w:r>
            <w:r w:rsidRPr="00222F34">
              <w:rPr>
                <w:rFonts w:ascii="Calibri" w:eastAsia="Times New Roman" w:hAnsi="Calibri" w:cs="Calibri"/>
                <w:color w:val="000000"/>
                <w:lang w:val="es-CO" w:eastAsia="es-CO" w:bidi="ar-SA"/>
              </w:rPr>
              <w:t xml:space="preserve">. Las autoridades garantizarán que el votante ejerza su derecho libremente y sin revelar su preferencia. El deber de guardar el secreto del voto se extiende a los casos de voto con acompañante. </w:t>
            </w:r>
          </w:p>
        </w:tc>
        <w:tc>
          <w:tcPr>
            <w:tcW w:w="3798" w:type="dxa"/>
            <w:tcBorders>
              <w:top w:val="nil"/>
              <w:left w:val="nil"/>
              <w:bottom w:val="nil"/>
              <w:right w:val="single" w:sz="4" w:space="0" w:color="000000"/>
            </w:tcBorders>
            <w:shd w:val="clear" w:color="000000" w:fill="FFFFFF"/>
            <w:hideMark/>
          </w:tcPr>
          <w:p w14:paraId="5BC4EEF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11. Secreto del voto</w:t>
            </w:r>
            <w:r w:rsidRPr="00222F34">
              <w:rPr>
                <w:rFonts w:ascii="Calibri" w:eastAsia="Times New Roman" w:hAnsi="Calibri" w:cs="Calibri"/>
                <w:color w:val="000000"/>
                <w:lang w:val="es-CO" w:eastAsia="es-CO" w:bidi="ar-SA"/>
              </w:rPr>
              <w:t xml:space="preserve">. Las autoridades garantizarán que el votante ejerza su derecho libremente y sin revelar su preferencia. El deber de guardar el secreto del voto se extiende a los casos de voto con acompañante. </w:t>
            </w:r>
          </w:p>
        </w:tc>
        <w:tc>
          <w:tcPr>
            <w:tcW w:w="3798" w:type="dxa"/>
            <w:tcBorders>
              <w:top w:val="nil"/>
              <w:left w:val="nil"/>
              <w:bottom w:val="nil"/>
              <w:right w:val="single" w:sz="4" w:space="0" w:color="000000"/>
            </w:tcBorders>
            <w:shd w:val="clear" w:color="000000" w:fill="FFFFFF"/>
            <w:hideMark/>
          </w:tcPr>
          <w:p w14:paraId="2D1151A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11. Secreto del voto</w:t>
            </w:r>
            <w:r w:rsidRPr="00222F34">
              <w:rPr>
                <w:rFonts w:ascii="Calibri" w:eastAsia="Times New Roman" w:hAnsi="Calibri" w:cs="Calibri"/>
                <w:color w:val="000000"/>
                <w:lang w:val="es-CO" w:eastAsia="es-CO" w:bidi="ar-SA"/>
              </w:rPr>
              <w:t xml:space="preserve">. Las autoridades garantizarán que el votante ejerza su derecho libremente y sin revelar su preferencia. El deber de guardar el secreto del voto se extiende a los casos de voto con acompañante. </w:t>
            </w:r>
          </w:p>
        </w:tc>
        <w:tc>
          <w:tcPr>
            <w:tcW w:w="1480" w:type="dxa"/>
            <w:tcBorders>
              <w:top w:val="nil"/>
              <w:left w:val="nil"/>
              <w:bottom w:val="nil"/>
              <w:right w:val="single" w:sz="4" w:space="0" w:color="000000"/>
            </w:tcBorders>
            <w:shd w:val="clear" w:color="000000" w:fill="FFFFFF"/>
            <w:hideMark/>
          </w:tcPr>
          <w:p w14:paraId="0C76432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B4A4A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1F94D0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12. Publicidad</w:t>
            </w:r>
            <w:r w:rsidRPr="00222F34">
              <w:rPr>
                <w:rFonts w:ascii="Calibri" w:eastAsia="Times New Roman" w:hAnsi="Calibri" w:cs="Calibri"/>
                <w:color w:val="000000"/>
                <w:lang w:val="es-CO" w:eastAsia="es-CO" w:bidi="ar-SA"/>
              </w:rPr>
              <w:t xml:space="preserve">. El proceso electoral es público en todas sus etapas. Los ciudadanos podrán solicitar información y documentos a la Organización Electoral. </w:t>
            </w:r>
          </w:p>
        </w:tc>
        <w:tc>
          <w:tcPr>
            <w:tcW w:w="3798" w:type="dxa"/>
            <w:tcBorders>
              <w:top w:val="nil"/>
              <w:left w:val="nil"/>
              <w:bottom w:val="nil"/>
              <w:right w:val="single" w:sz="4" w:space="0" w:color="000000"/>
            </w:tcBorders>
            <w:shd w:val="clear" w:color="000000" w:fill="FFFFFF"/>
            <w:hideMark/>
          </w:tcPr>
          <w:p w14:paraId="340D132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12. Publicidad</w:t>
            </w:r>
            <w:r w:rsidRPr="00222F34">
              <w:rPr>
                <w:rFonts w:ascii="Calibri" w:eastAsia="Times New Roman" w:hAnsi="Calibri" w:cs="Calibri"/>
                <w:color w:val="000000"/>
                <w:lang w:val="es-CO" w:eastAsia="es-CO" w:bidi="ar-SA"/>
              </w:rPr>
              <w:t xml:space="preserve">. El proceso electoral es público en todas sus etapas. Los ciudadanos podrán solicitar información y documentos a la Organización Electoral. </w:t>
            </w:r>
          </w:p>
        </w:tc>
        <w:tc>
          <w:tcPr>
            <w:tcW w:w="3798" w:type="dxa"/>
            <w:tcBorders>
              <w:top w:val="nil"/>
              <w:left w:val="nil"/>
              <w:bottom w:val="nil"/>
              <w:right w:val="single" w:sz="4" w:space="0" w:color="000000"/>
            </w:tcBorders>
            <w:shd w:val="clear" w:color="000000" w:fill="FFFFFF"/>
            <w:hideMark/>
          </w:tcPr>
          <w:p w14:paraId="74A4CAE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12. Publicidad</w:t>
            </w:r>
            <w:r w:rsidRPr="00222F34">
              <w:rPr>
                <w:rFonts w:ascii="Calibri" w:eastAsia="Times New Roman" w:hAnsi="Calibri" w:cs="Calibri"/>
                <w:color w:val="000000"/>
                <w:lang w:val="es-CO" w:eastAsia="es-CO" w:bidi="ar-SA"/>
              </w:rPr>
              <w:t xml:space="preserve">. El proceso electoral es público en todas sus etapas. Los ciudadanos podrán solicitar información y documentos a la Organización Electoral. </w:t>
            </w:r>
          </w:p>
        </w:tc>
        <w:tc>
          <w:tcPr>
            <w:tcW w:w="1480" w:type="dxa"/>
            <w:tcBorders>
              <w:top w:val="nil"/>
              <w:left w:val="nil"/>
              <w:bottom w:val="nil"/>
              <w:right w:val="single" w:sz="4" w:space="0" w:color="000000"/>
            </w:tcBorders>
            <w:shd w:val="clear" w:color="000000" w:fill="FFFFFF"/>
            <w:hideMark/>
          </w:tcPr>
          <w:p w14:paraId="71091D4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39DE28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E1C6FC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13. Transparencia</w:t>
            </w:r>
            <w:r w:rsidRPr="00222F34">
              <w:rPr>
                <w:rFonts w:ascii="Calibri" w:eastAsia="Times New Roman" w:hAnsi="Calibri" w:cs="Calibri"/>
                <w:color w:val="000000"/>
                <w:lang w:val="es-CO" w:eastAsia="es-CO" w:bidi="ar-SA"/>
              </w:rPr>
              <w:t xml:space="preserve">. Toda la información relativa a cada una de las etapas del proceso electoral se presume pública salvo reserva legal. La Organización Electoral deberá permitir, facilitar y promover, en todo momento, el acceso </w:t>
            </w:r>
            <w:r w:rsidRPr="00222F34">
              <w:rPr>
                <w:rFonts w:ascii="Calibri" w:eastAsia="Times New Roman" w:hAnsi="Calibri" w:cs="Calibri"/>
                <w:color w:val="000000"/>
                <w:lang w:val="es-CO" w:eastAsia="es-CO" w:bidi="ar-SA"/>
              </w:rPr>
              <w:lastRenderedPageBreak/>
              <w:t xml:space="preserve">a la información de la manera más amplia posible de conformidad con los medios, procedimientos y requisitos establecidos en la ley.  </w:t>
            </w:r>
          </w:p>
        </w:tc>
        <w:tc>
          <w:tcPr>
            <w:tcW w:w="3798" w:type="dxa"/>
            <w:tcBorders>
              <w:top w:val="nil"/>
              <w:left w:val="nil"/>
              <w:bottom w:val="nil"/>
              <w:right w:val="single" w:sz="4" w:space="0" w:color="000000"/>
            </w:tcBorders>
            <w:shd w:val="clear" w:color="000000" w:fill="FFFFFF"/>
            <w:hideMark/>
          </w:tcPr>
          <w:p w14:paraId="23F832F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13. Transparencia</w:t>
            </w:r>
            <w:r w:rsidRPr="00222F34">
              <w:rPr>
                <w:rFonts w:ascii="Calibri" w:eastAsia="Times New Roman" w:hAnsi="Calibri" w:cs="Calibri"/>
                <w:color w:val="000000"/>
                <w:lang w:val="es-CO" w:eastAsia="es-CO" w:bidi="ar-SA"/>
              </w:rPr>
              <w:t xml:space="preserve">. Toda la información relativa a cada una de las etapas del proceso electoral se presume pública salvo reserva legal. La Organización Electoral deberá permitir, facilitar y promover, en todo momento, el acceso </w:t>
            </w:r>
            <w:r w:rsidRPr="00222F34">
              <w:rPr>
                <w:rFonts w:ascii="Calibri" w:eastAsia="Times New Roman" w:hAnsi="Calibri" w:cs="Calibri"/>
                <w:color w:val="000000"/>
                <w:lang w:val="es-CO" w:eastAsia="es-CO" w:bidi="ar-SA"/>
              </w:rPr>
              <w:lastRenderedPageBreak/>
              <w:t xml:space="preserve">a la información de la manera más amplia posible de conformidad con los medios, procedimientos y requisitos establecidos en la ley.  </w:t>
            </w:r>
          </w:p>
        </w:tc>
        <w:tc>
          <w:tcPr>
            <w:tcW w:w="3798" w:type="dxa"/>
            <w:tcBorders>
              <w:top w:val="nil"/>
              <w:left w:val="nil"/>
              <w:bottom w:val="nil"/>
              <w:right w:val="single" w:sz="4" w:space="0" w:color="000000"/>
            </w:tcBorders>
            <w:shd w:val="clear" w:color="000000" w:fill="FFFFFF"/>
            <w:hideMark/>
          </w:tcPr>
          <w:p w14:paraId="03C78D9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13. Transparencia</w:t>
            </w:r>
            <w:r w:rsidRPr="00222F34">
              <w:rPr>
                <w:rFonts w:ascii="Calibri" w:eastAsia="Times New Roman" w:hAnsi="Calibri" w:cs="Calibri"/>
                <w:color w:val="000000"/>
                <w:lang w:val="es-CO" w:eastAsia="es-CO" w:bidi="ar-SA"/>
              </w:rPr>
              <w:t xml:space="preserve">. Toda la información relativa a cada una de las etapas del proceso electoral se presume pública salvo reserva legal. La Organización Electoral deberá permitir, facilitar y promover, en todo momento, el acceso </w:t>
            </w:r>
            <w:r w:rsidRPr="00222F34">
              <w:rPr>
                <w:rFonts w:ascii="Calibri" w:eastAsia="Times New Roman" w:hAnsi="Calibri" w:cs="Calibri"/>
                <w:color w:val="000000"/>
                <w:lang w:val="es-CO" w:eastAsia="es-CO" w:bidi="ar-SA"/>
              </w:rPr>
              <w:lastRenderedPageBreak/>
              <w:t xml:space="preserve">a la información de la manera más amplia posible de conformidad con los medios, procedimientos y requisitos establecidos en la ley.  </w:t>
            </w:r>
          </w:p>
        </w:tc>
        <w:tc>
          <w:tcPr>
            <w:tcW w:w="1480" w:type="dxa"/>
            <w:tcBorders>
              <w:top w:val="nil"/>
              <w:left w:val="nil"/>
              <w:bottom w:val="nil"/>
              <w:right w:val="single" w:sz="4" w:space="0" w:color="000000"/>
            </w:tcBorders>
            <w:shd w:val="clear" w:color="000000" w:fill="FFFFFF"/>
            <w:hideMark/>
          </w:tcPr>
          <w:p w14:paraId="198F90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3704EB5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B07675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14. Planeación electoral.</w:t>
            </w:r>
            <w:r w:rsidRPr="00222F34">
              <w:rPr>
                <w:rFonts w:ascii="Calibri" w:eastAsia="Times New Roman" w:hAnsi="Calibri" w:cs="Calibri"/>
                <w:color w:val="000000"/>
                <w:lang w:val="es-CO" w:eastAsia="es-CO" w:bidi="ar-SA"/>
              </w:rPr>
              <w:t xml:space="preserve">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 </w:t>
            </w:r>
          </w:p>
        </w:tc>
        <w:tc>
          <w:tcPr>
            <w:tcW w:w="3798" w:type="dxa"/>
            <w:tcBorders>
              <w:top w:val="nil"/>
              <w:left w:val="nil"/>
              <w:bottom w:val="nil"/>
              <w:right w:val="single" w:sz="4" w:space="0" w:color="000000"/>
            </w:tcBorders>
            <w:shd w:val="clear" w:color="000000" w:fill="FFFFFF"/>
            <w:hideMark/>
          </w:tcPr>
          <w:p w14:paraId="76149E2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14. Planeación electoral.</w:t>
            </w:r>
            <w:r w:rsidRPr="00222F34">
              <w:rPr>
                <w:rFonts w:ascii="Calibri" w:eastAsia="Times New Roman" w:hAnsi="Calibri" w:cs="Calibri"/>
                <w:color w:val="000000"/>
                <w:lang w:val="es-CO" w:eastAsia="es-CO" w:bidi="ar-SA"/>
              </w:rPr>
              <w:t xml:space="preserve">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 </w:t>
            </w:r>
          </w:p>
        </w:tc>
        <w:tc>
          <w:tcPr>
            <w:tcW w:w="3798" w:type="dxa"/>
            <w:tcBorders>
              <w:top w:val="nil"/>
              <w:left w:val="nil"/>
              <w:bottom w:val="nil"/>
              <w:right w:val="single" w:sz="4" w:space="0" w:color="000000"/>
            </w:tcBorders>
            <w:shd w:val="clear" w:color="000000" w:fill="FFFFFF"/>
            <w:hideMark/>
          </w:tcPr>
          <w:p w14:paraId="1004B37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14. Planeación electoral.</w:t>
            </w:r>
            <w:r w:rsidRPr="00222F34">
              <w:rPr>
                <w:rFonts w:ascii="Calibri" w:eastAsia="Times New Roman" w:hAnsi="Calibri" w:cs="Calibri"/>
                <w:color w:val="000000"/>
                <w:lang w:val="es-CO" w:eastAsia="es-CO" w:bidi="ar-SA"/>
              </w:rPr>
              <w:t xml:space="preserve">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 </w:t>
            </w:r>
          </w:p>
        </w:tc>
        <w:tc>
          <w:tcPr>
            <w:tcW w:w="1480" w:type="dxa"/>
            <w:tcBorders>
              <w:top w:val="nil"/>
              <w:left w:val="nil"/>
              <w:bottom w:val="nil"/>
              <w:right w:val="single" w:sz="4" w:space="0" w:color="000000"/>
            </w:tcBorders>
            <w:shd w:val="clear" w:color="000000" w:fill="FFFFFF"/>
            <w:hideMark/>
          </w:tcPr>
          <w:p w14:paraId="1F666A3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E6E35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2C42C2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15. Eficacia del voto.</w:t>
            </w:r>
            <w:r w:rsidRPr="00222F34">
              <w:rPr>
                <w:rFonts w:ascii="Calibri" w:eastAsia="Times New Roman" w:hAnsi="Calibri" w:cs="Calibri"/>
                <w:color w:val="000000"/>
                <w:lang w:val="es-CO" w:eastAsia="es-CO" w:bidi="ar-SA"/>
              </w:rPr>
              <w:t xml:space="preserve"> Al resolver los conflictos electorales, las autoridades preferirán la interpretación que reconozca la validez del voto legalmente emitido. </w:t>
            </w:r>
          </w:p>
        </w:tc>
        <w:tc>
          <w:tcPr>
            <w:tcW w:w="3798" w:type="dxa"/>
            <w:tcBorders>
              <w:top w:val="nil"/>
              <w:left w:val="nil"/>
              <w:bottom w:val="nil"/>
              <w:right w:val="single" w:sz="4" w:space="0" w:color="000000"/>
            </w:tcBorders>
            <w:shd w:val="clear" w:color="000000" w:fill="FFFFFF"/>
            <w:hideMark/>
          </w:tcPr>
          <w:p w14:paraId="4ADF016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15. Eficacia del voto.</w:t>
            </w:r>
            <w:r w:rsidRPr="00222F34">
              <w:rPr>
                <w:rFonts w:ascii="Calibri" w:eastAsia="Times New Roman" w:hAnsi="Calibri" w:cs="Calibri"/>
                <w:color w:val="000000"/>
                <w:lang w:val="es-CO" w:eastAsia="es-CO" w:bidi="ar-SA"/>
              </w:rPr>
              <w:t xml:space="preserve"> Al resolver los conflictos electorales, las autoridades preferirán la interpretación que reconozca la validez del voto legalmente emitido. </w:t>
            </w:r>
          </w:p>
        </w:tc>
        <w:tc>
          <w:tcPr>
            <w:tcW w:w="3798" w:type="dxa"/>
            <w:tcBorders>
              <w:top w:val="nil"/>
              <w:left w:val="nil"/>
              <w:bottom w:val="nil"/>
              <w:right w:val="single" w:sz="4" w:space="0" w:color="000000"/>
            </w:tcBorders>
            <w:shd w:val="clear" w:color="000000" w:fill="FFFFFF"/>
            <w:hideMark/>
          </w:tcPr>
          <w:p w14:paraId="6845A47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15. Eficacia del voto.</w:t>
            </w:r>
            <w:r w:rsidRPr="00222F34">
              <w:rPr>
                <w:rFonts w:ascii="Calibri" w:eastAsia="Times New Roman" w:hAnsi="Calibri" w:cs="Calibri"/>
                <w:color w:val="000000"/>
                <w:lang w:val="es-CO" w:eastAsia="es-CO" w:bidi="ar-SA"/>
              </w:rPr>
              <w:t xml:space="preserve"> Al resolver los conflictos electorales, las autoridades preferirán la interpretación que reconozca la validez del voto legalmente emitido. </w:t>
            </w:r>
          </w:p>
        </w:tc>
        <w:tc>
          <w:tcPr>
            <w:tcW w:w="1480" w:type="dxa"/>
            <w:tcBorders>
              <w:top w:val="nil"/>
              <w:left w:val="nil"/>
              <w:bottom w:val="nil"/>
              <w:right w:val="single" w:sz="4" w:space="0" w:color="000000"/>
            </w:tcBorders>
            <w:shd w:val="clear" w:color="000000" w:fill="FFFFFF"/>
            <w:hideMark/>
          </w:tcPr>
          <w:p w14:paraId="52C306C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F7CF8A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AAB860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16. Responsabilidad ambiental</w:t>
            </w:r>
            <w:r w:rsidRPr="00222F34">
              <w:rPr>
                <w:rFonts w:ascii="Calibri" w:eastAsia="Times New Roman" w:hAnsi="Calibri" w:cs="Calibri"/>
                <w:color w:val="000000"/>
                <w:lang w:val="es-CO" w:eastAsia="es-CO" w:bidi="ar-SA"/>
              </w:rPr>
              <w:t xml:space="preserve">. Todos los involucrados en el proceso electoral ejercerán sus derechos y cumplirán sus deberes procurando el menor impacto en el medio ambiente. </w:t>
            </w:r>
          </w:p>
        </w:tc>
        <w:tc>
          <w:tcPr>
            <w:tcW w:w="3798" w:type="dxa"/>
            <w:tcBorders>
              <w:top w:val="nil"/>
              <w:left w:val="nil"/>
              <w:bottom w:val="nil"/>
              <w:right w:val="single" w:sz="4" w:space="0" w:color="000000"/>
            </w:tcBorders>
            <w:shd w:val="clear" w:color="000000" w:fill="FFFFFF"/>
            <w:hideMark/>
          </w:tcPr>
          <w:p w14:paraId="414167B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16. Responsabilidad ambiental</w:t>
            </w:r>
            <w:r w:rsidRPr="00222F34">
              <w:rPr>
                <w:rFonts w:ascii="Calibri" w:eastAsia="Times New Roman" w:hAnsi="Calibri" w:cs="Calibri"/>
                <w:color w:val="000000"/>
                <w:lang w:val="es-CO" w:eastAsia="es-CO" w:bidi="ar-SA"/>
              </w:rPr>
              <w:t xml:space="preserve">. Todos los involucrados en el proceso electoral ejercerán sus derechos y cumplirán sus deberes procurando el menor impacto en el medio ambiente. </w:t>
            </w:r>
          </w:p>
        </w:tc>
        <w:tc>
          <w:tcPr>
            <w:tcW w:w="3798" w:type="dxa"/>
            <w:tcBorders>
              <w:top w:val="nil"/>
              <w:left w:val="nil"/>
              <w:bottom w:val="nil"/>
              <w:right w:val="single" w:sz="4" w:space="0" w:color="000000"/>
            </w:tcBorders>
            <w:shd w:val="clear" w:color="000000" w:fill="FFFFFF"/>
            <w:hideMark/>
          </w:tcPr>
          <w:p w14:paraId="0535125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16. Responsabilidad ambiental</w:t>
            </w:r>
            <w:r w:rsidRPr="00222F34">
              <w:rPr>
                <w:rFonts w:ascii="Calibri" w:eastAsia="Times New Roman" w:hAnsi="Calibri" w:cs="Calibri"/>
                <w:color w:val="000000"/>
                <w:lang w:val="es-CO" w:eastAsia="es-CO" w:bidi="ar-SA"/>
              </w:rPr>
              <w:t xml:space="preserve">. Todos los involucrados en el proceso electoral ejercerán sus derechos y cumplirán sus deberes procurando el menor impacto en el medio ambiente. </w:t>
            </w:r>
          </w:p>
        </w:tc>
        <w:tc>
          <w:tcPr>
            <w:tcW w:w="1480" w:type="dxa"/>
            <w:tcBorders>
              <w:top w:val="nil"/>
              <w:left w:val="nil"/>
              <w:bottom w:val="nil"/>
              <w:right w:val="single" w:sz="4" w:space="0" w:color="000000"/>
            </w:tcBorders>
            <w:shd w:val="clear" w:color="000000" w:fill="FFFFFF"/>
            <w:hideMark/>
          </w:tcPr>
          <w:p w14:paraId="600DE0F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946C68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85C78C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17. Neutralidad tecnológica</w:t>
            </w:r>
            <w:r w:rsidRPr="00222F34">
              <w:rPr>
                <w:rFonts w:ascii="Calibri" w:eastAsia="Times New Roman" w:hAnsi="Calibri" w:cs="Calibri"/>
                <w:color w:val="000000"/>
                <w:lang w:val="es-CO" w:eastAsia="es-CO" w:bidi="ar-SA"/>
              </w:rPr>
              <w:t xml:space="preserve">. La Organización Electoral deberá emplear sistemas tecnológicos que se ajusten a las condiciones y necesidades del proceso electoral y que respondan a criterios de seguridad, idoneidad y transparencia. </w:t>
            </w:r>
          </w:p>
        </w:tc>
        <w:tc>
          <w:tcPr>
            <w:tcW w:w="3798" w:type="dxa"/>
            <w:tcBorders>
              <w:top w:val="nil"/>
              <w:left w:val="nil"/>
              <w:bottom w:val="nil"/>
              <w:right w:val="single" w:sz="4" w:space="0" w:color="000000"/>
            </w:tcBorders>
            <w:shd w:val="clear" w:color="000000" w:fill="FFFFFF"/>
            <w:hideMark/>
          </w:tcPr>
          <w:p w14:paraId="1E92877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17. Neutralidad tecnológica. </w:t>
            </w:r>
            <w:r w:rsidRPr="00222F34">
              <w:rPr>
                <w:rFonts w:ascii="Calibri" w:eastAsia="Times New Roman" w:hAnsi="Calibri" w:cs="Calibri"/>
                <w:color w:val="000000"/>
                <w:lang w:val="es-CO" w:eastAsia="es-CO" w:bidi="ar-SA"/>
              </w:rPr>
              <w:t>La Organización Electoral la libre adopción de tecnologías por lo que se deberá emplear sistemas tecnológicos que se ajusten a las condiciones y necesidades del proceso electoral al momento de su implementación y que respondan a criterios de seguridad, idoneidad y transparencia. Se deberá elegir la tecnología más apropiada, adecuada para optimizar el proceso electoral, y que garantice auditoría del sistema adoptado.</w:t>
            </w:r>
          </w:p>
        </w:tc>
        <w:tc>
          <w:tcPr>
            <w:tcW w:w="3798" w:type="dxa"/>
            <w:tcBorders>
              <w:top w:val="nil"/>
              <w:left w:val="nil"/>
              <w:bottom w:val="nil"/>
              <w:right w:val="single" w:sz="4" w:space="0" w:color="000000"/>
            </w:tcBorders>
            <w:shd w:val="clear" w:color="000000" w:fill="FFFFFF"/>
            <w:hideMark/>
          </w:tcPr>
          <w:p w14:paraId="7664C9C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17. Neutralidad tecnológica</w:t>
            </w:r>
            <w:r w:rsidRPr="00222F34">
              <w:rPr>
                <w:rFonts w:ascii="Calibri" w:eastAsia="Times New Roman" w:hAnsi="Calibri" w:cs="Calibri"/>
                <w:color w:val="000000"/>
                <w:lang w:val="es-CO" w:eastAsia="es-CO" w:bidi="ar-SA"/>
              </w:rPr>
              <w:t xml:space="preserve">. La Organización Electoral deberá emplear sistemas tecnológicos que se ajusten a las condiciones y necesidades del proceso electoral y que respondan a criterios de seguridad, idoneidad y transparencia. </w:t>
            </w:r>
          </w:p>
        </w:tc>
        <w:tc>
          <w:tcPr>
            <w:tcW w:w="1480" w:type="dxa"/>
            <w:tcBorders>
              <w:top w:val="nil"/>
              <w:left w:val="nil"/>
              <w:bottom w:val="nil"/>
              <w:right w:val="single" w:sz="4" w:space="0" w:color="000000"/>
            </w:tcBorders>
            <w:shd w:val="clear" w:color="000000" w:fill="FFFFFF"/>
            <w:hideMark/>
          </w:tcPr>
          <w:p w14:paraId="139D014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BD7B3F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B3BED2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18. Inviolabilidad de los datos sensibles</w:t>
            </w:r>
            <w:r w:rsidRPr="00222F34">
              <w:rPr>
                <w:rFonts w:ascii="Calibri" w:eastAsia="Times New Roman" w:hAnsi="Calibri" w:cs="Calibri"/>
                <w:color w:val="000000"/>
                <w:lang w:val="es-CO" w:eastAsia="es-CO" w:bidi="ar-SA"/>
              </w:rPr>
              <w:t xml:space="preserve">. Las autoridades electorales y los particulares que participan en el desarrollo del proceso electoral deberán garantizar el adecuado tratamiento, la confidencialidad y la seguridad de los datos sensibles de los participantes en los eventos electorales, de conformidad con lo establecido en la Ley. </w:t>
            </w:r>
          </w:p>
        </w:tc>
        <w:tc>
          <w:tcPr>
            <w:tcW w:w="3798" w:type="dxa"/>
            <w:tcBorders>
              <w:top w:val="nil"/>
              <w:left w:val="nil"/>
              <w:bottom w:val="nil"/>
              <w:right w:val="single" w:sz="4" w:space="0" w:color="000000"/>
            </w:tcBorders>
            <w:shd w:val="clear" w:color="000000" w:fill="FFFFFF"/>
            <w:hideMark/>
          </w:tcPr>
          <w:p w14:paraId="4506F55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18. Inviolabilidad de los datos sensibles</w:t>
            </w:r>
            <w:r w:rsidRPr="00222F34">
              <w:rPr>
                <w:rFonts w:ascii="Calibri" w:eastAsia="Times New Roman" w:hAnsi="Calibri" w:cs="Calibri"/>
                <w:color w:val="000000"/>
                <w:lang w:val="es-CO" w:eastAsia="es-CO" w:bidi="ar-SA"/>
              </w:rPr>
              <w:t>. Las autoridades electorales y los particulares que participan en el desarrollo del proceso electoral deberán garantizar el adecuado tratamiento, la confidencialidad y la seguridad de los datos sensibles de los participantes en los eventos electorales, de conformidad con lo establecido en la Ley.</w:t>
            </w:r>
          </w:p>
        </w:tc>
        <w:tc>
          <w:tcPr>
            <w:tcW w:w="3798" w:type="dxa"/>
            <w:tcBorders>
              <w:top w:val="nil"/>
              <w:left w:val="nil"/>
              <w:bottom w:val="nil"/>
              <w:right w:val="single" w:sz="4" w:space="0" w:color="000000"/>
            </w:tcBorders>
            <w:shd w:val="clear" w:color="000000" w:fill="FFFFFF"/>
            <w:hideMark/>
          </w:tcPr>
          <w:p w14:paraId="37001A8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18. Inviolabilidad de los datos sensibles</w:t>
            </w:r>
            <w:r w:rsidRPr="00222F34">
              <w:rPr>
                <w:rFonts w:ascii="Calibri" w:eastAsia="Times New Roman" w:hAnsi="Calibri" w:cs="Calibri"/>
                <w:color w:val="000000"/>
                <w:lang w:val="es-CO" w:eastAsia="es-CO" w:bidi="ar-SA"/>
              </w:rPr>
              <w:t>. Las autoridades electorales y los particulares que participan en el desarrollo del proceso electoral deberán garantizar el adecuado tratamiento, la confidencialidad y la seguridad de los datos sensibles de los participantes en los eventos electorales, de conformidad con lo establecido en la Ley.</w:t>
            </w:r>
          </w:p>
        </w:tc>
        <w:tc>
          <w:tcPr>
            <w:tcW w:w="1480" w:type="dxa"/>
            <w:tcBorders>
              <w:top w:val="nil"/>
              <w:left w:val="nil"/>
              <w:bottom w:val="nil"/>
              <w:right w:val="single" w:sz="4" w:space="0" w:color="000000"/>
            </w:tcBorders>
            <w:shd w:val="clear" w:color="000000" w:fill="FFFFFF"/>
            <w:hideMark/>
          </w:tcPr>
          <w:p w14:paraId="1A0563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9FFA673"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D1F28D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19. No discriminación</w:t>
            </w:r>
            <w:r w:rsidRPr="00222F34">
              <w:rPr>
                <w:rFonts w:ascii="Calibri" w:eastAsia="Times New Roman" w:hAnsi="Calibri" w:cs="Calibri"/>
                <w:color w:val="000000"/>
                <w:lang w:val="es-CO" w:eastAsia="es-CO" w:bidi="ar-SA"/>
              </w:rPr>
              <w:t xml:space="preserve">.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w:t>
            </w:r>
            <w:r w:rsidRPr="00222F34">
              <w:rPr>
                <w:rFonts w:ascii="Calibri" w:eastAsia="Times New Roman" w:hAnsi="Calibri" w:cs="Calibri"/>
                <w:color w:val="000000"/>
                <w:lang w:val="es-CO" w:eastAsia="es-CO" w:bidi="ar-SA"/>
              </w:rPr>
              <w:lastRenderedPageBreak/>
              <w:t>alguna por motivos de raza, etnia, sexo, género, orientación sexual e identidad de género, edad, religión, credo, con discapacidad u otra condición entre los ciudadanos.</w:t>
            </w:r>
          </w:p>
        </w:tc>
        <w:tc>
          <w:tcPr>
            <w:tcW w:w="3798" w:type="dxa"/>
            <w:tcBorders>
              <w:top w:val="nil"/>
              <w:left w:val="nil"/>
              <w:bottom w:val="nil"/>
              <w:right w:val="single" w:sz="4" w:space="0" w:color="000000"/>
            </w:tcBorders>
            <w:shd w:val="clear" w:color="000000" w:fill="FFFFFF"/>
            <w:hideMark/>
          </w:tcPr>
          <w:p w14:paraId="2F6FEA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19. No discriminación</w:t>
            </w:r>
            <w:r w:rsidRPr="00222F34">
              <w:rPr>
                <w:rFonts w:ascii="Calibri" w:eastAsia="Times New Roman" w:hAnsi="Calibri" w:cs="Calibri"/>
                <w:color w:val="000000"/>
                <w:lang w:val="es-CO" w:eastAsia="es-CO" w:bidi="ar-SA"/>
              </w:rPr>
              <w:t xml:space="preserve">.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w:t>
            </w:r>
            <w:r w:rsidRPr="00222F34">
              <w:rPr>
                <w:rFonts w:ascii="Calibri" w:eastAsia="Times New Roman" w:hAnsi="Calibri" w:cs="Calibri"/>
                <w:color w:val="000000"/>
                <w:lang w:val="es-CO" w:eastAsia="es-CO" w:bidi="ar-SA"/>
              </w:rPr>
              <w:lastRenderedPageBreak/>
              <w:t>alguna por motivos de raza, etnia, sexo, género, orientación sexual e identidad de género, edad, religión, credo, con discapacidad u otra condición entre los ciudadanos.</w:t>
            </w:r>
          </w:p>
        </w:tc>
        <w:tc>
          <w:tcPr>
            <w:tcW w:w="3798" w:type="dxa"/>
            <w:tcBorders>
              <w:top w:val="nil"/>
              <w:left w:val="nil"/>
              <w:bottom w:val="nil"/>
              <w:right w:val="single" w:sz="4" w:space="0" w:color="000000"/>
            </w:tcBorders>
            <w:shd w:val="clear" w:color="000000" w:fill="FFFFFF"/>
            <w:hideMark/>
          </w:tcPr>
          <w:p w14:paraId="738AA57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19. No discriminación</w:t>
            </w:r>
            <w:r w:rsidRPr="00222F34">
              <w:rPr>
                <w:rFonts w:ascii="Calibri" w:eastAsia="Times New Roman" w:hAnsi="Calibri" w:cs="Calibri"/>
                <w:color w:val="000000"/>
                <w:lang w:val="es-CO" w:eastAsia="es-CO" w:bidi="ar-SA"/>
              </w:rPr>
              <w:t xml:space="preserve">.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w:t>
            </w:r>
            <w:r w:rsidRPr="00222F34">
              <w:rPr>
                <w:rFonts w:ascii="Calibri" w:eastAsia="Times New Roman" w:hAnsi="Calibri" w:cs="Calibri"/>
                <w:color w:val="000000"/>
                <w:lang w:val="es-CO" w:eastAsia="es-CO" w:bidi="ar-SA"/>
              </w:rPr>
              <w:lastRenderedPageBreak/>
              <w:t>alguna por motivos de raza, etnia, sexo, género, orientación sexual e identidad de género, edad, religión, credo, con discapacidad u otra condición entre los ciudadanos.</w:t>
            </w:r>
          </w:p>
        </w:tc>
        <w:tc>
          <w:tcPr>
            <w:tcW w:w="1480" w:type="dxa"/>
            <w:tcBorders>
              <w:top w:val="nil"/>
              <w:left w:val="nil"/>
              <w:bottom w:val="nil"/>
              <w:right w:val="single" w:sz="4" w:space="0" w:color="000000"/>
            </w:tcBorders>
            <w:shd w:val="clear" w:color="000000" w:fill="FFFFFF"/>
            <w:hideMark/>
          </w:tcPr>
          <w:p w14:paraId="28FAD66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61797A0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FA167B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Para los pueblos y comunidades indígenas, ROM y negras, afrocolombianas, raizales y palenqueras, se adoptarán medidas diferenciales que garanticen el ejercicio pleno del derecho a la participación política y su inclusión en los procesos democráticos y electorales.</w:t>
            </w:r>
          </w:p>
        </w:tc>
        <w:tc>
          <w:tcPr>
            <w:tcW w:w="3798" w:type="dxa"/>
            <w:tcBorders>
              <w:top w:val="nil"/>
              <w:left w:val="nil"/>
              <w:bottom w:val="nil"/>
              <w:right w:val="single" w:sz="4" w:space="0" w:color="000000"/>
            </w:tcBorders>
            <w:shd w:val="clear" w:color="000000" w:fill="FFFFFF"/>
            <w:hideMark/>
          </w:tcPr>
          <w:p w14:paraId="0E158EF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los pueblos y comunidades indígenas, ROM y negras, afrocolombianas, raizales y palenqueras, se adoptarán medidas diferenciales que garanticen el ejercicio pleno del derecho a la participación política y su inclusión en los procesos democráticos y electorales.</w:t>
            </w:r>
          </w:p>
        </w:tc>
        <w:tc>
          <w:tcPr>
            <w:tcW w:w="3798" w:type="dxa"/>
            <w:tcBorders>
              <w:top w:val="nil"/>
              <w:left w:val="nil"/>
              <w:bottom w:val="nil"/>
              <w:right w:val="single" w:sz="4" w:space="0" w:color="000000"/>
            </w:tcBorders>
            <w:shd w:val="clear" w:color="000000" w:fill="FFFFFF"/>
            <w:hideMark/>
          </w:tcPr>
          <w:p w14:paraId="6C1A29E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los pueblos y comunidades indígenas, ROM y negras, afrocolombianas, raizales y palenqueras, se adoptarán medidas diferenciales que garanticen el ejercicio pleno del derecho a la participación política y su inclusión en los procesos democráticos y electorales.</w:t>
            </w:r>
          </w:p>
        </w:tc>
        <w:tc>
          <w:tcPr>
            <w:tcW w:w="1480" w:type="dxa"/>
            <w:tcBorders>
              <w:top w:val="nil"/>
              <w:left w:val="nil"/>
              <w:bottom w:val="nil"/>
              <w:right w:val="single" w:sz="4" w:space="0" w:color="000000"/>
            </w:tcBorders>
            <w:shd w:val="clear" w:color="000000" w:fill="FFFFFF"/>
            <w:hideMark/>
          </w:tcPr>
          <w:p w14:paraId="42C6D8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BFAF9E2"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C4C760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20. Paridad</w:t>
            </w:r>
            <w:r w:rsidRPr="00222F34">
              <w:rPr>
                <w:rFonts w:ascii="Calibri" w:eastAsia="Times New Roman" w:hAnsi="Calibri" w:cs="Calibri"/>
                <w:color w:val="000000"/>
                <w:lang w:val="es-CO" w:eastAsia="es-CO" w:bidi="ar-SA"/>
              </w:rPr>
              <w:t xml:space="preserve">.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paridad de género y un ámbito libre de violencia, según lo previsto en la Constitución Política, las normas especiales electorales y en los tratados internacionales. </w:t>
            </w:r>
          </w:p>
        </w:tc>
        <w:tc>
          <w:tcPr>
            <w:tcW w:w="3798" w:type="dxa"/>
            <w:tcBorders>
              <w:top w:val="nil"/>
              <w:left w:val="nil"/>
              <w:bottom w:val="nil"/>
              <w:right w:val="single" w:sz="4" w:space="0" w:color="000000"/>
            </w:tcBorders>
            <w:shd w:val="clear" w:color="000000" w:fill="FFFFFF"/>
            <w:hideMark/>
          </w:tcPr>
          <w:p w14:paraId="6C57D50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20. Paridad</w:t>
            </w:r>
            <w:r w:rsidRPr="00222F34">
              <w:rPr>
                <w:rFonts w:ascii="Calibri" w:eastAsia="Times New Roman" w:hAnsi="Calibri" w:cs="Calibri"/>
                <w:color w:val="000000"/>
                <w:lang w:val="es-CO" w:eastAsia="es-CO" w:bidi="ar-SA"/>
              </w:rPr>
              <w:t xml:space="preserve">.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paridad de género y un ámbito libre de violencia, según lo previsto en la Constitución Política, las normas especiales electorales y en los tratados internacionales. </w:t>
            </w:r>
          </w:p>
        </w:tc>
        <w:tc>
          <w:tcPr>
            <w:tcW w:w="3798" w:type="dxa"/>
            <w:tcBorders>
              <w:top w:val="nil"/>
              <w:left w:val="nil"/>
              <w:bottom w:val="nil"/>
              <w:right w:val="single" w:sz="4" w:space="0" w:color="000000"/>
            </w:tcBorders>
            <w:shd w:val="clear" w:color="000000" w:fill="FFFFFF"/>
            <w:hideMark/>
          </w:tcPr>
          <w:p w14:paraId="0095925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20. Paridad</w:t>
            </w:r>
            <w:r w:rsidRPr="00222F34">
              <w:rPr>
                <w:rFonts w:ascii="Calibri" w:eastAsia="Times New Roman" w:hAnsi="Calibri" w:cs="Calibri"/>
                <w:color w:val="000000"/>
                <w:lang w:val="es-CO" w:eastAsia="es-CO" w:bidi="ar-SA"/>
              </w:rPr>
              <w:t xml:space="preserve">.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paridad de género y un ámbito libre de violencia, según lo previsto en la Constitución Política, las normas especiales electorales y en los tratados internacionales. </w:t>
            </w:r>
          </w:p>
        </w:tc>
        <w:tc>
          <w:tcPr>
            <w:tcW w:w="1480" w:type="dxa"/>
            <w:tcBorders>
              <w:top w:val="nil"/>
              <w:left w:val="nil"/>
              <w:bottom w:val="nil"/>
              <w:right w:val="single" w:sz="4" w:space="0" w:color="000000"/>
            </w:tcBorders>
            <w:shd w:val="clear" w:color="000000" w:fill="FFFFFF"/>
            <w:hideMark/>
          </w:tcPr>
          <w:p w14:paraId="051BF1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504F65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6510BA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21. Imparcialidad.</w:t>
            </w:r>
            <w:r w:rsidRPr="00222F34">
              <w:rPr>
                <w:rFonts w:ascii="Calibri" w:eastAsia="Times New Roman" w:hAnsi="Calibri" w:cs="Calibri"/>
                <w:color w:val="000000"/>
                <w:lang w:val="es-CO" w:eastAsia="es-CO" w:bidi="ar-SA"/>
              </w:rPr>
              <w:t xml:space="preserve"> Las autoridades públicas, los particulares que ejercen funciones electorales y los servidores de la Organización Electoral procederán en sus actuaciones sin inclinaciones a favor o en contra de los candidatos u opciones políticas que participen en los procesos electorales. </w:t>
            </w:r>
          </w:p>
        </w:tc>
        <w:tc>
          <w:tcPr>
            <w:tcW w:w="3798" w:type="dxa"/>
            <w:tcBorders>
              <w:top w:val="nil"/>
              <w:left w:val="nil"/>
              <w:bottom w:val="nil"/>
              <w:right w:val="single" w:sz="4" w:space="0" w:color="000000"/>
            </w:tcBorders>
            <w:shd w:val="clear" w:color="000000" w:fill="FFFFFF"/>
            <w:hideMark/>
          </w:tcPr>
          <w:p w14:paraId="6E3806B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21. Imparcialidad.</w:t>
            </w:r>
            <w:r w:rsidRPr="00222F34">
              <w:rPr>
                <w:rFonts w:ascii="Calibri" w:eastAsia="Times New Roman" w:hAnsi="Calibri" w:cs="Calibri"/>
                <w:color w:val="000000"/>
                <w:lang w:val="es-CO" w:eastAsia="es-CO" w:bidi="ar-SA"/>
              </w:rPr>
              <w:t xml:space="preserve"> Las autoridades públicas, los particulares que ejercen funciones electorales y los servidores de la Organización Electoral procederán en sus actuaciones sin inclinaciones a favor o en contra de los candidatos u opciones políticas que participen en los procesos electorales. </w:t>
            </w:r>
          </w:p>
        </w:tc>
        <w:tc>
          <w:tcPr>
            <w:tcW w:w="3798" w:type="dxa"/>
            <w:tcBorders>
              <w:top w:val="nil"/>
              <w:left w:val="nil"/>
              <w:bottom w:val="nil"/>
              <w:right w:val="single" w:sz="4" w:space="0" w:color="000000"/>
            </w:tcBorders>
            <w:shd w:val="clear" w:color="000000" w:fill="FFFFFF"/>
            <w:hideMark/>
          </w:tcPr>
          <w:p w14:paraId="7665F61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21. Imparcialidad.</w:t>
            </w:r>
            <w:r w:rsidRPr="00222F34">
              <w:rPr>
                <w:rFonts w:ascii="Calibri" w:eastAsia="Times New Roman" w:hAnsi="Calibri" w:cs="Calibri"/>
                <w:color w:val="000000"/>
                <w:lang w:val="es-CO" w:eastAsia="es-CO" w:bidi="ar-SA"/>
              </w:rPr>
              <w:t xml:space="preserve"> Las autoridades públicas, los particulares que ejercen funciones electorales y los servidores de la Organización Electoral procederán en sus actuaciones sin inclinaciones a favor o en contra de los candidatos u opciones políticas que participen en los procesos electorales. </w:t>
            </w:r>
          </w:p>
        </w:tc>
        <w:tc>
          <w:tcPr>
            <w:tcW w:w="1480" w:type="dxa"/>
            <w:tcBorders>
              <w:top w:val="nil"/>
              <w:left w:val="nil"/>
              <w:bottom w:val="nil"/>
              <w:right w:val="single" w:sz="4" w:space="0" w:color="000000"/>
            </w:tcBorders>
            <w:shd w:val="clear" w:color="000000" w:fill="FFFFFF"/>
            <w:hideMark/>
          </w:tcPr>
          <w:p w14:paraId="409F296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1A2D00B"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1A6A525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22. Inviolabilidad y seguridad del voto</w:t>
            </w:r>
            <w:r w:rsidRPr="00222F34">
              <w:rPr>
                <w:rFonts w:ascii="Calibri" w:eastAsia="Times New Roman" w:hAnsi="Calibri" w:cs="Calibri"/>
                <w:color w:val="000000"/>
                <w:lang w:val="es-CO" w:eastAsia="es-CO" w:bidi="ar-SA"/>
              </w:rPr>
              <w:t xml:space="preserve">. 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Le corresponde a las autoridades públicas contribuir, para que este principio sea materializado. </w:t>
            </w:r>
          </w:p>
        </w:tc>
        <w:tc>
          <w:tcPr>
            <w:tcW w:w="3798" w:type="dxa"/>
            <w:tcBorders>
              <w:top w:val="nil"/>
              <w:left w:val="nil"/>
              <w:bottom w:val="nil"/>
              <w:right w:val="single" w:sz="4" w:space="0" w:color="000000"/>
            </w:tcBorders>
            <w:shd w:val="clear" w:color="000000" w:fill="FFFFFF"/>
            <w:hideMark/>
          </w:tcPr>
          <w:p w14:paraId="7BE600C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22. Inviolabilidad y seguridad del voto</w:t>
            </w:r>
            <w:r w:rsidRPr="00222F34">
              <w:rPr>
                <w:rFonts w:ascii="Calibri" w:eastAsia="Times New Roman" w:hAnsi="Calibri" w:cs="Calibri"/>
                <w:color w:val="000000"/>
                <w:lang w:val="es-CO" w:eastAsia="es-CO" w:bidi="ar-SA"/>
              </w:rPr>
              <w:t xml:space="preserve">. 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Le corresponde a las autoridades públicas contribuir, para que este principio sea materializado. </w:t>
            </w:r>
          </w:p>
        </w:tc>
        <w:tc>
          <w:tcPr>
            <w:tcW w:w="3798" w:type="dxa"/>
            <w:tcBorders>
              <w:top w:val="nil"/>
              <w:left w:val="nil"/>
              <w:bottom w:val="nil"/>
              <w:right w:val="single" w:sz="4" w:space="0" w:color="000000"/>
            </w:tcBorders>
            <w:shd w:val="clear" w:color="000000" w:fill="FFFFFF"/>
            <w:hideMark/>
          </w:tcPr>
          <w:p w14:paraId="41B8304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22. Inviolabilidad y seguridad del voto</w:t>
            </w:r>
            <w:r w:rsidRPr="00222F34">
              <w:rPr>
                <w:rFonts w:ascii="Calibri" w:eastAsia="Times New Roman" w:hAnsi="Calibri" w:cs="Calibri"/>
                <w:color w:val="000000"/>
                <w:lang w:val="es-CO" w:eastAsia="es-CO" w:bidi="ar-SA"/>
              </w:rPr>
              <w:t xml:space="preserve">. 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Le corresponde a las autoridades públicas contribuir, para que este principio sea materializado. </w:t>
            </w:r>
          </w:p>
        </w:tc>
        <w:tc>
          <w:tcPr>
            <w:tcW w:w="1480" w:type="dxa"/>
            <w:tcBorders>
              <w:top w:val="nil"/>
              <w:left w:val="nil"/>
              <w:bottom w:val="nil"/>
              <w:right w:val="single" w:sz="4" w:space="0" w:color="000000"/>
            </w:tcBorders>
            <w:shd w:val="clear" w:color="000000" w:fill="FFFFFF"/>
            <w:hideMark/>
          </w:tcPr>
          <w:p w14:paraId="5220DBF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826B89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E141CD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23. Accesibilidad</w:t>
            </w:r>
            <w:r w:rsidRPr="00222F34">
              <w:rPr>
                <w:rFonts w:ascii="Calibri" w:eastAsia="Times New Roman" w:hAnsi="Calibri" w:cs="Calibri"/>
                <w:color w:val="000000"/>
                <w:lang w:val="es-CO" w:eastAsia="es-CO" w:bidi="ar-SA"/>
              </w:rPr>
              <w:t xml:space="preserve">. El Estado procurará por dar garantía al ejercicio del derecho a la participación política de todas las personas, en igualdad de condiciones, identificando y eliminando aquellos obstáculos y barreras que imposibiliten o dificulten el acceso a uno o varios de </w:t>
            </w:r>
            <w:r w:rsidRPr="00222F34">
              <w:rPr>
                <w:rFonts w:ascii="Calibri" w:eastAsia="Times New Roman" w:hAnsi="Calibri" w:cs="Calibri"/>
                <w:color w:val="000000"/>
                <w:lang w:val="es-CO" w:eastAsia="es-CO" w:bidi="ar-SA"/>
              </w:rPr>
              <w:lastRenderedPageBreak/>
              <w:t xml:space="preserve">los derechos consagrados en el presente Código, de conformidad con los estándares nacionales e internacionales. </w:t>
            </w:r>
          </w:p>
        </w:tc>
        <w:tc>
          <w:tcPr>
            <w:tcW w:w="3798" w:type="dxa"/>
            <w:tcBorders>
              <w:top w:val="nil"/>
              <w:left w:val="nil"/>
              <w:bottom w:val="nil"/>
              <w:right w:val="single" w:sz="4" w:space="0" w:color="000000"/>
            </w:tcBorders>
            <w:shd w:val="clear" w:color="000000" w:fill="FFFFFF"/>
            <w:hideMark/>
          </w:tcPr>
          <w:p w14:paraId="14A47FE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23. Accesibilidad</w:t>
            </w:r>
            <w:r w:rsidRPr="00222F34">
              <w:rPr>
                <w:rFonts w:ascii="Calibri" w:eastAsia="Times New Roman" w:hAnsi="Calibri" w:cs="Calibri"/>
                <w:color w:val="000000"/>
                <w:lang w:val="es-CO" w:eastAsia="es-CO" w:bidi="ar-SA"/>
              </w:rPr>
              <w:t xml:space="preserve">. El Estado procurará por dar garantía al ejercicio del derecho a la participación política de todas las personas, en igualdad de condiciones, identificando y eliminando aquellos obstáculos y barreras que imposibiliten o dificulten el acceso a uno o varios de </w:t>
            </w:r>
            <w:r w:rsidRPr="00222F34">
              <w:rPr>
                <w:rFonts w:ascii="Calibri" w:eastAsia="Times New Roman" w:hAnsi="Calibri" w:cs="Calibri"/>
                <w:color w:val="000000"/>
                <w:lang w:val="es-CO" w:eastAsia="es-CO" w:bidi="ar-SA"/>
              </w:rPr>
              <w:lastRenderedPageBreak/>
              <w:t xml:space="preserve">los derechos consagrados en el presente Código, de conformidad con los estándares nacionales e internacionales. </w:t>
            </w:r>
          </w:p>
        </w:tc>
        <w:tc>
          <w:tcPr>
            <w:tcW w:w="3798" w:type="dxa"/>
            <w:tcBorders>
              <w:top w:val="nil"/>
              <w:left w:val="nil"/>
              <w:bottom w:val="nil"/>
              <w:right w:val="single" w:sz="4" w:space="0" w:color="000000"/>
            </w:tcBorders>
            <w:shd w:val="clear" w:color="000000" w:fill="FFFFFF"/>
            <w:hideMark/>
          </w:tcPr>
          <w:p w14:paraId="05CBF2E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23. Accesibilidad</w:t>
            </w:r>
            <w:r w:rsidRPr="00222F34">
              <w:rPr>
                <w:rFonts w:ascii="Calibri" w:eastAsia="Times New Roman" w:hAnsi="Calibri" w:cs="Calibri"/>
                <w:color w:val="000000"/>
                <w:lang w:val="es-CO" w:eastAsia="es-CO" w:bidi="ar-SA"/>
              </w:rPr>
              <w:t xml:space="preserve">. El Estado procurará por dar garantía al ejercicio del derecho a la participación política de todas las personas, en igualdad de condiciones, identificando y eliminando aquellos obstáculos y barreras que imposibiliten o dificulten el acceso a uno o varios de </w:t>
            </w:r>
            <w:r w:rsidRPr="00222F34">
              <w:rPr>
                <w:rFonts w:ascii="Calibri" w:eastAsia="Times New Roman" w:hAnsi="Calibri" w:cs="Calibri"/>
                <w:color w:val="000000"/>
                <w:lang w:val="es-CO" w:eastAsia="es-CO" w:bidi="ar-SA"/>
              </w:rPr>
              <w:lastRenderedPageBreak/>
              <w:t xml:space="preserve">los derechos consagrados en el presente Código, de conformidad con los estándares nacionales e internacionales. </w:t>
            </w:r>
          </w:p>
        </w:tc>
        <w:tc>
          <w:tcPr>
            <w:tcW w:w="1480" w:type="dxa"/>
            <w:tcBorders>
              <w:top w:val="nil"/>
              <w:left w:val="nil"/>
              <w:bottom w:val="nil"/>
              <w:right w:val="single" w:sz="4" w:space="0" w:color="000000"/>
            </w:tcBorders>
            <w:shd w:val="clear" w:color="000000" w:fill="FFFFFF"/>
            <w:hideMark/>
          </w:tcPr>
          <w:p w14:paraId="7C313E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7208F241"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0853FE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24. Principio de integridad electoral</w:t>
            </w:r>
            <w:r w:rsidRPr="00222F34">
              <w:rPr>
                <w:rFonts w:ascii="Calibri" w:eastAsia="Times New Roman" w:hAnsi="Calibri" w:cs="Calibri"/>
                <w:color w:val="000000"/>
                <w:lang w:val="es-CO" w:eastAsia="es-CO" w:bidi="ar-SA"/>
              </w:rPr>
              <w:t xml:space="preserve">. Implica entender el proceso electoral en forma articulada (fase pre-electoral, electoral y poselectoral) para asegurar la expresión genuina de la voluntad popular en las urnas, de tal 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 </w:t>
            </w:r>
          </w:p>
        </w:tc>
        <w:tc>
          <w:tcPr>
            <w:tcW w:w="3798" w:type="dxa"/>
            <w:tcBorders>
              <w:top w:val="nil"/>
              <w:left w:val="nil"/>
              <w:bottom w:val="nil"/>
              <w:right w:val="single" w:sz="4" w:space="0" w:color="000000"/>
            </w:tcBorders>
            <w:shd w:val="clear" w:color="000000" w:fill="FFFFFF"/>
            <w:hideMark/>
          </w:tcPr>
          <w:p w14:paraId="22F1EEE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24. Principio de integridad electoral</w:t>
            </w:r>
            <w:r w:rsidRPr="00222F34">
              <w:rPr>
                <w:rFonts w:ascii="Calibri" w:eastAsia="Times New Roman" w:hAnsi="Calibri" w:cs="Calibri"/>
                <w:color w:val="000000"/>
                <w:lang w:val="es-CO" w:eastAsia="es-CO" w:bidi="ar-SA"/>
              </w:rPr>
              <w:t xml:space="preserve">. Implica entender el proceso electoral en forma articulada (fase pre-electoral, electoral y poselectoral) para asegurar la expresión genuina de la voluntad popular en las urnas, de tal 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 </w:t>
            </w:r>
          </w:p>
        </w:tc>
        <w:tc>
          <w:tcPr>
            <w:tcW w:w="3798" w:type="dxa"/>
            <w:tcBorders>
              <w:top w:val="nil"/>
              <w:left w:val="nil"/>
              <w:bottom w:val="nil"/>
              <w:right w:val="single" w:sz="4" w:space="0" w:color="000000"/>
            </w:tcBorders>
            <w:shd w:val="clear" w:color="000000" w:fill="FFFFFF"/>
            <w:hideMark/>
          </w:tcPr>
          <w:p w14:paraId="3666767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24. Principio de integridad electoral</w:t>
            </w:r>
            <w:r w:rsidRPr="00222F34">
              <w:rPr>
                <w:rFonts w:ascii="Calibri" w:eastAsia="Times New Roman" w:hAnsi="Calibri" w:cs="Calibri"/>
                <w:color w:val="000000"/>
                <w:lang w:val="es-CO" w:eastAsia="es-CO" w:bidi="ar-SA"/>
              </w:rPr>
              <w:t xml:space="preserve">. Implica entender el proceso electoral en forma articulada (fase pre-electoral, electoral y poselectoral) para asegurar la expresión genuina de la voluntad popular en las urnas, de tal 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 </w:t>
            </w:r>
          </w:p>
        </w:tc>
        <w:tc>
          <w:tcPr>
            <w:tcW w:w="1480" w:type="dxa"/>
            <w:tcBorders>
              <w:top w:val="nil"/>
              <w:left w:val="nil"/>
              <w:bottom w:val="nil"/>
              <w:right w:val="single" w:sz="4" w:space="0" w:color="000000"/>
            </w:tcBorders>
            <w:shd w:val="clear" w:color="000000" w:fill="FFFFFF"/>
            <w:hideMark/>
          </w:tcPr>
          <w:p w14:paraId="13DBCB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D452ED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C42AD9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25. Principio de la Inmediación electoral</w:t>
            </w:r>
            <w:r w:rsidRPr="00222F34">
              <w:rPr>
                <w:rFonts w:ascii="Calibri" w:eastAsia="Times New Roman" w:hAnsi="Calibri" w:cs="Calibri"/>
                <w:color w:val="000000"/>
                <w:lang w:val="es-CO" w:eastAsia="es-CO" w:bidi="ar-SA"/>
              </w:rPr>
              <w:t xml:space="preserve">. Sin perjuicio de la Neutralidad tecnológica, la Organización Electoral, el Estado y sus autoridades garantizarán en todo momento el control y la vigilancia permanente del proceso electoral y de los recursos destinados para su funcionamiento, con el fin de asegurar el normal desarrollo de cada una de las etapas del proceso, auditando el sistema </w:t>
            </w:r>
            <w:r w:rsidRPr="00222F34">
              <w:rPr>
                <w:rFonts w:ascii="Calibri" w:eastAsia="Times New Roman" w:hAnsi="Calibri" w:cs="Calibri"/>
                <w:color w:val="000000"/>
                <w:lang w:val="es-CO" w:eastAsia="es-CO" w:bidi="ar-SA"/>
              </w:rPr>
              <w:lastRenderedPageBreak/>
              <w:t xml:space="preserve">con prevalencia de los principios descritos. </w:t>
            </w:r>
          </w:p>
        </w:tc>
        <w:tc>
          <w:tcPr>
            <w:tcW w:w="3798" w:type="dxa"/>
            <w:tcBorders>
              <w:top w:val="nil"/>
              <w:left w:val="nil"/>
              <w:bottom w:val="nil"/>
              <w:right w:val="single" w:sz="4" w:space="0" w:color="000000"/>
            </w:tcBorders>
            <w:shd w:val="clear" w:color="000000" w:fill="FFFFFF"/>
            <w:hideMark/>
          </w:tcPr>
          <w:p w14:paraId="050A24A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25. Principio de la Inmediación electoral</w:t>
            </w:r>
            <w:r w:rsidRPr="00222F34">
              <w:rPr>
                <w:rFonts w:ascii="Calibri" w:eastAsia="Times New Roman" w:hAnsi="Calibri" w:cs="Calibri"/>
                <w:color w:val="000000"/>
                <w:lang w:val="es-CO" w:eastAsia="es-CO" w:bidi="ar-SA"/>
              </w:rPr>
              <w:t xml:space="preserve">. Sin perjuicio de la Neutralidad tecnológica, la Organización Electoral, el Estado y sus autoridades garantizarán en todo momento el control y la vigilancia permanente del proceso electoral y de los recursos destinados para su funcionamiento, con el fin de asegurar el normal desarrollo de cada una de las etapas del proceso, auditando el sistema </w:t>
            </w:r>
            <w:r w:rsidRPr="00222F34">
              <w:rPr>
                <w:rFonts w:ascii="Calibri" w:eastAsia="Times New Roman" w:hAnsi="Calibri" w:cs="Calibri"/>
                <w:color w:val="000000"/>
                <w:lang w:val="es-CO" w:eastAsia="es-CO" w:bidi="ar-SA"/>
              </w:rPr>
              <w:lastRenderedPageBreak/>
              <w:t xml:space="preserve">con prevalencia de los principios descritos. </w:t>
            </w:r>
          </w:p>
        </w:tc>
        <w:tc>
          <w:tcPr>
            <w:tcW w:w="3798" w:type="dxa"/>
            <w:tcBorders>
              <w:top w:val="nil"/>
              <w:left w:val="nil"/>
              <w:bottom w:val="nil"/>
              <w:right w:val="single" w:sz="4" w:space="0" w:color="000000"/>
            </w:tcBorders>
            <w:shd w:val="clear" w:color="000000" w:fill="FFFFFF"/>
            <w:hideMark/>
          </w:tcPr>
          <w:p w14:paraId="712C768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25. Principio de la Inmediación electoral</w:t>
            </w:r>
            <w:r w:rsidRPr="00222F34">
              <w:rPr>
                <w:rFonts w:ascii="Calibri" w:eastAsia="Times New Roman" w:hAnsi="Calibri" w:cs="Calibri"/>
                <w:color w:val="000000"/>
                <w:lang w:val="es-CO" w:eastAsia="es-CO" w:bidi="ar-SA"/>
              </w:rPr>
              <w:t xml:space="preserve">. Sin perjuicio de la Neutralidad tecnológica, la Organización Electoral, el Estado y sus autoridades garantizarán en todo momento el control y la vigilancia permanente del proceso electoral y de los recursos destinados para su funcionamiento, con el fin de asegurar el normal desarrollo de cada una de las etapas del proceso, auditando el sistema </w:t>
            </w:r>
            <w:r w:rsidRPr="00222F34">
              <w:rPr>
                <w:rFonts w:ascii="Calibri" w:eastAsia="Times New Roman" w:hAnsi="Calibri" w:cs="Calibri"/>
                <w:color w:val="000000"/>
                <w:lang w:val="es-CO" w:eastAsia="es-CO" w:bidi="ar-SA"/>
              </w:rPr>
              <w:lastRenderedPageBreak/>
              <w:t xml:space="preserve">con prevalencia de los principios descritos. </w:t>
            </w:r>
          </w:p>
        </w:tc>
        <w:tc>
          <w:tcPr>
            <w:tcW w:w="1480" w:type="dxa"/>
            <w:tcBorders>
              <w:top w:val="nil"/>
              <w:left w:val="nil"/>
              <w:bottom w:val="nil"/>
              <w:right w:val="single" w:sz="4" w:space="0" w:color="000000"/>
            </w:tcBorders>
            <w:shd w:val="clear" w:color="000000" w:fill="FFFFFF"/>
            <w:hideMark/>
          </w:tcPr>
          <w:p w14:paraId="51CCEA4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7B8C215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221CD2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26. Principio de la proporcionalidad</w:t>
            </w:r>
            <w:r w:rsidRPr="00222F34">
              <w:rPr>
                <w:rFonts w:ascii="Calibri" w:eastAsia="Times New Roman" w:hAnsi="Calibri" w:cs="Calibri"/>
                <w:color w:val="000000"/>
                <w:lang w:val="es-CO" w:eastAsia="es-CO" w:bidi="ar-SA"/>
              </w:rPr>
              <w:t>. Dentro del marco del sistema de cuociente electoral, las corporaciones escrutadoras asegurarán la representación proporcional de los partidos y grupos políticos expresada en las urnas.</w:t>
            </w:r>
          </w:p>
        </w:tc>
        <w:tc>
          <w:tcPr>
            <w:tcW w:w="3798" w:type="dxa"/>
            <w:tcBorders>
              <w:top w:val="nil"/>
              <w:left w:val="nil"/>
              <w:bottom w:val="nil"/>
              <w:right w:val="single" w:sz="4" w:space="0" w:color="000000"/>
            </w:tcBorders>
            <w:shd w:val="clear" w:color="FFC000" w:fill="FFFFFF"/>
            <w:hideMark/>
          </w:tcPr>
          <w:p w14:paraId="05C8717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FFC000" w:fill="FFFFFF"/>
            <w:hideMark/>
          </w:tcPr>
          <w:p w14:paraId="75B4C3D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1480" w:type="dxa"/>
            <w:tcBorders>
              <w:top w:val="nil"/>
              <w:left w:val="nil"/>
              <w:bottom w:val="nil"/>
              <w:right w:val="single" w:sz="4" w:space="0" w:color="000000"/>
            </w:tcBorders>
            <w:shd w:val="clear" w:color="000000" w:fill="FFFFFF"/>
            <w:hideMark/>
          </w:tcPr>
          <w:p w14:paraId="32C99CA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46B8D8C" w14:textId="77777777" w:rsidTr="00222F34">
        <w:trPr>
          <w:trHeight w:val="1500"/>
        </w:trPr>
        <w:tc>
          <w:tcPr>
            <w:tcW w:w="3798" w:type="dxa"/>
            <w:tcBorders>
              <w:top w:val="nil"/>
              <w:left w:val="single" w:sz="4" w:space="0" w:color="000000"/>
              <w:bottom w:val="nil"/>
              <w:right w:val="single" w:sz="4" w:space="0" w:color="000000"/>
            </w:tcBorders>
            <w:shd w:val="clear" w:color="FFC000" w:fill="FFFFFF"/>
            <w:hideMark/>
          </w:tcPr>
          <w:p w14:paraId="49E6E80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3A6153C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26. Principio de economía. </w:t>
            </w:r>
            <w:r w:rsidRPr="00222F34">
              <w:rPr>
                <w:rFonts w:ascii="Calibri" w:eastAsia="Times New Roman" w:hAnsi="Calibri" w:cs="Calibri"/>
                <w:color w:val="000000"/>
                <w:lang w:val="es-CO" w:eastAsia="es-CO" w:bidi="ar-SA"/>
              </w:rPr>
              <w:t>Todas las actuaciones relacionadas con la función electoral y los procesos electorales se desarrollarán en el marco de la eficiencia, bajo la optimización de tiempo y los recursos empleados en todas las etapas de éste, con el fin de garantizar resultados de calidad en las elecciones y la protección de los derechos de quienes intervienen en ellas.</w:t>
            </w:r>
          </w:p>
        </w:tc>
        <w:tc>
          <w:tcPr>
            <w:tcW w:w="3798" w:type="dxa"/>
            <w:tcBorders>
              <w:top w:val="nil"/>
              <w:left w:val="nil"/>
              <w:bottom w:val="nil"/>
              <w:right w:val="single" w:sz="4" w:space="0" w:color="000000"/>
            </w:tcBorders>
            <w:shd w:val="clear" w:color="000000" w:fill="FFFFFF"/>
            <w:hideMark/>
          </w:tcPr>
          <w:p w14:paraId="42D8BCD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26. Principio de economía. </w:t>
            </w:r>
            <w:r w:rsidRPr="00222F34">
              <w:rPr>
                <w:rFonts w:ascii="Calibri" w:eastAsia="Times New Roman" w:hAnsi="Calibri" w:cs="Calibri"/>
                <w:color w:val="000000"/>
                <w:lang w:val="es-CO" w:eastAsia="es-CO" w:bidi="ar-SA"/>
              </w:rPr>
              <w:t>Todas las actuaciones relacionadas con la función electoral y los procesos electorales se desarrollarán en el marco de la eficiencia, bajo la optimización de tiempo y los recursos empleados en todas las etapas de éste, con el fin de garantizar resultados de calidad en las elecciones y la protección de los derechos de quienes intervienen en ellas.</w:t>
            </w:r>
          </w:p>
        </w:tc>
        <w:tc>
          <w:tcPr>
            <w:tcW w:w="1480" w:type="dxa"/>
            <w:tcBorders>
              <w:top w:val="nil"/>
              <w:left w:val="nil"/>
              <w:bottom w:val="nil"/>
              <w:right w:val="single" w:sz="4" w:space="0" w:color="000000"/>
            </w:tcBorders>
            <w:shd w:val="clear" w:color="000000" w:fill="FFFFFF"/>
            <w:hideMark/>
          </w:tcPr>
          <w:p w14:paraId="0FD11D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6CAB04C"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FFC000" w:fill="FFFFFF"/>
            <w:hideMark/>
          </w:tcPr>
          <w:p w14:paraId="0D2213B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single" w:sz="4" w:space="0" w:color="000000"/>
              <w:right w:val="single" w:sz="4" w:space="0" w:color="000000"/>
            </w:tcBorders>
            <w:shd w:val="clear" w:color="000000" w:fill="FFFFFF"/>
            <w:hideMark/>
          </w:tcPr>
          <w:p w14:paraId="6F5A535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27. Principio del lenguaje claro</w:t>
            </w:r>
            <w:r w:rsidRPr="00222F34">
              <w:rPr>
                <w:rFonts w:ascii="Calibri" w:eastAsia="Times New Roman" w:hAnsi="Calibri" w:cs="Calibri"/>
                <w:color w:val="000000"/>
                <w:lang w:val="es-CO" w:eastAsia="es-CO" w:bidi="ar-SA"/>
              </w:rPr>
              <w:t xml:space="preserve">. Se promoverá el uso del lenguaje concreto y lenguaje comprensible sin importar el nivel de alfabetización para presentar la información relacionada con el proceso electoral y una comunicación asertiva, útil, eficiente y transparente entre los </w:t>
            </w:r>
            <w:r w:rsidRPr="00222F34">
              <w:rPr>
                <w:rFonts w:ascii="Calibri" w:eastAsia="Times New Roman" w:hAnsi="Calibri" w:cs="Calibri"/>
                <w:color w:val="000000"/>
                <w:lang w:val="es-CO" w:eastAsia="es-CO" w:bidi="ar-SA"/>
              </w:rPr>
              <w:lastRenderedPageBreak/>
              <w:t>funcionarios públicos y las personas o comunidades.</w:t>
            </w:r>
          </w:p>
        </w:tc>
        <w:tc>
          <w:tcPr>
            <w:tcW w:w="3798" w:type="dxa"/>
            <w:tcBorders>
              <w:top w:val="nil"/>
              <w:left w:val="nil"/>
              <w:bottom w:val="single" w:sz="4" w:space="0" w:color="000000"/>
              <w:right w:val="single" w:sz="4" w:space="0" w:color="000000"/>
            </w:tcBorders>
            <w:shd w:val="clear" w:color="000000" w:fill="FFFFFF"/>
            <w:hideMark/>
          </w:tcPr>
          <w:p w14:paraId="773C8CA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27. Principio del lenguaje claro</w:t>
            </w:r>
            <w:r w:rsidRPr="00222F34">
              <w:rPr>
                <w:rFonts w:ascii="Calibri" w:eastAsia="Times New Roman" w:hAnsi="Calibri" w:cs="Calibri"/>
                <w:color w:val="000000"/>
                <w:lang w:val="es-CO" w:eastAsia="es-CO" w:bidi="ar-SA"/>
              </w:rPr>
              <w:t xml:space="preserve">. Se promoverá el uso del lenguaje concreto y lenguaje comprensible sin importar el nivel de alfabetización para presentar la información relacionada con el proceso electoral y una comunicación asertiva, útil, eficiente y transparente entre los </w:t>
            </w:r>
            <w:r w:rsidRPr="00222F34">
              <w:rPr>
                <w:rFonts w:ascii="Calibri" w:eastAsia="Times New Roman" w:hAnsi="Calibri" w:cs="Calibri"/>
                <w:color w:val="000000"/>
                <w:lang w:val="es-CO" w:eastAsia="es-CO" w:bidi="ar-SA"/>
              </w:rPr>
              <w:lastRenderedPageBreak/>
              <w:t>funcionarios públicos y las personas o comunidades.</w:t>
            </w:r>
          </w:p>
        </w:tc>
        <w:tc>
          <w:tcPr>
            <w:tcW w:w="1480" w:type="dxa"/>
            <w:tcBorders>
              <w:top w:val="nil"/>
              <w:left w:val="nil"/>
              <w:bottom w:val="single" w:sz="4" w:space="0" w:color="000000"/>
              <w:right w:val="single" w:sz="4" w:space="0" w:color="000000"/>
            </w:tcBorders>
            <w:shd w:val="clear" w:color="000000" w:fill="FFFFFF"/>
            <w:hideMark/>
          </w:tcPr>
          <w:p w14:paraId="68ED686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7FFD363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8DA49F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CAPÍTULO I</w:t>
            </w:r>
          </w:p>
        </w:tc>
        <w:tc>
          <w:tcPr>
            <w:tcW w:w="3798" w:type="dxa"/>
            <w:tcBorders>
              <w:top w:val="nil"/>
              <w:left w:val="nil"/>
              <w:bottom w:val="nil"/>
              <w:right w:val="single" w:sz="4" w:space="0" w:color="000000"/>
            </w:tcBorders>
            <w:shd w:val="clear" w:color="000000" w:fill="FFFFFF"/>
            <w:hideMark/>
          </w:tcPr>
          <w:p w14:paraId="4955952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7348BB82"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484E541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75F219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016EFB2"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Derecho al voto</w:t>
            </w:r>
          </w:p>
        </w:tc>
        <w:tc>
          <w:tcPr>
            <w:tcW w:w="3798" w:type="dxa"/>
            <w:tcBorders>
              <w:top w:val="nil"/>
              <w:left w:val="nil"/>
              <w:bottom w:val="single" w:sz="4" w:space="0" w:color="000000"/>
              <w:right w:val="single" w:sz="4" w:space="0" w:color="000000"/>
            </w:tcBorders>
            <w:shd w:val="clear" w:color="000000" w:fill="FFFFFF"/>
            <w:hideMark/>
          </w:tcPr>
          <w:p w14:paraId="7AF64D36"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Derecho al voto</w:t>
            </w:r>
          </w:p>
        </w:tc>
        <w:tc>
          <w:tcPr>
            <w:tcW w:w="3798" w:type="dxa"/>
            <w:tcBorders>
              <w:top w:val="nil"/>
              <w:left w:val="nil"/>
              <w:bottom w:val="single" w:sz="4" w:space="0" w:color="000000"/>
              <w:right w:val="single" w:sz="4" w:space="0" w:color="000000"/>
            </w:tcBorders>
            <w:shd w:val="clear" w:color="000000" w:fill="FFFFFF"/>
            <w:hideMark/>
          </w:tcPr>
          <w:p w14:paraId="55FD10BE"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Derecho al voto</w:t>
            </w:r>
          </w:p>
        </w:tc>
        <w:tc>
          <w:tcPr>
            <w:tcW w:w="1480" w:type="dxa"/>
            <w:tcBorders>
              <w:top w:val="nil"/>
              <w:left w:val="nil"/>
              <w:bottom w:val="single" w:sz="4" w:space="0" w:color="000000"/>
              <w:right w:val="single" w:sz="4" w:space="0" w:color="000000"/>
            </w:tcBorders>
            <w:shd w:val="clear" w:color="000000" w:fill="FFFFFF"/>
            <w:hideMark/>
          </w:tcPr>
          <w:p w14:paraId="68783A3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5FD3005"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4799234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36.- Derecho al voto.</w:t>
            </w:r>
            <w:r w:rsidRPr="00222F34">
              <w:rPr>
                <w:rFonts w:ascii="Calibri" w:eastAsia="Times New Roman" w:hAnsi="Calibri" w:cs="Calibri"/>
                <w:color w:val="000000"/>
                <w:lang w:val="es-CO" w:eastAsia="es-CO" w:bidi="ar-SA"/>
              </w:rPr>
              <w:t xml:space="preserve"> 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sexo, género, edad, creencias, religión, con discapacidad o condición de vulnerabilidad. Bajo ninguna circunstancia, la falta de correspondencia entre la expresión de género del votante y los datos del documento de identidad serán causales para impedir el ingreso al lugar de votación. </w:t>
            </w:r>
          </w:p>
        </w:tc>
        <w:tc>
          <w:tcPr>
            <w:tcW w:w="3798" w:type="dxa"/>
            <w:tcBorders>
              <w:top w:val="nil"/>
              <w:left w:val="nil"/>
              <w:bottom w:val="nil"/>
              <w:right w:val="single" w:sz="4" w:space="0" w:color="000000"/>
            </w:tcBorders>
            <w:shd w:val="clear" w:color="00FFFF" w:fill="FFFFFF"/>
            <w:hideMark/>
          </w:tcPr>
          <w:p w14:paraId="58EB51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38. Derecho al voto.</w:t>
            </w:r>
            <w:r w:rsidRPr="00222F34">
              <w:rPr>
                <w:rFonts w:ascii="Calibri" w:eastAsia="Times New Roman" w:hAnsi="Calibri" w:cs="Calibri"/>
                <w:color w:val="000000"/>
                <w:lang w:val="es-CO" w:eastAsia="es-CO" w:bidi="ar-SA"/>
              </w:rPr>
              <w:t xml:space="preserve"> 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orientación sexual, identidad, expresión de género, edad, creencias, religión, con discapacidad o condición de vulnerabilidad. Bajo ninguna circunstancia, la falta de correspondencia entre la expresión de género del votante y los datos del documento de identidad serán causales para impedir el ingreso al lugar de votación.</w:t>
            </w:r>
          </w:p>
        </w:tc>
        <w:tc>
          <w:tcPr>
            <w:tcW w:w="3798" w:type="dxa"/>
            <w:tcBorders>
              <w:top w:val="nil"/>
              <w:left w:val="nil"/>
              <w:bottom w:val="nil"/>
              <w:right w:val="single" w:sz="4" w:space="0" w:color="000000"/>
            </w:tcBorders>
            <w:shd w:val="clear" w:color="00FFFF" w:fill="FFFFFF"/>
            <w:hideMark/>
          </w:tcPr>
          <w:p w14:paraId="56962B4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38. Derecho al voto.</w:t>
            </w:r>
            <w:r w:rsidRPr="00222F34">
              <w:rPr>
                <w:rFonts w:ascii="Calibri" w:eastAsia="Times New Roman" w:hAnsi="Calibri" w:cs="Calibri"/>
                <w:color w:val="000000"/>
                <w:lang w:val="es-CO" w:eastAsia="es-CO" w:bidi="ar-SA"/>
              </w:rPr>
              <w:t xml:space="preserve"> 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orientación sexual, identidad, expresión de género, edad, creencias, religión, con discapacidad o condición de vulnerabilidad. Bajo ninguna circunstancia, la falta de correspondencia entre la expresión de género del votante y los datos del documento de identidad serán causales para impedir el ingreso al lugar de votación.</w:t>
            </w:r>
          </w:p>
        </w:tc>
        <w:tc>
          <w:tcPr>
            <w:tcW w:w="1480" w:type="dxa"/>
            <w:tcBorders>
              <w:top w:val="nil"/>
              <w:left w:val="nil"/>
              <w:bottom w:val="nil"/>
              <w:right w:val="single" w:sz="4" w:space="0" w:color="000000"/>
            </w:tcBorders>
            <w:shd w:val="clear" w:color="000000" w:fill="FFFFFF"/>
            <w:hideMark/>
          </w:tcPr>
          <w:p w14:paraId="5A061269" w14:textId="0F7EFB7E"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7AF38F4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D27FC8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autoridades protegerán el ejercicio del derecho al sufragio, otorgarán plenas garantías a los ciudadanos en el proceso electoral y actuarán con imparcialidad. </w:t>
            </w:r>
          </w:p>
        </w:tc>
        <w:tc>
          <w:tcPr>
            <w:tcW w:w="3798" w:type="dxa"/>
            <w:tcBorders>
              <w:top w:val="nil"/>
              <w:left w:val="nil"/>
              <w:bottom w:val="nil"/>
              <w:right w:val="single" w:sz="4" w:space="0" w:color="000000"/>
            </w:tcBorders>
            <w:shd w:val="clear" w:color="00FFFF" w:fill="FFFFFF"/>
            <w:hideMark/>
          </w:tcPr>
          <w:p w14:paraId="12103A5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protegerán el ejercicio del derecho al sufragio, otorgarán plenas garantías a los ciudadanos en el proceso electoral y actuarán con imparcialidad.</w:t>
            </w:r>
          </w:p>
        </w:tc>
        <w:tc>
          <w:tcPr>
            <w:tcW w:w="3798" w:type="dxa"/>
            <w:tcBorders>
              <w:top w:val="nil"/>
              <w:left w:val="nil"/>
              <w:bottom w:val="nil"/>
              <w:right w:val="single" w:sz="4" w:space="0" w:color="000000"/>
            </w:tcBorders>
            <w:shd w:val="clear" w:color="00FFFF" w:fill="FFFFFF"/>
            <w:hideMark/>
          </w:tcPr>
          <w:p w14:paraId="139AC6E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protegerán el ejercicio del derecho al sufragio, otorgarán plenas garantías a los ciudadanos en el proceso electoral y actuarán con imparcialidad.</w:t>
            </w:r>
          </w:p>
        </w:tc>
        <w:tc>
          <w:tcPr>
            <w:tcW w:w="1480" w:type="dxa"/>
            <w:tcBorders>
              <w:top w:val="nil"/>
              <w:left w:val="nil"/>
              <w:bottom w:val="nil"/>
              <w:right w:val="single" w:sz="4" w:space="0" w:color="000000"/>
            </w:tcBorders>
            <w:shd w:val="clear" w:color="000000" w:fill="FFFFFF"/>
            <w:hideMark/>
          </w:tcPr>
          <w:p w14:paraId="33CDD86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F39E8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CCC88E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También tendrán derecho a ejercer el sufragio los jóvenes entre catorce (14) y diecisiete (17) años, de acuerdo con la normatividad especial que regule sus procesos electorales para la conformación de los Consejos Municipales y Locales de Juventud. </w:t>
            </w:r>
          </w:p>
        </w:tc>
        <w:tc>
          <w:tcPr>
            <w:tcW w:w="3798" w:type="dxa"/>
            <w:tcBorders>
              <w:top w:val="nil"/>
              <w:left w:val="nil"/>
              <w:bottom w:val="nil"/>
              <w:right w:val="single" w:sz="4" w:space="0" w:color="000000"/>
            </w:tcBorders>
            <w:shd w:val="clear" w:color="00FFFF" w:fill="FFFFFF"/>
            <w:hideMark/>
          </w:tcPr>
          <w:p w14:paraId="7DAD1E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También tendrán derecho a ejercer el sufragio los jóvenes entre catorce (14) y diecisiete (17) años, de acuerdo con la normatividad especial que regule sus procesos electorales para la conformación del Consejo Nacional de Juventud, los Consejos Departamentales, Distritales, Municipales y Locales de Juventud.</w:t>
            </w:r>
          </w:p>
        </w:tc>
        <w:tc>
          <w:tcPr>
            <w:tcW w:w="3798" w:type="dxa"/>
            <w:tcBorders>
              <w:top w:val="nil"/>
              <w:left w:val="nil"/>
              <w:bottom w:val="nil"/>
              <w:right w:val="single" w:sz="4" w:space="0" w:color="000000"/>
            </w:tcBorders>
            <w:shd w:val="clear" w:color="00FFFF" w:fill="FFFFFF"/>
            <w:hideMark/>
          </w:tcPr>
          <w:p w14:paraId="757F7A9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También tendrán derecho a ejercer el sufragio los jóvenes entre catorce (14) y diecisiete (17) años, de acuerdo con la normatividad especial que regule sus procesos electorales para la conformación del Consejo Nacional de Juventud, los Consejos Departamentales, Distritales, Municipales y Locales de Juventud.</w:t>
            </w:r>
          </w:p>
        </w:tc>
        <w:tc>
          <w:tcPr>
            <w:tcW w:w="1480" w:type="dxa"/>
            <w:tcBorders>
              <w:top w:val="nil"/>
              <w:left w:val="nil"/>
              <w:bottom w:val="nil"/>
              <w:right w:val="single" w:sz="4" w:space="0" w:color="000000"/>
            </w:tcBorders>
            <w:shd w:val="clear" w:color="000000" w:fill="FFFFFF"/>
            <w:hideMark/>
          </w:tcPr>
          <w:p w14:paraId="368ECA4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FD0000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316520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en armonía con las ramas de poder público, garantizará la participación plena y efectiva de las personas con discapacidad en igualdad de condiciones brindando las herramientas y ajustes razonables que sean necesarios para ello.</w:t>
            </w:r>
          </w:p>
        </w:tc>
        <w:tc>
          <w:tcPr>
            <w:tcW w:w="3798" w:type="dxa"/>
            <w:tcBorders>
              <w:top w:val="nil"/>
              <w:left w:val="nil"/>
              <w:bottom w:val="nil"/>
              <w:right w:val="single" w:sz="4" w:space="0" w:color="000000"/>
            </w:tcBorders>
            <w:shd w:val="clear" w:color="00FFFF" w:fill="FFFFFF"/>
            <w:hideMark/>
          </w:tcPr>
          <w:p w14:paraId="0A54AE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Registraduría Nacional del Estado Civil en armonía con las ramas de poder público, garantizará la participación plena y efectiva de las personas con discapacidad en igualdad de condiciones brindando las herramientas de accesibilidad, ajustes razonables y diseño universal que sean necesarios para ello.</w:t>
            </w:r>
          </w:p>
        </w:tc>
        <w:tc>
          <w:tcPr>
            <w:tcW w:w="3798" w:type="dxa"/>
            <w:tcBorders>
              <w:top w:val="nil"/>
              <w:left w:val="nil"/>
              <w:bottom w:val="nil"/>
              <w:right w:val="single" w:sz="4" w:space="0" w:color="000000"/>
            </w:tcBorders>
            <w:shd w:val="clear" w:color="00FFFF" w:fill="FFFFFF"/>
            <w:hideMark/>
          </w:tcPr>
          <w:p w14:paraId="6DB66E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Registraduría Nacional del Estado Civil en armonía con las ramas de poder público, garantizará la participación plena y efectiva de las personas con discapacidad en igualdad de condiciones brindando las herramientas de accesibilidad, ajustes razonables y diseño universal que sean necesarios para ello.</w:t>
            </w:r>
          </w:p>
        </w:tc>
        <w:tc>
          <w:tcPr>
            <w:tcW w:w="1480" w:type="dxa"/>
            <w:tcBorders>
              <w:top w:val="nil"/>
              <w:left w:val="nil"/>
              <w:bottom w:val="nil"/>
              <w:right w:val="single" w:sz="4" w:space="0" w:color="000000"/>
            </w:tcBorders>
            <w:shd w:val="clear" w:color="000000" w:fill="FFFFFF"/>
            <w:hideMark/>
          </w:tcPr>
          <w:p w14:paraId="0AB6BF2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9EFB20E" w14:textId="77777777" w:rsidTr="00222F34">
        <w:trPr>
          <w:trHeight w:val="1800"/>
        </w:trPr>
        <w:tc>
          <w:tcPr>
            <w:tcW w:w="3798" w:type="dxa"/>
            <w:tcBorders>
              <w:top w:val="nil"/>
              <w:left w:val="single" w:sz="4" w:space="0" w:color="000000"/>
              <w:bottom w:val="nil"/>
              <w:right w:val="single" w:sz="4" w:space="0" w:color="000000"/>
            </w:tcBorders>
            <w:shd w:val="clear" w:color="FFC000" w:fill="FFFFFF"/>
            <w:hideMark/>
          </w:tcPr>
          <w:p w14:paraId="099DE39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FFFF" w:fill="FFFFFF"/>
            <w:hideMark/>
          </w:tcPr>
          <w:p w14:paraId="0931B41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con discapacidad o sus cuidadores deberán informar durante los tres (3) meses anteriores a las elecciones en el sitio web de la registraduría que se habilite para este efecto o en la registraduría de su lugar de votación, qué discapacidad presenta a efectos de que la entidad planee y adopte las medidas necesarias para garantizar su derecho al voto.</w:t>
            </w:r>
          </w:p>
        </w:tc>
        <w:tc>
          <w:tcPr>
            <w:tcW w:w="3798" w:type="dxa"/>
            <w:tcBorders>
              <w:top w:val="nil"/>
              <w:left w:val="nil"/>
              <w:bottom w:val="nil"/>
              <w:right w:val="single" w:sz="4" w:space="0" w:color="000000"/>
            </w:tcBorders>
            <w:shd w:val="clear" w:color="00FFFF" w:fill="FFFFFF"/>
            <w:hideMark/>
          </w:tcPr>
          <w:p w14:paraId="52D57BD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con discapacidad o sus cuidadores deberán informar durante los tres (3) meses anteriores a las elecciones en el sitio web de la registraduría que se habilite para este efecto o en la registraduría de su lugar de votación, qué discapacidad presenta a efectos de que la entidad planee y adopte las medidas necesarias para garantizar su derecho al voto.</w:t>
            </w:r>
          </w:p>
        </w:tc>
        <w:tc>
          <w:tcPr>
            <w:tcW w:w="1480" w:type="dxa"/>
            <w:tcBorders>
              <w:top w:val="nil"/>
              <w:left w:val="nil"/>
              <w:bottom w:val="nil"/>
              <w:right w:val="single" w:sz="4" w:space="0" w:color="000000"/>
            </w:tcBorders>
            <w:shd w:val="clear" w:color="000000" w:fill="FFFFFF"/>
            <w:hideMark/>
          </w:tcPr>
          <w:p w14:paraId="62FDB40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3F374E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B8E8A3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3. </w:t>
            </w:r>
            <w:r w:rsidRPr="00222F34">
              <w:rPr>
                <w:rFonts w:ascii="Calibri" w:eastAsia="Times New Roman" w:hAnsi="Calibri" w:cs="Calibri"/>
                <w:color w:val="000000"/>
                <w:lang w:val="es-CO" w:eastAsia="es-CO" w:bidi="ar-SA"/>
              </w:rPr>
              <w:t>La Registraduría Nacional del Estado Civil en armonía con las ramas del poder público, tras concertación con los pueblos indígenas y las comunidades afrocolombianas, negras, raizales y palenqueras adoptará mecanismos y garantías necesarias para hacer efectivo el ejercicio al voto de estos pueblos y comunidades.</w:t>
            </w:r>
          </w:p>
        </w:tc>
        <w:tc>
          <w:tcPr>
            <w:tcW w:w="3798" w:type="dxa"/>
            <w:tcBorders>
              <w:top w:val="nil"/>
              <w:left w:val="nil"/>
              <w:bottom w:val="nil"/>
              <w:right w:val="single" w:sz="4" w:space="0" w:color="000000"/>
            </w:tcBorders>
            <w:shd w:val="clear" w:color="00FFFF" w:fill="FFFFFF"/>
            <w:hideMark/>
          </w:tcPr>
          <w:p w14:paraId="6658621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en armonía con las ramas del poder público, tras concertación con las organizaciones de víctimas del conflicto armado, los pueblos indígenas y las comunidades afrocolombianas, negras, raizales y palenqueras adoptará mecanismos y garantías necesarias para hacer efectivo el ejercicio al voto de estos pueblos y comunidades.</w:t>
            </w:r>
          </w:p>
        </w:tc>
        <w:tc>
          <w:tcPr>
            <w:tcW w:w="3798" w:type="dxa"/>
            <w:tcBorders>
              <w:top w:val="nil"/>
              <w:left w:val="nil"/>
              <w:bottom w:val="nil"/>
              <w:right w:val="single" w:sz="4" w:space="0" w:color="000000"/>
            </w:tcBorders>
            <w:shd w:val="clear" w:color="00FFFF" w:fill="FFFFFF"/>
            <w:hideMark/>
          </w:tcPr>
          <w:p w14:paraId="67B8534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en armonía con las ramas del poder público, tras concertación con las organizaciones de víctimas del conflicto armado, los pueblos indígenas y las comunidades afrocolombianas, negras, raizales y palenqueras adoptará mecanismos y garantías necesarias para hacer efectivo el ejercicio al voto de estos pueblos y comunidades.</w:t>
            </w:r>
          </w:p>
        </w:tc>
        <w:tc>
          <w:tcPr>
            <w:tcW w:w="1480" w:type="dxa"/>
            <w:tcBorders>
              <w:top w:val="nil"/>
              <w:left w:val="nil"/>
              <w:bottom w:val="nil"/>
              <w:right w:val="single" w:sz="4" w:space="0" w:color="000000"/>
            </w:tcBorders>
            <w:shd w:val="clear" w:color="000000" w:fill="FFFFFF"/>
            <w:hideMark/>
          </w:tcPr>
          <w:p w14:paraId="2560218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036FD8C"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5DD9F1C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Organización Electoral garantizará la disponibilidad de los recursos necesarios para la adopción e implementación de los mecanismos y garantías necesarias que hagan efectiva la participación democrática de las personas pertenecientes a grupos de especial protección constitucional según la norma y la jurisprudencia.</w:t>
            </w:r>
          </w:p>
        </w:tc>
        <w:tc>
          <w:tcPr>
            <w:tcW w:w="3798" w:type="dxa"/>
            <w:tcBorders>
              <w:top w:val="nil"/>
              <w:left w:val="nil"/>
              <w:bottom w:val="single" w:sz="4" w:space="0" w:color="000000"/>
              <w:right w:val="single" w:sz="4" w:space="0" w:color="000000"/>
            </w:tcBorders>
            <w:shd w:val="clear" w:color="00FFFF" w:fill="FFFFFF"/>
            <w:hideMark/>
          </w:tcPr>
          <w:p w14:paraId="0D1E44C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garantizará la disponibilidad de los recursos necesarios para la adopción e implementación de los mecanismos y garantías necesarias que hagan efectiva la participación democrática de las personas pertenecientes a grupos de especial protección constitucional según la norma y la jurisprudencia.</w:t>
            </w:r>
          </w:p>
        </w:tc>
        <w:tc>
          <w:tcPr>
            <w:tcW w:w="3798" w:type="dxa"/>
            <w:tcBorders>
              <w:top w:val="nil"/>
              <w:left w:val="nil"/>
              <w:bottom w:val="single" w:sz="4" w:space="0" w:color="000000"/>
              <w:right w:val="single" w:sz="4" w:space="0" w:color="000000"/>
            </w:tcBorders>
            <w:shd w:val="clear" w:color="00FFFF" w:fill="FFFFFF"/>
            <w:hideMark/>
          </w:tcPr>
          <w:p w14:paraId="5D41511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garantizará la disponibilidad de los recursos necesarios para la adopción e implementación de los mecanismos y garantías necesarias que hagan efectiva la participación democrática de las personas pertenecientes a grupos de especial protección constitucional según la norma y la jurisprudencia.</w:t>
            </w:r>
          </w:p>
        </w:tc>
        <w:tc>
          <w:tcPr>
            <w:tcW w:w="1480" w:type="dxa"/>
            <w:tcBorders>
              <w:top w:val="nil"/>
              <w:left w:val="nil"/>
              <w:bottom w:val="single" w:sz="4" w:space="0" w:color="000000"/>
              <w:right w:val="single" w:sz="4" w:space="0" w:color="000000"/>
            </w:tcBorders>
            <w:shd w:val="clear" w:color="000000" w:fill="FFFFFF"/>
            <w:hideMark/>
          </w:tcPr>
          <w:p w14:paraId="2DD004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D359C6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8A9B38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37.- Ejercicio del derecho al voto.</w:t>
            </w:r>
            <w:r w:rsidRPr="00222F34">
              <w:rPr>
                <w:rFonts w:ascii="Calibri" w:eastAsia="Times New Roman" w:hAnsi="Calibri" w:cs="Calibri"/>
                <w:color w:val="000000"/>
                <w:lang w:val="es-CO" w:eastAsia="es-CO" w:bidi="ar-SA"/>
              </w:rPr>
              <w:t xml:space="preserve"> 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 </w:t>
            </w:r>
          </w:p>
        </w:tc>
        <w:tc>
          <w:tcPr>
            <w:tcW w:w="3798" w:type="dxa"/>
            <w:tcBorders>
              <w:top w:val="nil"/>
              <w:left w:val="nil"/>
              <w:bottom w:val="nil"/>
              <w:right w:val="single" w:sz="4" w:space="0" w:color="000000"/>
            </w:tcBorders>
            <w:shd w:val="clear" w:color="000000" w:fill="FFFFFF"/>
            <w:hideMark/>
          </w:tcPr>
          <w:p w14:paraId="21585F4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39. Ejercicio del derecho al voto.</w:t>
            </w:r>
            <w:r w:rsidRPr="00222F34">
              <w:rPr>
                <w:rFonts w:ascii="Calibri" w:eastAsia="Times New Roman" w:hAnsi="Calibri" w:cs="Calibri"/>
                <w:color w:val="000000"/>
                <w:lang w:val="es-CO" w:eastAsia="es-CO" w:bidi="ar-SA"/>
              </w:rPr>
              <w:t xml:space="preserve"> 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p>
        </w:tc>
        <w:tc>
          <w:tcPr>
            <w:tcW w:w="3798" w:type="dxa"/>
            <w:tcBorders>
              <w:top w:val="nil"/>
              <w:left w:val="nil"/>
              <w:bottom w:val="nil"/>
              <w:right w:val="single" w:sz="4" w:space="0" w:color="000000"/>
            </w:tcBorders>
            <w:shd w:val="clear" w:color="000000" w:fill="FFFFFF"/>
            <w:hideMark/>
          </w:tcPr>
          <w:p w14:paraId="564C64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39. Ejercicio del derecho al voto.</w:t>
            </w:r>
            <w:r w:rsidRPr="00222F34">
              <w:rPr>
                <w:rFonts w:ascii="Calibri" w:eastAsia="Times New Roman" w:hAnsi="Calibri" w:cs="Calibri"/>
                <w:color w:val="000000"/>
                <w:lang w:val="es-CO" w:eastAsia="es-CO" w:bidi="ar-SA"/>
              </w:rPr>
              <w:t xml:space="preserve"> 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p>
        </w:tc>
        <w:tc>
          <w:tcPr>
            <w:tcW w:w="1480" w:type="dxa"/>
            <w:tcBorders>
              <w:top w:val="nil"/>
              <w:left w:val="nil"/>
              <w:bottom w:val="nil"/>
              <w:right w:val="single" w:sz="4" w:space="0" w:color="000000"/>
            </w:tcBorders>
            <w:shd w:val="clear" w:color="000000" w:fill="FFFFFF"/>
            <w:hideMark/>
          </w:tcPr>
          <w:p w14:paraId="4BB5EC43" w14:textId="579AFB4C"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32EDF64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CBF1CD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abstención será una forma válida en mecanismos democráticos con umbral de participación. </w:t>
            </w:r>
          </w:p>
        </w:tc>
        <w:tc>
          <w:tcPr>
            <w:tcW w:w="3798" w:type="dxa"/>
            <w:tcBorders>
              <w:top w:val="nil"/>
              <w:left w:val="nil"/>
              <w:bottom w:val="single" w:sz="4" w:space="0" w:color="000000"/>
              <w:right w:val="single" w:sz="4" w:space="0" w:color="000000"/>
            </w:tcBorders>
            <w:shd w:val="clear" w:color="000000" w:fill="FFFFFF"/>
            <w:hideMark/>
          </w:tcPr>
          <w:p w14:paraId="3AC2987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abstención será una forma válida de participar en los mecanismos de participación ciudadana, con umbral de participación, de que trata la Ley 1757 de 2015 y demás normas que la modifiquen o sustituyan.</w:t>
            </w:r>
          </w:p>
        </w:tc>
        <w:tc>
          <w:tcPr>
            <w:tcW w:w="3798" w:type="dxa"/>
            <w:tcBorders>
              <w:top w:val="nil"/>
              <w:left w:val="nil"/>
              <w:bottom w:val="single" w:sz="4" w:space="0" w:color="000000"/>
              <w:right w:val="single" w:sz="4" w:space="0" w:color="000000"/>
            </w:tcBorders>
            <w:shd w:val="clear" w:color="000000" w:fill="FFFFFF"/>
            <w:hideMark/>
          </w:tcPr>
          <w:p w14:paraId="565FA25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abstención será una forma válida de participar en los mecanismos de participación ciudadana, con umbral de participación, de que trata la Ley 1757 de 2015 y demás normas que la modifiquen o sustituyan.</w:t>
            </w:r>
          </w:p>
        </w:tc>
        <w:tc>
          <w:tcPr>
            <w:tcW w:w="1480" w:type="dxa"/>
            <w:tcBorders>
              <w:top w:val="nil"/>
              <w:left w:val="nil"/>
              <w:bottom w:val="single" w:sz="4" w:space="0" w:color="000000"/>
              <w:right w:val="single" w:sz="4" w:space="0" w:color="000000"/>
            </w:tcBorders>
            <w:shd w:val="clear" w:color="000000" w:fill="FFFFFF"/>
            <w:hideMark/>
          </w:tcPr>
          <w:p w14:paraId="2DE485C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083192D"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E0D850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38.- Identificación y autenticación del elector.</w:t>
            </w:r>
            <w:r w:rsidRPr="00222F34">
              <w:rPr>
                <w:rFonts w:ascii="Calibri" w:eastAsia="Times New Roman" w:hAnsi="Calibri" w:cs="Calibri"/>
                <w:color w:val="000000"/>
                <w:lang w:val="es-CO" w:eastAsia="es-CO" w:bidi="ar-SA"/>
              </w:rPr>
              <w:t xml:space="preserve"> Los ciudadanos colombianos se identifican con la cédula de ciudadanía o su equivalente funcional, electrónico y/o digital expedida por la Registraduría Nacional del Estado Civil. Los extranjeros residentes en Colombia se identificarán para los mismos efectos con la cédula de extranjería vigente. </w:t>
            </w:r>
          </w:p>
        </w:tc>
        <w:tc>
          <w:tcPr>
            <w:tcW w:w="3798" w:type="dxa"/>
            <w:tcBorders>
              <w:top w:val="nil"/>
              <w:left w:val="nil"/>
              <w:bottom w:val="nil"/>
              <w:right w:val="single" w:sz="4" w:space="0" w:color="000000"/>
            </w:tcBorders>
            <w:shd w:val="clear" w:color="000000" w:fill="FFFFFF"/>
            <w:hideMark/>
          </w:tcPr>
          <w:p w14:paraId="17B4BD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40. Identificación y autenticación del elector</w:t>
            </w:r>
            <w:r w:rsidRPr="00222F34">
              <w:rPr>
                <w:rFonts w:ascii="Calibri" w:eastAsia="Times New Roman" w:hAnsi="Calibri" w:cs="Calibri"/>
                <w:color w:val="000000"/>
                <w:lang w:val="es-CO" w:eastAsia="es-CO" w:bidi="ar-SA"/>
              </w:rPr>
              <w:t>. Para efectos del ejercicio al voto, los ciudadanos colombianos se identifican con la cédula de ciudadanía o su equivalente funcional, electrónico y/o digital expedida por la Registraduría Nacional del Estado Civil. Los extranjeros residentes en Colombia se identificarán para los mismos efectos con la cédula de extranjería vigente.</w:t>
            </w:r>
          </w:p>
        </w:tc>
        <w:tc>
          <w:tcPr>
            <w:tcW w:w="3798" w:type="dxa"/>
            <w:tcBorders>
              <w:top w:val="nil"/>
              <w:left w:val="nil"/>
              <w:bottom w:val="nil"/>
              <w:right w:val="single" w:sz="4" w:space="0" w:color="000000"/>
            </w:tcBorders>
            <w:shd w:val="clear" w:color="000000" w:fill="FFFFFF"/>
            <w:hideMark/>
          </w:tcPr>
          <w:p w14:paraId="0BC46F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40. Identificación y autenticación del elector</w:t>
            </w:r>
            <w:r w:rsidRPr="00222F34">
              <w:rPr>
                <w:rFonts w:ascii="Calibri" w:eastAsia="Times New Roman" w:hAnsi="Calibri" w:cs="Calibri"/>
                <w:color w:val="000000"/>
                <w:lang w:val="es-CO" w:eastAsia="es-CO" w:bidi="ar-SA"/>
              </w:rPr>
              <w:t>. Para efectos del ejercicio al voto, los ciudadanos colombianos se identifican con la cédula de ciudadanía o su equivalente funcional, electrónico y/o digital expedida por la Registraduría Nacional del Estado Civil. Los extranjeros residentes en Colombia se identificarán para los mismos efectos con la cédula de extranjería vigente.</w:t>
            </w:r>
          </w:p>
        </w:tc>
        <w:tc>
          <w:tcPr>
            <w:tcW w:w="1480" w:type="dxa"/>
            <w:tcBorders>
              <w:top w:val="nil"/>
              <w:left w:val="nil"/>
              <w:bottom w:val="nil"/>
              <w:right w:val="single" w:sz="4" w:space="0" w:color="000000"/>
            </w:tcBorders>
            <w:shd w:val="clear" w:color="000000" w:fill="FFFFFF"/>
            <w:hideMark/>
          </w:tcPr>
          <w:p w14:paraId="09FAAB1C" w14:textId="054E8593"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789F30F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069C28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dispondrá para la verificación y/o autenticación del elector, de sistemas biométricos o cualquier otro mecanismo electrónico que considere pertinente e idóneo para tal fin. El Consejo Nacional Electoral, el Ministerio Público y delegados de los Partidos y Movimientos Políticos con personería jurídica auditarán el sistema tecnológico que sea adoptado.  </w:t>
            </w:r>
          </w:p>
        </w:tc>
        <w:tc>
          <w:tcPr>
            <w:tcW w:w="3798" w:type="dxa"/>
            <w:tcBorders>
              <w:top w:val="nil"/>
              <w:left w:val="nil"/>
              <w:bottom w:val="nil"/>
              <w:right w:val="single" w:sz="4" w:space="0" w:color="000000"/>
            </w:tcBorders>
            <w:shd w:val="clear" w:color="000000" w:fill="FFFFFF"/>
            <w:hideMark/>
          </w:tcPr>
          <w:p w14:paraId="2459174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dispondrá para la verificación y/o autenticación del elector, de sistemas biométricos o cualquier otro mecanismo electrónico que considere pertinente e idóneo para tal fin. El Consejo Nacional Electoral, el Ministerio Público y delegados de los Partidos y Movimientos Políticos con personería jurídica auditarán el sistema tecnológico que sea adoptado.</w:t>
            </w:r>
          </w:p>
        </w:tc>
        <w:tc>
          <w:tcPr>
            <w:tcW w:w="3798" w:type="dxa"/>
            <w:tcBorders>
              <w:top w:val="nil"/>
              <w:left w:val="nil"/>
              <w:bottom w:val="nil"/>
              <w:right w:val="single" w:sz="4" w:space="0" w:color="000000"/>
            </w:tcBorders>
            <w:shd w:val="clear" w:color="000000" w:fill="FFFFFF"/>
            <w:hideMark/>
          </w:tcPr>
          <w:p w14:paraId="08DDDA7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dispondrá para la verificación y/o autenticación del elector, de sistemas biométricos o cualquier otro mecanismo electrónico que considere pertinente e idóneo para tal fin. El Consejo Nacional Electoral, el Ministerio Público y delegados de los Partidos y Movimientos Políticos con personería jurídica auditarán el sistema tecnológico que sea adoptado.</w:t>
            </w:r>
          </w:p>
        </w:tc>
        <w:tc>
          <w:tcPr>
            <w:tcW w:w="1480" w:type="dxa"/>
            <w:tcBorders>
              <w:top w:val="nil"/>
              <w:left w:val="nil"/>
              <w:bottom w:val="nil"/>
              <w:right w:val="single" w:sz="4" w:space="0" w:color="000000"/>
            </w:tcBorders>
            <w:shd w:val="clear" w:color="000000" w:fill="FFFFFF"/>
            <w:hideMark/>
          </w:tcPr>
          <w:p w14:paraId="4213473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C5EB588"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0E2556F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ejercer el derecho al voto se deberá presentar la cédula de ciudadanía o su equivalente funcional, ya sea electrónico y/o digital expedida por la Registraduría Nacional del Estado Civil, caso en el cual, se podrá ejercer el derecho al voto siempre y cuando se identifique y autentique al votante por medios biométricos, cuando la persona presente huella desdibujada y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  </w:t>
            </w:r>
          </w:p>
        </w:tc>
        <w:tc>
          <w:tcPr>
            <w:tcW w:w="3798" w:type="dxa"/>
            <w:tcBorders>
              <w:top w:val="nil"/>
              <w:left w:val="nil"/>
              <w:bottom w:val="nil"/>
              <w:right w:val="single" w:sz="4" w:space="0" w:color="000000"/>
            </w:tcBorders>
            <w:shd w:val="clear" w:color="000000" w:fill="FFFFFF"/>
            <w:hideMark/>
          </w:tcPr>
          <w:p w14:paraId="4986B5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ejercer el derecho al voto se deberá presentar la cédula de ciudadanía o su equivalente funcional, ya sea electrónico y/o digital expedida por la Registraduría Nacional del Estado Civil, caso en el cual, se podrá ejercer el derecho al voto siempre y cuando se identifique y autentique al votante por medios biométricos. Cuando la persona presente huella desdibujada u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w:t>
            </w:r>
          </w:p>
        </w:tc>
        <w:tc>
          <w:tcPr>
            <w:tcW w:w="3798" w:type="dxa"/>
            <w:tcBorders>
              <w:top w:val="nil"/>
              <w:left w:val="nil"/>
              <w:bottom w:val="nil"/>
              <w:right w:val="single" w:sz="4" w:space="0" w:color="000000"/>
            </w:tcBorders>
            <w:shd w:val="clear" w:color="000000" w:fill="FFFFFF"/>
            <w:hideMark/>
          </w:tcPr>
          <w:p w14:paraId="4FE6F8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ejercer el derecho al voto se deberá presentar la cédula de ciudadanía o su equivalente funcional, ya sea electrónico y/o digital expedida por la Registraduría Nacional del Estado Civil, caso en el cual, se podrá ejercer el derecho al voto siempre y cuando se identifique y autentique al votante por medios biométricos. Cuando la persona presente huella desdibujada u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w:t>
            </w:r>
          </w:p>
        </w:tc>
        <w:tc>
          <w:tcPr>
            <w:tcW w:w="1480" w:type="dxa"/>
            <w:tcBorders>
              <w:top w:val="nil"/>
              <w:left w:val="nil"/>
              <w:bottom w:val="nil"/>
              <w:right w:val="single" w:sz="4" w:space="0" w:color="000000"/>
            </w:tcBorders>
            <w:shd w:val="clear" w:color="000000" w:fill="FFFFFF"/>
            <w:hideMark/>
          </w:tcPr>
          <w:p w14:paraId="6AD1C42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F094463"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866E01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personas entre catorce (14) y diecisiete (17) años deberán presentar la tarjeta de identidad o su equivalente funcional, ya sea electrónica y/o digital, expedida por la Registraduría Nacional del Estado Civil, para identificarse en todos los actos que se requieran, así como en aquellas instancias de participación que disponga la ley para esta población. </w:t>
            </w:r>
          </w:p>
        </w:tc>
        <w:tc>
          <w:tcPr>
            <w:tcW w:w="3798" w:type="dxa"/>
            <w:tcBorders>
              <w:top w:val="nil"/>
              <w:left w:val="nil"/>
              <w:bottom w:val="nil"/>
              <w:right w:val="single" w:sz="4" w:space="0" w:color="000000"/>
            </w:tcBorders>
            <w:shd w:val="clear" w:color="000000" w:fill="FFFFFF"/>
            <w:hideMark/>
          </w:tcPr>
          <w:p w14:paraId="0DAEFF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Las personas entre catorce (14) y diecisiete (17) años deberán presentar la tarjeta de identidad o su equivalente funcional, ya sea electrónica y/o digital, expedida por la Registraduría Nacional del Estado Civil, para identificarse en todos los actos que se requieran, así como en aquellas instancias de participación que disponga la ley para esta población.</w:t>
            </w:r>
          </w:p>
        </w:tc>
        <w:tc>
          <w:tcPr>
            <w:tcW w:w="3798" w:type="dxa"/>
            <w:tcBorders>
              <w:top w:val="nil"/>
              <w:left w:val="nil"/>
              <w:bottom w:val="nil"/>
              <w:right w:val="single" w:sz="4" w:space="0" w:color="000000"/>
            </w:tcBorders>
            <w:shd w:val="clear" w:color="000000" w:fill="FFFFFF"/>
            <w:hideMark/>
          </w:tcPr>
          <w:p w14:paraId="0D80967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Las personas entre catorce (14) y diecisiete (17) años deberán presentar la tarjeta de identidad o su equivalente funcional, ya sea electrónica y/o digital, expedida por la Registraduría Nacional del Estado Civil, para identificarse en todos los actos que se requieran, así como en aquellas instancias de participación que disponga la ley para esta población.</w:t>
            </w:r>
          </w:p>
        </w:tc>
        <w:tc>
          <w:tcPr>
            <w:tcW w:w="1480" w:type="dxa"/>
            <w:tcBorders>
              <w:top w:val="nil"/>
              <w:left w:val="nil"/>
              <w:bottom w:val="nil"/>
              <w:right w:val="single" w:sz="4" w:space="0" w:color="000000"/>
            </w:tcBorders>
            <w:shd w:val="clear" w:color="000000" w:fill="FFFFFF"/>
            <w:hideMark/>
          </w:tcPr>
          <w:p w14:paraId="191894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20560E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1917A8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Es un requisito para la expedición de la cédula de ciudadanía y la tarjeta de identidad en formato digital haber solicitado por primera vez la expedición del documento de identidad en formato físico. </w:t>
            </w:r>
          </w:p>
        </w:tc>
        <w:tc>
          <w:tcPr>
            <w:tcW w:w="3798" w:type="dxa"/>
            <w:tcBorders>
              <w:top w:val="nil"/>
              <w:left w:val="nil"/>
              <w:bottom w:val="single" w:sz="4" w:space="0" w:color="000000"/>
              <w:right w:val="single" w:sz="4" w:space="0" w:color="000000"/>
            </w:tcBorders>
            <w:shd w:val="clear" w:color="FFC000" w:fill="FFFFFF"/>
            <w:hideMark/>
          </w:tcPr>
          <w:p w14:paraId="4515A05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FFC000" w:fill="FFFFFF"/>
            <w:hideMark/>
          </w:tcPr>
          <w:p w14:paraId="69B4547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461A17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EDEDC5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3631CA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39.- Requisitos para ejercer el derecho al voto.</w:t>
            </w:r>
            <w:r w:rsidRPr="00222F34">
              <w:rPr>
                <w:rFonts w:ascii="Calibri" w:eastAsia="Times New Roman" w:hAnsi="Calibri" w:cs="Calibri"/>
                <w:color w:val="000000"/>
                <w:lang w:val="es-CO" w:eastAsia="es-CO" w:bidi="ar-SA"/>
              </w:rPr>
              <w:t xml:space="preserve"> Para ejercer el derecho al voto se requiere, presentar el documento de identificación, estar registrado en el respectivo censo electoral, además de no tener suspendidos los derechos políticos. </w:t>
            </w:r>
          </w:p>
        </w:tc>
        <w:tc>
          <w:tcPr>
            <w:tcW w:w="3798" w:type="dxa"/>
            <w:tcBorders>
              <w:top w:val="nil"/>
              <w:left w:val="nil"/>
              <w:bottom w:val="nil"/>
              <w:right w:val="single" w:sz="4" w:space="0" w:color="000000"/>
            </w:tcBorders>
            <w:shd w:val="clear" w:color="000000" w:fill="FFFFFF"/>
            <w:hideMark/>
          </w:tcPr>
          <w:p w14:paraId="1C4E855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41. Requisitos para ejercer el derecho al voto. </w:t>
            </w:r>
            <w:r w:rsidRPr="00222F34">
              <w:rPr>
                <w:rFonts w:ascii="Calibri" w:eastAsia="Times New Roman" w:hAnsi="Calibri" w:cs="Calibri"/>
                <w:color w:val="000000"/>
                <w:lang w:val="es-CO" w:eastAsia="es-CO" w:bidi="ar-SA"/>
              </w:rPr>
              <w:t>Para ejercer el derecho al voto se requiere, presentar el documento de identificación, estar registrado en el respectivo censo electoral, además de no tener suspendidos los derechos políticos.</w:t>
            </w:r>
          </w:p>
        </w:tc>
        <w:tc>
          <w:tcPr>
            <w:tcW w:w="3798" w:type="dxa"/>
            <w:tcBorders>
              <w:top w:val="nil"/>
              <w:left w:val="nil"/>
              <w:bottom w:val="nil"/>
              <w:right w:val="single" w:sz="4" w:space="0" w:color="000000"/>
            </w:tcBorders>
            <w:shd w:val="clear" w:color="000000" w:fill="FFFFFF"/>
            <w:hideMark/>
          </w:tcPr>
          <w:p w14:paraId="0B5E123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41. Requisitos para ejercer el derecho al voto. </w:t>
            </w:r>
            <w:r w:rsidRPr="00222F34">
              <w:rPr>
                <w:rFonts w:ascii="Calibri" w:eastAsia="Times New Roman" w:hAnsi="Calibri" w:cs="Calibri"/>
                <w:color w:val="000000"/>
                <w:lang w:val="es-CO" w:eastAsia="es-CO" w:bidi="ar-SA"/>
              </w:rPr>
              <w:t>Para ejercer el derecho al voto se requiere, presentar el documento de identificación, estar registrado en el respectivo censo electoral, además de no tener suspendidos los derechos políticos.</w:t>
            </w:r>
          </w:p>
        </w:tc>
        <w:tc>
          <w:tcPr>
            <w:tcW w:w="1480" w:type="dxa"/>
            <w:tcBorders>
              <w:top w:val="nil"/>
              <w:left w:val="nil"/>
              <w:bottom w:val="nil"/>
              <w:right w:val="single" w:sz="4" w:space="0" w:color="000000"/>
            </w:tcBorders>
            <w:shd w:val="clear" w:color="000000" w:fill="FFFFFF"/>
            <w:hideMark/>
          </w:tcPr>
          <w:p w14:paraId="32ED2630" w14:textId="5477471C"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56E0D6D8"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56B8252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personas podrán ejercer el derecho al voto en el puesto de votación asignado conforme al registro realizado como domicilio electoral. </w:t>
            </w:r>
          </w:p>
        </w:tc>
        <w:tc>
          <w:tcPr>
            <w:tcW w:w="3798" w:type="dxa"/>
            <w:tcBorders>
              <w:top w:val="nil"/>
              <w:left w:val="nil"/>
              <w:bottom w:val="single" w:sz="4" w:space="0" w:color="000000"/>
              <w:right w:val="single" w:sz="4" w:space="0" w:color="000000"/>
            </w:tcBorders>
            <w:shd w:val="clear" w:color="000000" w:fill="FFFFFF"/>
            <w:hideMark/>
          </w:tcPr>
          <w:p w14:paraId="7176862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podrán ejercer el derecho al voto en el puesto de votación asignado conforme al registro realizado como domicilio electoral.</w:t>
            </w:r>
          </w:p>
        </w:tc>
        <w:tc>
          <w:tcPr>
            <w:tcW w:w="3798" w:type="dxa"/>
            <w:tcBorders>
              <w:top w:val="nil"/>
              <w:left w:val="nil"/>
              <w:bottom w:val="single" w:sz="4" w:space="0" w:color="000000"/>
              <w:right w:val="single" w:sz="4" w:space="0" w:color="000000"/>
            </w:tcBorders>
            <w:shd w:val="clear" w:color="000000" w:fill="FFFFFF"/>
            <w:hideMark/>
          </w:tcPr>
          <w:p w14:paraId="6B04CA4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podrán ejercer el derecho al voto en el puesto de votación asignado conforme al registro realizado como domicilio electoral.</w:t>
            </w:r>
          </w:p>
        </w:tc>
        <w:tc>
          <w:tcPr>
            <w:tcW w:w="1480" w:type="dxa"/>
            <w:tcBorders>
              <w:top w:val="nil"/>
              <w:left w:val="nil"/>
              <w:bottom w:val="single" w:sz="4" w:space="0" w:color="000000"/>
              <w:right w:val="single" w:sz="4" w:space="0" w:color="000000"/>
            </w:tcBorders>
            <w:shd w:val="clear" w:color="000000" w:fill="FFFFFF"/>
            <w:hideMark/>
          </w:tcPr>
          <w:p w14:paraId="31D1C0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C25124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A9F004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40.- Voto en establecimiento de reclusión.</w:t>
            </w:r>
            <w:r w:rsidRPr="00222F34">
              <w:rPr>
                <w:rFonts w:ascii="Calibri" w:eastAsia="Times New Roman" w:hAnsi="Calibri" w:cs="Calibri"/>
                <w:color w:val="000000"/>
                <w:lang w:val="es-CO" w:eastAsia="es-CO" w:bidi="ar-SA"/>
              </w:rPr>
              <w:t xml:space="preserve"> Las personas que se encuentren bajo medida de aseguramiento privativa de la libertad, en cualquier establecimiento de reclusión, que no tengan inhabilitación en sus derechos políticos, podrán ejercer el voto. </w:t>
            </w:r>
          </w:p>
        </w:tc>
        <w:tc>
          <w:tcPr>
            <w:tcW w:w="3798" w:type="dxa"/>
            <w:tcBorders>
              <w:top w:val="nil"/>
              <w:left w:val="nil"/>
              <w:bottom w:val="nil"/>
              <w:right w:val="single" w:sz="4" w:space="0" w:color="000000"/>
            </w:tcBorders>
            <w:shd w:val="clear" w:color="000000" w:fill="FFFFFF"/>
            <w:hideMark/>
          </w:tcPr>
          <w:p w14:paraId="10DA55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42. Voto en establecimiento de reclusión. </w:t>
            </w:r>
            <w:r w:rsidRPr="00222F34">
              <w:rPr>
                <w:rFonts w:ascii="Calibri" w:eastAsia="Times New Roman" w:hAnsi="Calibri" w:cs="Calibri"/>
                <w:color w:val="000000"/>
                <w:lang w:val="es-CO" w:eastAsia="es-CO" w:bidi="ar-SA"/>
              </w:rPr>
              <w:t>Las personas que se encuentren bajo medida de aseguramiento privativa de la libertad, en cualquier establecimiento de reclusión, que no tengan inhabilitación en sus derechos políticos, podrán ejercer el voto.</w:t>
            </w:r>
          </w:p>
        </w:tc>
        <w:tc>
          <w:tcPr>
            <w:tcW w:w="3798" w:type="dxa"/>
            <w:tcBorders>
              <w:top w:val="nil"/>
              <w:left w:val="nil"/>
              <w:bottom w:val="nil"/>
              <w:right w:val="single" w:sz="4" w:space="0" w:color="000000"/>
            </w:tcBorders>
            <w:shd w:val="clear" w:color="000000" w:fill="FFFFFF"/>
            <w:hideMark/>
          </w:tcPr>
          <w:p w14:paraId="230247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42. Voto en establecimiento de reclusión. </w:t>
            </w:r>
            <w:r w:rsidRPr="00222F34">
              <w:rPr>
                <w:rFonts w:ascii="Calibri" w:eastAsia="Times New Roman" w:hAnsi="Calibri" w:cs="Calibri"/>
                <w:color w:val="000000"/>
                <w:lang w:val="es-CO" w:eastAsia="es-CO" w:bidi="ar-SA"/>
              </w:rPr>
              <w:t>Las personas que se encuentren bajo medida de aseguramiento privativa de la libertad, en cualquier establecimiento de reclusión, que no tengan inhabilitación en sus derechos políticos, podrán ejercer el voto.</w:t>
            </w:r>
          </w:p>
        </w:tc>
        <w:tc>
          <w:tcPr>
            <w:tcW w:w="1480" w:type="dxa"/>
            <w:tcBorders>
              <w:top w:val="nil"/>
              <w:left w:val="nil"/>
              <w:bottom w:val="nil"/>
              <w:right w:val="single" w:sz="4" w:space="0" w:color="000000"/>
            </w:tcBorders>
            <w:shd w:val="clear" w:color="000000" w:fill="FFFFFF"/>
            <w:hideMark/>
          </w:tcPr>
          <w:p w14:paraId="29786E1D" w14:textId="556579BD"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48D1BC7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53AC2B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derecho al voto se ejercerá teniendo en cuenta las normas en materia penal dispuestas para las personas con medida de aseguramiento. </w:t>
            </w:r>
          </w:p>
        </w:tc>
        <w:tc>
          <w:tcPr>
            <w:tcW w:w="3798" w:type="dxa"/>
            <w:tcBorders>
              <w:top w:val="nil"/>
              <w:left w:val="nil"/>
              <w:bottom w:val="nil"/>
              <w:right w:val="single" w:sz="4" w:space="0" w:color="000000"/>
            </w:tcBorders>
            <w:shd w:val="clear" w:color="000000" w:fill="FFFFFF"/>
            <w:hideMark/>
          </w:tcPr>
          <w:p w14:paraId="3A4C1A8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derecho al voto se ejercerá teniendo en cuenta las normas en materia penal dispuestas para las personas con medida de aseguramiento.</w:t>
            </w:r>
          </w:p>
        </w:tc>
        <w:tc>
          <w:tcPr>
            <w:tcW w:w="3798" w:type="dxa"/>
            <w:tcBorders>
              <w:top w:val="nil"/>
              <w:left w:val="nil"/>
              <w:bottom w:val="nil"/>
              <w:right w:val="single" w:sz="4" w:space="0" w:color="000000"/>
            </w:tcBorders>
            <w:shd w:val="clear" w:color="000000" w:fill="FFFFFF"/>
            <w:hideMark/>
          </w:tcPr>
          <w:p w14:paraId="14A199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derecho al voto se ejercerá teniendo en cuenta las normas en materia penal dispuestas para las personas con medida de aseguramiento.</w:t>
            </w:r>
          </w:p>
        </w:tc>
        <w:tc>
          <w:tcPr>
            <w:tcW w:w="1480" w:type="dxa"/>
            <w:tcBorders>
              <w:top w:val="nil"/>
              <w:left w:val="nil"/>
              <w:bottom w:val="nil"/>
              <w:right w:val="single" w:sz="4" w:space="0" w:color="000000"/>
            </w:tcBorders>
            <w:shd w:val="clear" w:color="000000" w:fill="FFFFFF"/>
            <w:hideMark/>
          </w:tcPr>
          <w:p w14:paraId="1690B73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A08696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31388C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todo caso, los centros penitenciarios garantizarán el acceso al voto informado de los internos, con el acompañamiento de la Defensoría del Pueblo. Se prohíbe cualquier actividad de proselitismo político al interior de los establecimientos de reclusión. </w:t>
            </w:r>
          </w:p>
        </w:tc>
        <w:tc>
          <w:tcPr>
            <w:tcW w:w="3798" w:type="dxa"/>
            <w:tcBorders>
              <w:top w:val="nil"/>
              <w:left w:val="nil"/>
              <w:bottom w:val="single" w:sz="4" w:space="0" w:color="000000"/>
              <w:right w:val="single" w:sz="4" w:space="0" w:color="000000"/>
            </w:tcBorders>
            <w:shd w:val="clear" w:color="000000" w:fill="FFFFFF"/>
            <w:hideMark/>
          </w:tcPr>
          <w:p w14:paraId="6161D8F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los centros penitenciarios garantizarán el acceso al voto informado de los internos, con el acompañamiento de la Defensoría del Pueblo. Se prohíbe cualquier actividad de proselitismo político al interior de los establecimientos de reclusión.</w:t>
            </w:r>
          </w:p>
        </w:tc>
        <w:tc>
          <w:tcPr>
            <w:tcW w:w="3798" w:type="dxa"/>
            <w:tcBorders>
              <w:top w:val="nil"/>
              <w:left w:val="nil"/>
              <w:bottom w:val="single" w:sz="4" w:space="0" w:color="000000"/>
              <w:right w:val="single" w:sz="4" w:space="0" w:color="000000"/>
            </w:tcBorders>
            <w:shd w:val="clear" w:color="000000" w:fill="FFFFFF"/>
            <w:hideMark/>
          </w:tcPr>
          <w:p w14:paraId="01CD5A7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los centros penitenciarios garantizarán el acceso al voto informado de los internos, con el acompañamiento de la Defensoría del Pueblo. Se prohíbe cualquier actividad de proselitismo político al interior de los establecimientos de reclusión.</w:t>
            </w:r>
          </w:p>
        </w:tc>
        <w:tc>
          <w:tcPr>
            <w:tcW w:w="1480" w:type="dxa"/>
            <w:tcBorders>
              <w:top w:val="nil"/>
              <w:left w:val="nil"/>
              <w:bottom w:val="single" w:sz="4" w:space="0" w:color="000000"/>
              <w:right w:val="single" w:sz="4" w:space="0" w:color="000000"/>
            </w:tcBorders>
            <w:shd w:val="clear" w:color="000000" w:fill="FFFFFF"/>
            <w:hideMark/>
          </w:tcPr>
          <w:p w14:paraId="3E136B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853D88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FC06BA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41.- Voto de personas con discapacidad.</w:t>
            </w:r>
            <w:r w:rsidRPr="00222F34">
              <w:rPr>
                <w:rFonts w:ascii="Calibri" w:eastAsia="Times New Roman" w:hAnsi="Calibri" w:cs="Calibri"/>
                <w:color w:val="000000"/>
                <w:lang w:val="es-CO" w:eastAsia="es-CO" w:bidi="ar-SA"/>
              </w:rPr>
              <w:t xml:space="preserve"> 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 </w:t>
            </w:r>
          </w:p>
        </w:tc>
        <w:tc>
          <w:tcPr>
            <w:tcW w:w="3798" w:type="dxa"/>
            <w:tcBorders>
              <w:top w:val="nil"/>
              <w:left w:val="nil"/>
              <w:bottom w:val="nil"/>
              <w:right w:val="single" w:sz="4" w:space="0" w:color="000000"/>
            </w:tcBorders>
            <w:shd w:val="clear" w:color="000000" w:fill="FFFFFF"/>
            <w:hideMark/>
          </w:tcPr>
          <w:p w14:paraId="13EE10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43. Voto de personas con discapacidad</w:t>
            </w:r>
            <w:r w:rsidRPr="00222F34">
              <w:rPr>
                <w:rFonts w:ascii="Calibri" w:eastAsia="Times New Roman" w:hAnsi="Calibri" w:cs="Calibri"/>
                <w:color w:val="000000"/>
                <w:lang w:val="es-CO" w:eastAsia="es-CO" w:bidi="ar-SA"/>
              </w:rPr>
              <w:t>. 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w:t>
            </w:r>
          </w:p>
        </w:tc>
        <w:tc>
          <w:tcPr>
            <w:tcW w:w="3798" w:type="dxa"/>
            <w:tcBorders>
              <w:top w:val="nil"/>
              <w:left w:val="nil"/>
              <w:bottom w:val="nil"/>
              <w:right w:val="single" w:sz="4" w:space="0" w:color="000000"/>
            </w:tcBorders>
            <w:shd w:val="clear" w:color="000000" w:fill="FFFFFF"/>
            <w:hideMark/>
          </w:tcPr>
          <w:p w14:paraId="2EEF5E9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43.- Voto de personas con discapacidad.</w:t>
            </w:r>
            <w:r w:rsidRPr="00222F34">
              <w:rPr>
                <w:rFonts w:ascii="Calibri" w:eastAsia="Times New Roman" w:hAnsi="Calibri" w:cs="Calibri"/>
                <w:color w:val="000000"/>
                <w:lang w:val="es-CO" w:eastAsia="es-CO" w:bidi="ar-SA"/>
              </w:rPr>
              <w:t xml:space="preserve"> 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 </w:t>
            </w:r>
          </w:p>
        </w:tc>
        <w:tc>
          <w:tcPr>
            <w:tcW w:w="1480" w:type="dxa"/>
            <w:tcBorders>
              <w:top w:val="nil"/>
              <w:left w:val="nil"/>
              <w:bottom w:val="nil"/>
              <w:right w:val="single" w:sz="4" w:space="0" w:color="000000"/>
            </w:tcBorders>
            <w:shd w:val="clear" w:color="000000" w:fill="FFFFFF"/>
            <w:hideMark/>
          </w:tcPr>
          <w:p w14:paraId="300CDBAA" w14:textId="55F3E245"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r w:rsidR="00222F34" w:rsidRPr="00222F34">
              <w:rPr>
                <w:rFonts w:ascii="Calibri" w:eastAsia="Times New Roman" w:hAnsi="Calibri" w:cs="Calibri"/>
                <w:color w:val="000000"/>
                <w:lang w:val="es-CO" w:eastAsia="es-CO" w:bidi="ar-SA"/>
              </w:rPr>
              <w:t xml:space="preserve"> </w:t>
            </w:r>
          </w:p>
        </w:tc>
      </w:tr>
      <w:tr w:rsidR="00222F34" w:rsidRPr="00222F34" w14:paraId="54E41343"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43A7AA9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 </w:t>
            </w:r>
          </w:p>
        </w:tc>
        <w:tc>
          <w:tcPr>
            <w:tcW w:w="3798" w:type="dxa"/>
            <w:tcBorders>
              <w:top w:val="nil"/>
              <w:left w:val="nil"/>
              <w:bottom w:val="nil"/>
              <w:right w:val="single" w:sz="4" w:space="0" w:color="000000"/>
            </w:tcBorders>
            <w:shd w:val="clear" w:color="000000" w:fill="FFFFFF"/>
            <w:hideMark/>
          </w:tcPr>
          <w:p w14:paraId="1247FEA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autoridades electorales deberán realizar los ajustes razonables y medidas afirmativas que permitan a partir del diseño universal para garantizar la accesibilidad al derecho al voto de las personas con discapacidad en condiciones de igualdad. Por ajustes razonables se entenderán las modificaciones y adaptaciones necesarias y adecuadas que no impongan una carga desproporcionada o indebida, cuando se requieran en un caso particular. Por diseño universal se </w:t>
            </w:r>
            <w:r w:rsidRPr="00222F34">
              <w:rPr>
                <w:rFonts w:ascii="Calibri" w:eastAsia="Times New Roman" w:hAnsi="Calibri" w:cs="Calibri"/>
                <w:color w:val="000000"/>
                <w:lang w:val="es-CO" w:eastAsia="es-CO" w:bidi="ar-SA"/>
              </w:rPr>
              <w:lastRenderedPageBreak/>
              <w:t>entenderá el diseño de productos, entornos, programas o servicios que puedan utilizar todas las personas, en la mayor medida posible, sin necesidad de adaptación ni diseño especializado.</w:t>
            </w:r>
          </w:p>
        </w:tc>
        <w:tc>
          <w:tcPr>
            <w:tcW w:w="3798" w:type="dxa"/>
            <w:tcBorders>
              <w:top w:val="nil"/>
              <w:left w:val="nil"/>
              <w:bottom w:val="nil"/>
              <w:right w:val="single" w:sz="4" w:space="0" w:color="000000"/>
            </w:tcBorders>
            <w:shd w:val="clear" w:color="000000" w:fill="FFFFFF"/>
            <w:hideMark/>
          </w:tcPr>
          <w:p w14:paraId="6F0135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 </w:t>
            </w:r>
          </w:p>
        </w:tc>
        <w:tc>
          <w:tcPr>
            <w:tcW w:w="1480" w:type="dxa"/>
            <w:tcBorders>
              <w:top w:val="nil"/>
              <w:left w:val="nil"/>
              <w:bottom w:val="nil"/>
              <w:right w:val="single" w:sz="4" w:space="0" w:color="000000"/>
            </w:tcBorders>
            <w:shd w:val="clear" w:color="000000" w:fill="FFFFFF"/>
            <w:hideMark/>
          </w:tcPr>
          <w:p w14:paraId="1C6B212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48022C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CC3C45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Para efectos de lo dispuesto en este artículo, la Registraduría Nacional del Estado Civil implementará en los puestos de votación mesas especiales de fácil acceso para las personas con discapacidad. </w:t>
            </w:r>
          </w:p>
        </w:tc>
        <w:tc>
          <w:tcPr>
            <w:tcW w:w="3798" w:type="dxa"/>
            <w:tcBorders>
              <w:top w:val="nil"/>
              <w:left w:val="nil"/>
              <w:bottom w:val="nil"/>
              <w:right w:val="single" w:sz="4" w:space="0" w:color="000000"/>
            </w:tcBorders>
            <w:shd w:val="clear" w:color="000000" w:fill="FFFFFF"/>
            <w:hideMark/>
          </w:tcPr>
          <w:p w14:paraId="0D50E12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Para efectos de lo dispuesto en este artículo, la Registraduría Nacional del Estado Civil implementará puestos de votación atendiendo el criterio de diseño universal que permita el fácil acceso para las personas con discapacidad.</w:t>
            </w:r>
          </w:p>
        </w:tc>
        <w:tc>
          <w:tcPr>
            <w:tcW w:w="3798" w:type="dxa"/>
            <w:tcBorders>
              <w:top w:val="nil"/>
              <w:left w:val="nil"/>
              <w:bottom w:val="nil"/>
              <w:right w:val="single" w:sz="4" w:space="0" w:color="000000"/>
            </w:tcBorders>
            <w:shd w:val="clear" w:color="000000" w:fill="FFFFFF"/>
            <w:hideMark/>
          </w:tcPr>
          <w:p w14:paraId="72DA65F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Para efectos de lo dispuesto en este artículo, la Registraduría Nacional del Estado Civil implementará en los puestos de votación mesas especiales de fácil acceso para las personas con discapacidad. </w:t>
            </w:r>
          </w:p>
        </w:tc>
        <w:tc>
          <w:tcPr>
            <w:tcW w:w="1480" w:type="dxa"/>
            <w:tcBorders>
              <w:top w:val="nil"/>
              <w:left w:val="nil"/>
              <w:bottom w:val="nil"/>
              <w:right w:val="single" w:sz="4" w:space="0" w:color="000000"/>
            </w:tcBorders>
            <w:shd w:val="clear" w:color="000000" w:fill="FFFFFF"/>
            <w:hideMark/>
          </w:tcPr>
          <w:p w14:paraId="3F85A1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F1A6DC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2C1EDF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La Registraduría Nacional del Estado Civil, en coordinación con las alcaldías y las gobernaciones, prestará en los puestos de votación el servicio de intérprete y guía intérprete para las personas sordas y sordociegas.</w:t>
            </w:r>
          </w:p>
        </w:tc>
        <w:tc>
          <w:tcPr>
            <w:tcW w:w="3798" w:type="dxa"/>
            <w:tcBorders>
              <w:top w:val="nil"/>
              <w:left w:val="nil"/>
              <w:bottom w:val="single" w:sz="4" w:space="0" w:color="000000"/>
              <w:right w:val="single" w:sz="4" w:space="0" w:color="000000"/>
            </w:tcBorders>
            <w:shd w:val="clear" w:color="000000" w:fill="FFFFFF"/>
            <w:hideMark/>
          </w:tcPr>
          <w:p w14:paraId="24D35B9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en coordinación con las alcaldías y las gobernaciones, prestará en los puestos de votación el servicio de intérprete y guía intérprete para las personas sordas y sordociegas.</w:t>
            </w:r>
          </w:p>
        </w:tc>
        <w:tc>
          <w:tcPr>
            <w:tcW w:w="3798" w:type="dxa"/>
            <w:tcBorders>
              <w:top w:val="nil"/>
              <w:left w:val="nil"/>
              <w:bottom w:val="single" w:sz="4" w:space="0" w:color="000000"/>
              <w:right w:val="single" w:sz="4" w:space="0" w:color="000000"/>
            </w:tcBorders>
            <w:shd w:val="clear" w:color="000000" w:fill="FFFFFF"/>
            <w:hideMark/>
          </w:tcPr>
          <w:p w14:paraId="5B6CE26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La Registraduría Nacional del Estado Civil, en coordinación con las alcaldías y las gobernaciones, prestará en los puestos de votación el servicio de intérprete y guía intérprete para las personas sordas y sordociegas.</w:t>
            </w:r>
          </w:p>
        </w:tc>
        <w:tc>
          <w:tcPr>
            <w:tcW w:w="1480" w:type="dxa"/>
            <w:tcBorders>
              <w:top w:val="nil"/>
              <w:left w:val="nil"/>
              <w:bottom w:val="single" w:sz="4" w:space="0" w:color="000000"/>
              <w:right w:val="single" w:sz="4" w:space="0" w:color="000000"/>
            </w:tcBorders>
            <w:shd w:val="clear" w:color="000000" w:fill="FFFFFF"/>
            <w:hideMark/>
          </w:tcPr>
          <w:p w14:paraId="7B3584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6AF0DB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3F2674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42.- Estímulos a los electores.</w:t>
            </w:r>
            <w:r w:rsidRPr="00222F34">
              <w:rPr>
                <w:rFonts w:ascii="Calibri" w:eastAsia="Times New Roman" w:hAnsi="Calibri" w:cs="Calibri"/>
                <w:color w:val="000000"/>
                <w:lang w:val="es-CO" w:eastAsia="es-CO" w:bidi="ar-SA"/>
              </w:rPr>
              <w:t xml:space="preserve"> Las personas que ejerzan el derecho al voto en elecciones de cargos y corporaciones de elección popular gozarán, a partir del día siguiente a la fecha de la votación, de los siguientes beneficios: </w:t>
            </w:r>
          </w:p>
        </w:tc>
        <w:tc>
          <w:tcPr>
            <w:tcW w:w="3798" w:type="dxa"/>
            <w:tcBorders>
              <w:top w:val="nil"/>
              <w:left w:val="nil"/>
              <w:bottom w:val="nil"/>
              <w:right w:val="single" w:sz="4" w:space="0" w:color="000000"/>
            </w:tcBorders>
            <w:shd w:val="clear" w:color="000000" w:fill="FFFFFF"/>
            <w:hideMark/>
          </w:tcPr>
          <w:p w14:paraId="4571C00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44. Estímulos a los electores. </w:t>
            </w:r>
            <w:r w:rsidRPr="00222F34">
              <w:rPr>
                <w:rFonts w:ascii="Calibri" w:eastAsia="Times New Roman" w:hAnsi="Calibri" w:cs="Calibri"/>
                <w:color w:val="000000"/>
                <w:lang w:val="es-CO" w:eastAsia="es-CO" w:bidi="ar-SA"/>
              </w:rPr>
              <w:t>Las personas que ejerzan el derecho al voto en elecciones de cargos y corporaciones de elección popular gozarán, a partir del día siguiente a la fecha de la votación, de los siguientes beneficios:</w:t>
            </w:r>
          </w:p>
        </w:tc>
        <w:tc>
          <w:tcPr>
            <w:tcW w:w="3798" w:type="dxa"/>
            <w:tcBorders>
              <w:top w:val="nil"/>
              <w:left w:val="nil"/>
              <w:bottom w:val="nil"/>
              <w:right w:val="single" w:sz="4" w:space="0" w:color="000000"/>
            </w:tcBorders>
            <w:shd w:val="clear" w:color="000000" w:fill="FFFFFF"/>
            <w:hideMark/>
          </w:tcPr>
          <w:p w14:paraId="37E18CB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44.- Estímulos a los electores.</w:t>
            </w:r>
            <w:r w:rsidRPr="00222F34">
              <w:rPr>
                <w:rFonts w:ascii="Calibri" w:eastAsia="Times New Roman" w:hAnsi="Calibri" w:cs="Calibri"/>
                <w:color w:val="000000"/>
                <w:lang w:val="es-CO" w:eastAsia="es-CO" w:bidi="ar-SA"/>
              </w:rPr>
              <w:t xml:space="preserve"> Las personas que ejerzan el derecho al voto en elecciones de cargos y corporaciones de elección popular gozarán, a partir del día siguiente a la fecha de la votación, de los siguientes beneficios: </w:t>
            </w:r>
          </w:p>
        </w:tc>
        <w:tc>
          <w:tcPr>
            <w:tcW w:w="1480" w:type="dxa"/>
            <w:tcBorders>
              <w:top w:val="nil"/>
              <w:left w:val="nil"/>
              <w:bottom w:val="nil"/>
              <w:right w:val="single" w:sz="4" w:space="0" w:color="000000"/>
            </w:tcBorders>
            <w:shd w:val="clear" w:color="000000" w:fill="FFFFFF"/>
            <w:hideMark/>
          </w:tcPr>
          <w:p w14:paraId="62E001B9" w14:textId="0FC70D47"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77F07F10" w14:textId="77777777" w:rsidTr="00222F34">
        <w:trPr>
          <w:trHeight w:val="1230"/>
        </w:trPr>
        <w:tc>
          <w:tcPr>
            <w:tcW w:w="3798" w:type="dxa"/>
            <w:tcBorders>
              <w:top w:val="nil"/>
              <w:left w:val="single" w:sz="4" w:space="0" w:color="000000"/>
              <w:bottom w:val="nil"/>
              <w:right w:val="single" w:sz="4" w:space="0" w:color="000000"/>
            </w:tcBorders>
            <w:shd w:val="clear" w:color="000000" w:fill="FFFFFF"/>
            <w:hideMark/>
          </w:tcPr>
          <w:p w14:paraId="44AE1AD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 </w:t>
            </w:r>
          </w:p>
        </w:tc>
        <w:tc>
          <w:tcPr>
            <w:tcW w:w="3798" w:type="dxa"/>
            <w:tcBorders>
              <w:top w:val="nil"/>
              <w:left w:val="nil"/>
              <w:bottom w:val="nil"/>
              <w:right w:val="single" w:sz="4" w:space="0" w:color="000000"/>
            </w:tcBorders>
            <w:shd w:val="clear" w:color="000000" w:fill="FFFFFF"/>
            <w:hideMark/>
          </w:tcPr>
          <w:p w14:paraId="6647AE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w:t>
            </w:r>
          </w:p>
        </w:tc>
        <w:tc>
          <w:tcPr>
            <w:tcW w:w="3798" w:type="dxa"/>
            <w:tcBorders>
              <w:top w:val="nil"/>
              <w:left w:val="nil"/>
              <w:bottom w:val="nil"/>
              <w:right w:val="single" w:sz="4" w:space="0" w:color="000000"/>
            </w:tcBorders>
            <w:shd w:val="clear" w:color="000000" w:fill="FFFFFF"/>
            <w:hideMark/>
          </w:tcPr>
          <w:p w14:paraId="67115C2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 </w:t>
            </w:r>
          </w:p>
        </w:tc>
        <w:tc>
          <w:tcPr>
            <w:tcW w:w="1480" w:type="dxa"/>
            <w:tcBorders>
              <w:top w:val="nil"/>
              <w:left w:val="nil"/>
              <w:bottom w:val="nil"/>
              <w:right w:val="single" w:sz="4" w:space="0" w:color="000000"/>
            </w:tcBorders>
            <w:shd w:val="clear" w:color="000000" w:fill="FFFFFF"/>
            <w:hideMark/>
          </w:tcPr>
          <w:p w14:paraId="2008429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A192265"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047769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 </w:t>
            </w:r>
          </w:p>
        </w:tc>
        <w:tc>
          <w:tcPr>
            <w:tcW w:w="3798" w:type="dxa"/>
            <w:tcBorders>
              <w:top w:val="nil"/>
              <w:left w:val="nil"/>
              <w:bottom w:val="nil"/>
              <w:right w:val="single" w:sz="4" w:space="0" w:color="000000"/>
            </w:tcBorders>
            <w:shd w:val="clear" w:color="000000" w:fill="FFFFFF"/>
            <w:hideMark/>
          </w:tcPr>
          <w:p w14:paraId="309D10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w:t>
            </w:r>
          </w:p>
        </w:tc>
        <w:tc>
          <w:tcPr>
            <w:tcW w:w="3798" w:type="dxa"/>
            <w:tcBorders>
              <w:top w:val="nil"/>
              <w:left w:val="nil"/>
              <w:bottom w:val="nil"/>
              <w:right w:val="single" w:sz="4" w:space="0" w:color="000000"/>
            </w:tcBorders>
            <w:shd w:val="clear" w:color="000000" w:fill="FFFFFF"/>
            <w:hideMark/>
          </w:tcPr>
          <w:p w14:paraId="147C33C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 </w:t>
            </w:r>
          </w:p>
        </w:tc>
        <w:tc>
          <w:tcPr>
            <w:tcW w:w="1480" w:type="dxa"/>
            <w:tcBorders>
              <w:top w:val="nil"/>
              <w:left w:val="nil"/>
              <w:bottom w:val="nil"/>
              <w:right w:val="single" w:sz="4" w:space="0" w:color="000000"/>
            </w:tcBorders>
            <w:shd w:val="clear" w:color="000000" w:fill="FFFFFF"/>
            <w:hideMark/>
          </w:tcPr>
          <w:p w14:paraId="7BDB60A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4FAB33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1494A3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Preferencias ante quienes no ejerzan su derecho al voto: </w:t>
            </w:r>
          </w:p>
        </w:tc>
        <w:tc>
          <w:tcPr>
            <w:tcW w:w="3798" w:type="dxa"/>
            <w:tcBorders>
              <w:top w:val="nil"/>
              <w:left w:val="nil"/>
              <w:bottom w:val="nil"/>
              <w:right w:val="single" w:sz="4" w:space="0" w:color="000000"/>
            </w:tcBorders>
            <w:shd w:val="clear" w:color="000000" w:fill="FFFFFF"/>
            <w:hideMark/>
          </w:tcPr>
          <w:p w14:paraId="13B2064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Preferencias ante quienes no ejerzan su derecho al voto:</w:t>
            </w:r>
          </w:p>
        </w:tc>
        <w:tc>
          <w:tcPr>
            <w:tcW w:w="3798" w:type="dxa"/>
            <w:tcBorders>
              <w:top w:val="nil"/>
              <w:left w:val="nil"/>
              <w:bottom w:val="nil"/>
              <w:right w:val="single" w:sz="4" w:space="0" w:color="000000"/>
            </w:tcBorders>
            <w:shd w:val="clear" w:color="000000" w:fill="FFFFFF"/>
            <w:hideMark/>
          </w:tcPr>
          <w:p w14:paraId="2FA80F9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Preferencias ante quienes no ejerzan su derecho al voto: </w:t>
            </w:r>
          </w:p>
        </w:tc>
        <w:tc>
          <w:tcPr>
            <w:tcW w:w="1480" w:type="dxa"/>
            <w:tcBorders>
              <w:top w:val="nil"/>
              <w:left w:val="nil"/>
              <w:bottom w:val="nil"/>
              <w:right w:val="single" w:sz="4" w:space="0" w:color="000000"/>
            </w:tcBorders>
            <w:shd w:val="clear" w:color="000000" w:fill="FFFFFF"/>
            <w:hideMark/>
          </w:tcPr>
          <w:p w14:paraId="5D6ACB0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912033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0BA14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En caso de igualdad de puntaje en los exámenes de admisión para las instituciones públicas de educación superior.</w:t>
            </w:r>
          </w:p>
        </w:tc>
        <w:tc>
          <w:tcPr>
            <w:tcW w:w="3798" w:type="dxa"/>
            <w:tcBorders>
              <w:top w:val="nil"/>
              <w:left w:val="nil"/>
              <w:bottom w:val="nil"/>
              <w:right w:val="single" w:sz="4" w:space="0" w:color="000000"/>
            </w:tcBorders>
            <w:shd w:val="clear" w:color="000000" w:fill="FFFFFF"/>
            <w:hideMark/>
          </w:tcPr>
          <w:p w14:paraId="7DA7E23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En caso de igualdad de puntaje en los exámenes de admisión para las instituciones públicas de educación superior.</w:t>
            </w:r>
          </w:p>
        </w:tc>
        <w:tc>
          <w:tcPr>
            <w:tcW w:w="3798" w:type="dxa"/>
            <w:tcBorders>
              <w:top w:val="nil"/>
              <w:left w:val="nil"/>
              <w:bottom w:val="nil"/>
              <w:right w:val="single" w:sz="4" w:space="0" w:color="000000"/>
            </w:tcBorders>
            <w:shd w:val="clear" w:color="000000" w:fill="FFFFFF"/>
            <w:hideMark/>
          </w:tcPr>
          <w:p w14:paraId="2C9D77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En caso de igualdad de puntaje en los exámenes de admisión para las instituciones públicas de educación superior.</w:t>
            </w:r>
          </w:p>
        </w:tc>
        <w:tc>
          <w:tcPr>
            <w:tcW w:w="1480" w:type="dxa"/>
            <w:tcBorders>
              <w:top w:val="nil"/>
              <w:left w:val="nil"/>
              <w:bottom w:val="nil"/>
              <w:right w:val="single" w:sz="4" w:space="0" w:color="000000"/>
            </w:tcBorders>
            <w:shd w:val="clear" w:color="000000" w:fill="FFFFFF"/>
            <w:hideMark/>
          </w:tcPr>
          <w:p w14:paraId="2FF1C4A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4CADDB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3118EC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En caso de igualdad de puntaje en la lista de elegibles para un empleo público de carrera.</w:t>
            </w:r>
          </w:p>
        </w:tc>
        <w:tc>
          <w:tcPr>
            <w:tcW w:w="3798" w:type="dxa"/>
            <w:tcBorders>
              <w:top w:val="nil"/>
              <w:left w:val="nil"/>
              <w:bottom w:val="nil"/>
              <w:right w:val="single" w:sz="4" w:space="0" w:color="000000"/>
            </w:tcBorders>
            <w:shd w:val="clear" w:color="000000" w:fill="FFFFFF"/>
            <w:hideMark/>
          </w:tcPr>
          <w:p w14:paraId="039F143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En caso de igualdad de puntaje en la lista de elegibles para un empleo público de carrera.</w:t>
            </w:r>
          </w:p>
        </w:tc>
        <w:tc>
          <w:tcPr>
            <w:tcW w:w="3798" w:type="dxa"/>
            <w:tcBorders>
              <w:top w:val="nil"/>
              <w:left w:val="nil"/>
              <w:bottom w:val="nil"/>
              <w:right w:val="single" w:sz="4" w:space="0" w:color="000000"/>
            </w:tcBorders>
            <w:shd w:val="clear" w:color="000000" w:fill="FFFFFF"/>
            <w:hideMark/>
          </w:tcPr>
          <w:p w14:paraId="08D6D37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En caso de igualdad de puntaje en la lista de elegibles para un empleo público de carrera.</w:t>
            </w:r>
          </w:p>
        </w:tc>
        <w:tc>
          <w:tcPr>
            <w:tcW w:w="1480" w:type="dxa"/>
            <w:tcBorders>
              <w:top w:val="nil"/>
              <w:left w:val="nil"/>
              <w:bottom w:val="nil"/>
              <w:right w:val="single" w:sz="4" w:space="0" w:color="000000"/>
            </w:tcBorders>
            <w:shd w:val="clear" w:color="000000" w:fill="FFFFFF"/>
            <w:hideMark/>
          </w:tcPr>
          <w:p w14:paraId="347AC4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084E35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5A9E5A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c) En la adjudicación de becas educativas, de predios rurales y de subsidios de vivienda que ofrezca el Estado; en caso de igualdad de condiciones estrictamente establecidas en concurso abierto.</w:t>
            </w:r>
          </w:p>
        </w:tc>
        <w:tc>
          <w:tcPr>
            <w:tcW w:w="3798" w:type="dxa"/>
            <w:tcBorders>
              <w:top w:val="nil"/>
              <w:left w:val="nil"/>
              <w:bottom w:val="nil"/>
              <w:right w:val="single" w:sz="4" w:space="0" w:color="000000"/>
            </w:tcBorders>
            <w:shd w:val="clear" w:color="000000" w:fill="FFFFFF"/>
            <w:hideMark/>
          </w:tcPr>
          <w:p w14:paraId="71DC9F9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En la adjudicación de becas educativas, de predios rurales y de subsidios de vivienda que ofrezca el Estado; en caso de igualdad de condiciones estrictamente establecidas en concurso abierto.</w:t>
            </w:r>
          </w:p>
        </w:tc>
        <w:tc>
          <w:tcPr>
            <w:tcW w:w="3798" w:type="dxa"/>
            <w:tcBorders>
              <w:top w:val="nil"/>
              <w:left w:val="nil"/>
              <w:bottom w:val="nil"/>
              <w:right w:val="single" w:sz="4" w:space="0" w:color="000000"/>
            </w:tcBorders>
            <w:shd w:val="clear" w:color="000000" w:fill="FFFFFF"/>
            <w:hideMark/>
          </w:tcPr>
          <w:p w14:paraId="37E284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En la adjudicación de becas educativas, de predios rurales y de subsidios de vivienda que ofrezca el Estado; en caso de igualdad de condiciones estrictamente establecidas en concurso abierto.</w:t>
            </w:r>
          </w:p>
        </w:tc>
        <w:tc>
          <w:tcPr>
            <w:tcW w:w="1480" w:type="dxa"/>
            <w:tcBorders>
              <w:top w:val="nil"/>
              <w:left w:val="nil"/>
              <w:bottom w:val="nil"/>
              <w:right w:val="single" w:sz="4" w:space="0" w:color="000000"/>
            </w:tcBorders>
            <w:shd w:val="clear" w:color="000000" w:fill="FFFFFF"/>
            <w:hideMark/>
          </w:tcPr>
          <w:p w14:paraId="080986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5E5386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511CF3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Descuentos del 10%: </w:t>
            </w:r>
          </w:p>
        </w:tc>
        <w:tc>
          <w:tcPr>
            <w:tcW w:w="3798" w:type="dxa"/>
            <w:tcBorders>
              <w:top w:val="nil"/>
              <w:left w:val="nil"/>
              <w:bottom w:val="nil"/>
              <w:right w:val="single" w:sz="4" w:space="0" w:color="000000"/>
            </w:tcBorders>
            <w:shd w:val="clear" w:color="000000" w:fill="FFFFFF"/>
            <w:hideMark/>
          </w:tcPr>
          <w:p w14:paraId="0747C97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Descuentos del 10%:</w:t>
            </w:r>
          </w:p>
        </w:tc>
        <w:tc>
          <w:tcPr>
            <w:tcW w:w="3798" w:type="dxa"/>
            <w:tcBorders>
              <w:top w:val="nil"/>
              <w:left w:val="nil"/>
              <w:bottom w:val="nil"/>
              <w:right w:val="single" w:sz="4" w:space="0" w:color="000000"/>
            </w:tcBorders>
            <w:shd w:val="clear" w:color="000000" w:fill="FFFFFF"/>
            <w:hideMark/>
          </w:tcPr>
          <w:p w14:paraId="6808116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Descuentos del 10%: </w:t>
            </w:r>
          </w:p>
        </w:tc>
        <w:tc>
          <w:tcPr>
            <w:tcW w:w="1480" w:type="dxa"/>
            <w:tcBorders>
              <w:top w:val="nil"/>
              <w:left w:val="nil"/>
              <w:bottom w:val="nil"/>
              <w:right w:val="single" w:sz="4" w:space="0" w:color="000000"/>
            </w:tcBorders>
            <w:shd w:val="clear" w:color="000000" w:fill="FFFFFF"/>
            <w:hideMark/>
          </w:tcPr>
          <w:p w14:paraId="189060F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0DBC2E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5B0A7B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 </w:t>
            </w:r>
          </w:p>
        </w:tc>
        <w:tc>
          <w:tcPr>
            <w:tcW w:w="3798" w:type="dxa"/>
            <w:tcBorders>
              <w:top w:val="nil"/>
              <w:left w:val="nil"/>
              <w:bottom w:val="nil"/>
              <w:right w:val="single" w:sz="4" w:space="0" w:color="000000"/>
            </w:tcBorders>
            <w:shd w:val="clear" w:color="000000" w:fill="FFFFFF"/>
            <w:hideMark/>
          </w:tcPr>
          <w:p w14:paraId="1520216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w:t>
            </w:r>
          </w:p>
        </w:tc>
        <w:tc>
          <w:tcPr>
            <w:tcW w:w="3798" w:type="dxa"/>
            <w:tcBorders>
              <w:top w:val="nil"/>
              <w:left w:val="nil"/>
              <w:bottom w:val="nil"/>
              <w:right w:val="single" w:sz="4" w:space="0" w:color="000000"/>
            </w:tcBorders>
            <w:shd w:val="clear" w:color="000000" w:fill="FFFFFF"/>
            <w:hideMark/>
          </w:tcPr>
          <w:p w14:paraId="0CAD5BB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 </w:t>
            </w:r>
          </w:p>
        </w:tc>
        <w:tc>
          <w:tcPr>
            <w:tcW w:w="1480" w:type="dxa"/>
            <w:tcBorders>
              <w:top w:val="nil"/>
              <w:left w:val="nil"/>
              <w:bottom w:val="nil"/>
              <w:right w:val="single" w:sz="4" w:space="0" w:color="000000"/>
            </w:tcBorders>
            <w:shd w:val="clear" w:color="000000" w:fill="FFFFFF"/>
            <w:hideMark/>
          </w:tcPr>
          <w:p w14:paraId="71A4F87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7E2E4E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9D190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Sobre el valor de expedición, por una sola vez, del pasaporte, del ciudadano o menor de edad entre catorce (14) y diecisiete (17) años. Este porcentaje se descontará del valor del pasaporte que se destina a la Nación. </w:t>
            </w:r>
          </w:p>
        </w:tc>
        <w:tc>
          <w:tcPr>
            <w:tcW w:w="3798" w:type="dxa"/>
            <w:tcBorders>
              <w:top w:val="nil"/>
              <w:left w:val="nil"/>
              <w:bottom w:val="nil"/>
              <w:right w:val="single" w:sz="4" w:space="0" w:color="000000"/>
            </w:tcBorders>
            <w:shd w:val="clear" w:color="000000" w:fill="FFFFFF"/>
            <w:hideMark/>
          </w:tcPr>
          <w:p w14:paraId="2799DF7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b)Sobre el valor de expedición, por una sola vez, del pasaporte de los ciudadanos y menores de edad entre catorce (14) y diecisiete (17) años habilitados para votar. Este porcentaje se descontará del valor del pasaporte que se destina a la Nación.</w:t>
            </w:r>
          </w:p>
        </w:tc>
        <w:tc>
          <w:tcPr>
            <w:tcW w:w="3798" w:type="dxa"/>
            <w:tcBorders>
              <w:top w:val="nil"/>
              <w:left w:val="nil"/>
              <w:bottom w:val="nil"/>
              <w:right w:val="single" w:sz="4" w:space="0" w:color="000000"/>
            </w:tcBorders>
            <w:shd w:val="clear" w:color="000000" w:fill="FFFFFF"/>
            <w:hideMark/>
          </w:tcPr>
          <w:p w14:paraId="551FD8D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Sobre el valor de expedición, por una sola vez, del pasaporte, del ciudadano o menor de edad entre catorce (14) y diecisiete (17) años. Este porcentaje se descontará del valor del pasaporte que se destina a la Nación. </w:t>
            </w:r>
          </w:p>
        </w:tc>
        <w:tc>
          <w:tcPr>
            <w:tcW w:w="1480" w:type="dxa"/>
            <w:tcBorders>
              <w:top w:val="nil"/>
              <w:left w:val="nil"/>
              <w:bottom w:val="nil"/>
              <w:right w:val="single" w:sz="4" w:space="0" w:color="000000"/>
            </w:tcBorders>
            <w:shd w:val="clear" w:color="000000" w:fill="FFFFFF"/>
            <w:hideMark/>
          </w:tcPr>
          <w:p w14:paraId="41CE71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44BAE5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67343A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Sobre el valor a cancelar por concepto de trámite inicial y expedición de duplicados de la libreta militar. </w:t>
            </w:r>
          </w:p>
        </w:tc>
        <w:tc>
          <w:tcPr>
            <w:tcW w:w="3798" w:type="dxa"/>
            <w:tcBorders>
              <w:top w:val="nil"/>
              <w:left w:val="nil"/>
              <w:bottom w:val="nil"/>
              <w:right w:val="single" w:sz="4" w:space="0" w:color="000000"/>
            </w:tcBorders>
            <w:shd w:val="clear" w:color="000000" w:fill="FFFFFF"/>
            <w:hideMark/>
          </w:tcPr>
          <w:p w14:paraId="4EF68B0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Sobre el valor a cancelar por concepto de trámite inicial y expedición de duplicados de la libreta militar.</w:t>
            </w:r>
          </w:p>
        </w:tc>
        <w:tc>
          <w:tcPr>
            <w:tcW w:w="3798" w:type="dxa"/>
            <w:tcBorders>
              <w:top w:val="nil"/>
              <w:left w:val="nil"/>
              <w:bottom w:val="nil"/>
              <w:right w:val="single" w:sz="4" w:space="0" w:color="000000"/>
            </w:tcBorders>
            <w:shd w:val="clear" w:color="000000" w:fill="FFFFFF"/>
            <w:hideMark/>
          </w:tcPr>
          <w:p w14:paraId="634031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Sobre el valor a cancelar por concepto de trámite inicial y expedición de duplicados de la libreta militar. </w:t>
            </w:r>
          </w:p>
        </w:tc>
        <w:tc>
          <w:tcPr>
            <w:tcW w:w="1480" w:type="dxa"/>
            <w:tcBorders>
              <w:top w:val="nil"/>
              <w:left w:val="nil"/>
              <w:bottom w:val="nil"/>
              <w:right w:val="single" w:sz="4" w:space="0" w:color="000000"/>
            </w:tcBorders>
            <w:shd w:val="clear" w:color="000000" w:fill="FFFFFF"/>
            <w:hideMark/>
          </w:tcPr>
          <w:p w14:paraId="30BBEBA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531FA9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66D4A6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 Sobre el valor del duplicado de la cédula de ciudadanía, o tarjeta de identidad de los jóvenes de catorce (14) a diecisiete (17) años por una sola vez. </w:t>
            </w:r>
          </w:p>
        </w:tc>
        <w:tc>
          <w:tcPr>
            <w:tcW w:w="3798" w:type="dxa"/>
            <w:tcBorders>
              <w:top w:val="nil"/>
              <w:left w:val="nil"/>
              <w:bottom w:val="nil"/>
              <w:right w:val="single" w:sz="4" w:space="0" w:color="000000"/>
            </w:tcBorders>
            <w:shd w:val="clear" w:color="000000" w:fill="FFFFFF"/>
            <w:hideMark/>
          </w:tcPr>
          <w:p w14:paraId="39CC2DB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Sobre el valor del duplicado de la cédula de ciudadanía de los mayores de edad y la tarjeta de identidad de los jóvenes de catorce (14) a diecisiete (17) años por una sola vez.</w:t>
            </w:r>
          </w:p>
        </w:tc>
        <w:tc>
          <w:tcPr>
            <w:tcW w:w="3798" w:type="dxa"/>
            <w:tcBorders>
              <w:top w:val="nil"/>
              <w:left w:val="nil"/>
              <w:bottom w:val="nil"/>
              <w:right w:val="single" w:sz="4" w:space="0" w:color="000000"/>
            </w:tcBorders>
            <w:shd w:val="clear" w:color="000000" w:fill="FFFFFF"/>
            <w:hideMark/>
          </w:tcPr>
          <w:p w14:paraId="6903306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Sobre el valor del duplicado de la cédula de ciudadanía, o tarjeta de identidad de los jóvenes de catorce (14) a diecisiete (17) años por una sola vez. </w:t>
            </w:r>
          </w:p>
        </w:tc>
        <w:tc>
          <w:tcPr>
            <w:tcW w:w="1480" w:type="dxa"/>
            <w:tcBorders>
              <w:top w:val="nil"/>
              <w:left w:val="nil"/>
              <w:bottom w:val="nil"/>
              <w:right w:val="single" w:sz="4" w:space="0" w:color="000000"/>
            </w:tcBorders>
            <w:shd w:val="clear" w:color="000000" w:fill="FFFFFF"/>
            <w:hideMark/>
          </w:tcPr>
          <w:p w14:paraId="3A63E41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7DD4843" w14:textId="77777777" w:rsidTr="00222F34">
        <w:trPr>
          <w:trHeight w:val="2100"/>
        </w:trPr>
        <w:tc>
          <w:tcPr>
            <w:tcW w:w="3798" w:type="dxa"/>
            <w:tcBorders>
              <w:top w:val="nil"/>
              <w:left w:val="single" w:sz="4" w:space="0" w:color="000000"/>
              <w:bottom w:val="nil"/>
              <w:right w:val="single" w:sz="4" w:space="0" w:color="000000"/>
            </w:tcBorders>
            <w:shd w:val="clear" w:color="FFC000" w:fill="FFFFFF"/>
            <w:hideMark/>
          </w:tcPr>
          <w:p w14:paraId="0966F0C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4D2F19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Sobre el valor de los trámites administrativos en las instituciones oficiales de educación superior o establecimientos públicos de carácter universitario,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w:t>
            </w:r>
          </w:p>
        </w:tc>
        <w:tc>
          <w:tcPr>
            <w:tcW w:w="3798" w:type="dxa"/>
            <w:tcBorders>
              <w:top w:val="nil"/>
              <w:left w:val="nil"/>
              <w:bottom w:val="nil"/>
              <w:right w:val="single" w:sz="4" w:space="0" w:color="000000"/>
            </w:tcBorders>
            <w:shd w:val="clear" w:color="FFC000" w:fill="FFFFFF"/>
            <w:hideMark/>
          </w:tcPr>
          <w:p w14:paraId="22DFA6C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1480" w:type="dxa"/>
            <w:tcBorders>
              <w:top w:val="nil"/>
              <w:left w:val="nil"/>
              <w:bottom w:val="nil"/>
              <w:right w:val="single" w:sz="4" w:space="0" w:color="000000"/>
            </w:tcBorders>
            <w:shd w:val="clear" w:color="000000" w:fill="FFFFFF"/>
            <w:hideMark/>
          </w:tcPr>
          <w:p w14:paraId="790E624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FC16C43" w14:textId="77777777" w:rsidTr="00222F34">
        <w:trPr>
          <w:trHeight w:val="645"/>
        </w:trPr>
        <w:tc>
          <w:tcPr>
            <w:tcW w:w="3798" w:type="dxa"/>
            <w:tcBorders>
              <w:top w:val="nil"/>
              <w:left w:val="single" w:sz="4" w:space="0" w:color="000000"/>
              <w:bottom w:val="nil"/>
              <w:right w:val="single" w:sz="4" w:space="0" w:color="000000"/>
            </w:tcBorders>
            <w:shd w:val="clear" w:color="FFC000" w:fill="FFFFFF"/>
            <w:hideMark/>
          </w:tcPr>
          <w:p w14:paraId="3F29FF9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493F281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Sobre el valor de expedición, por una sola vez, de las tarjetas profesionales.</w:t>
            </w:r>
          </w:p>
        </w:tc>
        <w:tc>
          <w:tcPr>
            <w:tcW w:w="3798" w:type="dxa"/>
            <w:tcBorders>
              <w:top w:val="nil"/>
              <w:left w:val="nil"/>
              <w:bottom w:val="nil"/>
              <w:right w:val="single" w:sz="4" w:space="0" w:color="000000"/>
            </w:tcBorders>
            <w:shd w:val="clear" w:color="FFC000" w:fill="FFFFFF"/>
            <w:hideMark/>
          </w:tcPr>
          <w:p w14:paraId="16F2955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1480" w:type="dxa"/>
            <w:tcBorders>
              <w:top w:val="nil"/>
              <w:left w:val="nil"/>
              <w:bottom w:val="nil"/>
              <w:right w:val="single" w:sz="4" w:space="0" w:color="000000"/>
            </w:tcBorders>
            <w:shd w:val="clear" w:color="000000" w:fill="FFFFFF"/>
            <w:hideMark/>
          </w:tcPr>
          <w:p w14:paraId="7358C66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1BE3EA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A631B6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persona privada de la libertad con medida de aseguramiento y que se encuentre habilitada para votar, se le abonará un (1) día de reclusión en caso de que la sentencia que defina su situación sea condenatoria. </w:t>
            </w:r>
          </w:p>
        </w:tc>
        <w:tc>
          <w:tcPr>
            <w:tcW w:w="3798" w:type="dxa"/>
            <w:tcBorders>
              <w:top w:val="nil"/>
              <w:left w:val="nil"/>
              <w:bottom w:val="nil"/>
              <w:right w:val="single" w:sz="4" w:space="0" w:color="000000"/>
            </w:tcBorders>
            <w:shd w:val="clear" w:color="000000" w:fill="FFFFFF"/>
            <w:hideMark/>
          </w:tcPr>
          <w:p w14:paraId="371E5E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persona privada de la libertad con medida de aseguramiento y que se encuentre habilitada para votar, se le abonará un (1) día de reclusión en caso de que la sentencia que defina su situación sea condenatoria.</w:t>
            </w:r>
          </w:p>
        </w:tc>
        <w:tc>
          <w:tcPr>
            <w:tcW w:w="3798" w:type="dxa"/>
            <w:tcBorders>
              <w:top w:val="nil"/>
              <w:left w:val="nil"/>
              <w:bottom w:val="nil"/>
              <w:right w:val="single" w:sz="4" w:space="0" w:color="000000"/>
            </w:tcBorders>
            <w:shd w:val="clear" w:color="000000" w:fill="FFFFFF"/>
            <w:hideMark/>
          </w:tcPr>
          <w:p w14:paraId="23224D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persona privada de la libertad con medida de aseguramiento y que se encuentre habilitada para votar, se le abonará un (1) día de reclusión en caso de que la sentencia que defina su situación sea condenatoria. </w:t>
            </w:r>
          </w:p>
        </w:tc>
        <w:tc>
          <w:tcPr>
            <w:tcW w:w="1480" w:type="dxa"/>
            <w:tcBorders>
              <w:top w:val="nil"/>
              <w:left w:val="nil"/>
              <w:bottom w:val="nil"/>
              <w:right w:val="single" w:sz="4" w:space="0" w:color="000000"/>
            </w:tcBorders>
            <w:shd w:val="clear" w:color="000000" w:fill="FFFFFF"/>
            <w:hideMark/>
          </w:tcPr>
          <w:p w14:paraId="7616BF8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DCAF3F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A75CDA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Ministerio de Hacienda y Crédito Público garantizará las apropiaciones necesarias para la implementación </w:t>
            </w:r>
            <w:r w:rsidRPr="00222F34">
              <w:rPr>
                <w:rFonts w:ascii="Calibri" w:eastAsia="Times New Roman" w:hAnsi="Calibri" w:cs="Calibri"/>
                <w:color w:val="000000"/>
                <w:lang w:val="es-CO" w:eastAsia="es-CO" w:bidi="ar-SA"/>
              </w:rPr>
              <w:lastRenderedPageBreak/>
              <w:t xml:space="preserve">efectiva y permanente de estos descuentos, los cuales serán girados prioritariamente a través de las transferencias corrientes. </w:t>
            </w:r>
          </w:p>
        </w:tc>
        <w:tc>
          <w:tcPr>
            <w:tcW w:w="3798" w:type="dxa"/>
            <w:tcBorders>
              <w:top w:val="nil"/>
              <w:left w:val="nil"/>
              <w:bottom w:val="nil"/>
              <w:right w:val="single" w:sz="4" w:space="0" w:color="000000"/>
            </w:tcBorders>
            <w:shd w:val="clear" w:color="000000" w:fill="FFFFFF"/>
            <w:hideMark/>
          </w:tcPr>
          <w:p w14:paraId="745F62B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Ministerio de Hacienda y Crédito Público garantizará las apropiaciones necesarias para la implementación </w:t>
            </w:r>
            <w:r w:rsidRPr="00222F34">
              <w:rPr>
                <w:rFonts w:ascii="Calibri" w:eastAsia="Times New Roman" w:hAnsi="Calibri" w:cs="Calibri"/>
                <w:color w:val="000000"/>
                <w:lang w:val="es-CO" w:eastAsia="es-CO" w:bidi="ar-SA"/>
              </w:rPr>
              <w:lastRenderedPageBreak/>
              <w:t>efectiva y permanente de estos descuentos, los cuales serán girados prioritariamente a través de las transferencias corrientes.</w:t>
            </w:r>
          </w:p>
        </w:tc>
        <w:tc>
          <w:tcPr>
            <w:tcW w:w="3798" w:type="dxa"/>
            <w:tcBorders>
              <w:top w:val="nil"/>
              <w:left w:val="nil"/>
              <w:bottom w:val="nil"/>
              <w:right w:val="single" w:sz="4" w:space="0" w:color="000000"/>
            </w:tcBorders>
            <w:shd w:val="clear" w:color="000000" w:fill="FFFFFF"/>
            <w:hideMark/>
          </w:tcPr>
          <w:p w14:paraId="0A5B31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Ministerio de Hacienda y Crédito Público garantizará las apropiaciones necesarias para la implementación </w:t>
            </w:r>
            <w:r w:rsidRPr="00222F34">
              <w:rPr>
                <w:rFonts w:ascii="Calibri" w:eastAsia="Times New Roman" w:hAnsi="Calibri" w:cs="Calibri"/>
                <w:color w:val="000000"/>
                <w:lang w:val="es-CO" w:eastAsia="es-CO" w:bidi="ar-SA"/>
              </w:rPr>
              <w:lastRenderedPageBreak/>
              <w:t xml:space="preserve">efectiva y permanente de estos descuentos, los cuales serán girados prioritariamente a través de las transferencias corrientes. </w:t>
            </w:r>
          </w:p>
        </w:tc>
        <w:tc>
          <w:tcPr>
            <w:tcW w:w="1480" w:type="dxa"/>
            <w:tcBorders>
              <w:top w:val="nil"/>
              <w:left w:val="nil"/>
              <w:bottom w:val="nil"/>
              <w:right w:val="single" w:sz="4" w:space="0" w:color="000000"/>
            </w:tcBorders>
            <w:shd w:val="clear" w:color="000000" w:fill="FFFFFF"/>
            <w:hideMark/>
          </w:tcPr>
          <w:p w14:paraId="6799AE9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1D70E87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DFD941C"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Además de los anteriores estímulos, los colombianos residentes en el exterior tendrán los siguientes descuentos, si acreditan haber sufragado en la última votación realizada con anterioridad al inicio de cada una de las siguientes situaciones: </w:t>
            </w:r>
          </w:p>
        </w:tc>
        <w:tc>
          <w:tcPr>
            <w:tcW w:w="3798" w:type="dxa"/>
            <w:tcBorders>
              <w:top w:val="nil"/>
              <w:left w:val="nil"/>
              <w:bottom w:val="nil"/>
              <w:right w:val="single" w:sz="4" w:space="0" w:color="000000"/>
            </w:tcBorders>
            <w:shd w:val="clear" w:color="000000" w:fill="FFFFFF"/>
            <w:hideMark/>
          </w:tcPr>
          <w:p w14:paraId="4427C00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Además de los anteriores estímulos, los colombianos residentes en el exterior tendrán los siguientes descuentos, si acreditan haber sufragado en la última votación realizada con anterioridad al inicio de cada una de las siguientes situaciones:</w:t>
            </w:r>
          </w:p>
        </w:tc>
        <w:tc>
          <w:tcPr>
            <w:tcW w:w="3798" w:type="dxa"/>
            <w:tcBorders>
              <w:top w:val="nil"/>
              <w:left w:val="nil"/>
              <w:bottom w:val="nil"/>
              <w:right w:val="single" w:sz="4" w:space="0" w:color="000000"/>
            </w:tcBorders>
            <w:shd w:val="clear" w:color="000000" w:fill="FFFFFF"/>
            <w:hideMark/>
          </w:tcPr>
          <w:p w14:paraId="43FF904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Además de los anteriores estímulos, los colombianos residentes en el exterior tendrán los siguientes descuentos, si acreditan haber sufragado en la última votación realizada con anterioridad al inicio de cada una de las siguientes situaciones: </w:t>
            </w:r>
          </w:p>
        </w:tc>
        <w:tc>
          <w:tcPr>
            <w:tcW w:w="1480" w:type="dxa"/>
            <w:tcBorders>
              <w:top w:val="nil"/>
              <w:left w:val="nil"/>
              <w:bottom w:val="nil"/>
              <w:right w:val="single" w:sz="4" w:space="0" w:color="000000"/>
            </w:tcBorders>
            <w:shd w:val="clear" w:color="000000" w:fill="FFFFFF"/>
            <w:hideMark/>
          </w:tcPr>
          <w:p w14:paraId="3E4FFB8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B56EB6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F93248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Del diez por ciento (10%) en el valor de cualquier servicio consular, incluido el de la expedición del pasaporte. </w:t>
            </w:r>
          </w:p>
        </w:tc>
        <w:tc>
          <w:tcPr>
            <w:tcW w:w="3798" w:type="dxa"/>
            <w:tcBorders>
              <w:top w:val="nil"/>
              <w:left w:val="nil"/>
              <w:bottom w:val="nil"/>
              <w:right w:val="single" w:sz="4" w:space="0" w:color="000000"/>
            </w:tcBorders>
            <w:shd w:val="clear" w:color="000000" w:fill="FFFFFF"/>
            <w:hideMark/>
          </w:tcPr>
          <w:p w14:paraId="1AEE10B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Del diez por ciento (10%) en el valor de cualquier servicio consular, incluido el de la expedición del pasaporte.</w:t>
            </w:r>
          </w:p>
        </w:tc>
        <w:tc>
          <w:tcPr>
            <w:tcW w:w="3798" w:type="dxa"/>
            <w:tcBorders>
              <w:top w:val="nil"/>
              <w:left w:val="nil"/>
              <w:bottom w:val="nil"/>
              <w:right w:val="single" w:sz="4" w:space="0" w:color="000000"/>
            </w:tcBorders>
            <w:shd w:val="clear" w:color="000000" w:fill="FFFFFF"/>
            <w:hideMark/>
          </w:tcPr>
          <w:p w14:paraId="3A03E7A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Del diez por ciento (10%) en el valor de cualquier servicio consular, incluido el de la expedición del pasaporte. </w:t>
            </w:r>
          </w:p>
        </w:tc>
        <w:tc>
          <w:tcPr>
            <w:tcW w:w="1480" w:type="dxa"/>
            <w:tcBorders>
              <w:top w:val="nil"/>
              <w:left w:val="nil"/>
              <w:bottom w:val="nil"/>
              <w:right w:val="single" w:sz="4" w:space="0" w:color="000000"/>
            </w:tcBorders>
            <w:shd w:val="clear" w:color="000000" w:fill="FFFFFF"/>
            <w:hideMark/>
          </w:tcPr>
          <w:p w14:paraId="42DA4A0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F037D0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0908CE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Del treinta por ciento (30%) en el impuesto de timbre nacional por salida del país en el que reside, a fin de visitar el país del que es ciudadano por un término no mayor de cuarenta y cinco (45) días. </w:t>
            </w:r>
          </w:p>
        </w:tc>
        <w:tc>
          <w:tcPr>
            <w:tcW w:w="3798" w:type="dxa"/>
            <w:tcBorders>
              <w:top w:val="nil"/>
              <w:left w:val="nil"/>
              <w:bottom w:val="nil"/>
              <w:right w:val="single" w:sz="4" w:space="0" w:color="000000"/>
            </w:tcBorders>
            <w:shd w:val="clear" w:color="000000" w:fill="FFFFFF"/>
            <w:hideMark/>
          </w:tcPr>
          <w:p w14:paraId="247966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Del treinta por ciento (30%) en el impuesto de timbre nacional por salida del país en el que reside, a fin de visitar el país del que es ciudadano por un término no mayor de cuarenta y cinco (45) días.</w:t>
            </w:r>
          </w:p>
        </w:tc>
        <w:tc>
          <w:tcPr>
            <w:tcW w:w="3798" w:type="dxa"/>
            <w:tcBorders>
              <w:top w:val="nil"/>
              <w:left w:val="nil"/>
              <w:bottom w:val="nil"/>
              <w:right w:val="single" w:sz="4" w:space="0" w:color="000000"/>
            </w:tcBorders>
            <w:shd w:val="clear" w:color="000000" w:fill="FFFFFF"/>
            <w:hideMark/>
          </w:tcPr>
          <w:p w14:paraId="6068043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Del treinta por ciento (30%) en el impuesto de timbre nacional por salida del país en el que reside, a fin de visitar el país del que es ciudadano por un término no mayor de cuarenta y cinco (45) días. </w:t>
            </w:r>
          </w:p>
        </w:tc>
        <w:tc>
          <w:tcPr>
            <w:tcW w:w="1480" w:type="dxa"/>
            <w:tcBorders>
              <w:top w:val="nil"/>
              <w:left w:val="nil"/>
              <w:bottom w:val="nil"/>
              <w:right w:val="single" w:sz="4" w:space="0" w:color="000000"/>
            </w:tcBorders>
            <w:shd w:val="clear" w:color="000000" w:fill="FFFFFF"/>
            <w:hideMark/>
          </w:tcPr>
          <w:p w14:paraId="1176360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E4BDEE7"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3E0C1F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lo que resulte procedente, los ciudadanos extranjeros en Colombia que ejercen el derecho al voto tendrán los mismos estímulos previstos en el presente artículo. </w:t>
            </w:r>
          </w:p>
        </w:tc>
        <w:tc>
          <w:tcPr>
            <w:tcW w:w="3798" w:type="dxa"/>
            <w:tcBorders>
              <w:top w:val="nil"/>
              <w:left w:val="nil"/>
              <w:bottom w:val="single" w:sz="4" w:space="0" w:color="000000"/>
              <w:right w:val="single" w:sz="4" w:space="0" w:color="000000"/>
            </w:tcBorders>
            <w:shd w:val="clear" w:color="000000" w:fill="FFFFFF"/>
            <w:hideMark/>
          </w:tcPr>
          <w:p w14:paraId="207D4E8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lo que resulte procedente, los ciudadanos extranjeros en Colombia que ejercen el derecho al voto tendrán los mismos estímulos previstos en el presente artículo.</w:t>
            </w:r>
          </w:p>
        </w:tc>
        <w:tc>
          <w:tcPr>
            <w:tcW w:w="3798" w:type="dxa"/>
            <w:tcBorders>
              <w:top w:val="nil"/>
              <w:left w:val="nil"/>
              <w:bottom w:val="single" w:sz="4" w:space="0" w:color="000000"/>
              <w:right w:val="single" w:sz="4" w:space="0" w:color="000000"/>
            </w:tcBorders>
            <w:shd w:val="clear" w:color="000000" w:fill="FFFFFF"/>
            <w:hideMark/>
          </w:tcPr>
          <w:p w14:paraId="023AADA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lo que resulte procedente, los ciudadanos extranjeros en Colombia que ejercen el derecho al voto tendrán los mismos estímulos previstos en el presente artículo. </w:t>
            </w:r>
          </w:p>
        </w:tc>
        <w:tc>
          <w:tcPr>
            <w:tcW w:w="1480" w:type="dxa"/>
            <w:tcBorders>
              <w:top w:val="nil"/>
              <w:left w:val="nil"/>
              <w:bottom w:val="single" w:sz="4" w:space="0" w:color="000000"/>
              <w:right w:val="single" w:sz="4" w:space="0" w:color="000000"/>
            </w:tcBorders>
            <w:shd w:val="clear" w:color="000000" w:fill="FFFFFF"/>
            <w:hideMark/>
          </w:tcPr>
          <w:p w14:paraId="20245E8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527D0B6"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2FB31DA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FF00" w:fill="FFFFFF"/>
            <w:hideMark/>
          </w:tcPr>
          <w:p w14:paraId="05868D4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NUEVO 45- Voto de personas con experiencia de vida Trans</w:t>
            </w:r>
            <w:r w:rsidRPr="00222F34">
              <w:rPr>
                <w:rFonts w:ascii="Calibri" w:eastAsia="Times New Roman" w:hAnsi="Calibri" w:cs="Calibri"/>
                <w:color w:val="000000"/>
                <w:lang w:val="es-CO" w:eastAsia="es-CO" w:bidi="ar-SA"/>
              </w:rPr>
              <w:t xml:space="preserve">. El Estado garantizará los derechos políticos y civiles a las personas con experiencia de vida Trans. Las autoridades adoptarán las medidas necesarias para su ejercicio </w:t>
            </w:r>
            <w:r w:rsidRPr="00222F34">
              <w:rPr>
                <w:rFonts w:ascii="Calibri" w:eastAsia="Times New Roman" w:hAnsi="Calibri" w:cs="Calibri"/>
                <w:color w:val="000000"/>
                <w:lang w:val="es-CO" w:eastAsia="es-CO" w:bidi="ar-SA"/>
              </w:rPr>
              <w:lastRenderedPageBreak/>
              <w:t>libre de discriminación respecto de su género, de fácil acceso y con todas las garantías.</w:t>
            </w:r>
          </w:p>
        </w:tc>
        <w:tc>
          <w:tcPr>
            <w:tcW w:w="3798" w:type="dxa"/>
            <w:tcBorders>
              <w:top w:val="nil"/>
              <w:left w:val="nil"/>
              <w:bottom w:val="nil"/>
              <w:right w:val="single" w:sz="4" w:space="0" w:color="000000"/>
            </w:tcBorders>
            <w:shd w:val="clear" w:color="00FF00" w:fill="FFFFFF"/>
            <w:hideMark/>
          </w:tcPr>
          <w:p w14:paraId="15E6BA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NUEVO 45- Voto de personas con experiencia de vida Trans</w:t>
            </w:r>
            <w:r w:rsidRPr="00222F34">
              <w:rPr>
                <w:rFonts w:ascii="Calibri" w:eastAsia="Times New Roman" w:hAnsi="Calibri" w:cs="Calibri"/>
                <w:color w:val="000000"/>
                <w:lang w:val="es-CO" w:eastAsia="es-CO" w:bidi="ar-SA"/>
              </w:rPr>
              <w:t xml:space="preserve">. El Estado garantizará los derechos políticos y civiles a las personas con experiencia de vida Trans. Las autoridades adoptarán las medidas necesarias para su ejercicio </w:t>
            </w:r>
            <w:r w:rsidRPr="00222F34">
              <w:rPr>
                <w:rFonts w:ascii="Calibri" w:eastAsia="Times New Roman" w:hAnsi="Calibri" w:cs="Calibri"/>
                <w:color w:val="000000"/>
                <w:lang w:val="es-CO" w:eastAsia="es-CO" w:bidi="ar-SA"/>
              </w:rPr>
              <w:lastRenderedPageBreak/>
              <w:t>libre de discriminación respecto de su género, de fácil acceso y con todas las garantías.</w:t>
            </w:r>
          </w:p>
        </w:tc>
        <w:tc>
          <w:tcPr>
            <w:tcW w:w="1480" w:type="dxa"/>
            <w:tcBorders>
              <w:top w:val="nil"/>
              <w:left w:val="nil"/>
              <w:bottom w:val="nil"/>
              <w:right w:val="single" w:sz="4" w:space="0" w:color="000000"/>
            </w:tcBorders>
            <w:shd w:val="clear" w:color="000000" w:fill="FFFFFF"/>
            <w:hideMark/>
          </w:tcPr>
          <w:p w14:paraId="4F861030" w14:textId="7AE697ED"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222F34" w:rsidRPr="00222F34" w14:paraId="793C1FCB"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FFC000" w:fill="FFFFFF"/>
            <w:hideMark/>
          </w:tcPr>
          <w:p w14:paraId="437EB6B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6F33D00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adoptará un protocolo para garantizar el acceso y atención a sus servicios misionales.</w:t>
            </w:r>
          </w:p>
        </w:tc>
        <w:tc>
          <w:tcPr>
            <w:tcW w:w="3798" w:type="dxa"/>
            <w:tcBorders>
              <w:top w:val="nil"/>
              <w:left w:val="nil"/>
              <w:bottom w:val="single" w:sz="4" w:space="0" w:color="000000"/>
              <w:right w:val="single" w:sz="4" w:space="0" w:color="000000"/>
            </w:tcBorders>
            <w:shd w:val="clear" w:color="00FF00" w:fill="FFFFFF"/>
            <w:hideMark/>
          </w:tcPr>
          <w:p w14:paraId="31C0CF6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adoptará un protocolo para garantizar el acceso y atención a sus servicios misionales.</w:t>
            </w:r>
          </w:p>
        </w:tc>
        <w:tc>
          <w:tcPr>
            <w:tcW w:w="1480" w:type="dxa"/>
            <w:tcBorders>
              <w:top w:val="nil"/>
              <w:left w:val="nil"/>
              <w:bottom w:val="single" w:sz="4" w:space="0" w:color="000000"/>
              <w:right w:val="single" w:sz="4" w:space="0" w:color="000000"/>
            </w:tcBorders>
            <w:shd w:val="clear" w:color="000000" w:fill="FFFFFF"/>
            <w:hideMark/>
          </w:tcPr>
          <w:p w14:paraId="4CE145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961AA74"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29CB64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43.- Definición de certificado electoral.</w:t>
            </w:r>
            <w:r w:rsidRPr="00222F34">
              <w:rPr>
                <w:rFonts w:ascii="Calibri" w:eastAsia="Times New Roman" w:hAnsi="Calibri" w:cs="Calibri"/>
                <w:color w:val="000000"/>
                <w:lang w:val="es-CO" w:eastAsia="es-CO" w:bidi="ar-SA"/>
              </w:rPr>
              <w:t xml:space="preserve"> El certificado electoral es un documento público que constituye plena prueba de haber ejercido el derecho al voto en una elección popular de cargos uninominales, en corporaciones públicas y en elecciones juveniles, que será expedido digitalmente por la Registraduría Nacional del Estado Civil y excepcionalmente en físico, a través de los jurados de votación. </w:t>
            </w:r>
          </w:p>
        </w:tc>
        <w:tc>
          <w:tcPr>
            <w:tcW w:w="3798" w:type="dxa"/>
            <w:tcBorders>
              <w:top w:val="nil"/>
              <w:left w:val="nil"/>
              <w:bottom w:val="nil"/>
              <w:right w:val="single" w:sz="4" w:space="0" w:color="000000"/>
            </w:tcBorders>
            <w:shd w:val="clear" w:color="000000" w:fill="FFFFFF"/>
            <w:hideMark/>
          </w:tcPr>
          <w:p w14:paraId="210A255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46.- Definición de certificado electoral.</w:t>
            </w:r>
            <w:r w:rsidRPr="00222F34">
              <w:rPr>
                <w:rFonts w:ascii="Calibri" w:eastAsia="Times New Roman" w:hAnsi="Calibri" w:cs="Calibri"/>
                <w:color w:val="000000"/>
                <w:lang w:val="es-CO" w:eastAsia="es-CO" w:bidi="ar-SA"/>
              </w:rPr>
              <w:t xml:space="preserve"> El certificado electoral es un documento público que constituye plena prueba de haber ejercido el derecho al voto en una elección popular de cargos uninominales, en corporaciones públicas y en elecciones juveniles, que será expedido digitalmente por la Registraduría Nacional del Estado Civil y excepcionalmente en físico, a través de los jurados de votación. </w:t>
            </w:r>
          </w:p>
        </w:tc>
        <w:tc>
          <w:tcPr>
            <w:tcW w:w="3798" w:type="dxa"/>
            <w:tcBorders>
              <w:top w:val="nil"/>
              <w:left w:val="nil"/>
              <w:bottom w:val="nil"/>
              <w:right w:val="single" w:sz="4" w:space="0" w:color="000000"/>
            </w:tcBorders>
            <w:shd w:val="clear" w:color="000000" w:fill="FFFFFF"/>
            <w:hideMark/>
          </w:tcPr>
          <w:p w14:paraId="1D47B9D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46.- Definición de certificado electoral.</w:t>
            </w:r>
            <w:r w:rsidRPr="00222F34">
              <w:rPr>
                <w:rFonts w:ascii="Calibri" w:eastAsia="Times New Roman" w:hAnsi="Calibri" w:cs="Calibri"/>
                <w:color w:val="000000"/>
                <w:lang w:val="es-CO" w:eastAsia="es-CO" w:bidi="ar-SA"/>
              </w:rPr>
              <w:t xml:space="preserve"> El certificado electoral es un documento público que constituye plena prueba de haber ejercido el derecho al voto en una elección popular de cargos uninominales, en corporaciones públicas y en elecciones juveniles, que será expedido digitalmente por la Registraduría Nacional del Estado Civil y excepcionalmente en físico, a través de los jurados de votación. </w:t>
            </w:r>
          </w:p>
        </w:tc>
        <w:tc>
          <w:tcPr>
            <w:tcW w:w="1480" w:type="dxa"/>
            <w:tcBorders>
              <w:top w:val="nil"/>
              <w:left w:val="nil"/>
              <w:bottom w:val="nil"/>
              <w:right w:val="single" w:sz="4" w:space="0" w:color="000000"/>
            </w:tcBorders>
            <w:shd w:val="clear" w:color="000000" w:fill="FFFFFF"/>
            <w:hideMark/>
          </w:tcPr>
          <w:p w14:paraId="63B09C1B" w14:textId="1425A6BE"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7824AE0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2D4D42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Con base en este documento se reconocerán los beneficios y estímulos previstos en el anterior artículo; y expirará con la realización de nuevas elecciones ordinarias. </w:t>
            </w:r>
          </w:p>
        </w:tc>
        <w:tc>
          <w:tcPr>
            <w:tcW w:w="3798" w:type="dxa"/>
            <w:tcBorders>
              <w:top w:val="nil"/>
              <w:left w:val="nil"/>
              <w:bottom w:val="nil"/>
              <w:right w:val="single" w:sz="4" w:space="0" w:color="000000"/>
            </w:tcBorders>
            <w:shd w:val="clear" w:color="000000" w:fill="FFFFFF"/>
            <w:hideMark/>
          </w:tcPr>
          <w:p w14:paraId="39DC60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Con base en este documento se reconocerán los beneficios y estímulos previstos en el anterior artículo; y expirará con la realización de nuevas elecciones ordinarias. </w:t>
            </w:r>
          </w:p>
        </w:tc>
        <w:tc>
          <w:tcPr>
            <w:tcW w:w="3798" w:type="dxa"/>
            <w:tcBorders>
              <w:top w:val="nil"/>
              <w:left w:val="nil"/>
              <w:bottom w:val="nil"/>
              <w:right w:val="single" w:sz="4" w:space="0" w:color="000000"/>
            </w:tcBorders>
            <w:shd w:val="clear" w:color="000000" w:fill="FFFFFF"/>
            <w:hideMark/>
          </w:tcPr>
          <w:p w14:paraId="565C76F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Con base en este documento se reconocerán los beneficios y estímulos previstos en el anterior artículo; y expirará con la realización de nuevas elecciones ordinarias. </w:t>
            </w:r>
          </w:p>
        </w:tc>
        <w:tc>
          <w:tcPr>
            <w:tcW w:w="1480" w:type="dxa"/>
            <w:tcBorders>
              <w:top w:val="nil"/>
              <w:left w:val="nil"/>
              <w:bottom w:val="nil"/>
              <w:right w:val="single" w:sz="4" w:space="0" w:color="000000"/>
            </w:tcBorders>
            <w:shd w:val="clear" w:color="000000" w:fill="FFFFFF"/>
            <w:hideMark/>
          </w:tcPr>
          <w:p w14:paraId="344C8F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40B6E9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23491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No se otorgará certificado electoral en mecanismos de participación ciudadana que tengan umbral de participación, ni en elecciones atípicas. </w:t>
            </w:r>
          </w:p>
        </w:tc>
        <w:tc>
          <w:tcPr>
            <w:tcW w:w="3798" w:type="dxa"/>
            <w:tcBorders>
              <w:top w:val="nil"/>
              <w:left w:val="nil"/>
              <w:bottom w:val="nil"/>
              <w:right w:val="single" w:sz="4" w:space="0" w:color="000000"/>
            </w:tcBorders>
            <w:shd w:val="clear" w:color="000000" w:fill="FFFFFF"/>
            <w:hideMark/>
          </w:tcPr>
          <w:p w14:paraId="25AC1DE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No se otorgará certificado electoral en mecanismos de participación ciudadana que tengan umbral de participación, ni en elecciones atípicas. </w:t>
            </w:r>
          </w:p>
        </w:tc>
        <w:tc>
          <w:tcPr>
            <w:tcW w:w="3798" w:type="dxa"/>
            <w:tcBorders>
              <w:top w:val="nil"/>
              <w:left w:val="nil"/>
              <w:bottom w:val="nil"/>
              <w:right w:val="single" w:sz="4" w:space="0" w:color="000000"/>
            </w:tcBorders>
            <w:shd w:val="clear" w:color="000000" w:fill="FFFFFF"/>
            <w:hideMark/>
          </w:tcPr>
          <w:p w14:paraId="5703B30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No se otorgará certificado electoral en mecanismos de participación ciudadana que tengan umbral de participación, ni en elecciones atípicas. </w:t>
            </w:r>
          </w:p>
        </w:tc>
        <w:tc>
          <w:tcPr>
            <w:tcW w:w="1480" w:type="dxa"/>
            <w:tcBorders>
              <w:top w:val="nil"/>
              <w:left w:val="nil"/>
              <w:bottom w:val="nil"/>
              <w:right w:val="single" w:sz="4" w:space="0" w:color="000000"/>
            </w:tcBorders>
            <w:shd w:val="clear" w:color="000000" w:fill="FFFFFF"/>
            <w:hideMark/>
          </w:tcPr>
          <w:p w14:paraId="43F90A4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E00A21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59DED2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La constancia expedida por autoridad electoral competente tiene el mismo valor legal que el certificado electoral para efectos de los estímulos que interesan al elector. </w:t>
            </w:r>
          </w:p>
        </w:tc>
        <w:tc>
          <w:tcPr>
            <w:tcW w:w="3798" w:type="dxa"/>
            <w:tcBorders>
              <w:top w:val="nil"/>
              <w:left w:val="nil"/>
              <w:bottom w:val="nil"/>
              <w:right w:val="single" w:sz="4" w:space="0" w:color="000000"/>
            </w:tcBorders>
            <w:shd w:val="clear" w:color="000000" w:fill="FFFFFF"/>
            <w:hideMark/>
          </w:tcPr>
          <w:p w14:paraId="169E916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constancia expedida por autoridad electoral competente tiene el mismo valor legal que el certificado electoral para efectos de los estímulos que interesan al elector. </w:t>
            </w:r>
          </w:p>
        </w:tc>
        <w:tc>
          <w:tcPr>
            <w:tcW w:w="3798" w:type="dxa"/>
            <w:tcBorders>
              <w:top w:val="nil"/>
              <w:left w:val="nil"/>
              <w:bottom w:val="nil"/>
              <w:right w:val="single" w:sz="4" w:space="0" w:color="000000"/>
            </w:tcBorders>
            <w:shd w:val="clear" w:color="000000" w:fill="FFFFFF"/>
            <w:hideMark/>
          </w:tcPr>
          <w:p w14:paraId="5C3E1AA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constancia expedida por autoridad electoral competente tiene el mismo valor legal que el certificado electoral para efectos de los estímulos que interesan al elector. </w:t>
            </w:r>
          </w:p>
        </w:tc>
        <w:tc>
          <w:tcPr>
            <w:tcW w:w="1480" w:type="dxa"/>
            <w:tcBorders>
              <w:top w:val="nil"/>
              <w:left w:val="nil"/>
              <w:bottom w:val="nil"/>
              <w:right w:val="single" w:sz="4" w:space="0" w:color="000000"/>
            </w:tcBorders>
            <w:shd w:val="clear" w:color="000000" w:fill="FFFFFF"/>
            <w:hideMark/>
          </w:tcPr>
          <w:p w14:paraId="55905B0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6DC78C6" w14:textId="77777777" w:rsidTr="00222F34">
        <w:trPr>
          <w:trHeight w:val="1545"/>
        </w:trPr>
        <w:tc>
          <w:tcPr>
            <w:tcW w:w="3798" w:type="dxa"/>
            <w:tcBorders>
              <w:top w:val="nil"/>
              <w:left w:val="single" w:sz="4" w:space="0" w:color="000000"/>
              <w:bottom w:val="nil"/>
              <w:right w:val="single" w:sz="4" w:space="0" w:color="000000"/>
            </w:tcBorders>
            <w:shd w:val="clear" w:color="000000" w:fill="FFFFFF"/>
            <w:hideMark/>
          </w:tcPr>
          <w:p w14:paraId="1956121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(15) días siguientes a la elección. </w:t>
            </w:r>
          </w:p>
        </w:tc>
        <w:tc>
          <w:tcPr>
            <w:tcW w:w="3798" w:type="dxa"/>
            <w:tcBorders>
              <w:top w:val="nil"/>
              <w:left w:val="nil"/>
              <w:bottom w:val="nil"/>
              <w:right w:val="single" w:sz="4" w:space="0" w:color="000000"/>
            </w:tcBorders>
            <w:shd w:val="clear" w:color="000000" w:fill="FFFFFF"/>
            <w:hideMark/>
          </w:tcPr>
          <w:p w14:paraId="16009A68"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(15) días siguientes a la elección. </w:t>
            </w:r>
          </w:p>
        </w:tc>
        <w:tc>
          <w:tcPr>
            <w:tcW w:w="3798" w:type="dxa"/>
            <w:tcBorders>
              <w:top w:val="nil"/>
              <w:left w:val="nil"/>
              <w:bottom w:val="nil"/>
              <w:right w:val="single" w:sz="4" w:space="0" w:color="000000"/>
            </w:tcBorders>
            <w:shd w:val="clear" w:color="000000" w:fill="FFFFFF"/>
            <w:hideMark/>
          </w:tcPr>
          <w:p w14:paraId="3030350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(15) días siguientes a la elección. </w:t>
            </w:r>
          </w:p>
        </w:tc>
        <w:tc>
          <w:tcPr>
            <w:tcW w:w="1480" w:type="dxa"/>
            <w:tcBorders>
              <w:top w:val="nil"/>
              <w:left w:val="nil"/>
              <w:bottom w:val="nil"/>
              <w:right w:val="single" w:sz="4" w:space="0" w:color="000000"/>
            </w:tcBorders>
            <w:shd w:val="clear" w:color="000000" w:fill="FFFFFF"/>
            <w:hideMark/>
          </w:tcPr>
          <w:p w14:paraId="446F8F6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D1C372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311F30F"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sufragante. </w:t>
            </w:r>
          </w:p>
        </w:tc>
        <w:tc>
          <w:tcPr>
            <w:tcW w:w="3798" w:type="dxa"/>
            <w:tcBorders>
              <w:top w:val="nil"/>
              <w:left w:val="nil"/>
              <w:bottom w:val="nil"/>
              <w:right w:val="single" w:sz="4" w:space="0" w:color="000000"/>
            </w:tcBorders>
            <w:shd w:val="clear" w:color="000000" w:fill="FFFFFF"/>
            <w:hideMark/>
          </w:tcPr>
          <w:p w14:paraId="72A669F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sufragante. </w:t>
            </w:r>
          </w:p>
        </w:tc>
        <w:tc>
          <w:tcPr>
            <w:tcW w:w="3798" w:type="dxa"/>
            <w:tcBorders>
              <w:top w:val="nil"/>
              <w:left w:val="nil"/>
              <w:bottom w:val="nil"/>
              <w:right w:val="single" w:sz="4" w:space="0" w:color="000000"/>
            </w:tcBorders>
            <w:shd w:val="clear" w:color="000000" w:fill="FFFFFF"/>
            <w:hideMark/>
          </w:tcPr>
          <w:p w14:paraId="753B97DE"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sufragante. </w:t>
            </w:r>
          </w:p>
        </w:tc>
        <w:tc>
          <w:tcPr>
            <w:tcW w:w="1480" w:type="dxa"/>
            <w:tcBorders>
              <w:top w:val="nil"/>
              <w:left w:val="nil"/>
              <w:bottom w:val="nil"/>
              <w:right w:val="single" w:sz="4" w:space="0" w:color="000000"/>
            </w:tcBorders>
            <w:shd w:val="clear" w:color="000000" w:fill="FFFFFF"/>
            <w:hideMark/>
          </w:tcPr>
          <w:p w14:paraId="0A3E24F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3F091F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E7C817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Registraduría Nacional del Estado Civil reglamentará el procedimiento para la expedición del certificado electoral digital que se realizará de manera progresiva.</w:t>
            </w:r>
          </w:p>
        </w:tc>
        <w:tc>
          <w:tcPr>
            <w:tcW w:w="3798" w:type="dxa"/>
            <w:tcBorders>
              <w:top w:val="nil"/>
              <w:left w:val="nil"/>
              <w:bottom w:val="nil"/>
              <w:right w:val="single" w:sz="4" w:space="0" w:color="000000"/>
            </w:tcBorders>
            <w:shd w:val="clear" w:color="000000" w:fill="FFFFFF"/>
            <w:hideMark/>
          </w:tcPr>
          <w:p w14:paraId="597FE28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Registraduría Nacional del Estado Civil reglamentará el procedimiento para la expedición del certificado electoral digital que se realizará de manera progresiva.</w:t>
            </w:r>
          </w:p>
        </w:tc>
        <w:tc>
          <w:tcPr>
            <w:tcW w:w="3798" w:type="dxa"/>
            <w:tcBorders>
              <w:top w:val="nil"/>
              <w:left w:val="nil"/>
              <w:bottom w:val="nil"/>
              <w:right w:val="single" w:sz="4" w:space="0" w:color="000000"/>
            </w:tcBorders>
            <w:shd w:val="clear" w:color="000000" w:fill="FFFFFF"/>
            <w:hideMark/>
          </w:tcPr>
          <w:p w14:paraId="1A228AF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Registraduría Nacional del Estado Civil reglamentará el procedimiento para la expedición del certificado electoral digital que se realizará de manera progresiva.</w:t>
            </w:r>
          </w:p>
        </w:tc>
        <w:tc>
          <w:tcPr>
            <w:tcW w:w="1480" w:type="dxa"/>
            <w:tcBorders>
              <w:top w:val="nil"/>
              <w:left w:val="nil"/>
              <w:bottom w:val="nil"/>
              <w:right w:val="single" w:sz="4" w:space="0" w:color="000000"/>
            </w:tcBorders>
            <w:shd w:val="clear" w:color="000000" w:fill="FFFFFF"/>
            <w:hideMark/>
          </w:tcPr>
          <w:p w14:paraId="3A3A26D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876EE9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F1BBF3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0000" w:fill="FFFFFF"/>
            <w:hideMark/>
          </w:tcPr>
          <w:p w14:paraId="068373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implementación del certificado electoral digital deberá garantizar la seguridad, pertinencia e idoneidad, viabilidad técnica, plena funcionalidad y transparencia de los sistemas que se utilice.</w:t>
            </w:r>
          </w:p>
        </w:tc>
        <w:tc>
          <w:tcPr>
            <w:tcW w:w="3798" w:type="dxa"/>
            <w:tcBorders>
              <w:top w:val="nil"/>
              <w:left w:val="nil"/>
              <w:bottom w:val="single" w:sz="4" w:space="0" w:color="000000"/>
              <w:right w:val="single" w:sz="4" w:space="0" w:color="000000"/>
            </w:tcBorders>
            <w:shd w:val="clear" w:color="000000" w:fill="FFFFFF"/>
            <w:hideMark/>
          </w:tcPr>
          <w:p w14:paraId="7BFA883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implementación del certificado electoral digital deberá garantizar la seguridad, pertinencia e idoneidad, viabilidad técnica, plena funcionalidad y transparencia de los sistemas que se utilice.</w:t>
            </w:r>
          </w:p>
        </w:tc>
        <w:tc>
          <w:tcPr>
            <w:tcW w:w="1480" w:type="dxa"/>
            <w:tcBorders>
              <w:top w:val="nil"/>
              <w:left w:val="nil"/>
              <w:bottom w:val="single" w:sz="4" w:space="0" w:color="000000"/>
              <w:right w:val="single" w:sz="4" w:space="0" w:color="000000"/>
            </w:tcBorders>
            <w:shd w:val="clear" w:color="000000" w:fill="FFFFFF"/>
            <w:hideMark/>
          </w:tcPr>
          <w:p w14:paraId="5549BA2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DB1718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5ABE5D4"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w:t>
            </w:r>
          </w:p>
        </w:tc>
        <w:tc>
          <w:tcPr>
            <w:tcW w:w="3798" w:type="dxa"/>
            <w:tcBorders>
              <w:top w:val="nil"/>
              <w:left w:val="nil"/>
              <w:bottom w:val="nil"/>
              <w:right w:val="single" w:sz="4" w:space="0" w:color="000000"/>
            </w:tcBorders>
            <w:shd w:val="clear" w:color="000000" w:fill="FFFFFF"/>
            <w:hideMark/>
          </w:tcPr>
          <w:p w14:paraId="3E9CE11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w:t>
            </w:r>
          </w:p>
        </w:tc>
        <w:tc>
          <w:tcPr>
            <w:tcW w:w="3798" w:type="dxa"/>
            <w:tcBorders>
              <w:top w:val="nil"/>
              <w:left w:val="nil"/>
              <w:bottom w:val="nil"/>
              <w:right w:val="single" w:sz="4" w:space="0" w:color="000000"/>
            </w:tcBorders>
            <w:shd w:val="clear" w:color="000000" w:fill="FFFFFF"/>
            <w:hideMark/>
          </w:tcPr>
          <w:p w14:paraId="2373F87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w:t>
            </w:r>
          </w:p>
        </w:tc>
        <w:tc>
          <w:tcPr>
            <w:tcW w:w="1480" w:type="dxa"/>
            <w:tcBorders>
              <w:top w:val="nil"/>
              <w:left w:val="nil"/>
              <w:bottom w:val="nil"/>
              <w:right w:val="single" w:sz="4" w:space="0" w:color="000000"/>
            </w:tcBorders>
            <w:shd w:val="clear" w:color="000000" w:fill="FFFFFF"/>
            <w:hideMark/>
          </w:tcPr>
          <w:p w14:paraId="331091A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9A69A87"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B5C9C5C"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DOMICILIO Y CENSO ELECTORAL</w:t>
            </w:r>
          </w:p>
        </w:tc>
        <w:tc>
          <w:tcPr>
            <w:tcW w:w="3798" w:type="dxa"/>
            <w:tcBorders>
              <w:top w:val="nil"/>
              <w:left w:val="nil"/>
              <w:bottom w:val="single" w:sz="4" w:space="0" w:color="000000"/>
              <w:right w:val="single" w:sz="4" w:space="0" w:color="000000"/>
            </w:tcBorders>
            <w:shd w:val="clear" w:color="000000" w:fill="FFFFFF"/>
            <w:hideMark/>
          </w:tcPr>
          <w:p w14:paraId="6AE7533B"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DOMICILIO Y CENSO ELECTORAL</w:t>
            </w:r>
          </w:p>
        </w:tc>
        <w:tc>
          <w:tcPr>
            <w:tcW w:w="3798" w:type="dxa"/>
            <w:tcBorders>
              <w:top w:val="nil"/>
              <w:left w:val="nil"/>
              <w:bottom w:val="single" w:sz="4" w:space="0" w:color="000000"/>
              <w:right w:val="single" w:sz="4" w:space="0" w:color="000000"/>
            </w:tcBorders>
            <w:shd w:val="clear" w:color="000000" w:fill="FFFFFF"/>
            <w:hideMark/>
          </w:tcPr>
          <w:p w14:paraId="4770E828"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DOMICILIO Y CENSO ELECTORAL</w:t>
            </w:r>
          </w:p>
        </w:tc>
        <w:tc>
          <w:tcPr>
            <w:tcW w:w="1480" w:type="dxa"/>
            <w:tcBorders>
              <w:top w:val="nil"/>
              <w:left w:val="nil"/>
              <w:bottom w:val="single" w:sz="4" w:space="0" w:color="000000"/>
              <w:right w:val="single" w:sz="4" w:space="0" w:color="000000"/>
            </w:tcBorders>
            <w:shd w:val="clear" w:color="000000" w:fill="FFFFFF"/>
            <w:hideMark/>
          </w:tcPr>
          <w:p w14:paraId="51872BC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FF790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782F9D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16B7B447"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208BD559"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2F846AB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D05A60C"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4D1D283"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Domicilio electoral</w:t>
            </w:r>
          </w:p>
        </w:tc>
        <w:tc>
          <w:tcPr>
            <w:tcW w:w="3798" w:type="dxa"/>
            <w:tcBorders>
              <w:top w:val="nil"/>
              <w:left w:val="nil"/>
              <w:bottom w:val="single" w:sz="4" w:space="0" w:color="000000"/>
              <w:right w:val="single" w:sz="4" w:space="0" w:color="000000"/>
            </w:tcBorders>
            <w:shd w:val="clear" w:color="000000" w:fill="FFFFFF"/>
            <w:hideMark/>
          </w:tcPr>
          <w:p w14:paraId="7085B970"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Domicilio electoral</w:t>
            </w:r>
          </w:p>
        </w:tc>
        <w:tc>
          <w:tcPr>
            <w:tcW w:w="3798" w:type="dxa"/>
            <w:tcBorders>
              <w:top w:val="nil"/>
              <w:left w:val="nil"/>
              <w:bottom w:val="single" w:sz="4" w:space="0" w:color="000000"/>
              <w:right w:val="single" w:sz="4" w:space="0" w:color="000000"/>
            </w:tcBorders>
            <w:shd w:val="clear" w:color="000000" w:fill="FFFFFF"/>
            <w:hideMark/>
          </w:tcPr>
          <w:p w14:paraId="5527F353"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Domicilio electoral</w:t>
            </w:r>
          </w:p>
        </w:tc>
        <w:tc>
          <w:tcPr>
            <w:tcW w:w="1480" w:type="dxa"/>
            <w:tcBorders>
              <w:top w:val="nil"/>
              <w:left w:val="nil"/>
              <w:bottom w:val="single" w:sz="4" w:space="0" w:color="000000"/>
              <w:right w:val="single" w:sz="4" w:space="0" w:color="000000"/>
            </w:tcBorders>
            <w:shd w:val="clear" w:color="000000" w:fill="FFFFFF"/>
            <w:hideMark/>
          </w:tcPr>
          <w:p w14:paraId="78AE97E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F5A4DF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CBFF86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44.- Definición.</w:t>
            </w:r>
            <w:r w:rsidRPr="00222F34">
              <w:rPr>
                <w:rFonts w:ascii="Calibri" w:eastAsia="Times New Roman" w:hAnsi="Calibri" w:cs="Calibri"/>
                <w:color w:val="000000"/>
                <w:lang w:val="es-CO" w:eastAsia="es-CO" w:bidi="ar-SA"/>
              </w:rPr>
              <w:t xml:space="preserve"> 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 </w:t>
            </w:r>
          </w:p>
        </w:tc>
        <w:tc>
          <w:tcPr>
            <w:tcW w:w="3798" w:type="dxa"/>
            <w:tcBorders>
              <w:top w:val="nil"/>
              <w:left w:val="nil"/>
              <w:bottom w:val="nil"/>
              <w:right w:val="single" w:sz="4" w:space="0" w:color="000000"/>
            </w:tcBorders>
            <w:shd w:val="clear" w:color="000000" w:fill="FFFFFF"/>
            <w:hideMark/>
          </w:tcPr>
          <w:p w14:paraId="2BA912F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47. Definición</w:t>
            </w:r>
            <w:r w:rsidRPr="00222F34">
              <w:rPr>
                <w:rFonts w:ascii="Calibri" w:eastAsia="Times New Roman" w:hAnsi="Calibri" w:cs="Calibri"/>
                <w:color w:val="000000"/>
                <w:lang w:val="es-CO" w:eastAsia="es-CO" w:bidi="ar-SA"/>
              </w:rPr>
              <w:t>. 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w:t>
            </w:r>
          </w:p>
        </w:tc>
        <w:tc>
          <w:tcPr>
            <w:tcW w:w="3798" w:type="dxa"/>
            <w:tcBorders>
              <w:top w:val="nil"/>
              <w:left w:val="nil"/>
              <w:bottom w:val="nil"/>
              <w:right w:val="single" w:sz="4" w:space="0" w:color="000000"/>
            </w:tcBorders>
            <w:shd w:val="clear" w:color="000000" w:fill="FFFFFF"/>
            <w:hideMark/>
          </w:tcPr>
          <w:p w14:paraId="104919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47. Definición</w:t>
            </w:r>
            <w:r w:rsidRPr="00222F34">
              <w:rPr>
                <w:rFonts w:ascii="Calibri" w:eastAsia="Times New Roman" w:hAnsi="Calibri" w:cs="Calibri"/>
                <w:color w:val="000000"/>
                <w:lang w:val="es-CO" w:eastAsia="es-CO" w:bidi="ar-SA"/>
              </w:rPr>
              <w:t>. 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w:t>
            </w:r>
          </w:p>
        </w:tc>
        <w:tc>
          <w:tcPr>
            <w:tcW w:w="1480" w:type="dxa"/>
            <w:tcBorders>
              <w:top w:val="nil"/>
              <w:left w:val="nil"/>
              <w:bottom w:val="nil"/>
              <w:right w:val="single" w:sz="4" w:space="0" w:color="000000"/>
            </w:tcBorders>
            <w:shd w:val="clear" w:color="000000" w:fill="FFFFFF"/>
            <w:hideMark/>
          </w:tcPr>
          <w:p w14:paraId="5F6F63F3" w14:textId="7777550B"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285CA21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66F1EF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Tanto el registro como la actualización se realizarán en las sedes de la Registraduría Nacional del Estado Civil, o a través de los mecanismos y lugares que esta implemente, así como en los embajadas, consulados u oficinas consulares de Colombia, habilitados por el Gobierno en el exterior. Se podrán utilizar medios tecnológicos para el registro, que garanticen la identificación y autenticación del ciudadano. </w:t>
            </w:r>
          </w:p>
        </w:tc>
        <w:tc>
          <w:tcPr>
            <w:tcW w:w="3798" w:type="dxa"/>
            <w:tcBorders>
              <w:top w:val="nil"/>
              <w:left w:val="nil"/>
              <w:bottom w:val="nil"/>
              <w:right w:val="single" w:sz="4" w:space="0" w:color="000000"/>
            </w:tcBorders>
            <w:shd w:val="clear" w:color="000000" w:fill="FFFFFF"/>
            <w:hideMark/>
          </w:tcPr>
          <w:p w14:paraId="000459E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Tanto el registro como la actualización se realizarán en las sedes de la Registraduría Nacional del Estado Civil, o a través de los mecanismos y lugares que ésta implemente, así como en las embajadas, consulados u oficinas consulares de Colombia, habilitados por el Gobierno en el exterior. Se podrán utilizar medios tecnológicos para el registro, que garanticen la identificación y autenticación del ciudadano.</w:t>
            </w:r>
          </w:p>
        </w:tc>
        <w:tc>
          <w:tcPr>
            <w:tcW w:w="3798" w:type="dxa"/>
            <w:tcBorders>
              <w:top w:val="nil"/>
              <w:left w:val="nil"/>
              <w:bottom w:val="nil"/>
              <w:right w:val="single" w:sz="4" w:space="0" w:color="000000"/>
            </w:tcBorders>
            <w:shd w:val="clear" w:color="000000" w:fill="FFFFFF"/>
            <w:hideMark/>
          </w:tcPr>
          <w:p w14:paraId="41F8C64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Tanto el registro como la actualización se realizarán en las sedes de la Registraduría Nacional del Estado Civil, o a través de los mecanismos y lugares que ésta implemente, así como en las embajadas, consulados u oficinas consulares de Colombia, habilitados por el Gobierno en el exterior. Se podrán utilizar medios tecnológicos para el registro, que garanticen la identificación y autenticación del ciudadano.</w:t>
            </w:r>
          </w:p>
        </w:tc>
        <w:tc>
          <w:tcPr>
            <w:tcW w:w="1480" w:type="dxa"/>
            <w:tcBorders>
              <w:top w:val="nil"/>
              <w:left w:val="nil"/>
              <w:bottom w:val="nil"/>
              <w:right w:val="single" w:sz="4" w:space="0" w:color="000000"/>
            </w:tcBorders>
            <w:shd w:val="clear" w:color="000000" w:fill="FFFFFF"/>
            <w:hideMark/>
          </w:tcPr>
          <w:p w14:paraId="7FDBA52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9A5D2C1"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04C21D4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 base en el domicilio electoral reportado por el ciudadano, la Registraduría Nacional del Estado Civil le asignará un puesto de votación entre los más cercanos a él. </w:t>
            </w:r>
          </w:p>
        </w:tc>
        <w:tc>
          <w:tcPr>
            <w:tcW w:w="3798" w:type="dxa"/>
            <w:tcBorders>
              <w:top w:val="nil"/>
              <w:left w:val="nil"/>
              <w:bottom w:val="single" w:sz="4" w:space="0" w:color="000000"/>
              <w:right w:val="single" w:sz="4" w:space="0" w:color="000000"/>
            </w:tcBorders>
            <w:shd w:val="clear" w:color="000000" w:fill="FFFFFF"/>
            <w:hideMark/>
          </w:tcPr>
          <w:p w14:paraId="25E8E72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 base en el domicilio electoral reportado por el ciudadano, la Registraduría Nacional del Estado Civil le asignará un puesto de votación entre los más cercanos a él.</w:t>
            </w:r>
          </w:p>
        </w:tc>
        <w:tc>
          <w:tcPr>
            <w:tcW w:w="3798" w:type="dxa"/>
            <w:tcBorders>
              <w:top w:val="nil"/>
              <w:left w:val="nil"/>
              <w:bottom w:val="single" w:sz="4" w:space="0" w:color="000000"/>
              <w:right w:val="single" w:sz="4" w:space="0" w:color="000000"/>
            </w:tcBorders>
            <w:shd w:val="clear" w:color="000000" w:fill="FFFFFF"/>
            <w:hideMark/>
          </w:tcPr>
          <w:p w14:paraId="72F7D6B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 base en el domicilio electoral reportado por el ciudadano, la Registraduría Nacional del Estado Civil le asignará un puesto de votación entre los más cercanos a él.</w:t>
            </w:r>
          </w:p>
        </w:tc>
        <w:tc>
          <w:tcPr>
            <w:tcW w:w="1480" w:type="dxa"/>
            <w:tcBorders>
              <w:top w:val="nil"/>
              <w:left w:val="nil"/>
              <w:bottom w:val="single" w:sz="4" w:space="0" w:color="000000"/>
              <w:right w:val="single" w:sz="4" w:space="0" w:color="000000"/>
            </w:tcBorders>
            <w:shd w:val="clear" w:color="000000" w:fill="FFFFFF"/>
            <w:hideMark/>
          </w:tcPr>
          <w:p w14:paraId="28F63D9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FC35A09"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3992E4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 </w:t>
            </w:r>
          </w:p>
        </w:tc>
        <w:tc>
          <w:tcPr>
            <w:tcW w:w="3798" w:type="dxa"/>
            <w:tcBorders>
              <w:top w:val="nil"/>
              <w:left w:val="nil"/>
              <w:bottom w:val="nil"/>
              <w:right w:val="single" w:sz="4" w:space="0" w:color="000000"/>
            </w:tcBorders>
            <w:shd w:val="clear" w:color="00FF00" w:fill="FFFFFF"/>
            <w:hideMark/>
          </w:tcPr>
          <w:p w14:paraId="534640F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48. Cambio del domicilio electoral. </w:t>
            </w:r>
            <w:r w:rsidRPr="00222F34">
              <w:rPr>
                <w:rFonts w:ascii="Calibri" w:eastAsia="Times New Roman" w:hAnsi="Calibri" w:cs="Calibri"/>
                <w:color w:val="000000"/>
                <w:lang w:val="es-CO" w:eastAsia="es-CO" w:bidi="ar-SA"/>
              </w:rPr>
              <w:t>Cuando un ciudadano o extranjero residente en el país haya cambiado su domicilio electoral, deberá en un término no mayor de dos (2) meses, en relación con ese cambio informar la novedad ante la Registraduría de su distrito, municipio, localidad, embajada u oficina consular.</w:t>
            </w:r>
          </w:p>
        </w:tc>
        <w:tc>
          <w:tcPr>
            <w:tcW w:w="3798" w:type="dxa"/>
            <w:tcBorders>
              <w:top w:val="nil"/>
              <w:left w:val="nil"/>
              <w:bottom w:val="nil"/>
              <w:right w:val="single" w:sz="4" w:space="0" w:color="000000"/>
            </w:tcBorders>
            <w:shd w:val="clear" w:color="00FF00" w:fill="FFFFFF"/>
            <w:hideMark/>
          </w:tcPr>
          <w:p w14:paraId="49373D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48. Cambio del domicilio electoral. </w:t>
            </w:r>
            <w:r w:rsidRPr="00222F34">
              <w:rPr>
                <w:rFonts w:ascii="Calibri" w:eastAsia="Times New Roman" w:hAnsi="Calibri" w:cs="Calibri"/>
                <w:color w:val="000000"/>
                <w:lang w:val="es-CO" w:eastAsia="es-CO" w:bidi="ar-SA"/>
              </w:rPr>
              <w:t>Cuando un ciudadano o extranjero residente en el país haya cambiado su domicilio electoral, deberá en un término no mayor de dos (2) meses, en relación con ese cambio informar la novedad ante la Registraduría de su distrito, municipio, localidad, embajada u oficina consular.</w:t>
            </w:r>
          </w:p>
        </w:tc>
        <w:tc>
          <w:tcPr>
            <w:tcW w:w="1480" w:type="dxa"/>
            <w:tcBorders>
              <w:top w:val="nil"/>
              <w:left w:val="nil"/>
              <w:bottom w:val="nil"/>
              <w:right w:val="single" w:sz="4" w:space="0" w:color="000000"/>
            </w:tcBorders>
            <w:shd w:val="clear" w:color="000000" w:fill="FFFFFF"/>
            <w:hideMark/>
          </w:tcPr>
          <w:p w14:paraId="673BE4BF" w14:textId="0BC31D4C"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28E80CFB" w14:textId="77777777" w:rsidTr="00222F34">
        <w:trPr>
          <w:trHeight w:val="1500"/>
        </w:trPr>
        <w:tc>
          <w:tcPr>
            <w:tcW w:w="3798" w:type="dxa"/>
            <w:tcBorders>
              <w:top w:val="nil"/>
              <w:left w:val="single" w:sz="4" w:space="0" w:color="000000"/>
              <w:bottom w:val="nil"/>
              <w:right w:val="single" w:sz="4" w:space="0" w:color="000000"/>
            </w:tcBorders>
            <w:shd w:val="clear" w:color="FFC000" w:fill="FFFFFF"/>
            <w:hideMark/>
          </w:tcPr>
          <w:p w14:paraId="046205A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3F7EBCC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adelantará jornadas pedagógicas y de sensibilización para incentivar a los ciudadanos a realizar la actualización del domicilio electoral. Para ello, los programas pedagógicos adoptados deberán basarse en enfoques territoriales y étnicos que permitan la mejor comprensión de la importancia y alcance del domicilio electoral y su actualización.</w:t>
            </w:r>
          </w:p>
        </w:tc>
        <w:tc>
          <w:tcPr>
            <w:tcW w:w="3798" w:type="dxa"/>
            <w:tcBorders>
              <w:top w:val="nil"/>
              <w:left w:val="nil"/>
              <w:bottom w:val="nil"/>
              <w:right w:val="single" w:sz="4" w:space="0" w:color="000000"/>
            </w:tcBorders>
            <w:shd w:val="clear" w:color="00FF00" w:fill="FFFFFF"/>
            <w:hideMark/>
          </w:tcPr>
          <w:p w14:paraId="7C1D804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adelantará jornadas pedagógicas y de sensibilización para incentivar a los ciudadanos a realizar la actualización del domicilio electoral. Para ello, los programas pedagógicos adoptados deberán basarse en enfoques territoriales y étnicos que permitan la mejor comprensión de la importancia y alcance del domicilio electoral y su actualización.</w:t>
            </w:r>
          </w:p>
        </w:tc>
        <w:tc>
          <w:tcPr>
            <w:tcW w:w="1480" w:type="dxa"/>
            <w:tcBorders>
              <w:top w:val="nil"/>
              <w:left w:val="nil"/>
              <w:bottom w:val="nil"/>
              <w:right w:val="single" w:sz="4" w:space="0" w:color="000000"/>
            </w:tcBorders>
            <w:shd w:val="clear" w:color="000000" w:fill="FFFFFF"/>
            <w:hideMark/>
          </w:tcPr>
          <w:p w14:paraId="12CEF70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68BA262"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6946C4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5AEF97C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la actualización del domicilio electoral, la Registraduría Nacional del Estado Civil. establecerá la posibilidad este proceso a través de su página web o cualquier otro mecanismo tecnológico que establezca.</w:t>
            </w:r>
          </w:p>
        </w:tc>
        <w:tc>
          <w:tcPr>
            <w:tcW w:w="3798" w:type="dxa"/>
            <w:tcBorders>
              <w:top w:val="nil"/>
              <w:left w:val="nil"/>
              <w:bottom w:val="nil"/>
              <w:right w:val="single" w:sz="4" w:space="0" w:color="000000"/>
            </w:tcBorders>
            <w:shd w:val="clear" w:color="00FF00" w:fill="FFFFFF"/>
            <w:hideMark/>
          </w:tcPr>
          <w:p w14:paraId="349FD5B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la actualización del domicilio electoral, la Registraduría Nacional del Estado Civil. establecerá la posibilidad este proceso a través de su página web o cualquier otro mecanismo tecnológico que establezca.</w:t>
            </w:r>
          </w:p>
        </w:tc>
        <w:tc>
          <w:tcPr>
            <w:tcW w:w="1480" w:type="dxa"/>
            <w:tcBorders>
              <w:top w:val="nil"/>
              <w:left w:val="nil"/>
              <w:bottom w:val="nil"/>
              <w:right w:val="single" w:sz="4" w:space="0" w:color="000000"/>
            </w:tcBorders>
            <w:shd w:val="clear" w:color="000000" w:fill="FFFFFF"/>
            <w:hideMark/>
          </w:tcPr>
          <w:p w14:paraId="72D5939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34D7597"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35E148C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1EB165C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reglamentación sobre lo previsto en este artículo deberá expedirse por la Registraduría Nacional del Estado Civil antes de las elecciones ordinarias de autoridades territoriales de 2027, el cambio de domicilio no podrá ser una justificación para negar los derechos civiles y políticos relacionados con el mismo.</w:t>
            </w:r>
          </w:p>
        </w:tc>
        <w:tc>
          <w:tcPr>
            <w:tcW w:w="3798" w:type="dxa"/>
            <w:tcBorders>
              <w:top w:val="nil"/>
              <w:left w:val="nil"/>
              <w:bottom w:val="nil"/>
              <w:right w:val="single" w:sz="4" w:space="0" w:color="000000"/>
            </w:tcBorders>
            <w:shd w:val="clear" w:color="00FF00" w:fill="FFFFFF"/>
            <w:hideMark/>
          </w:tcPr>
          <w:p w14:paraId="1699CC8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reglamentación sobre lo previsto en este artículo deberá expedirse por la Registraduría Nacional del Estado Civil antes de las elecciones ordinarias de autoridades territoriales de 2027, el cambio de domicilio no podrá ser una justificación para negar los derechos civiles y políticos relacionados con el mismo.</w:t>
            </w:r>
          </w:p>
        </w:tc>
        <w:tc>
          <w:tcPr>
            <w:tcW w:w="1480" w:type="dxa"/>
            <w:tcBorders>
              <w:top w:val="nil"/>
              <w:left w:val="nil"/>
              <w:bottom w:val="nil"/>
              <w:right w:val="single" w:sz="4" w:space="0" w:color="000000"/>
            </w:tcBorders>
            <w:shd w:val="clear" w:color="000000" w:fill="FFFFFF"/>
            <w:hideMark/>
          </w:tcPr>
          <w:p w14:paraId="2547ECA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629A19A"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FFC000" w:fill="FFFFFF"/>
            <w:hideMark/>
          </w:tcPr>
          <w:p w14:paraId="5DA4F5E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FF00" w:fill="FFFFFF"/>
            <w:hideMark/>
          </w:tcPr>
          <w:p w14:paraId="1C7B574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Para el caso del Archipiélago de San Andrés, Providencia y Santa Catalina, la Registraduría Nacional del Estado Civil y la Oficina de Control, Circulación y Residencia (OCCRE), establecerán un procedimiento especial, que permita acreditar que el domicilio electoral del ciudadano corresponde al territorio insular, de conformidad a lo establecido en el numeral 4° del artículo 5° del Decreto de 1991 y el artículo 14 de la Ley 47 de 1993. </w:t>
            </w:r>
          </w:p>
        </w:tc>
        <w:tc>
          <w:tcPr>
            <w:tcW w:w="3798" w:type="dxa"/>
            <w:tcBorders>
              <w:top w:val="nil"/>
              <w:left w:val="nil"/>
              <w:bottom w:val="single" w:sz="4" w:space="0" w:color="000000"/>
              <w:right w:val="single" w:sz="4" w:space="0" w:color="000000"/>
            </w:tcBorders>
            <w:shd w:val="clear" w:color="00FF00" w:fill="FFFFFF"/>
            <w:hideMark/>
          </w:tcPr>
          <w:p w14:paraId="42D0BC0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Para el caso del Archipiélago de San Andrés, Providencia y Santa Catalina, la Registraduría Nacional del Estado Civil y la Oficina de Control, Circulación y Residencia (OCCRE), establecerán un procedimiento especial, que permita acreditar que el domicilio electoral del ciudadano corresponde al territorio insular, de conformidad a lo establecido en el numeral 4° del artículo 5° del Decreto de 1991 y el artículo 14 de la Ley 47 de 1993. </w:t>
            </w:r>
          </w:p>
        </w:tc>
        <w:tc>
          <w:tcPr>
            <w:tcW w:w="1480" w:type="dxa"/>
            <w:tcBorders>
              <w:top w:val="nil"/>
              <w:left w:val="nil"/>
              <w:bottom w:val="single" w:sz="4" w:space="0" w:color="000000"/>
              <w:right w:val="single" w:sz="4" w:space="0" w:color="000000"/>
            </w:tcBorders>
            <w:shd w:val="clear" w:color="000000" w:fill="FFFFFF"/>
            <w:hideMark/>
          </w:tcPr>
          <w:p w14:paraId="5CCB16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4F74BA2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6299100"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73AC70CF"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39709DC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nil"/>
              <w:left w:val="nil"/>
              <w:bottom w:val="nil"/>
              <w:right w:val="single" w:sz="4" w:space="0" w:color="000000"/>
            </w:tcBorders>
            <w:shd w:val="clear" w:color="000000" w:fill="FFFFFF"/>
            <w:hideMark/>
          </w:tcPr>
          <w:p w14:paraId="30628A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E601114"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4C178EBD"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Censo electoral</w:t>
            </w:r>
          </w:p>
        </w:tc>
        <w:tc>
          <w:tcPr>
            <w:tcW w:w="3798" w:type="dxa"/>
            <w:tcBorders>
              <w:top w:val="nil"/>
              <w:left w:val="nil"/>
              <w:bottom w:val="single" w:sz="4" w:space="0" w:color="000000"/>
              <w:right w:val="single" w:sz="4" w:space="0" w:color="000000"/>
            </w:tcBorders>
            <w:shd w:val="clear" w:color="000000" w:fill="FFFFFF"/>
            <w:hideMark/>
          </w:tcPr>
          <w:p w14:paraId="3ECBD78E"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Censo electoral</w:t>
            </w:r>
          </w:p>
        </w:tc>
        <w:tc>
          <w:tcPr>
            <w:tcW w:w="3798" w:type="dxa"/>
            <w:tcBorders>
              <w:top w:val="nil"/>
              <w:left w:val="nil"/>
              <w:bottom w:val="single" w:sz="4" w:space="0" w:color="000000"/>
              <w:right w:val="single" w:sz="4" w:space="0" w:color="000000"/>
            </w:tcBorders>
            <w:shd w:val="clear" w:color="000000" w:fill="FFFFFF"/>
            <w:hideMark/>
          </w:tcPr>
          <w:p w14:paraId="2D1935D5" w14:textId="77777777" w:rsidR="00222F34" w:rsidRPr="00222F34" w:rsidRDefault="00222F34" w:rsidP="00222F34">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Censo electoral</w:t>
            </w:r>
          </w:p>
        </w:tc>
        <w:tc>
          <w:tcPr>
            <w:tcW w:w="1480" w:type="dxa"/>
            <w:tcBorders>
              <w:top w:val="nil"/>
              <w:left w:val="nil"/>
              <w:bottom w:val="single" w:sz="4" w:space="0" w:color="000000"/>
              <w:right w:val="single" w:sz="4" w:space="0" w:color="000000"/>
            </w:tcBorders>
            <w:shd w:val="clear" w:color="000000" w:fill="FFFFFF"/>
            <w:hideMark/>
          </w:tcPr>
          <w:p w14:paraId="3B32FEA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4C4541E"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367BFFE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45.- Concepto.</w:t>
            </w:r>
            <w:r w:rsidRPr="00222F34">
              <w:rPr>
                <w:rFonts w:ascii="Calibri" w:eastAsia="Times New Roman" w:hAnsi="Calibri" w:cs="Calibri"/>
                <w:color w:val="000000"/>
                <w:lang w:val="es-CO" w:eastAsia="es-CO" w:bidi="ar-SA"/>
              </w:rPr>
              <w:t xml:space="preserve"> El censo electoral es el instrumento técnico elaborado por la Registraduría Nacional del Estado Civil, que contiene la relación de las cédulas de ciudadanía de los ciudadanos colombianos mayores 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habilitados para ejercer el derecho al voto en cada jornada electoral.  </w:t>
            </w:r>
          </w:p>
        </w:tc>
        <w:tc>
          <w:tcPr>
            <w:tcW w:w="3798" w:type="dxa"/>
            <w:tcBorders>
              <w:top w:val="nil"/>
              <w:left w:val="nil"/>
              <w:bottom w:val="nil"/>
              <w:right w:val="single" w:sz="4" w:space="0" w:color="000000"/>
            </w:tcBorders>
            <w:shd w:val="clear" w:color="000000" w:fill="FFFFFF"/>
            <w:hideMark/>
          </w:tcPr>
          <w:p w14:paraId="4E14763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49. Concepto</w:t>
            </w:r>
            <w:r w:rsidRPr="00222F34">
              <w:rPr>
                <w:rFonts w:ascii="Calibri" w:eastAsia="Times New Roman" w:hAnsi="Calibri" w:cs="Calibri"/>
                <w:color w:val="000000"/>
                <w:lang w:val="es-CO" w:eastAsia="es-CO" w:bidi="ar-SA"/>
              </w:rPr>
              <w:t>. El censo electoral es el instrumento técnico elaborado por la Registraduría Nacional del Estado Civil, que contiene la relación de las cédulas de ciudadanía de los ciudadanos colombianos mayores 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habilitados, que se requieren para la validez de los actos y las votaciones consagrados en la Constitución Política y la ley.</w:t>
            </w:r>
          </w:p>
        </w:tc>
        <w:tc>
          <w:tcPr>
            <w:tcW w:w="3798" w:type="dxa"/>
            <w:tcBorders>
              <w:top w:val="nil"/>
              <w:left w:val="nil"/>
              <w:bottom w:val="nil"/>
              <w:right w:val="single" w:sz="4" w:space="0" w:color="000000"/>
            </w:tcBorders>
            <w:shd w:val="clear" w:color="000000" w:fill="FFFFFF"/>
            <w:hideMark/>
          </w:tcPr>
          <w:p w14:paraId="0207F22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49.- Concepto.</w:t>
            </w:r>
            <w:r w:rsidRPr="00222F34">
              <w:rPr>
                <w:rFonts w:ascii="Calibri" w:eastAsia="Times New Roman" w:hAnsi="Calibri" w:cs="Calibri"/>
                <w:color w:val="000000"/>
                <w:lang w:val="es-CO" w:eastAsia="es-CO" w:bidi="ar-SA"/>
              </w:rPr>
              <w:t xml:space="preserve"> El censo electoral es el instrumento técnico elaborado por la Registraduría Nacional del Estado Civil, que contiene la relación de las cédulas de ciudadanía de los ciudadanos colombianos mayores 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habilitados para ejercer el derecho al voto en cada jornada electoral.  </w:t>
            </w:r>
          </w:p>
        </w:tc>
        <w:tc>
          <w:tcPr>
            <w:tcW w:w="1480" w:type="dxa"/>
            <w:tcBorders>
              <w:top w:val="nil"/>
              <w:left w:val="nil"/>
              <w:bottom w:val="nil"/>
              <w:right w:val="single" w:sz="4" w:space="0" w:color="000000"/>
            </w:tcBorders>
            <w:shd w:val="clear" w:color="000000" w:fill="FFFFFF"/>
            <w:hideMark/>
          </w:tcPr>
          <w:p w14:paraId="05E1714D" w14:textId="69B1ECFC"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400DF6B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ADBD5C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con el apoyo de la Unidad Administrativa Especial Migración Colombia o quién haga sus veces, elaborará adicionalmente un censo electoral, con el registro de las cédulas de extranjería de residentes.  </w:t>
            </w:r>
          </w:p>
        </w:tc>
        <w:tc>
          <w:tcPr>
            <w:tcW w:w="3798" w:type="dxa"/>
            <w:tcBorders>
              <w:top w:val="nil"/>
              <w:left w:val="nil"/>
              <w:bottom w:val="nil"/>
              <w:right w:val="single" w:sz="4" w:space="0" w:color="000000"/>
            </w:tcBorders>
            <w:shd w:val="clear" w:color="000000" w:fill="FFFFFF"/>
            <w:hideMark/>
          </w:tcPr>
          <w:p w14:paraId="0EA4606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La Registraduría Nacional del Estado Civil, con el apoyo de la Unidad Administrativa Especial Migración Colombia o quién haga sus veces, elaborará adicionalmente un censo electoral, con el registro de las cédulas de extranjería de residentes.</w:t>
            </w:r>
          </w:p>
        </w:tc>
        <w:tc>
          <w:tcPr>
            <w:tcW w:w="3798" w:type="dxa"/>
            <w:tcBorders>
              <w:top w:val="nil"/>
              <w:left w:val="nil"/>
              <w:bottom w:val="nil"/>
              <w:right w:val="single" w:sz="4" w:space="0" w:color="000000"/>
            </w:tcBorders>
            <w:shd w:val="clear" w:color="000000" w:fill="FFFFFF"/>
            <w:hideMark/>
          </w:tcPr>
          <w:p w14:paraId="53127D3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con el apoyo de la Unidad Administrativa Especial Migración Colombia o quién haga sus veces, elaborará adicionalmente un censo electoral, con el registro de las cédulas de extranjería de residentes.  </w:t>
            </w:r>
          </w:p>
        </w:tc>
        <w:tc>
          <w:tcPr>
            <w:tcW w:w="1480" w:type="dxa"/>
            <w:tcBorders>
              <w:top w:val="nil"/>
              <w:left w:val="nil"/>
              <w:bottom w:val="nil"/>
              <w:right w:val="single" w:sz="4" w:space="0" w:color="000000"/>
            </w:tcBorders>
            <w:shd w:val="clear" w:color="000000" w:fill="FFFFFF"/>
            <w:hideMark/>
          </w:tcPr>
          <w:p w14:paraId="075AC39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0ED704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2BF485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extranjeros habilitados podrán ejercer el derecho al voto en los </w:t>
            </w:r>
            <w:r w:rsidRPr="00222F34">
              <w:rPr>
                <w:rFonts w:ascii="Calibri" w:eastAsia="Times New Roman" w:hAnsi="Calibri" w:cs="Calibri"/>
                <w:color w:val="000000"/>
                <w:lang w:val="es-CO" w:eastAsia="es-CO" w:bidi="ar-SA"/>
              </w:rPr>
              <w:lastRenderedPageBreak/>
              <w:t xml:space="preserve">comicios distritales, municipales y locales. </w:t>
            </w:r>
          </w:p>
        </w:tc>
        <w:tc>
          <w:tcPr>
            <w:tcW w:w="3798" w:type="dxa"/>
            <w:tcBorders>
              <w:top w:val="nil"/>
              <w:left w:val="nil"/>
              <w:bottom w:val="nil"/>
              <w:right w:val="single" w:sz="4" w:space="0" w:color="000000"/>
            </w:tcBorders>
            <w:shd w:val="clear" w:color="000000" w:fill="FFFFFF"/>
            <w:hideMark/>
          </w:tcPr>
          <w:p w14:paraId="2F46F45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extranjeros habilitados podrán ejercer el derecho al voto en los </w:t>
            </w:r>
            <w:r w:rsidRPr="00222F34">
              <w:rPr>
                <w:rFonts w:ascii="Calibri" w:eastAsia="Times New Roman" w:hAnsi="Calibri" w:cs="Calibri"/>
                <w:color w:val="000000"/>
                <w:lang w:val="es-CO" w:eastAsia="es-CO" w:bidi="ar-SA"/>
              </w:rPr>
              <w:lastRenderedPageBreak/>
              <w:t>comicios distritales, municipales y locales.</w:t>
            </w:r>
          </w:p>
        </w:tc>
        <w:tc>
          <w:tcPr>
            <w:tcW w:w="3798" w:type="dxa"/>
            <w:tcBorders>
              <w:top w:val="nil"/>
              <w:left w:val="nil"/>
              <w:bottom w:val="nil"/>
              <w:right w:val="single" w:sz="4" w:space="0" w:color="000000"/>
            </w:tcBorders>
            <w:shd w:val="clear" w:color="000000" w:fill="FFFFFF"/>
            <w:hideMark/>
          </w:tcPr>
          <w:p w14:paraId="50198DF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extranjeros habilitados podrán ejercer el derecho al voto en los </w:t>
            </w:r>
            <w:r w:rsidRPr="00222F34">
              <w:rPr>
                <w:rFonts w:ascii="Calibri" w:eastAsia="Times New Roman" w:hAnsi="Calibri" w:cs="Calibri"/>
                <w:color w:val="000000"/>
                <w:lang w:val="es-CO" w:eastAsia="es-CO" w:bidi="ar-SA"/>
              </w:rPr>
              <w:lastRenderedPageBreak/>
              <w:t xml:space="preserve">comicios distritales, municipales y locales. </w:t>
            </w:r>
          </w:p>
        </w:tc>
        <w:tc>
          <w:tcPr>
            <w:tcW w:w="1480" w:type="dxa"/>
            <w:tcBorders>
              <w:top w:val="nil"/>
              <w:left w:val="nil"/>
              <w:bottom w:val="nil"/>
              <w:right w:val="single" w:sz="4" w:space="0" w:color="000000"/>
            </w:tcBorders>
            <w:shd w:val="clear" w:color="000000" w:fill="FFFFFF"/>
            <w:hideMark/>
          </w:tcPr>
          <w:p w14:paraId="7F692CE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052BFFC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FF8B76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Para las elecciones de Consejos de Juventud se conformará un censo independiente al previsto para elecciones ordinarias conformado por jóvenes entre catorce (14) y veintiocho (28) años.  </w:t>
            </w:r>
          </w:p>
        </w:tc>
        <w:tc>
          <w:tcPr>
            <w:tcW w:w="3798" w:type="dxa"/>
            <w:tcBorders>
              <w:top w:val="nil"/>
              <w:left w:val="nil"/>
              <w:bottom w:val="nil"/>
              <w:right w:val="single" w:sz="4" w:space="0" w:color="000000"/>
            </w:tcBorders>
            <w:shd w:val="clear" w:color="000000" w:fill="FFFFFF"/>
            <w:hideMark/>
          </w:tcPr>
          <w:p w14:paraId="73A07D9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Para las elecciones de Consejos de Juventud se conformará un censo independiente al previsto para elecciones ordinarias conformado por jóvenes entre catorce (14) y veintiocho (28) años.</w:t>
            </w:r>
          </w:p>
        </w:tc>
        <w:tc>
          <w:tcPr>
            <w:tcW w:w="3798" w:type="dxa"/>
            <w:tcBorders>
              <w:top w:val="nil"/>
              <w:left w:val="nil"/>
              <w:bottom w:val="nil"/>
              <w:right w:val="single" w:sz="4" w:space="0" w:color="000000"/>
            </w:tcBorders>
            <w:shd w:val="clear" w:color="000000" w:fill="FFFFFF"/>
            <w:hideMark/>
          </w:tcPr>
          <w:p w14:paraId="6EFF4F1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las elecciones de Consejos de Juventud se conformará un censo independiente al previsto para elecciones ordinarias conformado por jóvenes entre catorce (14) y veintiocho (28) años.  </w:t>
            </w:r>
          </w:p>
        </w:tc>
        <w:tc>
          <w:tcPr>
            <w:tcW w:w="1480" w:type="dxa"/>
            <w:tcBorders>
              <w:top w:val="nil"/>
              <w:left w:val="nil"/>
              <w:bottom w:val="nil"/>
              <w:right w:val="single" w:sz="4" w:space="0" w:color="000000"/>
            </w:tcBorders>
            <w:shd w:val="clear" w:color="000000" w:fill="FFFFFF"/>
            <w:hideMark/>
          </w:tcPr>
          <w:p w14:paraId="538A8C0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968F96B"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0400577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Este censo se actualizará y depurará de manera permanente, en atención a lo previsto en este Código.  </w:t>
            </w:r>
          </w:p>
        </w:tc>
        <w:tc>
          <w:tcPr>
            <w:tcW w:w="3798" w:type="dxa"/>
            <w:tcBorders>
              <w:top w:val="nil"/>
              <w:left w:val="nil"/>
              <w:bottom w:val="single" w:sz="4" w:space="0" w:color="000000"/>
              <w:right w:val="single" w:sz="4" w:space="0" w:color="000000"/>
            </w:tcBorders>
            <w:shd w:val="clear" w:color="000000" w:fill="FFFFFF"/>
            <w:hideMark/>
          </w:tcPr>
          <w:p w14:paraId="1C27AE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Este censo se actualizará y depurará de manera permanente, en atención a lo previsto en este Código.</w:t>
            </w:r>
          </w:p>
        </w:tc>
        <w:tc>
          <w:tcPr>
            <w:tcW w:w="3798" w:type="dxa"/>
            <w:tcBorders>
              <w:top w:val="nil"/>
              <w:left w:val="nil"/>
              <w:bottom w:val="single" w:sz="4" w:space="0" w:color="000000"/>
              <w:right w:val="single" w:sz="4" w:space="0" w:color="000000"/>
            </w:tcBorders>
            <w:shd w:val="clear" w:color="000000" w:fill="FFFFFF"/>
            <w:hideMark/>
          </w:tcPr>
          <w:p w14:paraId="3964B2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Este censo se actualizará y depurará de manera permanente, en atención a lo previsto en este Código.  </w:t>
            </w:r>
          </w:p>
        </w:tc>
        <w:tc>
          <w:tcPr>
            <w:tcW w:w="1480" w:type="dxa"/>
            <w:tcBorders>
              <w:top w:val="nil"/>
              <w:left w:val="nil"/>
              <w:bottom w:val="single" w:sz="4" w:space="0" w:color="000000"/>
              <w:right w:val="single" w:sz="4" w:space="0" w:color="000000"/>
            </w:tcBorders>
            <w:shd w:val="clear" w:color="000000" w:fill="FFFFFF"/>
            <w:hideMark/>
          </w:tcPr>
          <w:p w14:paraId="671E1DC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F84D10D"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1B353219"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46. Conformación.</w:t>
            </w:r>
            <w:r w:rsidRPr="00222F34">
              <w:rPr>
                <w:rFonts w:ascii="Calibri" w:eastAsia="Times New Roman" w:hAnsi="Calibri" w:cs="Calibri"/>
                <w:color w:val="000000"/>
                <w:lang w:val="es-CO" w:eastAsia="es-CO" w:bidi="ar-SA"/>
              </w:rPr>
              <w:t xml:space="preserve"> 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población étnica, o con discapacidad, y la última dirección del domicilio electoral, datos suministrados por el ciudadano o extranjero residente en el país. </w:t>
            </w:r>
          </w:p>
        </w:tc>
        <w:tc>
          <w:tcPr>
            <w:tcW w:w="3798" w:type="dxa"/>
            <w:tcBorders>
              <w:top w:val="nil"/>
              <w:left w:val="nil"/>
              <w:bottom w:val="nil"/>
              <w:right w:val="single" w:sz="4" w:space="0" w:color="000000"/>
            </w:tcBorders>
            <w:shd w:val="clear" w:color="000000" w:fill="FFFFFF"/>
            <w:hideMark/>
          </w:tcPr>
          <w:p w14:paraId="62CFB3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50. Conformación</w:t>
            </w:r>
            <w:r w:rsidRPr="00222F34">
              <w:rPr>
                <w:rFonts w:ascii="Calibri" w:eastAsia="Times New Roman" w:hAnsi="Calibri" w:cs="Calibri"/>
                <w:color w:val="000000"/>
                <w:lang w:val="es-CO" w:eastAsia="es-CO" w:bidi="ar-SA"/>
              </w:rPr>
              <w:t>. 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población étnica, o con discapacidad, y la última dirección del domicilio electoral, datos suministrados por el ciudadano o extranjero residente en el país.</w:t>
            </w:r>
          </w:p>
        </w:tc>
        <w:tc>
          <w:tcPr>
            <w:tcW w:w="3798" w:type="dxa"/>
            <w:tcBorders>
              <w:top w:val="nil"/>
              <w:left w:val="nil"/>
              <w:bottom w:val="nil"/>
              <w:right w:val="single" w:sz="4" w:space="0" w:color="000000"/>
            </w:tcBorders>
            <w:shd w:val="clear" w:color="000000" w:fill="FFFFFF"/>
            <w:hideMark/>
          </w:tcPr>
          <w:p w14:paraId="552E23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50. Conformación</w:t>
            </w:r>
            <w:r w:rsidRPr="00222F34">
              <w:rPr>
                <w:rFonts w:ascii="Calibri" w:eastAsia="Times New Roman" w:hAnsi="Calibri" w:cs="Calibri"/>
                <w:color w:val="000000"/>
                <w:lang w:val="es-CO" w:eastAsia="es-CO" w:bidi="ar-SA"/>
              </w:rPr>
              <w:t>. 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población étnica, o con discapacidad, y la última dirección del domicilio electoral, datos suministrados por el ciudadano o extranjero residente en el país.</w:t>
            </w:r>
          </w:p>
        </w:tc>
        <w:tc>
          <w:tcPr>
            <w:tcW w:w="1480" w:type="dxa"/>
            <w:tcBorders>
              <w:top w:val="nil"/>
              <w:left w:val="nil"/>
              <w:bottom w:val="nil"/>
              <w:right w:val="single" w:sz="4" w:space="0" w:color="000000"/>
            </w:tcBorders>
            <w:shd w:val="clear" w:color="000000" w:fill="FFFFFF"/>
            <w:hideMark/>
          </w:tcPr>
          <w:p w14:paraId="661ADC5D" w14:textId="6E7B3CF3"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658D41E3" w14:textId="77777777" w:rsidTr="00222F34">
        <w:trPr>
          <w:trHeight w:val="2700"/>
        </w:trPr>
        <w:tc>
          <w:tcPr>
            <w:tcW w:w="3798" w:type="dxa"/>
            <w:tcBorders>
              <w:top w:val="nil"/>
              <w:left w:val="single" w:sz="4" w:space="0" w:color="000000"/>
              <w:bottom w:val="single" w:sz="4" w:space="0" w:color="000000"/>
              <w:right w:val="single" w:sz="4" w:space="0" w:color="000000"/>
            </w:tcBorders>
            <w:shd w:val="clear" w:color="000000" w:fill="FFFFFF"/>
            <w:hideMark/>
          </w:tcPr>
          <w:p w14:paraId="15549D7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tc>
        <w:tc>
          <w:tcPr>
            <w:tcW w:w="3798" w:type="dxa"/>
            <w:tcBorders>
              <w:top w:val="nil"/>
              <w:left w:val="nil"/>
              <w:bottom w:val="single" w:sz="4" w:space="0" w:color="000000"/>
              <w:right w:val="single" w:sz="4" w:space="0" w:color="000000"/>
            </w:tcBorders>
            <w:shd w:val="clear" w:color="000000" w:fill="FFFFFF"/>
            <w:hideMark/>
          </w:tcPr>
          <w:p w14:paraId="6A29AB7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tc>
        <w:tc>
          <w:tcPr>
            <w:tcW w:w="3798" w:type="dxa"/>
            <w:tcBorders>
              <w:top w:val="nil"/>
              <w:left w:val="nil"/>
              <w:bottom w:val="single" w:sz="4" w:space="0" w:color="000000"/>
              <w:right w:val="single" w:sz="4" w:space="0" w:color="000000"/>
            </w:tcBorders>
            <w:shd w:val="clear" w:color="000000" w:fill="FFFFFF"/>
            <w:hideMark/>
          </w:tcPr>
          <w:p w14:paraId="5BA471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tc>
        <w:tc>
          <w:tcPr>
            <w:tcW w:w="1480" w:type="dxa"/>
            <w:tcBorders>
              <w:top w:val="nil"/>
              <w:left w:val="nil"/>
              <w:bottom w:val="single" w:sz="4" w:space="0" w:color="000000"/>
              <w:right w:val="single" w:sz="4" w:space="0" w:color="000000"/>
            </w:tcBorders>
            <w:shd w:val="clear" w:color="000000" w:fill="FFFFFF"/>
            <w:hideMark/>
          </w:tcPr>
          <w:p w14:paraId="4EB3DF6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1719D5C"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77257D66" w14:textId="5B257FBB"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47. De la modificación de los datos en el censo electoral.</w:t>
            </w:r>
            <w:r w:rsidRPr="00222F34">
              <w:rPr>
                <w:rFonts w:ascii="Calibri" w:eastAsia="Times New Roman" w:hAnsi="Calibri" w:cs="Calibri"/>
                <w:color w:val="000000"/>
                <w:lang w:val="es-CO" w:eastAsia="es-CO" w:bidi="ar-SA"/>
              </w:rPr>
              <w:t xml:space="preserve"> Los ciudadanos y jóvenes entre catorce (14) y di</w:t>
            </w:r>
            <w:r w:rsidR="00CB0531">
              <w:rPr>
                <w:rFonts w:ascii="Calibri" w:eastAsia="Times New Roman" w:hAnsi="Calibri" w:cs="Calibri"/>
                <w:color w:val="000000"/>
                <w:lang w:val="es-CO" w:eastAsia="es-CO" w:bidi="ar-SA"/>
              </w:rPr>
              <w:t>e</w:t>
            </w:r>
            <w:r w:rsidRPr="00222F34">
              <w:rPr>
                <w:rFonts w:ascii="Calibri" w:eastAsia="Times New Roman" w:hAnsi="Calibri" w:cs="Calibri"/>
                <w:color w:val="000000"/>
                <w:lang w:val="es-CO" w:eastAsia="es-CO" w:bidi="ar-SA"/>
              </w:rPr>
              <w:t>cisiete (17) años podrán modificar los datos manifestados en el momento de la conformación de los respectivos censos electorales de manera parcial o total.</w:t>
            </w:r>
          </w:p>
        </w:tc>
        <w:tc>
          <w:tcPr>
            <w:tcW w:w="3798" w:type="dxa"/>
            <w:tcBorders>
              <w:top w:val="nil"/>
              <w:left w:val="nil"/>
              <w:bottom w:val="single" w:sz="4" w:space="0" w:color="000000"/>
              <w:right w:val="single" w:sz="4" w:space="0" w:color="000000"/>
            </w:tcBorders>
            <w:shd w:val="clear" w:color="000000" w:fill="FFFFFF"/>
            <w:hideMark/>
          </w:tcPr>
          <w:p w14:paraId="7448AD6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51. De la modificación de los datos en el censo electoral. </w:t>
            </w:r>
            <w:r w:rsidRPr="00222F34">
              <w:rPr>
                <w:rFonts w:ascii="Calibri" w:eastAsia="Times New Roman" w:hAnsi="Calibri" w:cs="Calibri"/>
                <w:color w:val="000000"/>
                <w:lang w:val="es-CO" w:eastAsia="es-CO" w:bidi="ar-SA"/>
              </w:rPr>
              <w:t>Los ciudadanos y jóvenes entre catorce (14) y diecisiete (17) años podrán modificar los datos manifestados en el momento de la conformación de los respectivos censos electorales de manera parcial o total.</w:t>
            </w:r>
          </w:p>
        </w:tc>
        <w:tc>
          <w:tcPr>
            <w:tcW w:w="3798" w:type="dxa"/>
            <w:tcBorders>
              <w:top w:val="nil"/>
              <w:left w:val="nil"/>
              <w:bottom w:val="single" w:sz="4" w:space="0" w:color="000000"/>
              <w:right w:val="single" w:sz="4" w:space="0" w:color="000000"/>
            </w:tcBorders>
            <w:shd w:val="clear" w:color="000000" w:fill="FFFFFF"/>
            <w:hideMark/>
          </w:tcPr>
          <w:p w14:paraId="2330883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51. De la modificación de los datos en el censo electoral. </w:t>
            </w:r>
            <w:r w:rsidRPr="00222F34">
              <w:rPr>
                <w:rFonts w:ascii="Calibri" w:eastAsia="Times New Roman" w:hAnsi="Calibri" w:cs="Calibri"/>
                <w:color w:val="000000"/>
                <w:lang w:val="es-CO" w:eastAsia="es-CO" w:bidi="ar-SA"/>
              </w:rPr>
              <w:t>Los ciudadanos y jóvenes entre catorce (14) y diecisiete (17) años podrán modificar los datos manifestados en el momento de la conformación de los respectivos censos electorales de manera parcial o total.</w:t>
            </w:r>
          </w:p>
        </w:tc>
        <w:tc>
          <w:tcPr>
            <w:tcW w:w="1480" w:type="dxa"/>
            <w:tcBorders>
              <w:top w:val="nil"/>
              <w:left w:val="nil"/>
              <w:bottom w:val="single" w:sz="4" w:space="0" w:color="000000"/>
              <w:right w:val="single" w:sz="4" w:space="0" w:color="000000"/>
            </w:tcBorders>
            <w:shd w:val="clear" w:color="000000" w:fill="FFFFFF"/>
            <w:hideMark/>
          </w:tcPr>
          <w:p w14:paraId="17E6199F" w14:textId="4DF7145C"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4206ACC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AEBFE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48. Incorporaciones al censo electoral.</w:t>
            </w:r>
            <w:r w:rsidRPr="00222F34">
              <w:rPr>
                <w:rFonts w:ascii="Calibri" w:eastAsia="Times New Roman" w:hAnsi="Calibri" w:cs="Calibri"/>
                <w:color w:val="000000"/>
                <w:lang w:val="es-CO" w:eastAsia="es-CO" w:bidi="ar-SA"/>
              </w:rPr>
              <w:t xml:space="preserve"> Serán incorporados al censo </w:t>
            </w:r>
            <w:r w:rsidRPr="00222F34">
              <w:rPr>
                <w:rFonts w:ascii="Calibri" w:eastAsia="Times New Roman" w:hAnsi="Calibri" w:cs="Calibri"/>
                <w:color w:val="000000"/>
                <w:lang w:val="es-CO" w:eastAsia="es-CO" w:bidi="ar-SA"/>
              </w:rPr>
              <w:lastRenderedPageBreak/>
              <w:t xml:space="preserve">electoral los ciudadanos que se encuentren en los siguientes casos: </w:t>
            </w:r>
          </w:p>
        </w:tc>
        <w:tc>
          <w:tcPr>
            <w:tcW w:w="3798" w:type="dxa"/>
            <w:tcBorders>
              <w:top w:val="nil"/>
              <w:left w:val="nil"/>
              <w:bottom w:val="nil"/>
              <w:right w:val="single" w:sz="4" w:space="0" w:color="000000"/>
            </w:tcBorders>
            <w:shd w:val="clear" w:color="00FF00" w:fill="FFFFFF"/>
            <w:hideMark/>
          </w:tcPr>
          <w:p w14:paraId="0104763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52. Incorporaciones al censo electoral.</w:t>
            </w:r>
            <w:r w:rsidRPr="00222F34">
              <w:rPr>
                <w:rFonts w:ascii="Calibri" w:eastAsia="Times New Roman" w:hAnsi="Calibri" w:cs="Calibri"/>
                <w:color w:val="000000"/>
                <w:lang w:val="es-CO" w:eastAsia="es-CO" w:bidi="ar-SA"/>
              </w:rPr>
              <w:t xml:space="preserve"> Serán incorporados al censo </w:t>
            </w:r>
            <w:r w:rsidRPr="00222F34">
              <w:rPr>
                <w:rFonts w:ascii="Calibri" w:eastAsia="Times New Roman" w:hAnsi="Calibri" w:cs="Calibri"/>
                <w:color w:val="000000"/>
                <w:lang w:val="es-CO" w:eastAsia="es-CO" w:bidi="ar-SA"/>
              </w:rPr>
              <w:lastRenderedPageBreak/>
              <w:t>electoral los ciudadanos que se encuentren en los siguientes casos:</w:t>
            </w:r>
          </w:p>
        </w:tc>
        <w:tc>
          <w:tcPr>
            <w:tcW w:w="3798" w:type="dxa"/>
            <w:tcBorders>
              <w:top w:val="nil"/>
              <w:left w:val="nil"/>
              <w:bottom w:val="nil"/>
              <w:right w:val="single" w:sz="4" w:space="0" w:color="000000"/>
            </w:tcBorders>
            <w:shd w:val="clear" w:color="00FF00" w:fill="FFFFFF"/>
            <w:hideMark/>
          </w:tcPr>
          <w:p w14:paraId="233783B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52. Incorporaciones al censo electoral.</w:t>
            </w:r>
            <w:r w:rsidRPr="00222F34">
              <w:rPr>
                <w:rFonts w:ascii="Calibri" w:eastAsia="Times New Roman" w:hAnsi="Calibri" w:cs="Calibri"/>
                <w:color w:val="000000"/>
                <w:lang w:val="es-CO" w:eastAsia="es-CO" w:bidi="ar-SA"/>
              </w:rPr>
              <w:t xml:space="preserve"> Serán incorporados al censo </w:t>
            </w:r>
            <w:r w:rsidRPr="00222F34">
              <w:rPr>
                <w:rFonts w:ascii="Calibri" w:eastAsia="Times New Roman" w:hAnsi="Calibri" w:cs="Calibri"/>
                <w:color w:val="000000"/>
                <w:lang w:val="es-CO" w:eastAsia="es-CO" w:bidi="ar-SA"/>
              </w:rPr>
              <w:lastRenderedPageBreak/>
              <w:t>electoral los ciudadanos que se encuentren en los siguientes casos:</w:t>
            </w:r>
          </w:p>
        </w:tc>
        <w:tc>
          <w:tcPr>
            <w:tcW w:w="1480" w:type="dxa"/>
            <w:tcBorders>
              <w:top w:val="nil"/>
              <w:left w:val="nil"/>
              <w:bottom w:val="nil"/>
              <w:right w:val="single" w:sz="4" w:space="0" w:color="000000"/>
            </w:tcBorders>
            <w:shd w:val="clear" w:color="000000" w:fill="FFFFFF"/>
            <w:hideMark/>
          </w:tcPr>
          <w:p w14:paraId="23C46FED" w14:textId="7322AEA9"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222F34" w:rsidRPr="00222F34" w14:paraId="2A18A9F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51F300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Cuando se expida la cédula de ciudadanía por primera vez. </w:t>
            </w:r>
          </w:p>
        </w:tc>
        <w:tc>
          <w:tcPr>
            <w:tcW w:w="3798" w:type="dxa"/>
            <w:tcBorders>
              <w:top w:val="nil"/>
              <w:left w:val="nil"/>
              <w:bottom w:val="nil"/>
              <w:right w:val="single" w:sz="4" w:space="0" w:color="000000"/>
            </w:tcBorders>
            <w:shd w:val="clear" w:color="00FF00" w:fill="FFFFFF"/>
            <w:hideMark/>
          </w:tcPr>
          <w:p w14:paraId="6882B46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se expida la cédula de ciudadanía por primera vez.</w:t>
            </w:r>
          </w:p>
        </w:tc>
        <w:tc>
          <w:tcPr>
            <w:tcW w:w="3798" w:type="dxa"/>
            <w:tcBorders>
              <w:top w:val="nil"/>
              <w:left w:val="nil"/>
              <w:bottom w:val="nil"/>
              <w:right w:val="single" w:sz="4" w:space="0" w:color="000000"/>
            </w:tcBorders>
            <w:shd w:val="clear" w:color="00FF00" w:fill="FFFFFF"/>
            <w:hideMark/>
          </w:tcPr>
          <w:p w14:paraId="79503CF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se expida la cédula de ciudadanía por primera vez.</w:t>
            </w:r>
          </w:p>
        </w:tc>
        <w:tc>
          <w:tcPr>
            <w:tcW w:w="1480" w:type="dxa"/>
            <w:tcBorders>
              <w:top w:val="nil"/>
              <w:left w:val="nil"/>
              <w:bottom w:val="nil"/>
              <w:right w:val="single" w:sz="4" w:space="0" w:color="000000"/>
            </w:tcBorders>
            <w:shd w:val="clear" w:color="000000" w:fill="FFFFFF"/>
            <w:hideMark/>
          </w:tcPr>
          <w:p w14:paraId="163FD6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662545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F3E12C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se cumpla el término por el cual se interpuso la pena de inhabilitación para el ejercicio de derechos y funciones públicas. </w:t>
            </w:r>
          </w:p>
        </w:tc>
        <w:tc>
          <w:tcPr>
            <w:tcW w:w="3798" w:type="dxa"/>
            <w:tcBorders>
              <w:top w:val="nil"/>
              <w:left w:val="nil"/>
              <w:bottom w:val="nil"/>
              <w:right w:val="single" w:sz="4" w:space="0" w:color="000000"/>
            </w:tcBorders>
            <w:shd w:val="clear" w:color="00FF00" w:fill="FFFFFF"/>
            <w:hideMark/>
          </w:tcPr>
          <w:p w14:paraId="5B63E55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Cuando se cumpla el término por el cual se interpuso la pena de inhabilitación para el ejercicio de derechos y funciones públicas y/o de los derechos políticos.</w:t>
            </w:r>
          </w:p>
        </w:tc>
        <w:tc>
          <w:tcPr>
            <w:tcW w:w="3798" w:type="dxa"/>
            <w:tcBorders>
              <w:top w:val="nil"/>
              <w:left w:val="nil"/>
              <w:bottom w:val="nil"/>
              <w:right w:val="single" w:sz="4" w:space="0" w:color="000000"/>
            </w:tcBorders>
            <w:shd w:val="clear" w:color="00FF00" w:fill="FFFFFF"/>
            <w:hideMark/>
          </w:tcPr>
          <w:p w14:paraId="226119A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Cuando se cumpla el término por el cual se interpuso la pena de inhabilitación para el ejercicio de derechos y funciones públicas y/o de los derechos políticos.</w:t>
            </w:r>
          </w:p>
        </w:tc>
        <w:tc>
          <w:tcPr>
            <w:tcW w:w="1480" w:type="dxa"/>
            <w:tcBorders>
              <w:top w:val="nil"/>
              <w:left w:val="nil"/>
              <w:bottom w:val="nil"/>
              <w:right w:val="single" w:sz="4" w:space="0" w:color="000000"/>
            </w:tcBorders>
            <w:shd w:val="clear" w:color="000000" w:fill="FFFFFF"/>
            <w:hideMark/>
          </w:tcPr>
          <w:p w14:paraId="02223BF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1E3212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54A1B2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el ciudadano sea retirado del servicio activo de la fuerza pública, previa notificación del Ministerio de Defensa Nacional. </w:t>
            </w:r>
          </w:p>
        </w:tc>
        <w:tc>
          <w:tcPr>
            <w:tcW w:w="3798" w:type="dxa"/>
            <w:tcBorders>
              <w:top w:val="nil"/>
              <w:left w:val="nil"/>
              <w:bottom w:val="nil"/>
              <w:right w:val="single" w:sz="4" w:space="0" w:color="000000"/>
            </w:tcBorders>
            <w:shd w:val="clear" w:color="00FF00" w:fill="FFFFFF"/>
            <w:hideMark/>
          </w:tcPr>
          <w:p w14:paraId="77012CB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Cuando el ciudadano sea retirado del servicio activo de la fuerza pública, previa notificación del Ministerio de Defensa Nacional.</w:t>
            </w:r>
          </w:p>
        </w:tc>
        <w:tc>
          <w:tcPr>
            <w:tcW w:w="3798" w:type="dxa"/>
            <w:tcBorders>
              <w:top w:val="nil"/>
              <w:left w:val="nil"/>
              <w:bottom w:val="nil"/>
              <w:right w:val="single" w:sz="4" w:space="0" w:color="000000"/>
            </w:tcBorders>
            <w:shd w:val="clear" w:color="00FF00" w:fill="FFFFFF"/>
            <w:hideMark/>
          </w:tcPr>
          <w:p w14:paraId="031E52F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Cuando el ciudadano sea retirado del servicio activo de la fuerza pública, previa notificación del Ministerio de Defensa Nacional.</w:t>
            </w:r>
          </w:p>
        </w:tc>
        <w:tc>
          <w:tcPr>
            <w:tcW w:w="1480" w:type="dxa"/>
            <w:tcBorders>
              <w:top w:val="nil"/>
              <w:left w:val="nil"/>
              <w:bottom w:val="nil"/>
              <w:right w:val="single" w:sz="4" w:space="0" w:color="000000"/>
            </w:tcBorders>
            <w:shd w:val="clear" w:color="000000" w:fill="FFFFFF"/>
            <w:hideMark/>
          </w:tcPr>
          <w:p w14:paraId="3D625EF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881058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17A93D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Cuando la persona recupere o adquiera la nacionalidad colombiana. El Ministerio de Relaciones Exteriores enviará a la Registraduría Nacional del Estado Civil una relación de las personas que se encuentren en esta situación. </w:t>
            </w:r>
          </w:p>
        </w:tc>
        <w:tc>
          <w:tcPr>
            <w:tcW w:w="3798" w:type="dxa"/>
            <w:tcBorders>
              <w:top w:val="nil"/>
              <w:left w:val="nil"/>
              <w:bottom w:val="nil"/>
              <w:right w:val="single" w:sz="4" w:space="0" w:color="000000"/>
            </w:tcBorders>
            <w:shd w:val="clear" w:color="00FF00" w:fill="FFFFFF"/>
            <w:hideMark/>
          </w:tcPr>
          <w:p w14:paraId="5686FA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Cuando la persona recupere o adquiera la nacionalidad colombiana. El Ministerio de Relaciones Exteriores enviará a la Registraduría Nacional del Estado Civil una relación de las personas que se encuentren en esta situación.</w:t>
            </w:r>
          </w:p>
        </w:tc>
        <w:tc>
          <w:tcPr>
            <w:tcW w:w="3798" w:type="dxa"/>
            <w:tcBorders>
              <w:top w:val="nil"/>
              <w:left w:val="nil"/>
              <w:bottom w:val="nil"/>
              <w:right w:val="single" w:sz="4" w:space="0" w:color="000000"/>
            </w:tcBorders>
            <w:shd w:val="clear" w:color="00FF00" w:fill="FFFFFF"/>
            <w:hideMark/>
          </w:tcPr>
          <w:p w14:paraId="133665A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Cuando la persona recupere o adquiera la nacionalidad colombiana. El Ministerio de Relaciones Exteriores enviará a la Registraduría Nacional del Estado Civil una relación de las personas que se encuentren en esta situación.</w:t>
            </w:r>
          </w:p>
        </w:tc>
        <w:tc>
          <w:tcPr>
            <w:tcW w:w="1480" w:type="dxa"/>
            <w:tcBorders>
              <w:top w:val="nil"/>
              <w:left w:val="nil"/>
              <w:bottom w:val="nil"/>
              <w:right w:val="single" w:sz="4" w:space="0" w:color="000000"/>
            </w:tcBorders>
            <w:shd w:val="clear" w:color="000000" w:fill="FFFFFF"/>
            <w:hideMark/>
          </w:tcPr>
          <w:p w14:paraId="28E5873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B07447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8BDB68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censo electoral dispondrá de un registro del domicilio electoral independiente al previsto para las elecciones ordinarias, para los jóvenes entre los catorce (14) y veintiocho (28) años de edad. Este registro no aumentará la totalidad del censo para los efectos legales y constitucionales de las demás elecciones populares y de los mecanismos de participación ciudadana.</w:t>
            </w:r>
          </w:p>
        </w:tc>
        <w:tc>
          <w:tcPr>
            <w:tcW w:w="3798" w:type="dxa"/>
            <w:tcBorders>
              <w:top w:val="nil"/>
              <w:left w:val="nil"/>
              <w:bottom w:val="nil"/>
              <w:right w:val="single" w:sz="4" w:space="0" w:color="000000"/>
            </w:tcBorders>
            <w:shd w:val="clear" w:color="00FF00" w:fill="FFFFFF"/>
            <w:hideMark/>
          </w:tcPr>
          <w:p w14:paraId="0110328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censo electoral dispondrá de un registro del domicilio electoral independiente al previsto para las elecciones ordinarias, para los jóvenes entre los catorce (14) y veintiocho (28) años de edad. Este registro no aumentará la totalidad del censo para los efectos legales y constitucionales de las demás elecciones populares y de los mecanismos de participación ciudadana.</w:t>
            </w:r>
          </w:p>
        </w:tc>
        <w:tc>
          <w:tcPr>
            <w:tcW w:w="3798" w:type="dxa"/>
            <w:tcBorders>
              <w:top w:val="nil"/>
              <w:left w:val="nil"/>
              <w:bottom w:val="nil"/>
              <w:right w:val="single" w:sz="4" w:space="0" w:color="000000"/>
            </w:tcBorders>
            <w:shd w:val="clear" w:color="00FF00" w:fill="FFFFFF"/>
            <w:hideMark/>
          </w:tcPr>
          <w:p w14:paraId="656E7A6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censo electoral dispondrá de un registro del domicilio electoral independiente al previsto para las elecciones ordinarias, para los jóvenes entre los catorce (14) y veintiocho (28) años de edad. Este registro no aumentará la totalidad del censo para los efectos legales y constitucionales de las demás elecciones populares y de los mecanismos de participación ciudadana.</w:t>
            </w:r>
          </w:p>
        </w:tc>
        <w:tc>
          <w:tcPr>
            <w:tcW w:w="1480" w:type="dxa"/>
            <w:tcBorders>
              <w:top w:val="nil"/>
              <w:left w:val="nil"/>
              <w:bottom w:val="nil"/>
              <w:right w:val="single" w:sz="4" w:space="0" w:color="000000"/>
            </w:tcBorders>
            <w:shd w:val="clear" w:color="000000" w:fill="FFFFFF"/>
            <w:hideMark/>
          </w:tcPr>
          <w:p w14:paraId="5A5B48D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155447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0DA5E9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La Registraduría Nacional del Estado Civil implementará y/o pondrá a disposición las herramientas tecnológicas que faciliten las inclusiones, actualizaciones y/o modificaciones por parte de los ciudadanos y jóvenes.  </w:t>
            </w:r>
          </w:p>
        </w:tc>
        <w:tc>
          <w:tcPr>
            <w:tcW w:w="3798" w:type="dxa"/>
            <w:tcBorders>
              <w:top w:val="nil"/>
              <w:left w:val="nil"/>
              <w:bottom w:val="nil"/>
              <w:right w:val="single" w:sz="4" w:space="0" w:color="000000"/>
            </w:tcBorders>
            <w:shd w:val="clear" w:color="00FF00" w:fill="FFFFFF"/>
            <w:hideMark/>
          </w:tcPr>
          <w:p w14:paraId="346B030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implementará y/o pondrá a disposición las herramientas tecnológicas que faciliten las inclusiones, actualizaciones y/o modificaciones por parte de los ciudadanos y jóvenes.</w:t>
            </w:r>
          </w:p>
        </w:tc>
        <w:tc>
          <w:tcPr>
            <w:tcW w:w="3798" w:type="dxa"/>
            <w:tcBorders>
              <w:top w:val="nil"/>
              <w:left w:val="nil"/>
              <w:bottom w:val="nil"/>
              <w:right w:val="single" w:sz="4" w:space="0" w:color="000000"/>
            </w:tcBorders>
            <w:shd w:val="clear" w:color="00FF00" w:fill="FFFFFF"/>
            <w:hideMark/>
          </w:tcPr>
          <w:p w14:paraId="0860AE7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implementará y/o pondrá a disposición las herramientas tecnológicas que faciliten las inclusiones, actualizaciones y/o modificaciones por parte de los ciudadanos y jóvenes.</w:t>
            </w:r>
          </w:p>
        </w:tc>
        <w:tc>
          <w:tcPr>
            <w:tcW w:w="1480" w:type="dxa"/>
            <w:tcBorders>
              <w:top w:val="nil"/>
              <w:left w:val="nil"/>
              <w:bottom w:val="nil"/>
              <w:right w:val="single" w:sz="4" w:space="0" w:color="000000"/>
            </w:tcBorders>
            <w:shd w:val="clear" w:color="000000" w:fill="FFFFFF"/>
            <w:hideMark/>
          </w:tcPr>
          <w:p w14:paraId="0010D8A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DF362A5"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5F300DA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Para efectos del numeral 1 del presente artículo, quedará inscrito en el puesto votación más cercano a la dirección registrada para el trámite. </w:t>
            </w:r>
          </w:p>
        </w:tc>
        <w:tc>
          <w:tcPr>
            <w:tcW w:w="3798" w:type="dxa"/>
            <w:tcBorders>
              <w:top w:val="nil"/>
              <w:left w:val="nil"/>
              <w:bottom w:val="single" w:sz="4" w:space="0" w:color="000000"/>
              <w:right w:val="single" w:sz="4" w:space="0" w:color="000000"/>
            </w:tcBorders>
            <w:shd w:val="clear" w:color="00FF00" w:fill="FFFFFF"/>
            <w:hideMark/>
          </w:tcPr>
          <w:p w14:paraId="51889C4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Para efectos del numeral 1 del presente artículo, quedará inscrito en el puesto de votación más cercano a la dirección registrada para el trámite.</w:t>
            </w:r>
          </w:p>
        </w:tc>
        <w:tc>
          <w:tcPr>
            <w:tcW w:w="3798" w:type="dxa"/>
            <w:tcBorders>
              <w:top w:val="nil"/>
              <w:left w:val="nil"/>
              <w:bottom w:val="single" w:sz="4" w:space="0" w:color="000000"/>
              <w:right w:val="single" w:sz="4" w:space="0" w:color="000000"/>
            </w:tcBorders>
            <w:shd w:val="clear" w:color="00FF00" w:fill="FFFFFF"/>
            <w:hideMark/>
          </w:tcPr>
          <w:p w14:paraId="00E03D1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Para efectos del numeral 1 del presente artículo, quedará inscrito en el puesto de votación más cercano a la dirección registrada para el trámite.</w:t>
            </w:r>
          </w:p>
        </w:tc>
        <w:tc>
          <w:tcPr>
            <w:tcW w:w="1480" w:type="dxa"/>
            <w:tcBorders>
              <w:top w:val="nil"/>
              <w:left w:val="nil"/>
              <w:bottom w:val="single" w:sz="4" w:space="0" w:color="000000"/>
              <w:right w:val="single" w:sz="4" w:space="0" w:color="000000"/>
            </w:tcBorders>
            <w:shd w:val="clear" w:color="000000" w:fill="FFFFFF"/>
            <w:hideMark/>
          </w:tcPr>
          <w:p w14:paraId="35955B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E3BCD0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D1C1BF3"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49. Exclusiones del censo electoral.</w:t>
            </w:r>
            <w:r w:rsidRPr="00222F34">
              <w:rPr>
                <w:rFonts w:ascii="Calibri" w:eastAsia="Times New Roman" w:hAnsi="Calibri" w:cs="Calibri"/>
                <w:color w:val="000000"/>
                <w:lang w:val="es-CO" w:eastAsia="es-CO" w:bidi="ar-SA"/>
              </w:rPr>
              <w:t xml:space="preserve"> Serán excluidos del censo electoral, de manera temporal o permanente, los registros que hayan sido afectados por los siguientes eventos: </w:t>
            </w:r>
          </w:p>
        </w:tc>
        <w:tc>
          <w:tcPr>
            <w:tcW w:w="3798" w:type="dxa"/>
            <w:tcBorders>
              <w:top w:val="nil"/>
              <w:left w:val="nil"/>
              <w:bottom w:val="nil"/>
              <w:right w:val="single" w:sz="4" w:space="0" w:color="000000"/>
            </w:tcBorders>
            <w:shd w:val="clear" w:color="00FF00" w:fill="FFFFFF"/>
            <w:hideMark/>
          </w:tcPr>
          <w:p w14:paraId="7A69021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53. Exclusiones del censo electoral.</w:t>
            </w:r>
            <w:r w:rsidRPr="00222F34">
              <w:rPr>
                <w:rFonts w:ascii="Calibri" w:eastAsia="Times New Roman" w:hAnsi="Calibri" w:cs="Calibri"/>
                <w:color w:val="000000"/>
                <w:lang w:val="es-CO" w:eastAsia="es-CO" w:bidi="ar-SA"/>
              </w:rPr>
              <w:t xml:space="preserve"> Serán excluidos del censo electoral, de manera temporal o permanente, los registros que hayan sido afectados por los siguientes eventos:</w:t>
            </w:r>
          </w:p>
        </w:tc>
        <w:tc>
          <w:tcPr>
            <w:tcW w:w="3798" w:type="dxa"/>
            <w:tcBorders>
              <w:top w:val="nil"/>
              <w:left w:val="nil"/>
              <w:bottom w:val="nil"/>
              <w:right w:val="single" w:sz="4" w:space="0" w:color="000000"/>
            </w:tcBorders>
            <w:shd w:val="clear" w:color="00FF00" w:fill="FFFFFF"/>
            <w:hideMark/>
          </w:tcPr>
          <w:p w14:paraId="2982B4E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53. Exclusiones del censo electoral.</w:t>
            </w:r>
            <w:r w:rsidRPr="00222F34">
              <w:rPr>
                <w:rFonts w:ascii="Calibri" w:eastAsia="Times New Roman" w:hAnsi="Calibri" w:cs="Calibri"/>
                <w:color w:val="000000"/>
                <w:lang w:val="es-CO" w:eastAsia="es-CO" w:bidi="ar-SA"/>
              </w:rPr>
              <w:t xml:space="preserve"> Serán excluidos del censo electoral, de manera temporal o permanente, los registros que hayan sido afectados por los siguientes eventos:</w:t>
            </w:r>
          </w:p>
        </w:tc>
        <w:tc>
          <w:tcPr>
            <w:tcW w:w="1480" w:type="dxa"/>
            <w:tcBorders>
              <w:top w:val="nil"/>
              <w:left w:val="nil"/>
              <w:bottom w:val="nil"/>
              <w:right w:val="single" w:sz="4" w:space="0" w:color="000000"/>
            </w:tcBorders>
            <w:shd w:val="clear" w:color="000000" w:fill="FFFFFF"/>
            <w:hideMark/>
          </w:tcPr>
          <w:p w14:paraId="1663D053" w14:textId="785AE39F"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3A64165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7356D5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Cuando se produzca la muerte real o presunta declarada judicialmente de un ciudadano. </w:t>
            </w:r>
          </w:p>
        </w:tc>
        <w:tc>
          <w:tcPr>
            <w:tcW w:w="3798" w:type="dxa"/>
            <w:tcBorders>
              <w:top w:val="nil"/>
              <w:left w:val="nil"/>
              <w:bottom w:val="nil"/>
              <w:right w:val="single" w:sz="4" w:space="0" w:color="000000"/>
            </w:tcBorders>
            <w:shd w:val="clear" w:color="00FF00" w:fill="FFFFFF"/>
            <w:hideMark/>
          </w:tcPr>
          <w:p w14:paraId="47AFAC3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Cuando se produzca la muerte real o presunta declarada judicialmente de un ciudadano. </w:t>
            </w:r>
          </w:p>
        </w:tc>
        <w:tc>
          <w:tcPr>
            <w:tcW w:w="3798" w:type="dxa"/>
            <w:tcBorders>
              <w:top w:val="nil"/>
              <w:left w:val="nil"/>
              <w:bottom w:val="nil"/>
              <w:right w:val="single" w:sz="4" w:space="0" w:color="000000"/>
            </w:tcBorders>
            <w:shd w:val="clear" w:color="00FF00" w:fill="FFFFFF"/>
            <w:hideMark/>
          </w:tcPr>
          <w:p w14:paraId="396EBA7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Cuando se produzca la muerte real o presunta declarada judicialmente de un ciudadano. </w:t>
            </w:r>
          </w:p>
        </w:tc>
        <w:tc>
          <w:tcPr>
            <w:tcW w:w="1480" w:type="dxa"/>
            <w:tcBorders>
              <w:top w:val="nil"/>
              <w:left w:val="nil"/>
              <w:bottom w:val="nil"/>
              <w:right w:val="single" w:sz="4" w:space="0" w:color="000000"/>
            </w:tcBorders>
            <w:shd w:val="clear" w:color="000000" w:fill="FFFFFF"/>
            <w:hideMark/>
          </w:tcPr>
          <w:p w14:paraId="67F4EE3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63E67C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CB9D75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al ciudadano se le cancele la cédula de ciudadanía. </w:t>
            </w:r>
          </w:p>
        </w:tc>
        <w:tc>
          <w:tcPr>
            <w:tcW w:w="3798" w:type="dxa"/>
            <w:tcBorders>
              <w:top w:val="nil"/>
              <w:left w:val="nil"/>
              <w:bottom w:val="nil"/>
              <w:right w:val="single" w:sz="4" w:space="0" w:color="000000"/>
            </w:tcBorders>
            <w:shd w:val="clear" w:color="00FF00" w:fill="FFFFFF"/>
            <w:hideMark/>
          </w:tcPr>
          <w:p w14:paraId="7086958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al ciudadano se le cancele la cédula de ciudadanía. </w:t>
            </w:r>
          </w:p>
        </w:tc>
        <w:tc>
          <w:tcPr>
            <w:tcW w:w="3798" w:type="dxa"/>
            <w:tcBorders>
              <w:top w:val="nil"/>
              <w:left w:val="nil"/>
              <w:bottom w:val="nil"/>
              <w:right w:val="single" w:sz="4" w:space="0" w:color="000000"/>
            </w:tcBorders>
            <w:shd w:val="clear" w:color="00FF00" w:fill="FFFFFF"/>
            <w:hideMark/>
          </w:tcPr>
          <w:p w14:paraId="7623E22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al ciudadano se le cancele la cédula de ciudadanía. </w:t>
            </w:r>
          </w:p>
        </w:tc>
        <w:tc>
          <w:tcPr>
            <w:tcW w:w="1480" w:type="dxa"/>
            <w:tcBorders>
              <w:top w:val="nil"/>
              <w:left w:val="nil"/>
              <w:bottom w:val="nil"/>
              <w:right w:val="single" w:sz="4" w:space="0" w:color="000000"/>
            </w:tcBorders>
            <w:shd w:val="clear" w:color="000000" w:fill="FFFFFF"/>
            <w:hideMark/>
          </w:tcPr>
          <w:p w14:paraId="59A7679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FCA086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31FCE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se haya decretado la pena de inhabilitación para el ejercicio de derechos y funciones públicas del titular. </w:t>
            </w:r>
          </w:p>
        </w:tc>
        <w:tc>
          <w:tcPr>
            <w:tcW w:w="3798" w:type="dxa"/>
            <w:tcBorders>
              <w:top w:val="nil"/>
              <w:left w:val="nil"/>
              <w:bottom w:val="nil"/>
              <w:right w:val="single" w:sz="4" w:space="0" w:color="000000"/>
            </w:tcBorders>
            <w:shd w:val="clear" w:color="00FF00" w:fill="FFFFFF"/>
            <w:hideMark/>
          </w:tcPr>
          <w:p w14:paraId="164E61D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se haya decretado la pena de inhabilitación para el ejercicio de derechos y funciones públicas y/o suspensión de derechos políticos del titular. </w:t>
            </w:r>
          </w:p>
        </w:tc>
        <w:tc>
          <w:tcPr>
            <w:tcW w:w="3798" w:type="dxa"/>
            <w:tcBorders>
              <w:top w:val="nil"/>
              <w:left w:val="nil"/>
              <w:bottom w:val="nil"/>
              <w:right w:val="single" w:sz="4" w:space="0" w:color="000000"/>
            </w:tcBorders>
            <w:shd w:val="clear" w:color="00FF00" w:fill="FFFFFF"/>
            <w:hideMark/>
          </w:tcPr>
          <w:p w14:paraId="580BA81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se haya decretado la pena de inhabilitación para el ejercicio de derechos y funciones públicas y/o suspensión de derechos políticos del titular. </w:t>
            </w:r>
          </w:p>
        </w:tc>
        <w:tc>
          <w:tcPr>
            <w:tcW w:w="1480" w:type="dxa"/>
            <w:tcBorders>
              <w:top w:val="nil"/>
              <w:left w:val="nil"/>
              <w:bottom w:val="nil"/>
              <w:right w:val="single" w:sz="4" w:space="0" w:color="000000"/>
            </w:tcBorders>
            <w:shd w:val="clear" w:color="000000" w:fill="FFFFFF"/>
            <w:hideMark/>
          </w:tcPr>
          <w:p w14:paraId="523BEB9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0F2098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4B022C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Cuando el ciudadano haya renunciado o perdido su nacionalidad. El Ministerio de Relaciones Exteriores certificará y enviará a la Registraduría Nacional una </w:t>
            </w:r>
            <w:r w:rsidRPr="00222F34">
              <w:rPr>
                <w:rFonts w:ascii="Calibri" w:eastAsia="Times New Roman" w:hAnsi="Calibri" w:cs="Calibri"/>
                <w:color w:val="000000"/>
                <w:lang w:val="es-CO" w:eastAsia="es-CO" w:bidi="ar-SA"/>
              </w:rPr>
              <w:lastRenderedPageBreak/>
              <w:t xml:space="preserve">relación de las personas que se encuentren en esta situación. </w:t>
            </w:r>
          </w:p>
        </w:tc>
        <w:tc>
          <w:tcPr>
            <w:tcW w:w="3798" w:type="dxa"/>
            <w:tcBorders>
              <w:top w:val="nil"/>
              <w:left w:val="nil"/>
              <w:bottom w:val="nil"/>
              <w:right w:val="single" w:sz="4" w:space="0" w:color="000000"/>
            </w:tcBorders>
            <w:shd w:val="clear" w:color="00FF00" w:fill="FFFFFF"/>
            <w:hideMark/>
          </w:tcPr>
          <w:p w14:paraId="5432958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Cuando el ciudadano haya renunciado o perdido su nacionalidad. El Ministerio de Relaciones Exteriores certificará y enviará a la Registraduría Nacional una </w:t>
            </w:r>
            <w:r w:rsidRPr="00222F34">
              <w:rPr>
                <w:rFonts w:ascii="Calibri" w:eastAsia="Times New Roman" w:hAnsi="Calibri" w:cs="Calibri"/>
                <w:color w:val="000000"/>
                <w:lang w:val="es-CO" w:eastAsia="es-CO" w:bidi="ar-SA"/>
              </w:rPr>
              <w:lastRenderedPageBreak/>
              <w:t xml:space="preserve">relación de las personas que se encuentren en esta situación. </w:t>
            </w:r>
          </w:p>
        </w:tc>
        <w:tc>
          <w:tcPr>
            <w:tcW w:w="3798" w:type="dxa"/>
            <w:tcBorders>
              <w:top w:val="nil"/>
              <w:left w:val="nil"/>
              <w:bottom w:val="nil"/>
              <w:right w:val="single" w:sz="4" w:space="0" w:color="000000"/>
            </w:tcBorders>
            <w:shd w:val="clear" w:color="00FF00" w:fill="FFFFFF"/>
            <w:hideMark/>
          </w:tcPr>
          <w:p w14:paraId="339EBA6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Cuando el ciudadano haya renunciado o perdido su nacionalidad. El Ministerio de Relaciones Exteriores certificará y enviará a la Registraduría Nacional una </w:t>
            </w:r>
            <w:r w:rsidRPr="00222F34">
              <w:rPr>
                <w:rFonts w:ascii="Calibri" w:eastAsia="Times New Roman" w:hAnsi="Calibri" w:cs="Calibri"/>
                <w:color w:val="000000"/>
                <w:lang w:val="es-CO" w:eastAsia="es-CO" w:bidi="ar-SA"/>
              </w:rPr>
              <w:lastRenderedPageBreak/>
              <w:t xml:space="preserve">relación de las personas que se encuentren en esta situación. </w:t>
            </w:r>
          </w:p>
        </w:tc>
        <w:tc>
          <w:tcPr>
            <w:tcW w:w="1480" w:type="dxa"/>
            <w:tcBorders>
              <w:top w:val="nil"/>
              <w:left w:val="nil"/>
              <w:bottom w:val="nil"/>
              <w:right w:val="single" w:sz="4" w:space="0" w:color="000000"/>
            </w:tcBorders>
            <w:shd w:val="clear" w:color="000000" w:fill="FFFFFF"/>
            <w:hideMark/>
          </w:tcPr>
          <w:p w14:paraId="6B61C5E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2E7F5A5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0638AE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Cuando el ciudadano se encuentre en servicio activo como miembro de la Fuerza Pública. El Ministerio de Defensa Nacional certificará y enviará a la Registraduría Nacional del Estado Civil una relación del personal vinculado. </w:t>
            </w:r>
          </w:p>
        </w:tc>
        <w:tc>
          <w:tcPr>
            <w:tcW w:w="3798" w:type="dxa"/>
            <w:tcBorders>
              <w:top w:val="nil"/>
              <w:left w:val="nil"/>
              <w:bottom w:val="nil"/>
              <w:right w:val="single" w:sz="4" w:space="0" w:color="000000"/>
            </w:tcBorders>
            <w:shd w:val="clear" w:color="00FF00" w:fill="FFFFFF"/>
            <w:hideMark/>
          </w:tcPr>
          <w:p w14:paraId="05D5A9F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Cuando el ciudadano se encuentre en servicio activo como miembro de la Fuerza Pública. El Ministerio de Defensa Nacional certificará y enviará a la Registraduría Nacional del Estado Civil una relación del personal vinculado. </w:t>
            </w:r>
          </w:p>
        </w:tc>
        <w:tc>
          <w:tcPr>
            <w:tcW w:w="3798" w:type="dxa"/>
            <w:tcBorders>
              <w:top w:val="nil"/>
              <w:left w:val="nil"/>
              <w:bottom w:val="nil"/>
              <w:right w:val="single" w:sz="4" w:space="0" w:color="000000"/>
            </w:tcBorders>
            <w:shd w:val="clear" w:color="00FF00" w:fill="FFFFFF"/>
            <w:hideMark/>
          </w:tcPr>
          <w:p w14:paraId="70E6834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Cuando el ciudadano se encuentre en servicio activo como miembro de la Fuerza Pública. El Ministerio de Defensa Nacional certificará y enviará a la Registraduría Nacional del Estado Civil una relación del personal vinculado. </w:t>
            </w:r>
          </w:p>
        </w:tc>
        <w:tc>
          <w:tcPr>
            <w:tcW w:w="1480" w:type="dxa"/>
            <w:tcBorders>
              <w:top w:val="nil"/>
              <w:left w:val="nil"/>
              <w:bottom w:val="nil"/>
              <w:right w:val="single" w:sz="4" w:space="0" w:color="000000"/>
            </w:tcBorders>
            <w:shd w:val="clear" w:color="000000" w:fill="FFFFFF"/>
            <w:hideMark/>
          </w:tcPr>
          <w:p w14:paraId="56484B5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BDB487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6B9A09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notario o funcionario que incumpliere la obligación de reportar cualquier información de las aquí consagradas o lo hiciere por fuera del término previsto en este Código, incurrirá en causal de mala conducta. </w:t>
            </w:r>
          </w:p>
        </w:tc>
        <w:tc>
          <w:tcPr>
            <w:tcW w:w="3798" w:type="dxa"/>
            <w:tcBorders>
              <w:top w:val="nil"/>
              <w:left w:val="nil"/>
              <w:bottom w:val="nil"/>
              <w:right w:val="single" w:sz="4" w:space="0" w:color="000000"/>
            </w:tcBorders>
            <w:shd w:val="clear" w:color="00FF00" w:fill="FFFFFF"/>
            <w:hideMark/>
          </w:tcPr>
          <w:p w14:paraId="7A5354D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notario o funcionario que incumpliere la obligación de reportar cualquier información de las aquí consagradas o lo hiciere por fuera del término previsto en este Código, incurrirá en causal de mala conducta. </w:t>
            </w:r>
          </w:p>
        </w:tc>
        <w:tc>
          <w:tcPr>
            <w:tcW w:w="3798" w:type="dxa"/>
            <w:tcBorders>
              <w:top w:val="nil"/>
              <w:left w:val="nil"/>
              <w:bottom w:val="nil"/>
              <w:right w:val="single" w:sz="4" w:space="0" w:color="000000"/>
            </w:tcBorders>
            <w:shd w:val="clear" w:color="00FF00" w:fill="FFFFFF"/>
            <w:hideMark/>
          </w:tcPr>
          <w:p w14:paraId="69E9AF1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notario o funcionario que incumpliere la obligación de reportar cualquier información de las aquí consagradas o lo hiciere por fuera del término previsto en este Código, incurrirá en causal de mala conducta. </w:t>
            </w:r>
          </w:p>
        </w:tc>
        <w:tc>
          <w:tcPr>
            <w:tcW w:w="1480" w:type="dxa"/>
            <w:tcBorders>
              <w:top w:val="nil"/>
              <w:left w:val="nil"/>
              <w:bottom w:val="nil"/>
              <w:right w:val="single" w:sz="4" w:space="0" w:color="000000"/>
            </w:tcBorders>
            <w:shd w:val="clear" w:color="000000" w:fill="FFFFFF"/>
            <w:hideMark/>
          </w:tcPr>
          <w:p w14:paraId="44EEE53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FF5807C"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678CC6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actualización de que trata los numerales 1 al 4 de este artículo se realizará con base en la información suministrada por la Dirección Nacional de Identificación de la Registraduría Nacional del Estado Civil. </w:t>
            </w:r>
          </w:p>
        </w:tc>
        <w:tc>
          <w:tcPr>
            <w:tcW w:w="3798" w:type="dxa"/>
            <w:tcBorders>
              <w:top w:val="nil"/>
              <w:left w:val="nil"/>
              <w:bottom w:val="single" w:sz="4" w:space="0" w:color="000000"/>
              <w:right w:val="single" w:sz="4" w:space="0" w:color="000000"/>
            </w:tcBorders>
            <w:shd w:val="clear" w:color="00FF00" w:fill="FFFFFF"/>
            <w:hideMark/>
          </w:tcPr>
          <w:p w14:paraId="2345B7C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actualización de que trata los numerales 1 al 4 de este artículo se realizará con base en la información suministrada por la Dirección Nacional de Identificación de la Registraduría Nacional del Estado Civil. </w:t>
            </w:r>
          </w:p>
        </w:tc>
        <w:tc>
          <w:tcPr>
            <w:tcW w:w="3798" w:type="dxa"/>
            <w:tcBorders>
              <w:top w:val="nil"/>
              <w:left w:val="nil"/>
              <w:bottom w:val="single" w:sz="4" w:space="0" w:color="000000"/>
              <w:right w:val="single" w:sz="4" w:space="0" w:color="000000"/>
            </w:tcBorders>
            <w:shd w:val="clear" w:color="00FF00" w:fill="FFFFFF"/>
            <w:hideMark/>
          </w:tcPr>
          <w:p w14:paraId="44A8F20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actualización de que trata los numerales 1 al 4 de este artículo se realizará con base en la información suministrada por la Dirección Nacional de Identificación de la Registraduría Nacional del Estado Civil. </w:t>
            </w:r>
          </w:p>
        </w:tc>
        <w:tc>
          <w:tcPr>
            <w:tcW w:w="1480" w:type="dxa"/>
            <w:tcBorders>
              <w:top w:val="nil"/>
              <w:left w:val="nil"/>
              <w:bottom w:val="single" w:sz="4" w:space="0" w:color="000000"/>
              <w:right w:val="single" w:sz="4" w:space="0" w:color="000000"/>
            </w:tcBorders>
            <w:shd w:val="clear" w:color="000000" w:fill="FFFFFF"/>
            <w:hideMark/>
          </w:tcPr>
          <w:p w14:paraId="205A36D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4A01508"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484EF45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50.- Actualización de la información a excluir o incorporar en el censo electoral.</w:t>
            </w:r>
            <w:r w:rsidRPr="00222F34">
              <w:rPr>
                <w:rFonts w:ascii="Calibri" w:eastAsia="Times New Roman" w:hAnsi="Calibri" w:cs="Calibri"/>
                <w:color w:val="000000"/>
                <w:lang w:val="es-CO" w:eastAsia="es-CO" w:bidi="ar-SA"/>
              </w:rPr>
              <w:t xml:space="preserve"> La información para la exclusión o incorporación del censo electoral deberá actualizarse de manera permanente. Lo enviado y lo certificado por el Ministerio de Relaciones Exteriores y el Ministerio de Defensa </w:t>
            </w:r>
            <w:r w:rsidRPr="00222F34">
              <w:rPr>
                <w:rFonts w:ascii="Calibri" w:eastAsia="Times New Roman" w:hAnsi="Calibri" w:cs="Calibri"/>
                <w:color w:val="000000"/>
                <w:lang w:val="es-CO" w:eastAsia="es-CO" w:bidi="ar-SA"/>
              </w:rPr>
              <w:lastRenderedPageBreak/>
              <w:t>Nacional, según el procedimiento que defina la Registraduría Nacional del Estado Civil, deberán ser informados dentro de los primeros cinco (5) días hábiles de cada mes e incluirá la información afectada el mes inmediatamente anterior.</w:t>
            </w:r>
          </w:p>
        </w:tc>
        <w:tc>
          <w:tcPr>
            <w:tcW w:w="3798" w:type="dxa"/>
            <w:tcBorders>
              <w:top w:val="nil"/>
              <w:left w:val="nil"/>
              <w:bottom w:val="nil"/>
              <w:right w:val="single" w:sz="4" w:space="0" w:color="000000"/>
            </w:tcBorders>
            <w:shd w:val="clear" w:color="000000" w:fill="FFFFFF"/>
            <w:hideMark/>
          </w:tcPr>
          <w:p w14:paraId="180122B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54. Actualización de la información a excluir o incorporar en el censo electoral. </w:t>
            </w:r>
            <w:r w:rsidRPr="00222F34">
              <w:rPr>
                <w:rFonts w:ascii="Calibri" w:eastAsia="Times New Roman" w:hAnsi="Calibri" w:cs="Calibri"/>
                <w:color w:val="000000"/>
                <w:lang w:val="es-CO" w:eastAsia="es-CO" w:bidi="ar-SA"/>
              </w:rPr>
              <w:t xml:space="preserve">La información para la exclusión o incorporación del censo electoral deberá actualizarse de manera permanente. Lo enviado y lo certificado por el Ministerio de Relaciones Exteriores y el Ministerio de Defensa </w:t>
            </w:r>
            <w:r w:rsidRPr="00222F34">
              <w:rPr>
                <w:rFonts w:ascii="Calibri" w:eastAsia="Times New Roman" w:hAnsi="Calibri" w:cs="Calibri"/>
                <w:color w:val="000000"/>
                <w:lang w:val="es-CO" w:eastAsia="es-CO" w:bidi="ar-SA"/>
              </w:rPr>
              <w:lastRenderedPageBreak/>
              <w:t>Nacional, según el procedimiento que defina la Registraduría Nacional del Estado Civil, deberán ser informados dentro de los primeros cinco (5) días hábiles de cada mes e incluirá la información afectada el mes inmediatamente anterior.</w:t>
            </w:r>
          </w:p>
        </w:tc>
        <w:tc>
          <w:tcPr>
            <w:tcW w:w="3798" w:type="dxa"/>
            <w:tcBorders>
              <w:top w:val="nil"/>
              <w:left w:val="nil"/>
              <w:bottom w:val="nil"/>
              <w:right w:val="single" w:sz="4" w:space="0" w:color="000000"/>
            </w:tcBorders>
            <w:shd w:val="clear" w:color="000000" w:fill="FFFFFF"/>
            <w:hideMark/>
          </w:tcPr>
          <w:p w14:paraId="7E9CE6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54. Actualización de la información a excluir o incorporar en el censo electoral. </w:t>
            </w:r>
            <w:r w:rsidRPr="00222F34">
              <w:rPr>
                <w:rFonts w:ascii="Calibri" w:eastAsia="Times New Roman" w:hAnsi="Calibri" w:cs="Calibri"/>
                <w:color w:val="000000"/>
                <w:lang w:val="es-CO" w:eastAsia="es-CO" w:bidi="ar-SA"/>
              </w:rPr>
              <w:t xml:space="preserve">La información para la exclusión o incorporación del censo electoral deberá actualizarse de manera permanente. Lo enviado y lo certificado por el Ministerio de Relaciones Exteriores y el Ministerio de Defensa </w:t>
            </w:r>
            <w:r w:rsidRPr="00222F34">
              <w:rPr>
                <w:rFonts w:ascii="Calibri" w:eastAsia="Times New Roman" w:hAnsi="Calibri" w:cs="Calibri"/>
                <w:color w:val="000000"/>
                <w:lang w:val="es-CO" w:eastAsia="es-CO" w:bidi="ar-SA"/>
              </w:rPr>
              <w:lastRenderedPageBreak/>
              <w:t>Nacional, según el procedimiento que defina la Registraduría Nacional del Estado Civil, deberán ser informados dentro de los primeros cinco (5) días hábiles de cada mes e incluirá la información afectada el mes inmediatamente anterior.</w:t>
            </w:r>
          </w:p>
        </w:tc>
        <w:tc>
          <w:tcPr>
            <w:tcW w:w="1480" w:type="dxa"/>
            <w:tcBorders>
              <w:top w:val="nil"/>
              <w:left w:val="nil"/>
              <w:bottom w:val="nil"/>
              <w:right w:val="single" w:sz="4" w:space="0" w:color="000000"/>
            </w:tcBorders>
            <w:shd w:val="clear" w:color="000000" w:fill="FFFFFF"/>
            <w:hideMark/>
          </w:tcPr>
          <w:p w14:paraId="64351CD5" w14:textId="77A14583"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222F34" w:rsidRPr="00222F34" w14:paraId="43DABD05"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6C53C532"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En el tratamiento de los datos suministrados por el Ministerio de Defensa Nacional deberá tenerse en cuenta que esta información goza de reserva legal para todos los efectos y la vulneración de dicha reserva implica riesgos de seguridad nacional.</w:t>
            </w:r>
          </w:p>
        </w:tc>
        <w:tc>
          <w:tcPr>
            <w:tcW w:w="3798" w:type="dxa"/>
            <w:tcBorders>
              <w:top w:val="nil"/>
              <w:left w:val="nil"/>
              <w:bottom w:val="single" w:sz="4" w:space="0" w:color="000000"/>
              <w:right w:val="single" w:sz="4" w:space="0" w:color="000000"/>
            </w:tcBorders>
            <w:shd w:val="clear" w:color="000000" w:fill="FFFFFF"/>
            <w:hideMark/>
          </w:tcPr>
          <w:p w14:paraId="64C1019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En el tratamiento de los datos suministrados por el Ministerio de Defensa Nacional deberá tenerse en cuenta que esta información goza de reserva legal para todos los efectos y la vulneración de dicha reserva implica riesgos de seguridad nacional.</w:t>
            </w:r>
          </w:p>
        </w:tc>
        <w:tc>
          <w:tcPr>
            <w:tcW w:w="3798" w:type="dxa"/>
            <w:tcBorders>
              <w:top w:val="nil"/>
              <w:left w:val="nil"/>
              <w:bottom w:val="single" w:sz="4" w:space="0" w:color="000000"/>
              <w:right w:val="single" w:sz="4" w:space="0" w:color="000000"/>
            </w:tcBorders>
            <w:shd w:val="clear" w:color="000000" w:fill="FFFFFF"/>
            <w:hideMark/>
          </w:tcPr>
          <w:p w14:paraId="5B6672B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En el tratamiento de los datos suministrados por el Ministerio de Defensa Nacional deberá tenerse en cuenta que esta información goza de reserva legal para todos los efectos y la vulneración de dicha reserva implica riesgos de seguridad nacional.</w:t>
            </w:r>
          </w:p>
        </w:tc>
        <w:tc>
          <w:tcPr>
            <w:tcW w:w="1480" w:type="dxa"/>
            <w:tcBorders>
              <w:top w:val="nil"/>
              <w:left w:val="nil"/>
              <w:bottom w:val="single" w:sz="4" w:space="0" w:color="000000"/>
              <w:right w:val="single" w:sz="4" w:space="0" w:color="000000"/>
            </w:tcBorders>
            <w:shd w:val="clear" w:color="000000" w:fill="FFFFFF"/>
            <w:hideMark/>
          </w:tcPr>
          <w:p w14:paraId="044AC7A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326540AA"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99230C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51.- Actualización del domicilio en el censo electoral.</w:t>
            </w:r>
            <w:r w:rsidRPr="00222F34">
              <w:rPr>
                <w:rFonts w:ascii="Calibri" w:eastAsia="Times New Roman" w:hAnsi="Calibri" w:cs="Calibri"/>
                <w:color w:val="000000"/>
                <w:lang w:val="es-CO" w:eastAsia="es-CO" w:bidi="ar-SA"/>
              </w:rPr>
              <w:t xml:space="preserve"> 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 </w:t>
            </w:r>
          </w:p>
        </w:tc>
        <w:tc>
          <w:tcPr>
            <w:tcW w:w="3798" w:type="dxa"/>
            <w:tcBorders>
              <w:top w:val="nil"/>
              <w:left w:val="nil"/>
              <w:bottom w:val="nil"/>
              <w:right w:val="single" w:sz="4" w:space="0" w:color="000000"/>
            </w:tcBorders>
            <w:shd w:val="clear" w:color="000000" w:fill="FFFFFF"/>
            <w:hideMark/>
          </w:tcPr>
          <w:p w14:paraId="3864F79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55. Actualización del domicilio en el censo electoral. </w:t>
            </w:r>
            <w:r w:rsidRPr="00222F34">
              <w:rPr>
                <w:rFonts w:ascii="Calibri" w:eastAsia="Times New Roman" w:hAnsi="Calibri" w:cs="Calibri"/>
                <w:color w:val="000000"/>
                <w:lang w:val="es-CO" w:eastAsia="es-CO" w:bidi="ar-SA"/>
              </w:rPr>
              <w:t>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w:t>
            </w:r>
          </w:p>
        </w:tc>
        <w:tc>
          <w:tcPr>
            <w:tcW w:w="3798" w:type="dxa"/>
            <w:tcBorders>
              <w:top w:val="nil"/>
              <w:left w:val="nil"/>
              <w:bottom w:val="nil"/>
              <w:right w:val="single" w:sz="4" w:space="0" w:color="000000"/>
            </w:tcBorders>
            <w:shd w:val="clear" w:color="000000" w:fill="FFFFFF"/>
            <w:hideMark/>
          </w:tcPr>
          <w:p w14:paraId="147C0EE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55. Actualización del domicilio en el censo electoral. </w:t>
            </w:r>
            <w:r w:rsidRPr="00222F34">
              <w:rPr>
                <w:rFonts w:ascii="Calibri" w:eastAsia="Times New Roman" w:hAnsi="Calibri" w:cs="Calibri"/>
                <w:color w:val="000000"/>
                <w:lang w:val="es-CO" w:eastAsia="es-CO" w:bidi="ar-SA"/>
              </w:rPr>
              <w:t>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w:t>
            </w:r>
          </w:p>
        </w:tc>
        <w:tc>
          <w:tcPr>
            <w:tcW w:w="1480" w:type="dxa"/>
            <w:tcBorders>
              <w:top w:val="nil"/>
              <w:left w:val="nil"/>
              <w:bottom w:val="nil"/>
              <w:right w:val="single" w:sz="4" w:space="0" w:color="000000"/>
            </w:tcBorders>
            <w:shd w:val="clear" w:color="000000" w:fill="FFFFFF"/>
            <w:hideMark/>
          </w:tcPr>
          <w:p w14:paraId="7654E86B" w14:textId="65CC0C68"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222F34" w:rsidRPr="00222F34" w14:paraId="47AD8EDD"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716E93E5"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3A2CA5B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ciudadano o extranjero residente en el país deberá, en un término no mayor de dos (2) meses informar cuando haya cambiado su domicilio electoral.</w:t>
            </w:r>
          </w:p>
        </w:tc>
        <w:tc>
          <w:tcPr>
            <w:tcW w:w="3798" w:type="dxa"/>
            <w:tcBorders>
              <w:top w:val="nil"/>
              <w:left w:val="nil"/>
              <w:bottom w:val="nil"/>
              <w:right w:val="single" w:sz="4" w:space="0" w:color="000000"/>
            </w:tcBorders>
            <w:shd w:val="clear" w:color="000000" w:fill="FFFFFF"/>
            <w:hideMark/>
          </w:tcPr>
          <w:p w14:paraId="5DDF0C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ciudadano o extranjero residente en el país deberá, en un término no mayor de dos (2) meses informar cuando haya cambiado su domicilio electoral.</w:t>
            </w:r>
          </w:p>
        </w:tc>
        <w:tc>
          <w:tcPr>
            <w:tcW w:w="1480" w:type="dxa"/>
            <w:tcBorders>
              <w:top w:val="nil"/>
              <w:left w:val="nil"/>
              <w:bottom w:val="nil"/>
              <w:right w:val="single" w:sz="4" w:space="0" w:color="000000"/>
            </w:tcBorders>
            <w:shd w:val="clear" w:color="000000" w:fill="FFFFFF"/>
            <w:hideMark/>
          </w:tcPr>
          <w:p w14:paraId="50F7A62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79A0CA2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84EA1A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Organización Electoral y los partidos y movimientos políticos deberán promover e incentivar la actualización de los ciudadanos en el censo electoral.  </w:t>
            </w:r>
          </w:p>
        </w:tc>
        <w:tc>
          <w:tcPr>
            <w:tcW w:w="3798" w:type="dxa"/>
            <w:tcBorders>
              <w:top w:val="nil"/>
              <w:left w:val="nil"/>
              <w:bottom w:val="nil"/>
              <w:right w:val="single" w:sz="4" w:space="0" w:color="000000"/>
            </w:tcBorders>
            <w:shd w:val="clear" w:color="000000" w:fill="FFFFFF"/>
            <w:hideMark/>
          </w:tcPr>
          <w:p w14:paraId="2B9D718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y los partidos y movimientos políticos deberán promover e incentivar la actualización de los ciudadanos en el censo electoral.</w:t>
            </w:r>
          </w:p>
        </w:tc>
        <w:tc>
          <w:tcPr>
            <w:tcW w:w="3798" w:type="dxa"/>
            <w:tcBorders>
              <w:top w:val="nil"/>
              <w:left w:val="nil"/>
              <w:bottom w:val="nil"/>
              <w:right w:val="single" w:sz="4" w:space="0" w:color="000000"/>
            </w:tcBorders>
            <w:shd w:val="clear" w:color="000000" w:fill="FFFFFF"/>
            <w:hideMark/>
          </w:tcPr>
          <w:p w14:paraId="5219B97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y los partidos y movimientos políticos deberán promover e incentivar la actualización de los ciudadanos en el censo electoral.</w:t>
            </w:r>
          </w:p>
        </w:tc>
        <w:tc>
          <w:tcPr>
            <w:tcW w:w="1480" w:type="dxa"/>
            <w:tcBorders>
              <w:top w:val="nil"/>
              <w:left w:val="nil"/>
              <w:bottom w:val="nil"/>
              <w:right w:val="single" w:sz="4" w:space="0" w:color="000000"/>
            </w:tcBorders>
            <w:shd w:val="clear" w:color="000000" w:fill="FFFFFF"/>
            <w:hideMark/>
          </w:tcPr>
          <w:p w14:paraId="3FECC7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6A0999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8773F36"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  </w:t>
            </w:r>
          </w:p>
        </w:tc>
        <w:tc>
          <w:tcPr>
            <w:tcW w:w="3798" w:type="dxa"/>
            <w:tcBorders>
              <w:top w:val="nil"/>
              <w:left w:val="nil"/>
              <w:bottom w:val="nil"/>
              <w:right w:val="single" w:sz="4" w:space="0" w:color="000000"/>
            </w:tcBorders>
            <w:shd w:val="clear" w:color="000000" w:fill="FFFFFF"/>
            <w:hideMark/>
          </w:tcPr>
          <w:p w14:paraId="01C0D1C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w:t>
            </w:r>
          </w:p>
        </w:tc>
        <w:tc>
          <w:tcPr>
            <w:tcW w:w="3798" w:type="dxa"/>
            <w:tcBorders>
              <w:top w:val="nil"/>
              <w:left w:val="nil"/>
              <w:bottom w:val="nil"/>
              <w:right w:val="single" w:sz="4" w:space="0" w:color="000000"/>
            </w:tcBorders>
            <w:shd w:val="clear" w:color="000000" w:fill="FFFFFF"/>
            <w:hideMark/>
          </w:tcPr>
          <w:p w14:paraId="5D3BE2D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w:t>
            </w:r>
          </w:p>
        </w:tc>
        <w:tc>
          <w:tcPr>
            <w:tcW w:w="1480" w:type="dxa"/>
            <w:tcBorders>
              <w:top w:val="nil"/>
              <w:left w:val="nil"/>
              <w:bottom w:val="nil"/>
              <w:right w:val="single" w:sz="4" w:space="0" w:color="000000"/>
            </w:tcBorders>
            <w:shd w:val="clear" w:color="000000" w:fill="FFFFFF"/>
            <w:hideMark/>
          </w:tcPr>
          <w:p w14:paraId="5D79D9A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17186F7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A31043A"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Cuando el ciudadano actualice más de una vez la información del censo electoral, se tendrá como válida la última solicitud de registro antes del corte establecido en el presente artículo.  </w:t>
            </w:r>
          </w:p>
        </w:tc>
        <w:tc>
          <w:tcPr>
            <w:tcW w:w="3798" w:type="dxa"/>
            <w:tcBorders>
              <w:top w:val="nil"/>
              <w:left w:val="nil"/>
              <w:bottom w:val="nil"/>
              <w:right w:val="single" w:sz="4" w:space="0" w:color="000000"/>
            </w:tcBorders>
            <w:shd w:val="clear" w:color="000000" w:fill="FFFFFF"/>
            <w:hideMark/>
          </w:tcPr>
          <w:p w14:paraId="457C251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Cuando el ciudadano actualice más de una vez la información del censo electoral, se tendrá como válida la última solicitud de registro antes del corte establecido en el presente artículo.</w:t>
            </w:r>
          </w:p>
        </w:tc>
        <w:tc>
          <w:tcPr>
            <w:tcW w:w="3798" w:type="dxa"/>
            <w:tcBorders>
              <w:top w:val="nil"/>
              <w:left w:val="nil"/>
              <w:bottom w:val="nil"/>
              <w:right w:val="single" w:sz="4" w:space="0" w:color="000000"/>
            </w:tcBorders>
            <w:shd w:val="clear" w:color="000000" w:fill="FFFFFF"/>
            <w:hideMark/>
          </w:tcPr>
          <w:p w14:paraId="46A9006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Cuando el ciudadano actualice más de una vez la información del censo electoral, se tendrá como válida la última solicitud de registro antes del corte establecido en el presente artículo.</w:t>
            </w:r>
          </w:p>
        </w:tc>
        <w:tc>
          <w:tcPr>
            <w:tcW w:w="1480" w:type="dxa"/>
            <w:tcBorders>
              <w:top w:val="nil"/>
              <w:left w:val="nil"/>
              <w:bottom w:val="nil"/>
              <w:right w:val="single" w:sz="4" w:space="0" w:color="000000"/>
            </w:tcBorders>
            <w:shd w:val="clear" w:color="000000" w:fill="FFFFFF"/>
            <w:hideMark/>
          </w:tcPr>
          <w:p w14:paraId="5C828AE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A3D26C6"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1F788850"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 </w:t>
            </w:r>
          </w:p>
        </w:tc>
        <w:tc>
          <w:tcPr>
            <w:tcW w:w="3798" w:type="dxa"/>
            <w:tcBorders>
              <w:top w:val="nil"/>
              <w:left w:val="nil"/>
              <w:bottom w:val="single" w:sz="4" w:space="0" w:color="000000"/>
              <w:right w:val="single" w:sz="4" w:space="0" w:color="000000"/>
            </w:tcBorders>
            <w:shd w:val="clear" w:color="000000" w:fill="FFFFFF"/>
            <w:hideMark/>
          </w:tcPr>
          <w:p w14:paraId="6E12305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w:t>
            </w:r>
          </w:p>
        </w:tc>
        <w:tc>
          <w:tcPr>
            <w:tcW w:w="3798" w:type="dxa"/>
            <w:tcBorders>
              <w:top w:val="nil"/>
              <w:left w:val="nil"/>
              <w:bottom w:val="single" w:sz="4" w:space="0" w:color="000000"/>
              <w:right w:val="single" w:sz="4" w:space="0" w:color="000000"/>
            </w:tcBorders>
            <w:shd w:val="clear" w:color="000000" w:fill="FFFFFF"/>
            <w:hideMark/>
          </w:tcPr>
          <w:p w14:paraId="4AD64EA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w:t>
            </w:r>
          </w:p>
        </w:tc>
        <w:tc>
          <w:tcPr>
            <w:tcW w:w="1480" w:type="dxa"/>
            <w:tcBorders>
              <w:top w:val="nil"/>
              <w:left w:val="nil"/>
              <w:bottom w:val="single" w:sz="4" w:space="0" w:color="000000"/>
              <w:right w:val="single" w:sz="4" w:space="0" w:color="000000"/>
            </w:tcBorders>
            <w:shd w:val="clear" w:color="000000" w:fill="FFFFFF"/>
            <w:hideMark/>
          </w:tcPr>
          <w:p w14:paraId="1A953C7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6D8016EC"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70564B4"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52. Suspensión de exclusiones e incorporaciones al censo electoral.</w:t>
            </w:r>
            <w:r w:rsidRPr="00222F34">
              <w:rPr>
                <w:rFonts w:ascii="Calibri" w:eastAsia="Times New Roman" w:hAnsi="Calibri" w:cs="Calibri"/>
                <w:color w:val="000000"/>
                <w:lang w:val="es-CO" w:eastAsia="es-CO" w:bidi="ar-SA"/>
              </w:rPr>
              <w:t xml:space="preserve"> 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 </w:t>
            </w:r>
          </w:p>
        </w:tc>
        <w:tc>
          <w:tcPr>
            <w:tcW w:w="3798" w:type="dxa"/>
            <w:tcBorders>
              <w:top w:val="nil"/>
              <w:left w:val="nil"/>
              <w:bottom w:val="nil"/>
              <w:right w:val="single" w:sz="4" w:space="0" w:color="000000"/>
            </w:tcBorders>
            <w:shd w:val="clear" w:color="000000" w:fill="FFFFFF"/>
            <w:hideMark/>
          </w:tcPr>
          <w:p w14:paraId="34F5210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56. Suspensión de exclusiones e incorporaciones al censo electoral.</w:t>
            </w:r>
            <w:r w:rsidRPr="00222F34">
              <w:rPr>
                <w:rFonts w:ascii="Calibri" w:eastAsia="Times New Roman" w:hAnsi="Calibri" w:cs="Calibri"/>
                <w:color w:val="000000"/>
                <w:lang w:val="es-CO" w:eastAsia="es-CO" w:bidi="ar-SA"/>
              </w:rPr>
              <w:t xml:space="preserve"> 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w:t>
            </w:r>
          </w:p>
        </w:tc>
        <w:tc>
          <w:tcPr>
            <w:tcW w:w="3798" w:type="dxa"/>
            <w:tcBorders>
              <w:top w:val="nil"/>
              <w:left w:val="nil"/>
              <w:bottom w:val="nil"/>
              <w:right w:val="single" w:sz="4" w:space="0" w:color="000000"/>
            </w:tcBorders>
            <w:shd w:val="clear" w:color="000000" w:fill="FFFFFF"/>
            <w:hideMark/>
          </w:tcPr>
          <w:p w14:paraId="3B003ED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56. Suspensión de exclusiones e incorporaciones al censo electoral.</w:t>
            </w:r>
            <w:r w:rsidRPr="00222F34">
              <w:rPr>
                <w:rFonts w:ascii="Calibri" w:eastAsia="Times New Roman" w:hAnsi="Calibri" w:cs="Calibri"/>
                <w:color w:val="000000"/>
                <w:lang w:val="es-CO" w:eastAsia="es-CO" w:bidi="ar-SA"/>
              </w:rPr>
              <w:t xml:space="preserve"> 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w:t>
            </w:r>
          </w:p>
        </w:tc>
        <w:tc>
          <w:tcPr>
            <w:tcW w:w="1480" w:type="dxa"/>
            <w:tcBorders>
              <w:top w:val="nil"/>
              <w:left w:val="nil"/>
              <w:bottom w:val="nil"/>
              <w:right w:val="single" w:sz="4" w:space="0" w:color="000000"/>
            </w:tcBorders>
            <w:shd w:val="clear" w:color="000000" w:fill="FFFFFF"/>
            <w:hideMark/>
          </w:tcPr>
          <w:p w14:paraId="13779447" w14:textId="47703C6D"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77B6B74F"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65FC3F3D"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Las cédulas que se expidan hasta tres (3) meses antes de las respectivas votaciones se incluirán en el censo electoral. </w:t>
            </w:r>
          </w:p>
        </w:tc>
        <w:tc>
          <w:tcPr>
            <w:tcW w:w="3798" w:type="dxa"/>
            <w:tcBorders>
              <w:top w:val="nil"/>
              <w:left w:val="nil"/>
              <w:bottom w:val="single" w:sz="4" w:space="0" w:color="000000"/>
              <w:right w:val="single" w:sz="4" w:space="0" w:color="000000"/>
            </w:tcBorders>
            <w:shd w:val="clear" w:color="000000" w:fill="FFFFFF"/>
            <w:hideMark/>
          </w:tcPr>
          <w:p w14:paraId="1912E96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Las cédulas que se expidan hasta tres (3) meses antes de las respectivas votaciones se incluirán en el censo electoral.</w:t>
            </w:r>
          </w:p>
        </w:tc>
        <w:tc>
          <w:tcPr>
            <w:tcW w:w="3798" w:type="dxa"/>
            <w:tcBorders>
              <w:top w:val="nil"/>
              <w:left w:val="nil"/>
              <w:bottom w:val="single" w:sz="4" w:space="0" w:color="000000"/>
              <w:right w:val="single" w:sz="4" w:space="0" w:color="000000"/>
            </w:tcBorders>
            <w:shd w:val="clear" w:color="000000" w:fill="FFFFFF"/>
            <w:hideMark/>
          </w:tcPr>
          <w:p w14:paraId="0590803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Las cédulas que se expidan hasta tres (3) meses antes de las respectivas votaciones se incluirán en el censo electoral.</w:t>
            </w:r>
          </w:p>
        </w:tc>
        <w:tc>
          <w:tcPr>
            <w:tcW w:w="1480" w:type="dxa"/>
            <w:tcBorders>
              <w:top w:val="nil"/>
              <w:left w:val="nil"/>
              <w:bottom w:val="single" w:sz="4" w:space="0" w:color="000000"/>
              <w:right w:val="single" w:sz="4" w:space="0" w:color="000000"/>
            </w:tcBorders>
            <w:shd w:val="clear" w:color="000000" w:fill="FFFFFF"/>
            <w:hideMark/>
          </w:tcPr>
          <w:p w14:paraId="139289A2"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5B31EFD"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37A3390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0BCF879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57. Verificación del domicilio electoral.</w:t>
            </w:r>
            <w:r w:rsidRPr="00222F34">
              <w:rPr>
                <w:rFonts w:ascii="Calibri" w:eastAsia="Times New Roman" w:hAnsi="Calibri" w:cs="Calibri"/>
                <w:color w:val="000000"/>
                <w:lang w:val="es-CO" w:eastAsia="es-CO" w:bidi="ar-SA"/>
              </w:rPr>
              <w:t xml:space="preserve"> La Registraduría Nacional del Estado Civil deberá establecer un procedimiento que conduzca a reducir las inconsistencias en relación con los datos aportados en el domicilio electoral, garantizando el derecho al debido proceso y las normas sobre protección de datos personales.</w:t>
            </w:r>
          </w:p>
        </w:tc>
        <w:tc>
          <w:tcPr>
            <w:tcW w:w="3798" w:type="dxa"/>
            <w:tcBorders>
              <w:top w:val="nil"/>
              <w:left w:val="nil"/>
              <w:bottom w:val="nil"/>
              <w:right w:val="single" w:sz="4" w:space="0" w:color="000000"/>
            </w:tcBorders>
            <w:shd w:val="clear" w:color="000000" w:fill="FFFFFF"/>
            <w:hideMark/>
          </w:tcPr>
          <w:p w14:paraId="3391F26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57. Verificación del domicilio electoral.</w:t>
            </w:r>
            <w:r w:rsidRPr="00222F34">
              <w:rPr>
                <w:rFonts w:ascii="Calibri" w:eastAsia="Times New Roman" w:hAnsi="Calibri" w:cs="Calibri"/>
                <w:color w:val="000000"/>
                <w:lang w:val="es-CO" w:eastAsia="es-CO" w:bidi="ar-SA"/>
              </w:rPr>
              <w:t xml:space="preserve"> La Registraduría Nacional del Estado Civil deberá establecer un procedimiento que conduzca a reducir las inconsistencias en relación con los datos aportados en el domicilio electoral, garantizando el derecho al debido proceso y las normas sobre protección de datos personales.</w:t>
            </w:r>
          </w:p>
        </w:tc>
        <w:tc>
          <w:tcPr>
            <w:tcW w:w="1480" w:type="dxa"/>
            <w:tcBorders>
              <w:top w:val="nil"/>
              <w:left w:val="nil"/>
              <w:bottom w:val="nil"/>
              <w:right w:val="single" w:sz="4" w:space="0" w:color="000000"/>
            </w:tcBorders>
            <w:shd w:val="clear" w:color="000000" w:fill="FFFFFF"/>
            <w:hideMark/>
          </w:tcPr>
          <w:p w14:paraId="010DB3B0" w14:textId="37F24BA9"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222F34" w:rsidRPr="00222F34">
              <w:rPr>
                <w:rFonts w:ascii="Calibri" w:eastAsia="Times New Roman" w:hAnsi="Calibri" w:cs="Calibri"/>
                <w:color w:val="000000"/>
                <w:lang w:val="es-CO" w:eastAsia="es-CO" w:bidi="ar-SA"/>
              </w:rPr>
              <w:t xml:space="preserve"> </w:t>
            </w:r>
          </w:p>
        </w:tc>
      </w:tr>
      <w:tr w:rsidR="00222F34" w:rsidRPr="00222F34" w14:paraId="3E7E85A2"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FFC000" w:fill="FFFFFF"/>
            <w:hideMark/>
          </w:tcPr>
          <w:p w14:paraId="43B87E4B"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17D1D2E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Cualquier ciudadano o cualquier joven entre catorce (14) y diecisiete (17) años que tenga dudas o advierta inconsistencias en relación con los datos aportados sobre su domicilio electoral, podrá solicitar en cualquier tiempo que dicha información sea corregida o </w:t>
            </w:r>
            <w:r w:rsidRPr="00222F34">
              <w:rPr>
                <w:rFonts w:ascii="Calibri" w:eastAsia="Times New Roman" w:hAnsi="Calibri" w:cs="Calibri"/>
                <w:color w:val="000000"/>
                <w:lang w:val="es-CO" w:eastAsia="es-CO" w:bidi="ar-SA"/>
              </w:rPr>
              <w:lastRenderedPageBreak/>
              <w:t>actualizada por parte de la Registraduría Nacional del Estado Civil.</w:t>
            </w:r>
          </w:p>
        </w:tc>
        <w:tc>
          <w:tcPr>
            <w:tcW w:w="3798" w:type="dxa"/>
            <w:tcBorders>
              <w:top w:val="nil"/>
              <w:left w:val="nil"/>
              <w:bottom w:val="single" w:sz="4" w:space="0" w:color="000000"/>
              <w:right w:val="single" w:sz="4" w:space="0" w:color="000000"/>
            </w:tcBorders>
            <w:shd w:val="clear" w:color="000000" w:fill="FFFFFF"/>
            <w:hideMark/>
          </w:tcPr>
          <w:p w14:paraId="6795BA3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Cualquier ciudadano o cualquier joven entre catorce (14) y diecisiete (17) años que tenga dudas o advierta inconsistencias en relación con los datos aportados sobre su domicilio electoral, podrá solicitar en cualquier tiempo que dicha información sea corregida o </w:t>
            </w:r>
            <w:r w:rsidRPr="00222F34">
              <w:rPr>
                <w:rFonts w:ascii="Calibri" w:eastAsia="Times New Roman" w:hAnsi="Calibri" w:cs="Calibri"/>
                <w:color w:val="000000"/>
                <w:lang w:val="es-CO" w:eastAsia="es-CO" w:bidi="ar-SA"/>
              </w:rPr>
              <w:lastRenderedPageBreak/>
              <w:t>actualizada por parte de la Registraduría Nacional del Estado Civil.</w:t>
            </w:r>
          </w:p>
        </w:tc>
        <w:tc>
          <w:tcPr>
            <w:tcW w:w="1480" w:type="dxa"/>
            <w:tcBorders>
              <w:top w:val="nil"/>
              <w:left w:val="nil"/>
              <w:bottom w:val="single" w:sz="4" w:space="0" w:color="000000"/>
              <w:right w:val="single" w:sz="4" w:space="0" w:color="000000"/>
            </w:tcBorders>
            <w:shd w:val="clear" w:color="000000" w:fill="FFFFFF"/>
            <w:hideMark/>
          </w:tcPr>
          <w:p w14:paraId="7615D44D"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222F34" w:rsidRPr="00222F34" w14:paraId="019BACB4"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6D974D7"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53.- Inconsistencias en el domicilio electoral.</w:t>
            </w:r>
            <w:r w:rsidRPr="00222F34">
              <w:rPr>
                <w:rFonts w:ascii="Calibri" w:eastAsia="Times New Roman" w:hAnsi="Calibri" w:cs="Calibri"/>
                <w:color w:val="000000"/>
                <w:lang w:val="es-CO" w:eastAsia="es-CO" w:bidi="ar-SA"/>
              </w:rPr>
              <w:t xml:space="preserve"> La Registraduría Nacional del Estado Civil informará al Consejo Nacional Electoral las inconsistencias que detecte sobre la veracidad de la dirección del domicilio electoral aportada, para que este, en cualquier tiempo, inicie las investigaciones dirigidas a dejar sin efecto el registro irregular. Lo anterior, sin perjuicio de las investigaciones que de oficio decida adelantar el Consejo Nacional Electoral.</w:t>
            </w:r>
          </w:p>
        </w:tc>
        <w:tc>
          <w:tcPr>
            <w:tcW w:w="3798" w:type="dxa"/>
            <w:tcBorders>
              <w:top w:val="nil"/>
              <w:left w:val="nil"/>
              <w:bottom w:val="nil"/>
              <w:right w:val="single" w:sz="4" w:space="0" w:color="000000"/>
            </w:tcBorders>
            <w:shd w:val="clear" w:color="000000" w:fill="FFFFFF"/>
            <w:hideMark/>
          </w:tcPr>
          <w:p w14:paraId="2F641F8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58. Inconsistencias en el domicilio electoral</w:t>
            </w:r>
            <w:r w:rsidRPr="00222F34">
              <w:rPr>
                <w:rFonts w:ascii="Calibri" w:eastAsia="Times New Roman" w:hAnsi="Calibri" w:cs="Calibri"/>
                <w:color w:val="000000"/>
                <w:lang w:val="es-CO" w:eastAsia="es-CO" w:bidi="ar-SA"/>
              </w:rPr>
              <w:t>. La Registraduría Nacional del Estado Civil informará al Consejo Nacional Electoral las inconsistencias que detecte sobre la veracidad de la dirección del domicilio electoral aportada, para que éste, en cualquier tiempo, inicie las investigaciones dirigidas a dejar sin efecto el registro irregular. Lo anterior, sin perjuicio de las investigaciones que de oficio decida adelantar el Consejo Nacional Electoral.</w:t>
            </w:r>
          </w:p>
        </w:tc>
        <w:tc>
          <w:tcPr>
            <w:tcW w:w="3798" w:type="dxa"/>
            <w:tcBorders>
              <w:top w:val="nil"/>
              <w:left w:val="nil"/>
              <w:bottom w:val="nil"/>
              <w:right w:val="single" w:sz="4" w:space="0" w:color="000000"/>
            </w:tcBorders>
            <w:shd w:val="clear" w:color="000000" w:fill="FFFFFF"/>
            <w:hideMark/>
          </w:tcPr>
          <w:p w14:paraId="2F1ADD41"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58. Inconsistencias en el domicilio electoral</w:t>
            </w:r>
            <w:r w:rsidRPr="00222F34">
              <w:rPr>
                <w:rFonts w:ascii="Calibri" w:eastAsia="Times New Roman" w:hAnsi="Calibri" w:cs="Calibri"/>
                <w:color w:val="000000"/>
                <w:lang w:val="es-CO" w:eastAsia="es-CO" w:bidi="ar-SA"/>
              </w:rPr>
              <w:t>. La Registraduría Nacional del Estado Civil informará al Consejo Nacional Electoral las inconsistencias que detecte sobre la veracidad de la dirección del domicilio electoral aportada, para que éste, en cualquier tiempo, inicie las investigaciones dirigidas a dejar sin efecto el registro irregular. Lo anterior, sin perjuicio de las investigaciones que de oficio decida adelantar el Consejo Nacional Electoral.</w:t>
            </w:r>
          </w:p>
        </w:tc>
        <w:tc>
          <w:tcPr>
            <w:tcW w:w="1480" w:type="dxa"/>
            <w:tcBorders>
              <w:top w:val="nil"/>
              <w:left w:val="nil"/>
              <w:bottom w:val="nil"/>
              <w:right w:val="single" w:sz="4" w:space="0" w:color="000000"/>
            </w:tcBorders>
            <w:shd w:val="clear" w:color="000000" w:fill="FFFFFF"/>
            <w:hideMark/>
          </w:tcPr>
          <w:p w14:paraId="34A6E493" w14:textId="004AFE45"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4C4BC55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C3D2BF0"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resolverá las impugnaciones, en cualquier tiempo y hasta dos (2) meses antes de la fecha de cada votación, de conformidad con el procedimiento breve y sumario que expida para tal fin. </w:t>
            </w:r>
          </w:p>
        </w:tc>
        <w:tc>
          <w:tcPr>
            <w:tcW w:w="3798" w:type="dxa"/>
            <w:tcBorders>
              <w:top w:val="nil"/>
              <w:left w:val="nil"/>
              <w:bottom w:val="nil"/>
              <w:right w:val="single" w:sz="4" w:space="0" w:color="000000"/>
            </w:tcBorders>
            <w:shd w:val="clear" w:color="000000" w:fill="FFFFFF"/>
            <w:hideMark/>
          </w:tcPr>
          <w:p w14:paraId="61CB790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resolverá las impugnaciones, en cualquier tiempo y hasta dos (2) meses antes de la fecha de cada votación, de conformidad con el procedimiento breve y sumario que expida para tal fin.</w:t>
            </w:r>
          </w:p>
        </w:tc>
        <w:tc>
          <w:tcPr>
            <w:tcW w:w="3798" w:type="dxa"/>
            <w:tcBorders>
              <w:top w:val="nil"/>
              <w:left w:val="nil"/>
              <w:bottom w:val="nil"/>
              <w:right w:val="single" w:sz="4" w:space="0" w:color="000000"/>
            </w:tcBorders>
            <w:shd w:val="clear" w:color="000000" w:fill="FFFFFF"/>
            <w:hideMark/>
          </w:tcPr>
          <w:p w14:paraId="55EE8A29"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resolverá las impugnaciones, en cualquier tiempo y hasta dos (2) meses antes de la fecha de cada votación, de conformidad con el procedimiento breve y sumario que expida para tal fin.</w:t>
            </w:r>
          </w:p>
        </w:tc>
        <w:tc>
          <w:tcPr>
            <w:tcW w:w="1480" w:type="dxa"/>
            <w:tcBorders>
              <w:top w:val="nil"/>
              <w:left w:val="nil"/>
              <w:bottom w:val="nil"/>
              <w:right w:val="single" w:sz="4" w:space="0" w:color="000000"/>
            </w:tcBorders>
            <w:shd w:val="clear" w:color="000000" w:fill="FFFFFF"/>
            <w:hideMark/>
          </w:tcPr>
          <w:p w14:paraId="3B371C7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28DB31C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1DE78B8"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ciudadanos, jóvenes o extranjeros residentes no podrán volver a actualizar su domicilio electoral en el mismo proceso eleccionario del cual fue excluido su registro, sin perjuicio de las sanciones establecidas en el Código Penal. </w:t>
            </w:r>
          </w:p>
        </w:tc>
        <w:tc>
          <w:tcPr>
            <w:tcW w:w="3798" w:type="dxa"/>
            <w:tcBorders>
              <w:top w:val="nil"/>
              <w:left w:val="nil"/>
              <w:bottom w:val="nil"/>
              <w:right w:val="single" w:sz="4" w:space="0" w:color="000000"/>
            </w:tcBorders>
            <w:shd w:val="clear" w:color="000000" w:fill="FFFFFF"/>
            <w:hideMark/>
          </w:tcPr>
          <w:p w14:paraId="1EC9E3B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ciudadanos, jóvenes o extranjeros residentes no podrán volver a actualizar su domicilio electoral en el mismo proceso eleccionario del cual fue excluido su registro, sin perjuicio de las sanciones establecidas en el Código Penal.</w:t>
            </w:r>
          </w:p>
        </w:tc>
        <w:tc>
          <w:tcPr>
            <w:tcW w:w="3798" w:type="dxa"/>
            <w:tcBorders>
              <w:top w:val="nil"/>
              <w:left w:val="nil"/>
              <w:bottom w:val="nil"/>
              <w:right w:val="single" w:sz="4" w:space="0" w:color="000000"/>
            </w:tcBorders>
            <w:shd w:val="clear" w:color="000000" w:fill="FFFFFF"/>
            <w:hideMark/>
          </w:tcPr>
          <w:p w14:paraId="4231B82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ciudadanos, jóvenes o extranjeros residentes no podrán volver a actualizar su domicilio electoral en el mismo proceso eleccionario del cual fue excluido su registro, sin perjuicio de las sanciones establecidas en el Código Penal.</w:t>
            </w:r>
          </w:p>
        </w:tc>
        <w:tc>
          <w:tcPr>
            <w:tcW w:w="1480" w:type="dxa"/>
            <w:tcBorders>
              <w:top w:val="nil"/>
              <w:left w:val="nil"/>
              <w:bottom w:val="nil"/>
              <w:right w:val="single" w:sz="4" w:space="0" w:color="000000"/>
            </w:tcBorders>
            <w:shd w:val="clear" w:color="000000" w:fill="FFFFFF"/>
            <w:hideMark/>
          </w:tcPr>
          <w:p w14:paraId="08726D63"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0DC43B3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C126035"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registro del domicilio electoral que se dejare sin efecto se incorporará al censo electoral del distrito o municipio donde su titular se encontraba habilitado para sufragar en la elección anterior. </w:t>
            </w:r>
          </w:p>
        </w:tc>
        <w:tc>
          <w:tcPr>
            <w:tcW w:w="3798" w:type="dxa"/>
            <w:tcBorders>
              <w:top w:val="nil"/>
              <w:left w:val="nil"/>
              <w:bottom w:val="nil"/>
              <w:right w:val="single" w:sz="4" w:space="0" w:color="000000"/>
            </w:tcBorders>
            <w:shd w:val="clear" w:color="000000" w:fill="FFFFFF"/>
            <w:hideMark/>
          </w:tcPr>
          <w:p w14:paraId="6801D02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registro del domicilio electoral que se dejare sin efecto se incorporará al censo electoral del distrito o municipio donde su titular se encontraba habilitado para sufragar en la elección anterior.</w:t>
            </w:r>
          </w:p>
        </w:tc>
        <w:tc>
          <w:tcPr>
            <w:tcW w:w="3798" w:type="dxa"/>
            <w:tcBorders>
              <w:top w:val="nil"/>
              <w:left w:val="nil"/>
              <w:bottom w:val="nil"/>
              <w:right w:val="single" w:sz="4" w:space="0" w:color="000000"/>
            </w:tcBorders>
            <w:shd w:val="clear" w:color="000000" w:fill="FFFFFF"/>
            <w:hideMark/>
          </w:tcPr>
          <w:p w14:paraId="289C698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registro del domicilio electoral que se dejare sin efecto se incorporará al censo electoral del distrito o municipio donde su titular se encontraba habilitado para sufragar en la elección anterior.</w:t>
            </w:r>
          </w:p>
        </w:tc>
        <w:tc>
          <w:tcPr>
            <w:tcW w:w="1480" w:type="dxa"/>
            <w:tcBorders>
              <w:top w:val="nil"/>
              <w:left w:val="nil"/>
              <w:bottom w:val="nil"/>
              <w:right w:val="single" w:sz="4" w:space="0" w:color="000000"/>
            </w:tcBorders>
            <w:shd w:val="clear" w:color="000000" w:fill="FFFFFF"/>
            <w:hideMark/>
          </w:tcPr>
          <w:p w14:paraId="13891A5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48B4E4A"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3C20B55A"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pondrá en conocimiento de las autoridades penales competentes las decisiones en materia de fraude en el registro del domicilio electoral.</w:t>
            </w:r>
          </w:p>
        </w:tc>
        <w:tc>
          <w:tcPr>
            <w:tcW w:w="3798" w:type="dxa"/>
            <w:tcBorders>
              <w:top w:val="nil"/>
              <w:left w:val="nil"/>
              <w:bottom w:val="single" w:sz="4" w:space="0" w:color="000000"/>
              <w:right w:val="single" w:sz="4" w:space="0" w:color="000000"/>
            </w:tcBorders>
            <w:shd w:val="clear" w:color="000000" w:fill="FFFFFF"/>
            <w:hideMark/>
          </w:tcPr>
          <w:p w14:paraId="4DDA07A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pondrá en conocimiento de las autoridades penales competentes las decisiones en materia de fraude en el registro del domicilio electoral.</w:t>
            </w:r>
          </w:p>
        </w:tc>
        <w:tc>
          <w:tcPr>
            <w:tcW w:w="3798" w:type="dxa"/>
            <w:tcBorders>
              <w:top w:val="nil"/>
              <w:left w:val="nil"/>
              <w:bottom w:val="single" w:sz="4" w:space="0" w:color="000000"/>
              <w:right w:val="single" w:sz="4" w:space="0" w:color="000000"/>
            </w:tcBorders>
            <w:shd w:val="clear" w:color="000000" w:fill="FFFFFF"/>
            <w:hideMark/>
          </w:tcPr>
          <w:p w14:paraId="40644FDC"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pondrá en conocimiento de las autoridades penales competentes las decisiones en materia de fraude en el registro del domicilio electoral.</w:t>
            </w:r>
          </w:p>
        </w:tc>
        <w:tc>
          <w:tcPr>
            <w:tcW w:w="1480" w:type="dxa"/>
            <w:tcBorders>
              <w:top w:val="nil"/>
              <w:left w:val="nil"/>
              <w:bottom w:val="single" w:sz="4" w:space="0" w:color="000000"/>
              <w:right w:val="single" w:sz="4" w:space="0" w:color="000000"/>
            </w:tcBorders>
            <w:shd w:val="clear" w:color="000000" w:fill="FFFFFF"/>
            <w:hideMark/>
          </w:tcPr>
          <w:p w14:paraId="63587B9E"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222F34" w:rsidRPr="00222F34" w14:paraId="5D51902C"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F474A51" w14:textId="77777777" w:rsidR="00222F34" w:rsidRPr="00222F34" w:rsidRDefault="00222F34" w:rsidP="00222F34">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54.- Publicidad del censo electoral.</w:t>
            </w:r>
            <w:r w:rsidRPr="00222F34">
              <w:rPr>
                <w:rFonts w:ascii="Calibri" w:eastAsia="Times New Roman" w:hAnsi="Calibri" w:cs="Calibri"/>
                <w:color w:val="000000"/>
                <w:lang w:val="es-CO" w:eastAsia="es-CO" w:bidi="ar-SA"/>
              </w:rPr>
              <w:t xml:space="preserve"> 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 </w:t>
            </w:r>
          </w:p>
        </w:tc>
        <w:tc>
          <w:tcPr>
            <w:tcW w:w="3798" w:type="dxa"/>
            <w:tcBorders>
              <w:top w:val="nil"/>
              <w:left w:val="nil"/>
              <w:bottom w:val="nil"/>
              <w:right w:val="single" w:sz="4" w:space="0" w:color="000000"/>
            </w:tcBorders>
            <w:shd w:val="clear" w:color="000000" w:fill="FFFFFF"/>
            <w:hideMark/>
          </w:tcPr>
          <w:p w14:paraId="6CFAF2AB"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59. Publicidad del censo electoral.</w:t>
            </w:r>
            <w:r w:rsidRPr="00222F34">
              <w:rPr>
                <w:rFonts w:ascii="Calibri" w:eastAsia="Times New Roman" w:hAnsi="Calibri" w:cs="Calibri"/>
                <w:color w:val="000000"/>
                <w:lang w:val="es-CO" w:eastAsia="es-CO" w:bidi="ar-SA"/>
              </w:rPr>
              <w:t xml:space="preserve"> 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p>
        </w:tc>
        <w:tc>
          <w:tcPr>
            <w:tcW w:w="3798" w:type="dxa"/>
            <w:tcBorders>
              <w:top w:val="nil"/>
              <w:left w:val="nil"/>
              <w:bottom w:val="nil"/>
              <w:right w:val="single" w:sz="4" w:space="0" w:color="000000"/>
            </w:tcBorders>
            <w:shd w:val="clear" w:color="000000" w:fill="FFFFFF"/>
            <w:hideMark/>
          </w:tcPr>
          <w:p w14:paraId="723C8407"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59. Publicidad del censo electoral.</w:t>
            </w:r>
            <w:r w:rsidRPr="00222F34">
              <w:rPr>
                <w:rFonts w:ascii="Calibri" w:eastAsia="Times New Roman" w:hAnsi="Calibri" w:cs="Calibri"/>
                <w:color w:val="000000"/>
                <w:lang w:val="es-CO" w:eastAsia="es-CO" w:bidi="ar-SA"/>
              </w:rPr>
              <w:t xml:space="preserve"> 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p>
        </w:tc>
        <w:tc>
          <w:tcPr>
            <w:tcW w:w="1480" w:type="dxa"/>
            <w:tcBorders>
              <w:top w:val="nil"/>
              <w:left w:val="nil"/>
              <w:bottom w:val="nil"/>
              <w:right w:val="single" w:sz="4" w:space="0" w:color="000000"/>
            </w:tcBorders>
            <w:shd w:val="clear" w:color="000000" w:fill="FFFFFF"/>
            <w:hideMark/>
          </w:tcPr>
          <w:p w14:paraId="16A1EEC4" w14:textId="76360F41" w:rsidR="00222F34" w:rsidRPr="00222F34" w:rsidRDefault="0081594B" w:rsidP="00222F34">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222F34" w:rsidRPr="00222F34" w14:paraId="7E6D68CE"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D14BFF4"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publicación de que trata el presente artículo se realizará en la página web y/o aplicación que disponga la Registraduría Nacional del Estado Civil por el término de cinco (5) días calendario. </w:t>
            </w:r>
          </w:p>
        </w:tc>
        <w:tc>
          <w:tcPr>
            <w:tcW w:w="3798" w:type="dxa"/>
            <w:tcBorders>
              <w:top w:val="nil"/>
              <w:left w:val="nil"/>
              <w:bottom w:val="single" w:sz="4" w:space="0" w:color="000000"/>
              <w:right w:val="single" w:sz="4" w:space="0" w:color="000000"/>
            </w:tcBorders>
            <w:shd w:val="clear" w:color="000000" w:fill="FFFFFF"/>
            <w:hideMark/>
          </w:tcPr>
          <w:p w14:paraId="4014B08F"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publicación de que trata el presente artículo se realizará en la página web y/o aplicación que disponga la Registraduría Nacional del Estado Civil por el término de cinco (5) días calendario.</w:t>
            </w:r>
          </w:p>
        </w:tc>
        <w:tc>
          <w:tcPr>
            <w:tcW w:w="3798" w:type="dxa"/>
            <w:tcBorders>
              <w:top w:val="nil"/>
              <w:left w:val="nil"/>
              <w:bottom w:val="single" w:sz="4" w:space="0" w:color="000000"/>
              <w:right w:val="single" w:sz="4" w:space="0" w:color="000000"/>
            </w:tcBorders>
            <w:shd w:val="clear" w:color="000000" w:fill="FFFFFF"/>
            <w:hideMark/>
          </w:tcPr>
          <w:p w14:paraId="74C62B4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publicación de que trata el presente artículo se realizará en la página web y/o aplicación que disponga la Registraduría Nacional del Estado Civil por el término de cinco (5) días calendario.</w:t>
            </w:r>
          </w:p>
        </w:tc>
        <w:tc>
          <w:tcPr>
            <w:tcW w:w="1480" w:type="dxa"/>
            <w:tcBorders>
              <w:top w:val="nil"/>
              <w:left w:val="nil"/>
              <w:bottom w:val="single" w:sz="4" w:space="0" w:color="000000"/>
              <w:right w:val="single" w:sz="4" w:space="0" w:color="000000"/>
            </w:tcBorders>
            <w:shd w:val="clear" w:color="000000" w:fill="FFFFFF"/>
            <w:hideMark/>
          </w:tcPr>
          <w:p w14:paraId="717707A6" w14:textId="77777777" w:rsidR="00222F34" w:rsidRPr="00222F34" w:rsidRDefault="00222F34" w:rsidP="00222F34">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383B35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65AB0A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55.-</w:t>
            </w:r>
            <w:r w:rsidRPr="00222F34">
              <w:rPr>
                <w:rFonts w:ascii="Calibri" w:eastAsia="Times New Roman" w:hAnsi="Calibri" w:cs="Calibri"/>
                <w:color w:val="000000"/>
                <w:lang w:val="es-CO" w:eastAsia="es-CO" w:bidi="ar-SA"/>
              </w:rPr>
              <w:t xml:space="preserve"> Modificase eI artícuIo 389 de Ia Ley 599 de 2000 y eI artícuIo 4 de Ia Ley 1864 de 2017, eI cuaI quedará así: </w:t>
            </w:r>
          </w:p>
        </w:tc>
        <w:tc>
          <w:tcPr>
            <w:tcW w:w="3798" w:type="dxa"/>
            <w:tcBorders>
              <w:top w:val="nil"/>
              <w:left w:val="nil"/>
              <w:bottom w:val="nil"/>
              <w:right w:val="single" w:sz="4" w:space="0" w:color="000000"/>
            </w:tcBorders>
            <w:shd w:val="clear" w:color="FFC000" w:fill="FFFFFF"/>
            <w:hideMark/>
          </w:tcPr>
          <w:p w14:paraId="2036EBD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eliminado.</w:t>
            </w:r>
          </w:p>
        </w:tc>
        <w:tc>
          <w:tcPr>
            <w:tcW w:w="3798" w:type="dxa"/>
            <w:tcBorders>
              <w:top w:val="nil"/>
              <w:left w:val="nil"/>
              <w:bottom w:val="nil"/>
              <w:right w:val="single" w:sz="4" w:space="0" w:color="000000"/>
            </w:tcBorders>
            <w:shd w:val="clear" w:color="FFC000" w:fill="FFFFFF"/>
            <w:hideMark/>
          </w:tcPr>
          <w:p w14:paraId="7601E799" w14:textId="074649D5"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w:t>
            </w:r>
            <w:r>
              <w:rPr>
                <w:rFonts w:ascii="Calibri" w:eastAsia="Times New Roman" w:hAnsi="Calibri" w:cs="Calibri"/>
                <w:b/>
                <w:bCs/>
                <w:color w:val="000000"/>
                <w:lang w:val="es-CO" w:eastAsia="es-CO" w:bidi="ar-SA"/>
              </w:rPr>
              <w:t>NUEVO</w:t>
            </w:r>
            <w:r w:rsidRPr="00222F34">
              <w:rPr>
                <w:rFonts w:ascii="Calibri" w:eastAsia="Times New Roman" w:hAnsi="Calibri" w:cs="Calibri"/>
                <w:b/>
                <w:bCs/>
                <w:color w:val="000000"/>
                <w:lang w:val="es-CO" w:eastAsia="es-CO" w:bidi="ar-SA"/>
              </w:rPr>
              <w:t>.-</w:t>
            </w:r>
            <w:r w:rsidRPr="00222F34">
              <w:rPr>
                <w:rFonts w:ascii="Calibri" w:eastAsia="Times New Roman" w:hAnsi="Calibri" w:cs="Calibri"/>
                <w:color w:val="000000"/>
                <w:lang w:val="es-CO" w:eastAsia="es-CO" w:bidi="ar-SA"/>
              </w:rPr>
              <w:t xml:space="preserve"> Modificase eI artícuIo 389 de Ia Ley 599 de 2000 y eI artícuIo 4 de Ia Ley 1864 de 2017, eI cuaI quedará así: </w:t>
            </w:r>
          </w:p>
        </w:tc>
        <w:tc>
          <w:tcPr>
            <w:tcW w:w="1480" w:type="dxa"/>
            <w:tcBorders>
              <w:top w:val="nil"/>
              <w:left w:val="nil"/>
              <w:bottom w:val="nil"/>
              <w:right w:val="single" w:sz="4" w:space="0" w:color="000000"/>
            </w:tcBorders>
            <w:shd w:val="clear" w:color="000000" w:fill="FFFFFF"/>
            <w:hideMark/>
          </w:tcPr>
          <w:p w14:paraId="421ED2A4" w14:textId="3E2C863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9273A1D"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E851C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Fraude en el domicilio electoral. EI que constriña, induzca, ofrezca promesa remuneratoria o por cualquier medio indebido Iogre que personas habilitadas para votar registren un domicilio electoral falso y distinto a su Iugar de habitación o asiento, con eI propósito de obtener ventaja en eIección popuIar, pIebiscito, referendo, consuIta popuIar o revocatoria deI mandato, incurrirá en prisión de cuarenta y ocho (48) a ciento ocho (108) meses y muIta de cincuenta (50) a doscientos (200) saIarios mínimos IegaIes mensuaIes vigentes. </w:t>
            </w:r>
          </w:p>
        </w:tc>
        <w:tc>
          <w:tcPr>
            <w:tcW w:w="3798" w:type="dxa"/>
            <w:tcBorders>
              <w:top w:val="nil"/>
              <w:left w:val="nil"/>
              <w:bottom w:val="nil"/>
              <w:right w:val="single" w:sz="4" w:space="0" w:color="000000"/>
            </w:tcBorders>
            <w:shd w:val="clear" w:color="FFC000" w:fill="FFFFFF"/>
            <w:hideMark/>
          </w:tcPr>
          <w:p w14:paraId="33A438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FFC000" w:fill="FFFFFF"/>
            <w:hideMark/>
          </w:tcPr>
          <w:p w14:paraId="3E237DBE" w14:textId="1540C4F8"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Fraude en el domicilio electoral. EI que constriña, induzca, ofrezca promesa remuneratoria o por cualquier medio indebido Iogre que personas habilitadas para votar registren un domicilio electoral falso y distinto a su Iugar de habitación o asiento, con eI propósito de obtener ventaja en eIección popuIar, pIebiscito, referendo, consuIta popuIar o revocatoria deI mandato, incurrirá en prisión de cuarenta y ocho (48) a ciento ocho (108) meses y muIta de cincuenta (50) a doscientos (200) saIarios mínimos IegaIes mensuaIes vigentes. </w:t>
            </w:r>
          </w:p>
        </w:tc>
        <w:tc>
          <w:tcPr>
            <w:tcW w:w="1480" w:type="dxa"/>
            <w:tcBorders>
              <w:top w:val="nil"/>
              <w:left w:val="nil"/>
              <w:bottom w:val="nil"/>
              <w:right w:val="single" w:sz="4" w:space="0" w:color="000000"/>
            </w:tcBorders>
            <w:shd w:val="clear" w:color="000000" w:fill="FFFFFF"/>
            <w:hideMark/>
          </w:tcPr>
          <w:p w14:paraId="729BAC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4775065"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50ED59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iguaI pena incurrirá quien faciIite o suministre medios para que personas habiIitadas para votar Io hagan en domiciIio eIectoraI faIso, o quien se registre en eI censo eIectoraI en IocaIidad, municipio, comuna o distrito diferente a aqueI donde tengan su domiciIio eIectoraI, con eI propósito de obtener provecho iIícito para sí o para terceros. La pena se aumentará de una tercera parte a Ia mitad cuando Ia conducta sea realizada por un servidor púbIico. </w:t>
            </w:r>
          </w:p>
        </w:tc>
        <w:tc>
          <w:tcPr>
            <w:tcW w:w="3798" w:type="dxa"/>
            <w:tcBorders>
              <w:top w:val="nil"/>
              <w:left w:val="nil"/>
              <w:bottom w:val="single" w:sz="4" w:space="0" w:color="000000"/>
              <w:right w:val="single" w:sz="4" w:space="0" w:color="000000"/>
            </w:tcBorders>
            <w:shd w:val="clear" w:color="FFC000" w:fill="FFFFFF"/>
            <w:hideMark/>
          </w:tcPr>
          <w:p w14:paraId="3C89C4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FFC000" w:fill="FFFFFF"/>
            <w:hideMark/>
          </w:tcPr>
          <w:p w14:paraId="0C3DEDA3" w14:textId="1FDB1CDE"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iguaI pena incurrirá quien faciIite o suministre medios para que personas habiIitadas para votar Io hagan en domiciIio eIectoraI faIso, o quien se registre en eI censo eIectoraI en IocaIidad, municipio, comuna o distrito diferente a aqueI donde tengan su domiciIio eIectoraI, con eI propósito de obtener provecho iIícito para sí o para terceros. La pena se aumentará de una tercera parte a Ia mitad cuando Ia conducta sea realizada por un servidor púbIico. </w:t>
            </w:r>
          </w:p>
        </w:tc>
        <w:tc>
          <w:tcPr>
            <w:tcW w:w="1480" w:type="dxa"/>
            <w:tcBorders>
              <w:top w:val="nil"/>
              <w:left w:val="nil"/>
              <w:bottom w:val="single" w:sz="4" w:space="0" w:color="000000"/>
              <w:right w:val="single" w:sz="4" w:space="0" w:color="000000"/>
            </w:tcBorders>
            <w:shd w:val="clear" w:color="000000" w:fill="FFFFFF"/>
            <w:hideMark/>
          </w:tcPr>
          <w:p w14:paraId="3ED24A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195CAA"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053EFB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56.- Elaboración de listas de personas habilitadas para votar en cada puesto.</w:t>
            </w:r>
            <w:r w:rsidRPr="00222F34">
              <w:rPr>
                <w:rFonts w:ascii="Calibri" w:eastAsia="Times New Roman" w:hAnsi="Calibri" w:cs="Calibri"/>
                <w:color w:val="000000"/>
                <w:lang w:val="es-CO" w:eastAsia="es-CO" w:bidi="ar-SA"/>
              </w:rPr>
              <w:t xml:space="preserve"> 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 </w:t>
            </w:r>
          </w:p>
        </w:tc>
        <w:tc>
          <w:tcPr>
            <w:tcW w:w="3798" w:type="dxa"/>
            <w:tcBorders>
              <w:top w:val="nil"/>
              <w:left w:val="nil"/>
              <w:bottom w:val="nil"/>
              <w:right w:val="single" w:sz="4" w:space="0" w:color="000000"/>
            </w:tcBorders>
            <w:shd w:val="clear" w:color="00FF00" w:fill="FFFFFF"/>
            <w:hideMark/>
          </w:tcPr>
          <w:p w14:paraId="7F1EE0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60. Elaboración de listas de personas habilitadas para votar en cada puesto. </w:t>
            </w:r>
            <w:r w:rsidRPr="00222F34">
              <w:rPr>
                <w:rFonts w:ascii="Calibri" w:eastAsia="Times New Roman" w:hAnsi="Calibri" w:cs="Calibri"/>
                <w:color w:val="000000"/>
                <w:lang w:val="es-CO" w:eastAsia="es-CO" w:bidi="ar-SA"/>
              </w:rPr>
              <w:t>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w:t>
            </w:r>
          </w:p>
        </w:tc>
        <w:tc>
          <w:tcPr>
            <w:tcW w:w="3798" w:type="dxa"/>
            <w:tcBorders>
              <w:top w:val="nil"/>
              <w:left w:val="nil"/>
              <w:bottom w:val="nil"/>
              <w:right w:val="single" w:sz="4" w:space="0" w:color="000000"/>
            </w:tcBorders>
            <w:shd w:val="clear" w:color="00FF00" w:fill="FFFFFF"/>
            <w:hideMark/>
          </w:tcPr>
          <w:p w14:paraId="5EA58B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60. Elaboración de listas de personas habilitadas para votar en cada puesto. </w:t>
            </w:r>
            <w:r w:rsidRPr="00222F34">
              <w:rPr>
                <w:rFonts w:ascii="Calibri" w:eastAsia="Times New Roman" w:hAnsi="Calibri" w:cs="Calibri"/>
                <w:color w:val="000000"/>
                <w:lang w:val="es-CO" w:eastAsia="es-CO" w:bidi="ar-SA"/>
              </w:rPr>
              <w:t>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w:t>
            </w:r>
          </w:p>
        </w:tc>
        <w:tc>
          <w:tcPr>
            <w:tcW w:w="1480" w:type="dxa"/>
            <w:tcBorders>
              <w:top w:val="nil"/>
              <w:left w:val="nil"/>
              <w:bottom w:val="nil"/>
              <w:right w:val="single" w:sz="4" w:space="0" w:color="000000"/>
            </w:tcBorders>
            <w:shd w:val="clear" w:color="000000" w:fill="FFFFFF"/>
            <w:hideMark/>
          </w:tcPr>
          <w:p w14:paraId="0FEF1C32" w14:textId="6543F6B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58E2B00C"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5F04CFE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FF00" w:fill="FFFFFF"/>
            <w:hideMark/>
          </w:tcPr>
          <w:p w14:paraId="56A9C6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La elaboración y distribución del censo electoral garantizará la protección del derecho al habeas data de todas las personas habilitadas para votar; se prohíbe la distribución de datos privados, semiprivados y sensibles.</w:t>
            </w:r>
          </w:p>
        </w:tc>
        <w:tc>
          <w:tcPr>
            <w:tcW w:w="3798" w:type="dxa"/>
            <w:tcBorders>
              <w:top w:val="nil"/>
              <w:left w:val="nil"/>
              <w:bottom w:val="single" w:sz="4" w:space="0" w:color="000000"/>
              <w:right w:val="single" w:sz="4" w:space="0" w:color="000000"/>
            </w:tcBorders>
            <w:shd w:val="clear" w:color="00FF00" w:fill="FFFFFF"/>
            <w:hideMark/>
          </w:tcPr>
          <w:p w14:paraId="4A201D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La elaboración y distribución del censo electoral garantizará la protección del derecho al habeas data de todas las personas habilitadas para votar; se prohíbe la distribución de datos privados, semiprivados y sensibles.</w:t>
            </w:r>
          </w:p>
        </w:tc>
        <w:tc>
          <w:tcPr>
            <w:tcW w:w="1480" w:type="dxa"/>
            <w:tcBorders>
              <w:top w:val="nil"/>
              <w:left w:val="nil"/>
              <w:bottom w:val="single" w:sz="4" w:space="0" w:color="000000"/>
              <w:right w:val="single" w:sz="4" w:space="0" w:color="000000"/>
            </w:tcBorders>
            <w:shd w:val="clear" w:color="000000" w:fill="FFFFFF"/>
            <w:hideMark/>
          </w:tcPr>
          <w:p w14:paraId="4D0BCD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B1DA05"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0B88AB4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57.- Deber de actualización y depuración transparente del censo electoral.</w:t>
            </w:r>
            <w:r w:rsidRPr="00222F34">
              <w:rPr>
                <w:rFonts w:ascii="Calibri" w:eastAsia="Times New Roman" w:hAnsi="Calibri" w:cs="Calibri"/>
                <w:color w:val="000000"/>
                <w:lang w:val="es-CO" w:eastAsia="es-CO" w:bidi="ar-SA"/>
              </w:rPr>
              <w:t xml:space="preserve">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tres (3) días hábiles de cada mes, especificando cuántas cédulas han sido depuradas del censo por cada una de las siguientes circunstancias: </w:t>
            </w:r>
          </w:p>
        </w:tc>
        <w:tc>
          <w:tcPr>
            <w:tcW w:w="3798" w:type="dxa"/>
            <w:tcBorders>
              <w:top w:val="nil"/>
              <w:left w:val="nil"/>
              <w:bottom w:val="nil"/>
              <w:right w:val="single" w:sz="4" w:space="0" w:color="000000"/>
            </w:tcBorders>
            <w:shd w:val="clear" w:color="000000" w:fill="FFFFFF"/>
            <w:hideMark/>
          </w:tcPr>
          <w:p w14:paraId="151EAF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61. Deber de actualización y depuración transparente del censo electora</w:t>
            </w:r>
            <w:r w:rsidRPr="00222F34">
              <w:rPr>
                <w:rFonts w:ascii="Calibri" w:eastAsia="Times New Roman" w:hAnsi="Calibri" w:cs="Calibri"/>
                <w:color w:val="000000"/>
                <w:lang w:val="es-CO" w:eastAsia="es-CO" w:bidi="ar-SA"/>
              </w:rPr>
              <w:t>l.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tres (3) días hábiles de cada mes, especificando cuántas cédulas han sido depuradas del censo por cada una de las siguientes circunstancias:</w:t>
            </w:r>
          </w:p>
        </w:tc>
        <w:tc>
          <w:tcPr>
            <w:tcW w:w="3798" w:type="dxa"/>
            <w:tcBorders>
              <w:top w:val="nil"/>
              <w:left w:val="nil"/>
              <w:bottom w:val="nil"/>
              <w:right w:val="single" w:sz="4" w:space="0" w:color="000000"/>
            </w:tcBorders>
            <w:shd w:val="clear" w:color="000000" w:fill="FFFFFF"/>
            <w:hideMark/>
          </w:tcPr>
          <w:p w14:paraId="554D5D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61. Deber de actualización y depuración transparente del censo electora</w:t>
            </w:r>
            <w:r w:rsidRPr="00222F34">
              <w:rPr>
                <w:rFonts w:ascii="Calibri" w:eastAsia="Times New Roman" w:hAnsi="Calibri" w:cs="Calibri"/>
                <w:color w:val="000000"/>
                <w:lang w:val="es-CO" w:eastAsia="es-CO" w:bidi="ar-SA"/>
              </w:rPr>
              <w:t>l.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tres (3) días hábiles de cada mes, especificando cuántas cédulas han sido depuradas del censo por cada una de las siguientes circunstancias:</w:t>
            </w:r>
          </w:p>
        </w:tc>
        <w:tc>
          <w:tcPr>
            <w:tcW w:w="1480" w:type="dxa"/>
            <w:tcBorders>
              <w:top w:val="nil"/>
              <w:left w:val="nil"/>
              <w:bottom w:val="nil"/>
              <w:right w:val="single" w:sz="4" w:space="0" w:color="000000"/>
            </w:tcBorders>
            <w:shd w:val="clear" w:color="000000" w:fill="FFFFFF"/>
            <w:hideMark/>
          </w:tcPr>
          <w:p w14:paraId="13FD0B94" w14:textId="489F76A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DFEB55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B05E6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 Las pertenecientes a ciudadanos y ciudadanas que se encuentren en situación de servicio activo a la Fuerza Pública;</w:t>
            </w:r>
          </w:p>
        </w:tc>
        <w:tc>
          <w:tcPr>
            <w:tcW w:w="3798" w:type="dxa"/>
            <w:tcBorders>
              <w:top w:val="nil"/>
              <w:left w:val="nil"/>
              <w:bottom w:val="nil"/>
              <w:right w:val="single" w:sz="4" w:space="0" w:color="000000"/>
            </w:tcBorders>
            <w:shd w:val="clear" w:color="000000" w:fill="FFFFFF"/>
            <w:hideMark/>
          </w:tcPr>
          <w:p w14:paraId="0C790E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Las pertenecientes a ciudadanos y ciudadanas que se encuentren en situación de servicio activo a la Fuerza Pública;</w:t>
            </w:r>
          </w:p>
        </w:tc>
        <w:tc>
          <w:tcPr>
            <w:tcW w:w="3798" w:type="dxa"/>
            <w:tcBorders>
              <w:top w:val="nil"/>
              <w:left w:val="nil"/>
              <w:bottom w:val="nil"/>
              <w:right w:val="single" w:sz="4" w:space="0" w:color="000000"/>
            </w:tcBorders>
            <w:shd w:val="clear" w:color="000000" w:fill="FFFFFF"/>
            <w:hideMark/>
          </w:tcPr>
          <w:p w14:paraId="1B35EB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Las pertenecientes a ciudadanos y ciudadanas que se encuentren en situación de servicio activo a la Fuerza Pública;</w:t>
            </w:r>
          </w:p>
        </w:tc>
        <w:tc>
          <w:tcPr>
            <w:tcW w:w="1480" w:type="dxa"/>
            <w:tcBorders>
              <w:top w:val="nil"/>
              <w:left w:val="nil"/>
              <w:bottom w:val="nil"/>
              <w:right w:val="single" w:sz="4" w:space="0" w:color="000000"/>
            </w:tcBorders>
            <w:shd w:val="clear" w:color="000000" w:fill="FFFFFF"/>
            <w:hideMark/>
          </w:tcPr>
          <w:p w14:paraId="7EA5E9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86FC5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F80D8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Las pertenecientes a ciudadanos y ciudadanas inhabilitados para el ejercicio de derechos en virtud de sentencia penal ejecutoriada; </w:t>
            </w:r>
          </w:p>
        </w:tc>
        <w:tc>
          <w:tcPr>
            <w:tcW w:w="3798" w:type="dxa"/>
            <w:tcBorders>
              <w:top w:val="nil"/>
              <w:left w:val="nil"/>
              <w:bottom w:val="nil"/>
              <w:right w:val="single" w:sz="4" w:space="0" w:color="000000"/>
            </w:tcBorders>
            <w:shd w:val="clear" w:color="000000" w:fill="FFFFFF"/>
            <w:hideMark/>
          </w:tcPr>
          <w:p w14:paraId="3D0BE6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Las pertenecientes a ciudadanos y ciudadanas inhabilitados para el ejercicio de derechos en virtud de sentencia penal ejecutoriada; </w:t>
            </w:r>
          </w:p>
        </w:tc>
        <w:tc>
          <w:tcPr>
            <w:tcW w:w="3798" w:type="dxa"/>
            <w:tcBorders>
              <w:top w:val="nil"/>
              <w:left w:val="nil"/>
              <w:bottom w:val="nil"/>
              <w:right w:val="single" w:sz="4" w:space="0" w:color="000000"/>
            </w:tcBorders>
            <w:shd w:val="clear" w:color="000000" w:fill="FFFFFF"/>
            <w:hideMark/>
          </w:tcPr>
          <w:p w14:paraId="0CA15A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Las pertenecientes a ciudadanos y ciudadanas inhabilitados para el ejercicio de derechos en virtud de sentencia penal ejecutoriada; </w:t>
            </w:r>
          </w:p>
        </w:tc>
        <w:tc>
          <w:tcPr>
            <w:tcW w:w="1480" w:type="dxa"/>
            <w:tcBorders>
              <w:top w:val="nil"/>
              <w:left w:val="nil"/>
              <w:bottom w:val="nil"/>
              <w:right w:val="single" w:sz="4" w:space="0" w:color="000000"/>
            </w:tcBorders>
            <w:shd w:val="clear" w:color="000000" w:fill="FFFFFF"/>
            <w:hideMark/>
          </w:tcPr>
          <w:p w14:paraId="2519C4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8E55F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D8B45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Las correspondientes a ciudadanos y ciudadanas fallecidos; </w:t>
            </w:r>
          </w:p>
        </w:tc>
        <w:tc>
          <w:tcPr>
            <w:tcW w:w="3798" w:type="dxa"/>
            <w:tcBorders>
              <w:top w:val="nil"/>
              <w:left w:val="nil"/>
              <w:bottom w:val="nil"/>
              <w:right w:val="single" w:sz="4" w:space="0" w:color="000000"/>
            </w:tcBorders>
            <w:shd w:val="clear" w:color="000000" w:fill="FFFFFF"/>
            <w:hideMark/>
          </w:tcPr>
          <w:p w14:paraId="0303E1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Las correspondientes a ciudadanos y ciudadanas fallecidos; </w:t>
            </w:r>
          </w:p>
        </w:tc>
        <w:tc>
          <w:tcPr>
            <w:tcW w:w="3798" w:type="dxa"/>
            <w:tcBorders>
              <w:top w:val="nil"/>
              <w:left w:val="nil"/>
              <w:bottom w:val="nil"/>
              <w:right w:val="single" w:sz="4" w:space="0" w:color="000000"/>
            </w:tcBorders>
            <w:shd w:val="clear" w:color="000000" w:fill="FFFFFF"/>
            <w:hideMark/>
          </w:tcPr>
          <w:p w14:paraId="46FCA6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Las correspondientes a ciudadanos y ciudadanas fallecidos; </w:t>
            </w:r>
          </w:p>
        </w:tc>
        <w:tc>
          <w:tcPr>
            <w:tcW w:w="1480" w:type="dxa"/>
            <w:tcBorders>
              <w:top w:val="nil"/>
              <w:left w:val="nil"/>
              <w:bottom w:val="nil"/>
              <w:right w:val="single" w:sz="4" w:space="0" w:color="000000"/>
            </w:tcBorders>
            <w:shd w:val="clear" w:color="000000" w:fill="FFFFFF"/>
            <w:hideMark/>
          </w:tcPr>
          <w:p w14:paraId="657B98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E35FC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C8544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Las cédulas múltiples; </w:t>
            </w:r>
          </w:p>
        </w:tc>
        <w:tc>
          <w:tcPr>
            <w:tcW w:w="3798" w:type="dxa"/>
            <w:tcBorders>
              <w:top w:val="nil"/>
              <w:left w:val="nil"/>
              <w:bottom w:val="nil"/>
              <w:right w:val="single" w:sz="4" w:space="0" w:color="000000"/>
            </w:tcBorders>
            <w:shd w:val="clear" w:color="000000" w:fill="FFFFFF"/>
            <w:hideMark/>
          </w:tcPr>
          <w:p w14:paraId="7FABF1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Las cédulas múltiples; </w:t>
            </w:r>
          </w:p>
        </w:tc>
        <w:tc>
          <w:tcPr>
            <w:tcW w:w="3798" w:type="dxa"/>
            <w:tcBorders>
              <w:top w:val="nil"/>
              <w:left w:val="nil"/>
              <w:bottom w:val="nil"/>
              <w:right w:val="single" w:sz="4" w:space="0" w:color="000000"/>
            </w:tcBorders>
            <w:shd w:val="clear" w:color="000000" w:fill="FFFFFF"/>
            <w:hideMark/>
          </w:tcPr>
          <w:p w14:paraId="024CC9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Las cédulas múltiples; </w:t>
            </w:r>
          </w:p>
        </w:tc>
        <w:tc>
          <w:tcPr>
            <w:tcW w:w="1480" w:type="dxa"/>
            <w:tcBorders>
              <w:top w:val="nil"/>
              <w:left w:val="nil"/>
              <w:bottom w:val="nil"/>
              <w:right w:val="single" w:sz="4" w:space="0" w:color="000000"/>
            </w:tcBorders>
            <w:shd w:val="clear" w:color="000000" w:fill="FFFFFF"/>
            <w:hideMark/>
          </w:tcPr>
          <w:p w14:paraId="56E21F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79F6B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CDDC6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Las expedidas a menores de edad; </w:t>
            </w:r>
          </w:p>
        </w:tc>
        <w:tc>
          <w:tcPr>
            <w:tcW w:w="3798" w:type="dxa"/>
            <w:tcBorders>
              <w:top w:val="nil"/>
              <w:left w:val="nil"/>
              <w:bottom w:val="nil"/>
              <w:right w:val="single" w:sz="4" w:space="0" w:color="000000"/>
            </w:tcBorders>
            <w:shd w:val="clear" w:color="000000" w:fill="FFFFFF"/>
            <w:hideMark/>
          </w:tcPr>
          <w:p w14:paraId="031911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Las expedidas a menores de edad; </w:t>
            </w:r>
          </w:p>
        </w:tc>
        <w:tc>
          <w:tcPr>
            <w:tcW w:w="3798" w:type="dxa"/>
            <w:tcBorders>
              <w:top w:val="nil"/>
              <w:left w:val="nil"/>
              <w:bottom w:val="nil"/>
              <w:right w:val="single" w:sz="4" w:space="0" w:color="000000"/>
            </w:tcBorders>
            <w:shd w:val="clear" w:color="000000" w:fill="FFFFFF"/>
            <w:hideMark/>
          </w:tcPr>
          <w:p w14:paraId="73BEA3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Las expedidas a menores de edad; </w:t>
            </w:r>
          </w:p>
        </w:tc>
        <w:tc>
          <w:tcPr>
            <w:tcW w:w="1480" w:type="dxa"/>
            <w:tcBorders>
              <w:top w:val="nil"/>
              <w:left w:val="nil"/>
              <w:bottom w:val="nil"/>
              <w:right w:val="single" w:sz="4" w:space="0" w:color="000000"/>
            </w:tcBorders>
            <w:shd w:val="clear" w:color="000000" w:fill="FFFFFF"/>
            <w:hideMark/>
          </w:tcPr>
          <w:p w14:paraId="7383AC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3A2348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AFA71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Las expedidas a extranjeros que no tengan carta de naturaleza;</w:t>
            </w:r>
          </w:p>
        </w:tc>
        <w:tc>
          <w:tcPr>
            <w:tcW w:w="3798" w:type="dxa"/>
            <w:tcBorders>
              <w:top w:val="nil"/>
              <w:left w:val="nil"/>
              <w:bottom w:val="nil"/>
              <w:right w:val="single" w:sz="4" w:space="0" w:color="000000"/>
            </w:tcBorders>
            <w:shd w:val="clear" w:color="000000" w:fill="FFFFFF"/>
            <w:hideMark/>
          </w:tcPr>
          <w:p w14:paraId="24DC07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Las expedidas a extranjeros que no tengan carta de naturaleza;</w:t>
            </w:r>
          </w:p>
        </w:tc>
        <w:tc>
          <w:tcPr>
            <w:tcW w:w="3798" w:type="dxa"/>
            <w:tcBorders>
              <w:top w:val="nil"/>
              <w:left w:val="nil"/>
              <w:bottom w:val="nil"/>
              <w:right w:val="single" w:sz="4" w:space="0" w:color="000000"/>
            </w:tcBorders>
            <w:shd w:val="clear" w:color="000000" w:fill="FFFFFF"/>
            <w:hideMark/>
          </w:tcPr>
          <w:p w14:paraId="2814D5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Las expedidas a extranjeros que no tengan carta de naturaleza;</w:t>
            </w:r>
          </w:p>
        </w:tc>
        <w:tc>
          <w:tcPr>
            <w:tcW w:w="1480" w:type="dxa"/>
            <w:tcBorders>
              <w:top w:val="nil"/>
              <w:left w:val="nil"/>
              <w:bottom w:val="nil"/>
              <w:right w:val="single" w:sz="4" w:space="0" w:color="000000"/>
            </w:tcBorders>
            <w:shd w:val="clear" w:color="000000" w:fill="FFFFFF"/>
            <w:hideMark/>
          </w:tcPr>
          <w:p w14:paraId="425937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15F775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0C534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correspondientes a casos de falsa identidad o suplantación; </w:t>
            </w:r>
          </w:p>
        </w:tc>
        <w:tc>
          <w:tcPr>
            <w:tcW w:w="3798" w:type="dxa"/>
            <w:tcBorders>
              <w:top w:val="nil"/>
              <w:left w:val="nil"/>
              <w:bottom w:val="nil"/>
              <w:right w:val="single" w:sz="4" w:space="0" w:color="000000"/>
            </w:tcBorders>
            <w:shd w:val="clear" w:color="000000" w:fill="FFFFFF"/>
            <w:hideMark/>
          </w:tcPr>
          <w:p w14:paraId="188CF9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correspondientes a casos de falsa identidad o suplantación; </w:t>
            </w:r>
          </w:p>
        </w:tc>
        <w:tc>
          <w:tcPr>
            <w:tcW w:w="3798" w:type="dxa"/>
            <w:tcBorders>
              <w:top w:val="nil"/>
              <w:left w:val="nil"/>
              <w:bottom w:val="nil"/>
              <w:right w:val="single" w:sz="4" w:space="0" w:color="000000"/>
            </w:tcBorders>
            <w:shd w:val="clear" w:color="000000" w:fill="FFFFFF"/>
            <w:hideMark/>
          </w:tcPr>
          <w:p w14:paraId="735E28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correspondientes a casos de falsa identidad o suplantación; </w:t>
            </w:r>
          </w:p>
        </w:tc>
        <w:tc>
          <w:tcPr>
            <w:tcW w:w="1480" w:type="dxa"/>
            <w:tcBorders>
              <w:top w:val="nil"/>
              <w:left w:val="nil"/>
              <w:bottom w:val="nil"/>
              <w:right w:val="single" w:sz="4" w:space="0" w:color="000000"/>
            </w:tcBorders>
            <w:shd w:val="clear" w:color="000000" w:fill="FFFFFF"/>
            <w:hideMark/>
          </w:tcPr>
          <w:p w14:paraId="7E3A65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C96761B"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6672C5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resultados analíticos de la actualización y depuración estarán sujetos a los recursos de control pertinentes para llevar a cabo las impugnaciones a que haya lugar por irregularidades.</w:t>
            </w:r>
          </w:p>
        </w:tc>
        <w:tc>
          <w:tcPr>
            <w:tcW w:w="3798" w:type="dxa"/>
            <w:tcBorders>
              <w:top w:val="nil"/>
              <w:left w:val="nil"/>
              <w:bottom w:val="single" w:sz="4" w:space="0" w:color="000000"/>
              <w:right w:val="single" w:sz="4" w:space="0" w:color="000000"/>
            </w:tcBorders>
            <w:shd w:val="clear" w:color="000000" w:fill="FFFFFF"/>
            <w:hideMark/>
          </w:tcPr>
          <w:p w14:paraId="5C1C6C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resultados analíticos de la actualización y depuración estarán sujetos a los recursos de control pertinentes para llevar a cabo las impugnaciones a que haya lugar por irregularidades.</w:t>
            </w:r>
          </w:p>
        </w:tc>
        <w:tc>
          <w:tcPr>
            <w:tcW w:w="3798" w:type="dxa"/>
            <w:tcBorders>
              <w:top w:val="nil"/>
              <w:left w:val="nil"/>
              <w:bottom w:val="single" w:sz="4" w:space="0" w:color="000000"/>
              <w:right w:val="single" w:sz="4" w:space="0" w:color="000000"/>
            </w:tcBorders>
            <w:shd w:val="clear" w:color="000000" w:fill="FFFFFF"/>
            <w:hideMark/>
          </w:tcPr>
          <w:p w14:paraId="496EAE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resultados analíticos de la actualización y depuración estarán sujetos a los recursos de control pertinentes para llevar a cabo las impugnaciones a que haya lugar por irregularidades.</w:t>
            </w:r>
          </w:p>
        </w:tc>
        <w:tc>
          <w:tcPr>
            <w:tcW w:w="1480" w:type="dxa"/>
            <w:tcBorders>
              <w:top w:val="nil"/>
              <w:left w:val="nil"/>
              <w:bottom w:val="single" w:sz="4" w:space="0" w:color="000000"/>
              <w:right w:val="single" w:sz="4" w:space="0" w:color="000000"/>
            </w:tcBorders>
            <w:shd w:val="clear" w:color="000000" w:fill="FFFFFF"/>
            <w:hideMark/>
          </w:tcPr>
          <w:p w14:paraId="361AC8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ADAA7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33DB98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58.- Censo Electoral para las diferentes elecciones:.</w:t>
            </w:r>
            <w:r w:rsidRPr="00222F34">
              <w:rPr>
                <w:rFonts w:ascii="Calibri" w:eastAsia="Times New Roman" w:hAnsi="Calibri" w:cs="Calibri"/>
                <w:color w:val="000000"/>
                <w:lang w:val="es-CO" w:eastAsia="es-CO" w:bidi="ar-SA"/>
              </w:rPr>
              <w:t xml:space="preserve"> El censo electoral que se utilizará para las elecciones de carácter ordinario será el resultante de la aplicación de las actualizaciones y depuraciones al censo electoral vigente con corte a dos (2) meses antes de la respectiva elección. </w:t>
            </w:r>
          </w:p>
        </w:tc>
        <w:tc>
          <w:tcPr>
            <w:tcW w:w="3798" w:type="dxa"/>
            <w:tcBorders>
              <w:top w:val="nil"/>
              <w:left w:val="nil"/>
              <w:bottom w:val="nil"/>
              <w:right w:val="single" w:sz="4" w:space="0" w:color="000000"/>
            </w:tcBorders>
            <w:shd w:val="clear" w:color="000000" w:fill="FFFFFF"/>
            <w:hideMark/>
          </w:tcPr>
          <w:p w14:paraId="22037A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62. Censo Electoral para las diferentes elecciones</w:t>
            </w:r>
            <w:r w:rsidRPr="00222F34">
              <w:rPr>
                <w:rFonts w:ascii="Calibri" w:eastAsia="Times New Roman" w:hAnsi="Calibri" w:cs="Calibri"/>
                <w:color w:val="000000"/>
                <w:lang w:val="es-CO" w:eastAsia="es-CO" w:bidi="ar-SA"/>
              </w:rPr>
              <w:t>: El censo electoral que se utilizará para las elecciones de carácter ordinario será el resultante de la aplicación de las actualizaciones y depuraciones al censo electoral vigente con corte a dos (2) meses antes de la respectiva elección.</w:t>
            </w:r>
          </w:p>
        </w:tc>
        <w:tc>
          <w:tcPr>
            <w:tcW w:w="3798" w:type="dxa"/>
            <w:tcBorders>
              <w:top w:val="nil"/>
              <w:left w:val="nil"/>
              <w:bottom w:val="nil"/>
              <w:right w:val="single" w:sz="4" w:space="0" w:color="000000"/>
            </w:tcBorders>
            <w:shd w:val="clear" w:color="000000" w:fill="FFFFFF"/>
            <w:hideMark/>
          </w:tcPr>
          <w:p w14:paraId="7A7CE1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62. Censo Electoral para las diferentes elecciones</w:t>
            </w:r>
            <w:r w:rsidRPr="00222F34">
              <w:rPr>
                <w:rFonts w:ascii="Calibri" w:eastAsia="Times New Roman" w:hAnsi="Calibri" w:cs="Calibri"/>
                <w:color w:val="000000"/>
                <w:lang w:val="es-CO" w:eastAsia="es-CO" w:bidi="ar-SA"/>
              </w:rPr>
              <w:t>: El censo electoral que se utilizará para las elecciones de carácter ordinario será el resultante de la aplicación de las actualizaciones y depuraciones al censo electoral vigente con corte a dos (2) meses antes de la respectiva elección.</w:t>
            </w:r>
          </w:p>
        </w:tc>
        <w:tc>
          <w:tcPr>
            <w:tcW w:w="1480" w:type="dxa"/>
            <w:tcBorders>
              <w:top w:val="nil"/>
              <w:left w:val="nil"/>
              <w:bottom w:val="nil"/>
              <w:right w:val="single" w:sz="4" w:space="0" w:color="000000"/>
            </w:tcBorders>
            <w:shd w:val="clear" w:color="000000" w:fill="FFFFFF"/>
            <w:hideMark/>
          </w:tcPr>
          <w:p w14:paraId="23D25257" w14:textId="6C80A82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D06CB4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F70C54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El censo electoral que se utilizará en una eventual segunda vuelta para elegir presidente y vicepresidente de la República y alcalde de Bogotá, Distrito Capital, será el mismo utilizado en primera vuelta. </w:t>
            </w:r>
          </w:p>
        </w:tc>
        <w:tc>
          <w:tcPr>
            <w:tcW w:w="3798" w:type="dxa"/>
            <w:tcBorders>
              <w:top w:val="nil"/>
              <w:left w:val="nil"/>
              <w:bottom w:val="nil"/>
              <w:right w:val="single" w:sz="4" w:space="0" w:color="000000"/>
            </w:tcBorders>
            <w:shd w:val="clear" w:color="000000" w:fill="FFFFFF"/>
            <w:hideMark/>
          </w:tcPr>
          <w:p w14:paraId="044C59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censo electoral que se utilizará en una eventual segunda vuelta para elegir presidente y vicepresidente de la República y alcalde de Bogotá, Distrito Capital, será el mismo utilizado en primera vuelta.</w:t>
            </w:r>
          </w:p>
        </w:tc>
        <w:tc>
          <w:tcPr>
            <w:tcW w:w="3798" w:type="dxa"/>
            <w:tcBorders>
              <w:top w:val="nil"/>
              <w:left w:val="nil"/>
              <w:bottom w:val="nil"/>
              <w:right w:val="single" w:sz="4" w:space="0" w:color="000000"/>
            </w:tcBorders>
            <w:shd w:val="clear" w:color="000000" w:fill="FFFFFF"/>
            <w:hideMark/>
          </w:tcPr>
          <w:p w14:paraId="001C26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censo electoral que se utilizará en una eventual segunda vuelta para elegir presidente y vicepresidente de la República y alcalde de Bogotá, Distrito Capital, será el mismo utilizado en primera vuelta.</w:t>
            </w:r>
          </w:p>
        </w:tc>
        <w:tc>
          <w:tcPr>
            <w:tcW w:w="1480" w:type="dxa"/>
            <w:tcBorders>
              <w:top w:val="nil"/>
              <w:left w:val="nil"/>
              <w:bottom w:val="nil"/>
              <w:right w:val="single" w:sz="4" w:space="0" w:color="000000"/>
            </w:tcBorders>
            <w:shd w:val="clear" w:color="000000" w:fill="FFFFFF"/>
            <w:hideMark/>
          </w:tcPr>
          <w:p w14:paraId="530620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7CE4359"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78B1A09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 </w:t>
            </w:r>
          </w:p>
        </w:tc>
        <w:tc>
          <w:tcPr>
            <w:tcW w:w="3798" w:type="dxa"/>
            <w:tcBorders>
              <w:top w:val="nil"/>
              <w:left w:val="nil"/>
              <w:bottom w:val="single" w:sz="4" w:space="0" w:color="000000"/>
              <w:right w:val="single" w:sz="4" w:space="0" w:color="000000"/>
            </w:tcBorders>
            <w:shd w:val="clear" w:color="000000" w:fill="FFFFFF"/>
            <w:hideMark/>
          </w:tcPr>
          <w:p w14:paraId="516A78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w:t>
            </w:r>
          </w:p>
        </w:tc>
        <w:tc>
          <w:tcPr>
            <w:tcW w:w="3798" w:type="dxa"/>
            <w:tcBorders>
              <w:top w:val="nil"/>
              <w:left w:val="nil"/>
              <w:bottom w:val="single" w:sz="4" w:space="0" w:color="000000"/>
              <w:right w:val="single" w:sz="4" w:space="0" w:color="000000"/>
            </w:tcBorders>
            <w:shd w:val="clear" w:color="000000" w:fill="FFFFFF"/>
            <w:hideMark/>
          </w:tcPr>
          <w:p w14:paraId="7C8A8C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w:t>
            </w:r>
          </w:p>
        </w:tc>
        <w:tc>
          <w:tcPr>
            <w:tcW w:w="1480" w:type="dxa"/>
            <w:tcBorders>
              <w:top w:val="nil"/>
              <w:left w:val="nil"/>
              <w:bottom w:val="single" w:sz="4" w:space="0" w:color="000000"/>
              <w:right w:val="single" w:sz="4" w:space="0" w:color="000000"/>
            </w:tcBorders>
            <w:shd w:val="clear" w:color="000000" w:fill="FFFFFF"/>
            <w:hideMark/>
          </w:tcPr>
          <w:p w14:paraId="6A31E9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4727C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EFA73E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59.- Publicación del censo electoral definitivo.</w:t>
            </w:r>
            <w:r w:rsidRPr="00222F34">
              <w:rPr>
                <w:rFonts w:ascii="Calibri" w:eastAsia="Times New Roman" w:hAnsi="Calibri" w:cs="Calibri"/>
                <w:color w:val="000000"/>
                <w:lang w:val="es-CO" w:eastAsia="es-CO" w:bidi="ar-SA"/>
              </w:rPr>
              <w:t xml:space="preserve"> 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 </w:t>
            </w:r>
          </w:p>
        </w:tc>
        <w:tc>
          <w:tcPr>
            <w:tcW w:w="3798" w:type="dxa"/>
            <w:tcBorders>
              <w:top w:val="nil"/>
              <w:left w:val="nil"/>
              <w:bottom w:val="nil"/>
              <w:right w:val="single" w:sz="4" w:space="0" w:color="000000"/>
            </w:tcBorders>
            <w:shd w:val="clear" w:color="000000" w:fill="FFFFFF"/>
            <w:hideMark/>
          </w:tcPr>
          <w:p w14:paraId="493DB5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63. Publicación del censo electoral definitivo.</w:t>
            </w:r>
            <w:r w:rsidRPr="00222F34">
              <w:rPr>
                <w:rFonts w:ascii="Calibri" w:eastAsia="Times New Roman" w:hAnsi="Calibri" w:cs="Calibri"/>
                <w:color w:val="000000"/>
                <w:lang w:val="es-CO" w:eastAsia="es-CO" w:bidi="ar-SA"/>
              </w:rPr>
              <w:t xml:space="preserve"> 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w:t>
            </w:r>
          </w:p>
        </w:tc>
        <w:tc>
          <w:tcPr>
            <w:tcW w:w="3798" w:type="dxa"/>
            <w:tcBorders>
              <w:top w:val="nil"/>
              <w:left w:val="nil"/>
              <w:bottom w:val="nil"/>
              <w:right w:val="single" w:sz="4" w:space="0" w:color="000000"/>
            </w:tcBorders>
            <w:shd w:val="clear" w:color="000000" w:fill="FFFFFF"/>
            <w:hideMark/>
          </w:tcPr>
          <w:p w14:paraId="5F77DC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63. Publicación del censo electoral definitivo.</w:t>
            </w:r>
            <w:r w:rsidRPr="00222F34">
              <w:rPr>
                <w:rFonts w:ascii="Calibri" w:eastAsia="Times New Roman" w:hAnsi="Calibri" w:cs="Calibri"/>
                <w:color w:val="000000"/>
                <w:lang w:val="es-CO" w:eastAsia="es-CO" w:bidi="ar-SA"/>
              </w:rPr>
              <w:t xml:space="preserve"> 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w:t>
            </w:r>
          </w:p>
        </w:tc>
        <w:tc>
          <w:tcPr>
            <w:tcW w:w="1480" w:type="dxa"/>
            <w:tcBorders>
              <w:top w:val="nil"/>
              <w:left w:val="nil"/>
              <w:bottom w:val="nil"/>
              <w:right w:val="single" w:sz="4" w:space="0" w:color="000000"/>
            </w:tcBorders>
            <w:shd w:val="clear" w:color="000000" w:fill="FFFFFF"/>
            <w:hideMark/>
          </w:tcPr>
          <w:p w14:paraId="1453BB5A" w14:textId="1DFBADD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E3C7F2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3CE3D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publicación deberá ser accesible a las personas con discapacidad. </w:t>
            </w:r>
          </w:p>
        </w:tc>
        <w:tc>
          <w:tcPr>
            <w:tcW w:w="3798" w:type="dxa"/>
            <w:tcBorders>
              <w:top w:val="nil"/>
              <w:left w:val="nil"/>
              <w:bottom w:val="nil"/>
              <w:right w:val="single" w:sz="4" w:space="0" w:color="000000"/>
            </w:tcBorders>
            <w:shd w:val="clear" w:color="000000" w:fill="FFFFFF"/>
            <w:hideMark/>
          </w:tcPr>
          <w:p w14:paraId="3A2513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publicación deberá ser accesible a las personas con discapacidad.</w:t>
            </w:r>
          </w:p>
        </w:tc>
        <w:tc>
          <w:tcPr>
            <w:tcW w:w="3798" w:type="dxa"/>
            <w:tcBorders>
              <w:top w:val="nil"/>
              <w:left w:val="nil"/>
              <w:bottom w:val="nil"/>
              <w:right w:val="single" w:sz="4" w:space="0" w:color="000000"/>
            </w:tcBorders>
            <w:shd w:val="clear" w:color="000000" w:fill="FFFFFF"/>
            <w:hideMark/>
          </w:tcPr>
          <w:p w14:paraId="3B7A1E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publicación deberá ser accesible a las personas con discapacidad.</w:t>
            </w:r>
          </w:p>
        </w:tc>
        <w:tc>
          <w:tcPr>
            <w:tcW w:w="1480" w:type="dxa"/>
            <w:tcBorders>
              <w:top w:val="nil"/>
              <w:left w:val="nil"/>
              <w:bottom w:val="nil"/>
              <w:right w:val="single" w:sz="4" w:space="0" w:color="000000"/>
            </w:tcBorders>
            <w:shd w:val="clear" w:color="000000" w:fill="FFFFFF"/>
            <w:hideMark/>
          </w:tcPr>
          <w:p w14:paraId="56F69E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D6631C3"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01E7FCA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Una vez realizada la publicación de que trata el presente artículo no procederá recurso alguno contra los registros contenidos en el censo electoral definitivo, ni contra las decisiones que sobre ellos tuviere pendiente el Consejo Nacional Electoral. </w:t>
            </w:r>
          </w:p>
        </w:tc>
        <w:tc>
          <w:tcPr>
            <w:tcW w:w="3798" w:type="dxa"/>
            <w:tcBorders>
              <w:top w:val="nil"/>
              <w:left w:val="nil"/>
              <w:bottom w:val="single" w:sz="4" w:space="0" w:color="000000"/>
              <w:right w:val="single" w:sz="4" w:space="0" w:color="000000"/>
            </w:tcBorders>
            <w:shd w:val="clear" w:color="000000" w:fill="FFFFFF"/>
            <w:hideMark/>
          </w:tcPr>
          <w:p w14:paraId="3BD541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Una vez realizada la publicación de que trata el presente artículo no procederá recurso alguno contra los registros contenidos en el censo electoral definitivo, ni contra las decisiones que sobre ellos tuviere pendiente el Consejo Nacional Electoral.</w:t>
            </w:r>
          </w:p>
        </w:tc>
        <w:tc>
          <w:tcPr>
            <w:tcW w:w="3798" w:type="dxa"/>
            <w:tcBorders>
              <w:top w:val="nil"/>
              <w:left w:val="nil"/>
              <w:bottom w:val="single" w:sz="4" w:space="0" w:color="000000"/>
              <w:right w:val="single" w:sz="4" w:space="0" w:color="000000"/>
            </w:tcBorders>
            <w:shd w:val="clear" w:color="000000" w:fill="FFFFFF"/>
            <w:hideMark/>
          </w:tcPr>
          <w:p w14:paraId="7F2E7A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Una vez realizada la publicación de que trata el presente artículo no procederá recurso alguno contra los registros contenidos en el censo electoral definitivo, ni contra las decisiones que sobre ellos tuviere pendiente el Consejo Nacional Electoral.</w:t>
            </w:r>
          </w:p>
        </w:tc>
        <w:tc>
          <w:tcPr>
            <w:tcW w:w="1480" w:type="dxa"/>
            <w:tcBorders>
              <w:top w:val="nil"/>
              <w:left w:val="nil"/>
              <w:bottom w:val="single" w:sz="4" w:space="0" w:color="000000"/>
              <w:right w:val="single" w:sz="4" w:space="0" w:color="000000"/>
            </w:tcBorders>
            <w:shd w:val="clear" w:color="000000" w:fill="FFFFFF"/>
            <w:hideMark/>
          </w:tcPr>
          <w:p w14:paraId="350B4B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12A04F3"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248FC8F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60.- Control y veeduría participativa a la depuración.</w:t>
            </w:r>
            <w:r w:rsidRPr="00222F34">
              <w:rPr>
                <w:rFonts w:ascii="Calibri" w:eastAsia="Times New Roman" w:hAnsi="Calibri" w:cs="Calibri"/>
                <w:color w:val="000000"/>
                <w:lang w:val="es-CO" w:eastAsia="es-CO" w:bidi="ar-SA"/>
              </w:rPr>
              <w:t xml:space="preserve"> Los Órganos de Control ejercerán un control permanente sobre el proceso de actualización y depuración del censo electoral. Se garantizará la veeduría ciudadana mediante mecanismos de participación plural de acceso y constatación de la información.</w:t>
            </w:r>
          </w:p>
        </w:tc>
        <w:tc>
          <w:tcPr>
            <w:tcW w:w="3798" w:type="dxa"/>
            <w:tcBorders>
              <w:top w:val="nil"/>
              <w:left w:val="nil"/>
              <w:bottom w:val="single" w:sz="4" w:space="0" w:color="000000"/>
              <w:right w:val="single" w:sz="4" w:space="0" w:color="000000"/>
            </w:tcBorders>
            <w:shd w:val="clear" w:color="000000" w:fill="FFFFFF"/>
            <w:hideMark/>
          </w:tcPr>
          <w:p w14:paraId="3B1DEF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64. Control y veeduría participativa a la depuración.</w:t>
            </w:r>
            <w:r w:rsidRPr="00222F34">
              <w:rPr>
                <w:rFonts w:ascii="Calibri" w:eastAsia="Times New Roman" w:hAnsi="Calibri" w:cs="Calibri"/>
                <w:color w:val="000000"/>
                <w:lang w:val="es-CO" w:eastAsia="es-CO" w:bidi="ar-SA"/>
              </w:rPr>
              <w:t xml:space="preserve"> Los Órganos de Control ejercerán un control permanente sobre el proceso de actualización y depuración del censo electoral. Se garantizará la veeduría ciudadana mediante mecanismos de participación plural de acceso y constatación de la información.</w:t>
            </w:r>
          </w:p>
        </w:tc>
        <w:tc>
          <w:tcPr>
            <w:tcW w:w="3798" w:type="dxa"/>
            <w:tcBorders>
              <w:top w:val="nil"/>
              <w:left w:val="nil"/>
              <w:bottom w:val="single" w:sz="4" w:space="0" w:color="000000"/>
              <w:right w:val="single" w:sz="4" w:space="0" w:color="000000"/>
            </w:tcBorders>
            <w:shd w:val="clear" w:color="000000" w:fill="FFFFFF"/>
            <w:hideMark/>
          </w:tcPr>
          <w:p w14:paraId="06694D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64. Control y veeduría participativa a la depuración.</w:t>
            </w:r>
            <w:r w:rsidRPr="00222F34">
              <w:rPr>
                <w:rFonts w:ascii="Calibri" w:eastAsia="Times New Roman" w:hAnsi="Calibri" w:cs="Calibri"/>
                <w:color w:val="000000"/>
                <w:lang w:val="es-CO" w:eastAsia="es-CO" w:bidi="ar-SA"/>
              </w:rPr>
              <w:t xml:space="preserve"> Los Órganos de Control ejercerán un control permanente sobre el proceso de actualización y depuración del censo electoral. Se garantizará la veeduría ciudadana mediante mecanismos de participación plural de acceso y constatación de la información.</w:t>
            </w:r>
          </w:p>
        </w:tc>
        <w:tc>
          <w:tcPr>
            <w:tcW w:w="1480" w:type="dxa"/>
            <w:tcBorders>
              <w:top w:val="nil"/>
              <w:left w:val="nil"/>
              <w:bottom w:val="single" w:sz="4" w:space="0" w:color="000000"/>
              <w:right w:val="single" w:sz="4" w:space="0" w:color="000000"/>
            </w:tcBorders>
            <w:shd w:val="clear" w:color="000000" w:fill="FFFFFF"/>
            <w:hideMark/>
          </w:tcPr>
          <w:p w14:paraId="10D39C90" w14:textId="31460DC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100D89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40CA07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III</w:t>
            </w:r>
          </w:p>
        </w:tc>
        <w:tc>
          <w:tcPr>
            <w:tcW w:w="3798" w:type="dxa"/>
            <w:tcBorders>
              <w:top w:val="nil"/>
              <w:left w:val="nil"/>
              <w:bottom w:val="nil"/>
              <w:right w:val="single" w:sz="4" w:space="0" w:color="000000"/>
            </w:tcBorders>
            <w:shd w:val="clear" w:color="000000" w:fill="FFFFFF"/>
            <w:hideMark/>
          </w:tcPr>
          <w:p w14:paraId="5373D17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III</w:t>
            </w:r>
          </w:p>
        </w:tc>
        <w:tc>
          <w:tcPr>
            <w:tcW w:w="3798" w:type="dxa"/>
            <w:tcBorders>
              <w:top w:val="nil"/>
              <w:left w:val="nil"/>
              <w:bottom w:val="nil"/>
              <w:right w:val="single" w:sz="4" w:space="0" w:color="000000"/>
            </w:tcBorders>
            <w:shd w:val="clear" w:color="000000" w:fill="FFFFFF"/>
            <w:hideMark/>
          </w:tcPr>
          <w:p w14:paraId="1D368CF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III</w:t>
            </w:r>
          </w:p>
        </w:tc>
        <w:tc>
          <w:tcPr>
            <w:tcW w:w="1480" w:type="dxa"/>
            <w:tcBorders>
              <w:top w:val="nil"/>
              <w:left w:val="nil"/>
              <w:bottom w:val="nil"/>
              <w:right w:val="single" w:sz="4" w:space="0" w:color="000000"/>
            </w:tcBorders>
            <w:shd w:val="clear" w:color="000000" w:fill="FFFFFF"/>
            <w:hideMark/>
          </w:tcPr>
          <w:p w14:paraId="50CB44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1FA519"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881DA5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SELECCIÓN E INSCRIPCIÓN DE CANDIDATURAS</w:t>
            </w:r>
          </w:p>
        </w:tc>
        <w:tc>
          <w:tcPr>
            <w:tcW w:w="3798" w:type="dxa"/>
            <w:tcBorders>
              <w:top w:val="nil"/>
              <w:left w:val="nil"/>
              <w:bottom w:val="single" w:sz="4" w:space="0" w:color="000000"/>
              <w:right w:val="single" w:sz="4" w:space="0" w:color="000000"/>
            </w:tcBorders>
            <w:shd w:val="clear" w:color="000000" w:fill="FFFFFF"/>
            <w:hideMark/>
          </w:tcPr>
          <w:p w14:paraId="68A2325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SELECCIÓN E INSCRIPCIÓN DE CANDIDATURAS</w:t>
            </w:r>
          </w:p>
        </w:tc>
        <w:tc>
          <w:tcPr>
            <w:tcW w:w="3798" w:type="dxa"/>
            <w:tcBorders>
              <w:top w:val="nil"/>
              <w:left w:val="nil"/>
              <w:bottom w:val="single" w:sz="4" w:space="0" w:color="000000"/>
              <w:right w:val="single" w:sz="4" w:space="0" w:color="000000"/>
            </w:tcBorders>
            <w:shd w:val="clear" w:color="000000" w:fill="FFFFFF"/>
            <w:hideMark/>
          </w:tcPr>
          <w:p w14:paraId="3173162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SELECCIÓN E INSCRIPCIÓN DE CANDIDATURAS</w:t>
            </w:r>
          </w:p>
        </w:tc>
        <w:tc>
          <w:tcPr>
            <w:tcW w:w="1480" w:type="dxa"/>
            <w:tcBorders>
              <w:top w:val="nil"/>
              <w:left w:val="nil"/>
              <w:bottom w:val="single" w:sz="4" w:space="0" w:color="000000"/>
              <w:right w:val="single" w:sz="4" w:space="0" w:color="000000"/>
            </w:tcBorders>
            <w:shd w:val="clear" w:color="000000" w:fill="FFFFFF"/>
            <w:hideMark/>
          </w:tcPr>
          <w:p w14:paraId="272637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9939F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90D6B3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72D6696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26978A6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1EA4C1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96A340"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5E515DA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previas a la inscripción de candidatos por grupos significativos de ciudadanos y promotores de voto en blanco</w:t>
            </w:r>
          </w:p>
        </w:tc>
        <w:tc>
          <w:tcPr>
            <w:tcW w:w="3798" w:type="dxa"/>
            <w:tcBorders>
              <w:top w:val="nil"/>
              <w:left w:val="nil"/>
              <w:bottom w:val="single" w:sz="4" w:space="0" w:color="000000"/>
              <w:right w:val="single" w:sz="4" w:space="0" w:color="000000"/>
            </w:tcBorders>
            <w:shd w:val="clear" w:color="000000" w:fill="FFFFFF"/>
            <w:hideMark/>
          </w:tcPr>
          <w:p w14:paraId="7283580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previas a la inscripción de candidatos por grupos significativos de ciudadanos y promotores de voto en blanco</w:t>
            </w:r>
          </w:p>
        </w:tc>
        <w:tc>
          <w:tcPr>
            <w:tcW w:w="3798" w:type="dxa"/>
            <w:tcBorders>
              <w:top w:val="nil"/>
              <w:left w:val="nil"/>
              <w:bottom w:val="single" w:sz="4" w:space="0" w:color="000000"/>
              <w:right w:val="single" w:sz="4" w:space="0" w:color="000000"/>
            </w:tcBorders>
            <w:shd w:val="clear" w:color="000000" w:fill="FFFFFF"/>
            <w:hideMark/>
          </w:tcPr>
          <w:p w14:paraId="33D464B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previas a la inscripción de candidatos por grupos significativos de ciudadanos y promotores de voto en blanco</w:t>
            </w:r>
          </w:p>
        </w:tc>
        <w:tc>
          <w:tcPr>
            <w:tcW w:w="1480" w:type="dxa"/>
            <w:tcBorders>
              <w:top w:val="nil"/>
              <w:left w:val="nil"/>
              <w:bottom w:val="single" w:sz="4" w:space="0" w:color="000000"/>
              <w:right w:val="single" w:sz="4" w:space="0" w:color="000000"/>
            </w:tcBorders>
            <w:shd w:val="clear" w:color="000000" w:fill="FFFFFF"/>
            <w:hideMark/>
          </w:tcPr>
          <w:p w14:paraId="7627F9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386D6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C01C44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61.- Registro de comités.</w:t>
            </w:r>
            <w:r w:rsidRPr="00222F34">
              <w:rPr>
                <w:rFonts w:ascii="Calibri" w:eastAsia="Times New Roman" w:hAnsi="Calibri" w:cs="Calibri"/>
                <w:color w:val="000000"/>
                <w:lang w:val="es-CO" w:eastAsia="es-CO" w:bidi="ar-SA"/>
              </w:rPr>
              <w:t xml:space="preserve"> Los grupos significativos de ciudadanos, los movimientos sociales que decidan constituirse como tales,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 </w:t>
            </w:r>
          </w:p>
        </w:tc>
        <w:tc>
          <w:tcPr>
            <w:tcW w:w="3798" w:type="dxa"/>
            <w:tcBorders>
              <w:top w:val="nil"/>
              <w:left w:val="nil"/>
              <w:bottom w:val="nil"/>
              <w:right w:val="single" w:sz="4" w:space="0" w:color="000000"/>
            </w:tcBorders>
            <w:shd w:val="clear" w:color="000000" w:fill="FFFFFF"/>
            <w:hideMark/>
          </w:tcPr>
          <w:p w14:paraId="3AD31B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65. Registro de comités.</w:t>
            </w:r>
            <w:r w:rsidRPr="00222F34">
              <w:rPr>
                <w:rFonts w:ascii="Calibri" w:eastAsia="Times New Roman" w:hAnsi="Calibri" w:cs="Calibri"/>
                <w:color w:val="000000"/>
                <w:lang w:val="es-CO" w:eastAsia="es-CO" w:bidi="ar-SA"/>
              </w:rPr>
              <w:t xml:space="preserve"> Los grupos significativos de ciudadanos, los movimientos sociales que decidan constituirse como tales,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w:t>
            </w:r>
          </w:p>
        </w:tc>
        <w:tc>
          <w:tcPr>
            <w:tcW w:w="3798" w:type="dxa"/>
            <w:tcBorders>
              <w:top w:val="nil"/>
              <w:left w:val="nil"/>
              <w:bottom w:val="nil"/>
              <w:right w:val="single" w:sz="4" w:space="0" w:color="000000"/>
            </w:tcBorders>
            <w:shd w:val="clear" w:color="000000" w:fill="FFFFFF"/>
            <w:hideMark/>
          </w:tcPr>
          <w:p w14:paraId="4FD1E8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65. Registro de comités.</w:t>
            </w:r>
            <w:r w:rsidRPr="00222F34">
              <w:rPr>
                <w:rFonts w:ascii="Calibri" w:eastAsia="Times New Roman" w:hAnsi="Calibri" w:cs="Calibri"/>
                <w:color w:val="000000"/>
                <w:lang w:val="es-CO" w:eastAsia="es-CO" w:bidi="ar-SA"/>
              </w:rPr>
              <w:t xml:space="preserve"> Los grupos significativos de ciudadanos, los movimientos sociales que decidan constituirse como tales,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w:t>
            </w:r>
          </w:p>
        </w:tc>
        <w:tc>
          <w:tcPr>
            <w:tcW w:w="1480" w:type="dxa"/>
            <w:tcBorders>
              <w:top w:val="nil"/>
              <w:left w:val="nil"/>
              <w:bottom w:val="nil"/>
              <w:right w:val="single" w:sz="4" w:space="0" w:color="000000"/>
            </w:tcBorders>
            <w:shd w:val="clear" w:color="000000" w:fill="FFFFFF"/>
            <w:hideMark/>
          </w:tcPr>
          <w:p w14:paraId="42D8B22E" w14:textId="3F22654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329487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5CA92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 </w:t>
            </w:r>
          </w:p>
        </w:tc>
        <w:tc>
          <w:tcPr>
            <w:tcW w:w="3798" w:type="dxa"/>
            <w:tcBorders>
              <w:top w:val="nil"/>
              <w:left w:val="nil"/>
              <w:bottom w:val="nil"/>
              <w:right w:val="single" w:sz="4" w:space="0" w:color="000000"/>
            </w:tcBorders>
            <w:shd w:val="clear" w:color="000000" w:fill="FFFFFF"/>
            <w:hideMark/>
          </w:tcPr>
          <w:p w14:paraId="67629F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w:t>
            </w:r>
          </w:p>
        </w:tc>
        <w:tc>
          <w:tcPr>
            <w:tcW w:w="3798" w:type="dxa"/>
            <w:tcBorders>
              <w:top w:val="nil"/>
              <w:left w:val="nil"/>
              <w:bottom w:val="nil"/>
              <w:right w:val="single" w:sz="4" w:space="0" w:color="000000"/>
            </w:tcBorders>
            <w:shd w:val="clear" w:color="000000" w:fill="FFFFFF"/>
            <w:hideMark/>
          </w:tcPr>
          <w:p w14:paraId="4D8CCB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w:t>
            </w:r>
          </w:p>
        </w:tc>
        <w:tc>
          <w:tcPr>
            <w:tcW w:w="1480" w:type="dxa"/>
            <w:tcBorders>
              <w:top w:val="nil"/>
              <w:left w:val="nil"/>
              <w:bottom w:val="nil"/>
              <w:right w:val="single" w:sz="4" w:space="0" w:color="000000"/>
            </w:tcBorders>
            <w:shd w:val="clear" w:color="000000" w:fill="FFFFFF"/>
            <w:hideMark/>
          </w:tcPr>
          <w:p w14:paraId="2D6913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C59D1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1CD98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Indicar en el formulario de recolección de apoyos los nombres de los integrantes del comité inscriptor y la relación de los candidatos principales y remanentes cuando aplique, excepto el de la fórmula vicepresidencial. </w:t>
            </w:r>
          </w:p>
        </w:tc>
        <w:tc>
          <w:tcPr>
            <w:tcW w:w="3798" w:type="dxa"/>
            <w:tcBorders>
              <w:top w:val="nil"/>
              <w:left w:val="nil"/>
              <w:bottom w:val="nil"/>
              <w:right w:val="single" w:sz="4" w:space="0" w:color="000000"/>
            </w:tcBorders>
            <w:shd w:val="clear" w:color="000000" w:fill="FFFFFF"/>
            <w:hideMark/>
          </w:tcPr>
          <w:p w14:paraId="574F2B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Indicar en el formulario de recolección de apoyos los nombres de los integrantes del comité inscriptor y la relación de los candidatos principales y remanentes cuando aplique, excepto el de la fórmula vicepresidencial.</w:t>
            </w:r>
          </w:p>
        </w:tc>
        <w:tc>
          <w:tcPr>
            <w:tcW w:w="3798" w:type="dxa"/>
            <w:tcBorders>
              <w:top w:val="nil"/>
              <w:left w:val="nil"/>
              <w:bottom w:val="nil"/>
              <w:right w:val="single" w:sz="4" w:space="0" w:color="000000"/>
            </w:tcBorders>
            <w:shd w:val="clear" w:color="000000" w:fill="FFFFFF"/>
            <w:hideMark/>
          </w:tcPr>
          <w:p w14:paraId="1356D5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Indicar en el formulario de recolección de apoyos los nombres de los integrantes del comité inscriptor y la relación de los candidatos principales y remanentes cuando aplique, excepto el de la fórmula vicepresidencial.</w:t>
            </w:r>
          </w:p>
        </w:tc>
        <w:tc>
          <w:tcPr>
            <w:tcW w:w="1480" w:type="dxa"/>
            <w:tcBorders>
              <w:top w:val="nil"/>
              <w:left w:val="nil"/>
              <w:bottom w:val="nil"/>
              <w:right w:val="single" w:sz="4" w:space="0" w:color="000000"/>
            </w:tcBorders>
            <w:shd w:val="clear" w:color="000000" w:fill="FFFFFF"/>
            <w:hideMark/>
          </w:tcPr>
          <w:p w14:paraId="055B04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7864CA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B277C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Indicar en el formulario de recolección de apoyos si los comités inscriptores quedan facultados para conformar coaliciones con partidos y/o movimientos políticos con personería jurídica.  </w:t>
            </w:r>
          </w:p>
        </w:tc>
        <w:tc>
          <w:tcPr>
            <w:tcW w:w="3798" w:type="dxa"/>
            <w:tcBorders>
              <w:top w:val="nil"/>
              <w:left w:val="nil"/>
              <w:bottom w:val="nil"/>
              <w:right w:val="single" w:sz="4" w:space="0" w:color="000000"/>
            </w:tcBorders>
            <w:shd w:val="clear" w:color="000000" w:fill="FFFFFF"/>
            <w:hideMark/>
          </w:tcPr>
          <w:p w14:paraId="24DA67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Indicar en el formulario de recolección de apoyos si los comités inscriptores quedan facultados para conformar coaliciones con partidos y/o movimientos políticos con personería jurídica.</w:t>
            </w:r>
          </w:p>
        </w:tc>
        <w:tc>
          <w:tcPr>
            <w:tcW w:w="3798" w:type="dxa"/>
            <w:tcBorders>
              <w:top w:val="nil"/>
              <w:left w:val="nil"/>
              <w:bottom w:val="nil"/>
              <w:right w:val="single" w:sz="4" w:space="0" w:color="000000"/>
            </w:tcBorders>
            <w:shd w:val="clear" w:color="000000" w:fill="FFFFFF"/>
            <w:hideMark/>
          </w:tcPr>
          <w:p w14:paraId="69B24B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Indicar en el formulario de recolección de apoyos si los comités inscriptores quedan facultados para conformar coaliciones con partidos y/o movimientos políticos con personería jurídica.</w:t>
            </w:r>
          </w:p>
        </w:tc>
        <w:tc>
          <w:tcPr>
            <w:tcW w:w="1480" w:type="dxa"/>
            <w:tcBorders>
              <w:top w:val="nil"/>
              <w:left w:val="nil"/>
              <w:bottom w:val="nil"/>
              <w:right w:val="single" w:sz="4" w:space="0" w:color="000000"/>
            </w:tcBorders>
            <w:shd w:val="clear" w:color="000000" w:fill="FFFFFF"/>
            <w:hideMark/>
          </w:tcPr>
          <w:p w14:paraId="78094A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EAEDA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63731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w:t>
            </w:r>
            <w:r w:rsidRPr="00222F34">
              <w:rPr>
                <w:rFonts w:ascii="Calibri" w:eastAsia="Times New Roman" w:hAnsi="Calibri" w:cs="Calibri"/>
                <w:color w:val="000000"/>
                <w:lang w:val="es-CO" w:eastAsia="es-CO" w:bidi="ar-SA"/>
              </w:rPr>
              <w:lastRenderedPageBreak/>
              <w:t xml:space="preserve">garantizar el cumplimiento de la cuota de género. </w:t>
            </w:r>
          </w:p>
        </w:tc>
        <w:tc>
          <w:tcPr>
            <w:tcW w:w="3798" w:type="dxa"/>
            <w:tcBorders>
              <w:top w:val="nil"/>
              <w:left w:val="nil"/>
              <w:bottom w:val="nil"/>
              <w:right w:val="single" w:sz="4" w:space="0" w:color="000000"/>
            </w:tcBorders>
            <w:shd w:val="clear" w:color="000000" w:fill="FFFFFF"/>
            <w:hideMark/>
          </w:tcPr>
          <w:p w14:paraId="5E649B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w:t>
            </w:r>
            <w:r w:rsidRPr="00222F34">
              <w:rPr>
                <w:rFonts w:ascii="Calibri" w:eastAsia="Times New Roman" w:hAnsi="Calibri" w:cs="Calibri"/>
                <w:color w:val="000000"/>
                <w:lang w:val="es-CO" w:eastAsia="es-CO" w:bidi="ar-SA"/>
              </w:rPr>
              <w:lastRenderedPageBreak/>
              <w:t>garantizar el cumplimiento de la cuota de género.</w:t>
            </w:r>
          </w:p>
        </w:tc>
        <w:tc>
          <w:tcPr>
            <w:tcW w:w="3798" w:type="dxa"/>
            <w:tcBorders>
              <w:top w:val="nil"/>
              <w:left w:val="nil"/>
              <w:bottom w:val="nil"/>
              <w:right w:val="single" w:sz="4" w:space="0" w:color="000000"/>
            </w:tcBorders>
            <w:shd w:val="clear" w:color="000000" w:fill="FFFFFF"/>
            <w:hideMark/>
          </w:tcPr>
          <w:p w14:paraId="549B2A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w:t>
            </w:r>
            <w:r w:rsidRPr="00222F34">
              <w:rPr>
                <w:rFonts w:ascii="Calibri" w:eastAsia="Times New Roman" w:hAnsi="Calibri" w:cs="Calibri"/>
                <w:color w:val="000000"/>
                <w:lang w:val="es-CO" w:eastAsia="es-CO" w:bidi="ar-SA"/>
              </w:rPr>
              <w:lastRenderedPageBreak/>
              <w:t>garantizar el cumplimiento de la cuota de género.</w:t>
            </w:r>
          </w:p>
        </w:tc>
        <w:tc>
          <w:tcPr>
            <w:tcW w:w="1480" w:type="dxa"/>
            <w:tcBorders>
              <w:top w:val="nil"/>
              <w:left w:val="nil"/>
              <w:bottom w:val="nil"/>
              <w:right w:val="single" w:sz="4" w:space="0" w:color="000000"/>
            </w:tcBorders>
            <w:shd w:val="clear" w:color="000000" w:fill="FFFFFF"/>
            <w:hideMark/>
          </w:tcPr>
          <w:p w14:paraId="5FCB0E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C7BC9E4"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EAAC5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 </w:t>
            </w:r>
          </w:p>
        </w:tc>
        <w:tc>
          <w:tcPr>
            <w:tcW w:w="3798" w:type="dxa"/>
            <w:tcBorders>
              <w:top w:val="nil"/>
              <w:left w:val="nil"/>
              <w:bottom w:val="nil"/>
              <w:right w:val="single" w:sz="4" w:space="0" w:color="000000"/>
            </w:tcBorders>
            <w:shd w:val="clear" w:color="000000" w:fill="FFFFFF"/>
            <w:hideMark/>
          </w:tcPr>
          <w:p w14:paraId="0866B5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w:t>
            </w:r>
          </w:p>
        </w:tc>
        <w:tc>
          <w:tcPr>
            <w:tcW w:w="3798" w:type="dxa"/>
            <w:tcBorders>
              <w:top w:val="nil"/>
              <w:left w:val="nil"/>
              <w:bottom w:val="nil"/>
              <w:right w:val="single" w:sz="4" w:space="0" w:color="000000"/>
            </w:tcBorders>
            <w:shd w:val="clear" w:color="000000" w:fill="FFFFFF"/>
            <w:hideMark/>
          </w:tcPr>
          <w:p w14:paraId="674FF9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w:t>
            </w:r>
          </w:p>
        </w:tc>
        <w:tc>
          <w:tcPr>
            <w:tcW w:w="1480" w:type="dxa"/>
            <w:tcBorders>
              <w:top w:val="nil"/>
              <w:left w:val="nil"/>
              <w:bottom w:val="nil"/>
              <w:right w:val="single" w:sz="4" w:space="0" w:color="000000"/>
            </w:tcBorders>
            <w:shd w:val="clear" w:color="000000" w:fill="FFFFFF"/>
            <w:hideMark/>
          </w:tcPr>
          <w:p w14:paraId="0220B9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745AE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3FCFD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Una vez registrado el comité inscriptor, la Registraduría Nacional del Estado Civil remitirá, al día siguiente, al Consejo Nacional Electoral la información concerniente a la denominación y logo símbolo del grupo significativo de ciudadanos, para su correspondiente registro. </w:t>
            </w:r>
          </w:p>
        </w:tc>
        <w:tc>
          <w:tcPr>
            <w:tcW w:w="3798" w:type="dxa"/>
            <w:tcBorders>
              <w:top w:val="nil"/>
              <w:left w:val="nil"/>
              <w:bottom w:val="nil"/>
              <w:right w:val="single" w:sz="4" w:space="0" w:color="000000"/>
            </w:tcBorders>
            <w:shd w:val="clear" w:color="000000" w:fill="FFFFFF"/>
            <w:hideMark/>
          </w:tcPr>
          <w:p w14:paraId="4BA861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registrado el comité inscriptor, la Registraduría Nacional del Estado Civil remitirá, al día siguiente, al Consejo Nacional Electoral la información concerniente a la denominación y logo símbolo del grupo significativo de ciudadanos, para su correspondiente registro.</w:t>
            </w:r>
          </w:p>
        </w:tc>
        <w:tc>
          <w:tcPr>
            <w:tcW w:w="3798" w:type="dxa"/>
            <w:tcBorders>
              <w:top w:val="nil"/>
              <w:left w:val="nil"/>
              <w:bottom w:val="nil"/>
              <w:right w:val="single" w:sz="4" w:space="0" w:color="000000"/>
            </w:tcBorders>
            <w:shd w:val="clear" w:color="000000" w:fill="FFFFFF"/>
            <w:hideMark/>
          </w:tcPr>
          <w:p w14:paraId="15C354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registrado el comité inscriptor, la Registraduría Nacional del Estado Civil remitirá, al día siguiente, al Consejo Nacional Electoral la información concerniente a la denominación y logo símbolo del grupo significativo de ciudadanos, para su correspondiente registro.</w:t>
            </w:r>
          </w:p>
        </w:tc>
        <w:tc>
          <w:tcPr>
            <w:tcW w:w="1480" w:type="dxa"/>
            <w:tcBorders>
              <w:top w:val="nil"/>
              <w:left w:val="nil"/>
              <w:bottom w:val="nil"/>
              <w:right w:val="single" w:sz="4" w:space="0" w:color="000000"/>
            </w:tcBorders>
            <w:shd w:val="clear" w:color="000000" w:fill="FFFFFF"/>
            <w:hideMark/>
          </w:tcPr>
          <w:p w14:paraId="019000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EE87E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6CF4D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Una vez surtido el registro, no se podrán modificar la denominación ni el logo símbolo del grupo significativo de ciudadanos. </w:t>
            </w:r>
          </w:p>
        </w:tc>
        <w:tc>
          <w:tcPr>
            <w:tcW w:w="3798" w:type="dxa"/>
            <w:tcBorders>
              <w:top w:val="nil"/>
              <w:left w:val="nil"/>
              <w:bottom w:val="nil"/>
              <w:right w:val="single" w:sz="4" w:space="0" w:color="000000"/>
            </w:tcBorders>
            <w:shd w:val="clear" w:color="000000" w:fill="FFFFFF"/>
            <w:hideMark/>
          </w:tcPr>
          <w:p w14:paraId="39D8F0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surtido el registro, no se podrán modificar la denominación ni el logosímbolo del grupo significativo de ciudadanos.</w:t>
            </w:r>
          </w:p>
        </w:tc>
        <w:tc>
          <w:tcPr>
            <w:tcW w:w="3798" w:type="dxa"/>
            <w:tcBorders>
              <w:top w:val="nil"/>
              <w:left w:val="nil"/>
              <w:bottom w:val="nil"/>
              <w:right w:val="single" w:sz="4" w:space="0" w:color="000000"/>
            </w:tcBorders>
            <w:shd w:val="clear" w:color="000000" w:fill="FFFFFF"/>
            <w:hideMark/>
          </w:tcPr>
          <w:p w14:paraId="52A24B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surtido el registro, no se podrán modificar la denominación ni el logosímbolo del grupo significativo de ciudadanos.</w:t>
            </w:r>
          </w:p>
        </w:tc>
        <w:tc>
          <w:tcPr>
            <w:tcW w:w="1480" w:type="dxa"/>
            <w:tcBorders>
              <w:top w:val="nil"/>
              <w:left w:val="nil"/>
              <w:bottom w:val="nil"/>
              <w:right w:val="single" w:sz="4" w:space="0" w:color="000000"/>
            </w:tcBorders>
            <w:shd w:val="clear" w:color="000000" w:fill="FFFFFF"/>
            <w:hideMark/>
          </w:tcPr>
          <w:p w14:paraId="374826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8376A6" w14:textId="77777777" w:rsidTr="00222F34">
        <w:trPr>
          <w:trHeight w:val="2100"/>
        </w:trPr>
        <w:tc>
          <w:tcPr>
            <w:tcW w:w="3798" w:type="dxa"/>
            <w:tcBorders>
              <w:top w:val="nil"/>
              <w:left w:val="single" w:sz="4" w:space="0" w:color="000000"/>
              <w:bottom w:val="single" w:sz="4" w:space="0" w:color="000000"/>
              <w:right w:val="single" w:sz="4" w:space="0" w:color="000000"/>
            </w:tcBorders>
            <w:shd w:val="clear" w:color="000000" w:fill="FFFFFF"/>
            <w:hideMark/>
          </w:tcPr>
          <w:p w14:paraId="0AE1BD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El Consejo Nacional Electoral reglamentará lo relacionado con la aprobación de la denominación y del logosímbolo de los comités inscriptores de grupos significativos de ciudadanos, así como su registro y decidirá sobre dicha aprobación y registro dentro del mes siguiente al recibo de la información, de acuerdo con el procedimiento que reglamente la misma Corporación y la ley. En todo caso, el Consejo Nacional Electoral deberá resolver la solicitud sobre la denominación y el logosímbolo a más tardar dos (2) meses antes de la celebración de las elecciones.</w:t>
            </w:r>
          </w:p>
        </w:tc>
        <w:tc>
          <w:tcPr>
            <w:tcW w:w="3798" w:type="dxa"/>
            <w:tcBorders>
              <w:top w:val="nil"/>
              <w:left w:val="nil"/>
              <w:bottom w:val="single" w:sz="4" w:space="0" w:color="000000"/>
              <w:right w:val="single" w:sz="4" w:space="0" w:color="000000"/>
            </w:tcBorders>
            <w:shd w:val="clear" w:color="000000" w:fill="FFFFFF"/>
            <w:hideMark/>
          </w:tcPr>
          <w:p w14:paraId="111CBF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reglamentará lo relacionado con la aprobación de la denominación y del logosímbolo de los comités inscriptores de grupos significativos de ciudadanos, así como su registro y decidirá sobre dicha aprobación y registro dentro del mes siguiente al recibo de la información, de acuerdo con el procedimiento que reglamente la misma Corporación y la ley. En todo caso, el Consejo Nacional Electoral deberá resolver la solicitud sobre la denominación y el logosímbolo a más tardar dos (2) meses antes de la celebración de las elecciones.</w:t>
            </w:r>
          </w:p>
        </w:tc>
        <w:tc>
          <w:tcPr>
            <w:tcW w:w="3798" w:type="dxa"/>
            <w:tcBorders>
              <w:top w:val="nil"/>
              <w:left w:val="nil"/>
              <w:bottom w:val="single" w:sz="4" w:space="0" w:color="000000"/>
              <w:right w:val="single" w:sz="4" w:space="0" w:color="000000"/>
            </w:tcBorders>
            <w:shd w:val="clear" w:color="000000" w:fill="FFFFFF"/>
            <w:hideMark/>
          </w:tcPr>
          <w:p w14:paraId="16F53A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reglamentará lo relacionado con la aprobación de la denominación y del logosímbolo de los comités inscriptores de grupos significativos de ciudadanos, así como su registro y decidirá sobre dicha aprobación y registro dentro del mes siguiente al recibo de la información, de acuerdo con el procedimiento que reglamente la misma Corporación y la ley. En todo caso, el Consejo Nacional Electoral deberá resolver la solicitud sobre la denominación y el logosímbolo a más tardar dos (2) meses antes de la celebración de las elecciones.</w:t>
            </w:r>
          </w:p>
        </w:tc>
        <w:tc>
          <w:tcPr>
            <w:tcW w:w="1480" w:type="dxa"/>
            <w:tcBorders>
              <w:top w:val="nil"/>
              <w:left w:val="nil"/>
              <w:bottom w:val="single" w:sz="4" w:space="0" w:color="000000"/>
              <w:right w:val="single" w:sz="4" w:space="0" w:color="000000"/>
            </w:tcBorders>
            <w:shd w:val="clear" w:color="000000" w:fill="FFFFFF"/>
            <w:hideMark/>
          </w:tcPr>
          <w:p w14:paraId="58D74B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4233F4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C6B983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62.- Acreditación de apoyos.</w:t>
            </w:r>
            <w:r w:rsidRPr="00222F34">
              <w:rPr>
                <w:rFonts w:ascii="Calibri" w:eastAsia="Times New Roman" w:hAnsi="Calibri" w:cs="Calibri"/>
                <w:color w:val="000000"/>
                <w:lang w:val="es-CO" w:eastAsia="es-CO" w:bidi="ar-SA"/>
              </w:rPr>
              <w:t xml:space="preserve"> Los comités inscriptores de los grupos significativos de ciudadanos y del voto en blanco deberán acreditar un número mínimo de apoyos válidos equivalentes a: </w:t>
            </w:r>
          </w:p>
        </w:tc>
        <w:tc>
          <w:tcPr>
            <w:tcW w:w="3798" w:type="dxa"/>
            <w:tcBorders>
              <w:top w:val="nil"/>
              <w:left w:val="nil"/>
              <w:bottom w:val="nil"/>
              <w:right w:val="single" w:sz="4" w:space="0" w:color="000000"/>
            </w:tcBorders>
            <w:shd w:val="clear" w:color="000000" w:fill="FFFFFF"/>
            <w:hideMark/>
          </w:tcPr>
          <w:p w14:paraId="16BB74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66. Acreditación de apoyos</w:t>
            </w:r>
            <w:r w:rsidRPr="00222F34">
              <w:rPr>
                <w:rFonts w:ascii="Calibri" w:eastAsia="Times New Roman" w:hAnsi="Calibri" w:cs="Calibri"/>
                <w:color w:val="000000"/>
                <w:lang w:val="es-CO" w:eastAsia="es-CO" w:bidi="ar-SA"/>
              </w:rPr>
              <w:t>. Los comités inscriptores de los grupos significativos de ciudadanos y del voto en blanco deberán acreditar un número mínimo de apoyos válidos equivalentes a:</w:t>
            </w:r>
          </w:p>
        </w:tc>
        <w:tc>
          <w:tcPr>
            <w:tcW w:w="3798" w:type="dxa"/>
            <w:tcBorders>
              <w:top w:val="nil"/>
              <w:left w:val="nil"/>
              <w:bottom w:val="nil"/>
              <w:right w:val="single" w:sz="4" w:space="0" w:color="000000"/>
            </w:tcBorders>
            <w:shd w:val="clear" w:color="000000" w:fill="FFFFFF"/>
            <w:hideMark/>
          </w:tcPr>
          <w:p w14:paraId="3083BC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66. Acreditación de apoyos</w:t>
            </w:r>
            <w:r w:rsidRPr="00222F34">
              <w:rPr>
                <w:rFonts w:ascii="Calibri" w:eastAsia="Times New Roman" w:hAnsi="Calibri" w:cs="Calibri"/>
                <w:color w:val="000000"/>
                <w:lang w:val="es-CO" w:eastAsia="es-CO" w:bidi="ar-SA"/>
              </w:rPr>
              <w:t>. Los comités inscriptores de los grupos significativos de ciudadanos y del voto en blanco deberán acreditar un número mínimo de apoyos válidos equivalentes a:</w:t>
            </w:r>
          </w:p>
        </w:tc>
        <w:tc>
          <w:tcPr>
            <w:tcW w:w="1480" w:type="dxa"/>
            <w:tcBorders>
              <w:top w:val="nil"/>
              <w:left w:val="nil"/>
              <w:bottom w:val="nil"/>
              <w:right w:val="single" w:sz="4" w:space="0" w:color="000000"/>
            </w:tcBorders>
            <w:shd w:val="clear" w:color="000000" w:fill="FFFFFF"/>
            <w:hideMark/>
          </w:tcPr>
          <w:p w14:paraId="48EF6C86" w14:textId="37383D9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03BD370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73F3E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El veinte por ciento (20%) del resultado de dividir el número de personas inscritas para votar en el censo electoral en la respectiva circunscripción por el número de curules a proveer. </w:t>
            </w:r>
          </w:p>
        </w:tc>
        <w:tc>
          <w:tcPr>
            <w:tcW w:w="3798" w:type="dxa"/>
            <w:tcBorders>
              <w:top w:val="nil"/>
              <w:left w:val="nil"/>
              <w:bottom w:val="nil"/>
              <w:right w:val="single" w:sz="4" w:space="0" w:color="000000"/>
            </w:tcBorders>
            <w:shd w:val="clear" w:color="000000" w:fill="FFFFFF"/>
            <w:hideMark/>
          </w:tcPr>
          <w:p w14:paraId="5040B4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El veinte por ciento (20%) del resultado de dividir el número de personas inscritas para votar en el censo electoral en la respectiva circunscripción por el número de curules a proveer.</w:t>
            </w:r>
          </w:p>
        </w:tc>
        <w:tc>
          <w:tcPr>
            <w:tcW w:w="3798" w:type="dxa"/>
            <w:tcBorders>
              <w:top w:val="nil"/>
              <w:left w:val="nil"/>
              <w:bottom w:val="nil"/>
              <w:right w:val="single" w:sz="4" w:space="0" w:color="000000"/>
            </w:tcBorders>
            <w:shd w:val="clear" w:color="000000" w:fill="FFFFFF"/>
            <w:hideMark/>
          </w:tcPr>
          <w:p w14:paraId="5D46C0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El veinte por ciento (20%) del resultado de dividir el número de personas inscritas para votar en el censo electoral en la respectiva circunscripción por el número de curules a proveer.</w:t>
            </w:r>
          </w:p>
        </w:tc>
        <w:tc>
          <w:tcPr>
            <w:tcW w:w="1480" w:type="dxa"/>
            <w:tcBorders>
              <w:top w:val="nil"/>
              <w:left w:val="nil"/>
              <w:bottom w:val="nil"/>
              <w:right w:val="single" w:sz="4" w:space="0" w:color="000000"/>
            </w:tcBorders>
            <w:shd w:val="clear" w:color="000000" w:fill="FFFFFF"/>
            <w:hideMark/>
          </w:tcPr>
          <w:p w14:paraId="7E5451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9B65A2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CF3CA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El diez por ciento (10%) del número de personas inscritas para votar en la respectiva circunscripción, en el caso de los cargos uninominales. </w:t>
            </w:r>
          </w:p>
        </w:tc>
        <w:tc>
          <w:tcPr>
            <w:tcW w:w="3798" w:type="dxa"/>
            <w:tcBorders>
              <w:top w:val="nil"/>
              <w:left w:val="nil"/>
              <w:bottom w:val="nil"/>
              <w:right w:val="single" w:sz="4" w:space="0" w:color="000000"/>
            </w:tcBorders>
            <w:shd w:val="clear" w:color="000000" w:fill="FFFFFF"/>
            <w:hideMark/>
          </w:tcPr>
          <w:p w14:paraId="7FAC5F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El diez por ciento (10%) del número de personas inscritas para votar en la respectiva circunscripción, en el caso de los cargos uninominales.</w:t>
            </w:r>
          </w:p>
        </w:tc>
        <w:tc>
          <w:tcPr>
            <w:tcW w:w="3798" w:type="dxa"/>
            <w:tcBorders>
              <w:top w:val="nil"/>
              <w:left w:val="nil"/>
              <w:bottom w:val="nil"/>
              <w:right w:val="single" w:sz="4" w:space="0" w:color="000000"/>
            </w:tcBorders>
            <w:shd w:val="clear" w:color="000000" w:fill="FFFFFF"/>
            <w:hideMark/>
          </w:tcPr>
          <w:p w14:paraId="12DD4F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El diez por ciento (10%) del número de personas inscritas para votar en la respectiva circunscripción, en el caso de los cargos uninominales.</w:t>
            </w:r>
          </w:p>
        </w:tc>
        <w:tc>
          <w:tcPr>
            <w:tcW w:w="1480" w:type="dxa"/>
            <w:tcBorders>
              <w:top w:val="nil"/>
              <w:left w:val="nil"/>
              <w:bottom w:val="nil"/>
              <w:right w:val="single" w:sz="4" w:space="0" w:color="000000"/>
            </w:tcBorders>
            <w:shd w:val="clear" w:color="000000" w:fill="FFFFFF"/>
            <w:hideMark/>
          </w:tcPr>
          <w:p w14:paraId="4F4A1F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3A2703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3AE3C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 Para el caso de los literales a y b del presente artículo, no se exigirá más de cero punto cinco por ciento (0.5%) del censo electoral para la recolección de apoyos en cualquiera de las circunscripciones nacionales. </w:t>
            </w:r>
          </w:p>
        </w:tc>
        <w:tc>
          <w:tcPr>
            <w:tcW w:w="3798" w:type="dxa"/>
            <w:tcBorders>
              <w:top w:val="nil"/>
              <w:left w:val="nil"/>
              <w:bottom w:val="nil"/>
              <w:right w:val="single" w:sz="4" w:space="0" w:color="000000"/>
            </w:tcBorders>
            <w:shd w:val="clear" w:color="000000" w:fill="FFFFFF"/>
            <w:hideMark/>
          </w:tcPr>
          <w:p w14:paraId="1E613C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Para el caso de los literales a y b del presente artículo, no se exigirá más de cero punto cinco por ciento (0.5%) del censo electoral para la recolección de apoyos en cualquiera de las circunscripciones nacionales.</w:t>
            </w:r>
          </w:p>
        </w:tc>
        <w:tc>
          <w:tcPr>
            <w:tcW w:w="3798" w:type="dxa"/>
            <w:tcBorders>
              <w:top w:val="nil"/>
              <w:left w:val="nil"/>
              <w:bottom w:val="nil"/>
              <w:right w:val="single" w:sz="4" w:space="0" w:color="000000"/>
            </w:tcBorders>
            <w:shd w:val="clear" w:color="000000" w:fill="FFFFFF"/>
            <w:hideMark/>
          </w:tcPr>
          <w:p w14:paraId="134C9C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Para el caso de los literales a y b del presente artículo, no se exigirá más de cero punto cinco por ciento (0.5%) del censo electoral para la recolección de apoyos en cualquiera de las circunscripciones nacionales.</w:t>
            </w:r>
          </w:p>
        </w:tc>
        <w:tc>
          <w:tcPr>
            <w:tcW w:w="1480" w:type="dxa"/>
            <w:tcBorders>
              <w:top w:val="nil"/>
              <w:left w:val="nil"/>
              <w:bottom w:val="nil"/>
              <w:right w:val="single" w:sz="4" w:space="0" w:color="000000"/>
            </w:tcBorders>
            <w:shd w:val="clear" w:color="000000" w:fill="FFFFFF"/>
            <w:hideMark/>
          </w:tcPr>
          <w:p w14:paraId="7D0A6A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21B8D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9B75E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Para presidente de la República, el tres por ciento (3%) del total de votos válidos de la última elección del cargo.  </w:t>
            </w:r>
          </w:p>
        </w:tc>
        <w:tc>
          <w:tcPr>
            <w:tcW w:w="3798" w:type="dxa"/>
            <w:tcBorders>
              <w:top w:val="nil"/>
              <w:left w:val="nil"/>
              <w:bottom w:val="nil"/>
              <w:right w:val="single" w:sz="4" w:space="0" w:color="000000"/>
            </w:tcBorders>
            <w:shd w:val="clear" w:color="000000" w:fill="FFFFFF"/>
            <w:hideMark/>
          </w:tcPr>
          <w:p w14:paraId="6AA48B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Para presidente de la República, el tres por ciento (3%) del total de votos válidos de la última elección del cargo.</w:t>
            </w:r>
          </w:p>
        </w:tc>
        <w:tc>
          <w:tcPr>
            <w:tcW w:w="3798" w:type="dxa"/>
            <w:tcBorders>
              <w:top w:val="nil"/>
              <w:left w:val="nil"/>
              <w:bottom w:val="nil"/>
              <w:right w:val="single" w:sz="4" w:space="0" w:color="000000"/>
            </w:tcBorders>
            <w:shd w:val="clear" w:color="000000" w:fill="FFFFFF"/>
            <w:hideMark/>
          </w:tcPr>
          <w:p w14:paraId="458140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Para presidente de la República, el tres por ciento (3%) del total de votos válidos de la última elección del cargo.</w:t>
            </w:r>
          </w:p>
        </w:tc>
        <w:tc>
          <w:tcPr>
            <w:tcW w:w="1480" w:type="dxa"/>
            <w:tcBorders>
              <w:top w:val="nil"/>
              <w:left w:val="nil"/>
              <w:bottom w:val="nil"/>
              <w:right w:val="single" w:sz="4" w:space="0" w:color="000000"/>
            </w:tcBorders>
            <w:shd w:val="clear" w:color="000000" w:fill="FFFFFF"/>
            <w:hideMark/>
          </w:tcPr>
          <w:p w14:paraId="0AA474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696B6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2BDA8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comités inscriptores entregarán los apoyos a la respectiva dependencia de la Registraduría Nacional del Estado Civil, desde la fecha de registro hasta seis (6) meses antes de la fecha de elección. </w:t>
            </w:r>
          </w:p>
        </w:tc>
        <w:tc>
          <w:tcPr>
            <w:tcW w:w="3798" w:type="dxa"/>
            <w:tcBorders>
              <w:top w:val="nil"/>
              <w:left w:val="nil"/>
              <w:bottom w:val="nil"/>
              <w:right w:val="single" w:sz="4" w:space="0" w:color="000000"/>
            </w:tcBorders>
            <w:shd w:val="clear" w:color="000000" w:fill="FFFFFF"/>
            <w:hideMark/>
          </w:tcPr>
          <w:p w14:paraId="00EFD1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comités inscriptores entregarán los apoyos a la respectiva dependencia de la Registraduría Nacional del Estado Civil, desde la fecha de registro hasta seis (6) meses antes de la fecha de elección.</w:t>
            </w:r>
          </w:p>
        </w:tc>
        <w:tc>
          <w:tcPr>
            <w:tcW w:w="3798" w:type="dxa"/>
            <w:tcBorders>
              <w:top w:val="nil"/>
              <w:left w:val="nil"/>
              <w:bottom w:val="nil"/>
              <w:right w:val="single" w:sz="4" w:space="0" w:color="000000"/>
            </w:tcBorders>
            <w:shd w:val="clear" w:color="000000" w:fill="FFFFFF"/>
            <w:hideMark/>
          </w:tcPr>
          <w:p w14:paraId="0B56F2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comités inscriptores entregarán los apoyos a la respectiva dependencia de la Registraduría Nacional del Estado Civil, desde la fecha de registro hasta seis (6) meses antes de la fecha de elección.</w:t>
            </w:r>
          </w:p>
        </w:tc>
        <w:tc>
          <w:tcPr>
            <w:tcW w:w="1480" w:type="dxa"/>
            <w:tcBorders>
              <w:top w:val="nil"/>
              <w:left w:val="nil"/>
              <w:bottom w:val="nil"/>
              <w:right w:val="single" w:sz="4" w:space="0" w:color="000000"/>
            </w:tcBorders>
            <w:shd w:val="clear" w:color="000000" w:fill="FFFFFF"/>
            <w:hideMark/>
          </w:tcPr>
          <w:p w14:paraId="2190F08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CE1A1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749977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implementará las herramientas tecnológicas y logísticas necesarias para facilitar la recolección y verificación de los apoyos ciudadanos. </w:t>
            </w:r>
          </w:p>
        </w:tc>
        <w:tc>
          <w:tcPr>
            <w:tcW w:w="3798" w:type="dxa"/>
            <w:tcBorders>
              <w:top w:val="nil"/>
              <w:left w:val="nil"/>
              <w:bottom w:val="nil"/>
              <w:right w:val="single" w:sz="4" w:space="0" w:color="000000"/>
            </w:tcBorders>
            <w:shd w:val="clear" w:color="000000" w:fill="FFFFFF"/>
            <w:hideMark/>
          </w:tcPr>
          <w:p w14:paraId="5D4447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implementará las herramientas tecnológicas y logísticas necesarias para facilitar la recolección y verificación de los apoyos ciudadanos.</w:t>
            </w:r>
          </w:p>
        </w:tc>
        <w:tc>
          <w:tcPr>
            <w:tcW w:w="3798" w:type="dxa"/>
            <w:tcBorders>
              <w:top w:val="nil"/>
              <w:left w:val="nil"/>
              <w:bottom w:val="nil"/>
              <w:right w:val="single" w:sz="4" w:space="0" w:color="000000"/>
            </w:tcBorders>
            <w:shd w:val="clear" w:color="000000" w:fill="FFFFFF"/>
            <w:hideMark/>
          </w:tcPr>
          <w:p w14:paraId="1F7BF8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implementará las herramientas tecnológicas y logísticas necesarias para facilitar la recolección y verificación de los apoyos ciudadanos.</w:t>
            </w:r>
          </w:p>
        </w:tc>
        <w:tc>
          <w:tcPr>
            <w:tcW w:w="1480" w:type="dxa"/>
            <w:tcBorders>
              <w:top w:val="nil"/>
              <w:left w:val="nil"/>
              <w:bottom w:val="nil"/>
              <w:right w:val="single" w:sz="4" w:space="0" w:color="000000"/>
            </w:tcBorders>
            <w:shd w:val="clear" w:color="000000" w:fill="FFFFFF"/>
            <w:hideMark/>
          </w:tcPr>
          <w:p w14:paraId="720959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8F3BAA5"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CCC0D2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 </w:t>
            </w:r>
          </w:p>
        </w:tc>
        <w:tc>
          <w:tcPr>
            <w:tcW w:w="3798" w:type="dxa"/>
            <w:tcBorders>
              <w:top w:val="nil"/>
              <w:left w:val="nil"/>
              <w:bottom w:val="nil"/>
              <w:right w:val="single" w:sz="4" w:space="0" w:color="000000"/>
            </w:tcBorders>
            <w:shd w:val="clear" w:color="000000" w:fill="FFFFFF"/>
            <w:hideMark/>
          </w:tcPr>
          <w:p w14:paraId="1B220D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tc>
        <w:tc>
          <w:tcPr>
            <w:tcW w:w="3798" w:type="dxa"/>
            <w:tcBorders>
              <w:top w:val="nil"/>
              <w:left w:val="nil"/>
              <w:bottom w:val="nil"/>
              <w:right w:val="single" w:sz="4" w:space="0" w:color="000000"/>
            </w:tcBorders>
            <w:shd w:val="clear" w:color="000000" w:fill="FFFFFF"/>
            <w:hideMark/>
          </w:tcPr>
          <w:p w14:paraId="0470A4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tc>
        <w:tc>
          <w:tcPr>
            <w:tcW w:w="1480" w:type="dxa"/>
            <w:tcBorders>
              <w:top w:val="nil"/>
              <w:left w:val="nil"/>
              <w:bottom w:val="nil"/>
              <w:right w:val="single" w:sz="4" w:space="0" w:color="000000"/>
            </w:tcBorders>
            <w:shd w:val="clear" w:color="000000" w:fill="FFFFFF"/>
            <w:hideMark/>
          </w:tcPr>
          <w:p w14:paraId="706DA2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50085D" w14:textId="77777777" w:rsidTr="009B0BDA">
        <w:trPr>
          <w:trHeight w:val="4925"/>
        </w:trPr>
        <w:tc>
          <w:tcPr>
            <w:tcW w:w="3798" w:type="dxa"/>
            <w:tcBorders>
              <w:top w:val="nil"/>
              <w:left w:val="single" w:sz="4" w:space="0" w:color="000000"/>
              <w:bottom w:val="single" w:sz="4" w:space="0" w:color="000000"/>
              <w:right w:val="single" w:sz="4" w:space="0" w:color="000000"/>
            </w:tcBorders>
            <w:shd w:val="clear" w:color="000000" w:fill="FFFFFF"/>
            <w:hideMark/>
          </w:tcPr>
          <w:p w14:paraId="794C103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Cuando la Registraduría Nacional del Estado Civil certifique que el número de apoyos aportados no es suficiente para respaldar la inscripción, no habrá lugar a un nuevo proceso de recolección de apoyos para completarlas. </w:t>
            </w:r>
          </w:p>
        </w:tc>
        <w:tc>
          <w:tcPr>
            <w:tcW w:w="3798" w:type="dxa"/>
            <w:tcBorders>
              <w:top w:val="nil"/>
              <w:left w:val="nil"/>
              <w:bottom w:val="single" w:sz="4" w:space="0" w:color="000000"/>
              <w:right w:val="single" w:sz="4" w:space="0" w:color="000000"/>
            </w:tcBorders>
            <w:shd w:val="clear" w:color="000000" w:fill="FFFFFF"/>
            <w:hideMark/>
          </w:tcPr>
          <w:p w14:paraId="761660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Cuando la Registraduría Nacional del Estado Civil certifique que el número de apoyos aportados no es suficiente para respaldar la inscripción, no habrá lugar a un nuevo proceso de recolección de apoyos para completarlas. Una vez presentadas los apoyos ante la Registraduría Nacional del Estado Civil, los pre candidatos o listas de los grupos significativos de ciudadanos no podrán ser avalados por partidos o movimientos políticos con personería jurídica para el mismo certamen electoral.</w:t>
            </w:r>
          </w:p>
        </w:tc>
        <w:tc>
          <w:tcPr>
            <w:tcW w:w="3798" w:type="dxa"/>
            <w:tcBorders>
              <w:top w:val="nil"/>
              <w:left w:val="nil"/>
              <w:bottom w:val="single" w:sz="4" w:space="0" w:color="000000"/>
              <w:right w:val="single" w:sz="4" w:space="0" w:color="000000"/>
            </w:tcBorders>
            <w:shd w:val="clear" w:color="000000" w:fill="FFFFFF"/>
            <w:hideMark/>
          </w:tcPr>
          <w:p w14:paraId="5383BE8B" w14:textId="3381CB62" w:rsidR="00CD4925" w:rsidRPr="00222F34" w:rsidRDefault="009B0BDA"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Cuando la Registraduría Nacional del Estado Civil certifique que el número de apoyos aportados no es suficiente para respaldar la inscripción, no habrá lugar a un nuevo proceso de recolección de apoyos para completarlas. Una vez presentadas los apoyos ante la Registraduría Nacional del Estado Civil, los pre candidatos o listas de los grupos significativos de ciudadanos no podrán ser avalados por partidos o movimientos políticos con personería jurídica para el mismo certamen electoral.</w:t>
            </w:r>
          </w:p>
        </w:tc>
        <w:tc>
          <w:tcPr>
            <w:tcW w:w="1480" w:type="dxa"/>
            <w:tcBorders>
              <w:top w:val="nil"/>
              <w:left w:val="nil"/>
              <w:bottom w:val="single" w:sz="4" w:space="0" w:color="000000"/>
              <w:right w:val="single" w:sz="4" w:space="0" w:color="000000"/>
            </w:tcBorders>
            <w:shd w:val="clear" w:color="000000" w:fill="FFFFFF"/>
            <w:hideMark/>
          </w:tcPr>
          <w:p w14:paraId="0031BD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AE4322" w14:textId="77777777" w:rsidTr="009B0BDA">
        <w:trPr>
          <w:trHeight w:val="2968"/>
        </w:trPr>
        <w:tc>
          <w:tcPr>
            <w:tcW w:w="3798" w:type="dxa"/>
            <w:tcBorders>
              <w:top w:val="nil"/>
              <w:left w:val="single" w:sz="4" w:space="0" w:color="000000"/>
              <w:bottom w:val="nil"/>
              <w:right w:val="single" w:sz="4" w:space="0" w:color="000000"/>
            </w:tcBorders>
            <w:shd w:val="clear" w:color="000000" w:fill="FFFFFF"/>
            <w:hideMark/>
          </w:tcPr>
          <w:p w14:paraId="0C5D946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63.- Definición de apoyo para la inscripción de candidatos.</w:t>
            </w:r>
            <w:r w:rsidRPr="00222F34">
              <w:rPr>
                <w:rFonts w:ascii="Calibri" w:eastAsia="Times New Roman" w:hAnsi="Calibri" w:cs="Calibri"/>
                <w:color w:val="000000"/>
                <w:lang w:val="es-CO" w:eastAsia="es-CO" w:bidi="ar-SA"/>
              </w:rPr>
              <w:t xml:space="preserve"> Es el acto mediante el cual un ciudadano apto para votar en su circunscripción respalda la inscripción de candidatos a un cargo de elección popular o una propuesta de un mecanismo de participación ciudadana. </w:t>
            </w:r>
          </w:p>
        </w:tc>
        <w:tc>
          <w:tcPr>
            <w:tcW w:w="3798" w:type="dxa"/>
            <w:tcBorders>
              <w:top w:val="nil"/>
              <w:left w:val="nil"/>
              <w:bottom w:val="nil"/>
              <w:right w:val="single" w:sz="4" w:space="0" w:color="000000"/>
            </w:tcBorders>
            <w:shd w:val="clear" w:color="000000" w:fill="FFFFFF"/>
            <w:hideMark/>
          </w:tcPr>
          <w:p w14:paraId="7D1319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67. Definición de apoyo para la inscripción de candidatos.</w:t>
            </w:r>
            <w:r w:rsidRPr="00222F34">
              <w:rPr>
                <w:rFonts w:ascii="Calibri" w:eastAsia="Times New Roman" w:hAnsi="Calibri" w:cs="Calibri"/>
                <w:color w:val="000000"/>
                <w:lang w:val="es-CO" w:eastAsia="es-CO" w:bidi="ar-SA"/>
              </w:rPr>
              <w:t xml:space="preserve"> Es el acto mediante el cual un ciudadano apto para votar en su circunscripción respalda la inscripción de candidatos a un cargo de elección popular o una propuesta de un mecanismo de participación ciudadana.</w:t>
            </w:r>
          </w:p>
        </w:tc>
        <w:tc>
          <w:tcPr>
            <w:tcW w:w="3798" w:type="dxa"/>
            <w:tcBorders>
              <w:top w:val="nil"/>
              <w:left w:val="nil"/>
              <w:bottom w:val="nil"/>
              <w:right w:val="single" w:sz="4" w:space="0" w:color="000000"/>
            </w:tcBorders>
            <w:shd w:val="clear" w:color="000000" w:fill="FFFFFF"/>
            <w:hideMark/>
          </w:tcPr>
          <w:p w14:paraId="60CA015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67.- Definición de apoyo para la inscripción de candidatos.</w:t>
            </w:r>
            <w:r w:rsidRPr="00222F34">
              <w:rPr>
                <w:rFonts w:ascii="Calibri" w:eastAsia="Times New Roman" w:hAnsi="Calibri" w:cs="Calibri"/>
                <w:color w:val="000000"/>
                <w:lang w:val="es-CO" w:eastAsia="es-CO" w:bidi="ar-SA"/>
              </w:rPr>
              <w:t xml:space="preserve"> Es el acto mediante el cual un ciudadano apto para votar en su circunscripción respalda la inscripción de candidatos a un cargo de elección popular o una propuesta de un mecanismo de participación ciudadana. </w:t>
            </w:r>
          </w:p>
        </w:tc>
        <w:tc>
          <w:tcPr>
            <w:tcW w:w="1480" w:type="dxa"/>
            <w:tcBorders>
              <w:top w:val="nil"/>
              <w:left w:val="nil"/>
              <w:bottom w:val="nil"/>
              <w:right w:val="single" w:sz="4" w:space="0" w:color="000000"/>
            </w:tcBorders>
            <w:shd w:val="clear" w:color="000000" w:fill="FFFFFF"/>
            <w:hideMark/>
          </w:tcPr>
          <w:p w14:paraId="40A25546" w14:textId="5ED7149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857721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E524D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reglamentará los aspectos técnicos y operativos para la recolección de apoyos. </w:t>
            </w:r>
          </w:p>
        </w:tc>
        <w:tc>
          <w:tcPr>
            <w:tcW w:w="3798" w:type="dxa"/>
            <w:tcBorders>
              <w:top w:val="nil"/>
              <w:left w:val="nil"/>
              <w:bottom w:val="nil"/>
              <w:right w:val="single" w:sz="4" w:space="0" w:color="000000"/>
            </w:tcBorders>
            <w:shd w:val="clear" w:color="000000" w:fill="FFFFFF"/>
            <w:hideMark/>
          </w:tcPr>
          <w:p w14:paraId="6686A6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reglamentará los aspectos técnicos y operativos para la recolección de apoyos.</w:t>
            </w:r>
          </w:p>
        </w:tc>
        <w:tc>
          <w:tcPr>
            <w:tcW w:w="3798" w:type="dxa"/>
            <w:tcBorders>
              <w:top w:val="nil"/>
              <w:left w:val="nil"/>
              <w:bottom w:val="nil"/>
              <w:right w:val="single" w:sz="4" w:space="0" w:color="000000"/>
            </w:tcBorders>
            <w:shd w:val="clear" w:color="000000" w:fill="FFFFFF"/>
            <w:hideMark/>
          </w:tcPr>
          <w:p w14:paraId="56A2AA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reglamentará los aspectos técnicos y operativos para la recolección de apoyos. </w:t>
            </w:r>
          </w:p>
        </w:tc>
        <w:tc>
          <w:tcPr>
            <w:tcW w:w="1480" w:type="dxa"/>
            <w:tcBorders>
              <w:top w:val="nil"/>
              <w:left w:val="nil"/>
              <w:bottom w:val="nil"/>
              <w:right w:val="single" w:sz="4" w:space="0" w:color="000000"/>
            </w:tcBorders>
            <w:shd w:val="clear" w:color="000000" w:fill="FFFFFF"/>
            <w:hideMark/>
          </w:tcPr>
          <w:p w14:paraId="3973BE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AEA1D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DC10D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ciudadanos no podrán respaldar en la misma circunscripción a más de una candidatura a cargo uninominal, ni a más de una lista de candidatos a corporación pública. Advertida esta circunstancia, solo será válido el último apoyo otorgado. </w:t>
            </w:r>
          </w:p>
        </w:tc>
        <w:tc>
          <w:tcPr>
            <w:tcW w:w="3798" w:type="dxa"/>
            <w:tcBorders>
              <w:top w:val="nil"/>
              <w:left w:val="nil"/>
              <w:bottom w:val="nil"/>
              <w:right w:val="single" w:sz="4" w:space="0" w:color="000000"/>
            </w:tcBorders>
            <w:shd w:val="clear" w:color="FFC000" w:fill="FFFFFF"/>
            <w:hideMark/>
          </w:tcPr>
          <w:p w14:paraId="323AB6A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117E0E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ciudadanos no podrán respaldar en la misma circunscripción a más de una candidatura a cargo uninominal, ni a más de una lista de candidatos a corporación pública. Advertida esta circunstancia, solo será válido el último apoyo otorgado. </w:t>
            </w:r>
          </w:p>
        </w:tc>
        <w:tc>
          <w:tcPr>
            <w:tcW w:w="1480" w:type="dxa"/>
            <w:tcBorders>
              <w:top w:val="nil"/>
              <w:left w:val="nil"/>
              <w:bottom w:val="nil"/>
              <w:right w:val="single" w:sz="4" w:space="0" w:color="000000"/>
            </w:tcBorders>
            <w:shd w:val="clear" w:color="000000" w:fill="FFFFFF"/>
            <w:hideMark/>
          </w:tcPr>
          <w:p w14:paraId="2BF817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BBBB2D9"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3184DEE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La Registraduría Nacional del Estado Civil tendrá un (1) año a partir de la sanción del presente código para adecuar un sistema de recolección y verificación de apoyos ciudadanos utilizando los medios manuales existentes, así como medios tecnológicos que permitan la validación biométrica. La prohibición ciudadana de respaldar a más de una candidatura entrará a regir un (1) año a partir de la sanción del presente código.</w:t>
            </w:r>
          </w:p>
        </w:tc>
        <w:tc>
          <w:tcPr>
            <w:tcW w:w="3798" w:type="dxa"/>
            <w:tcBorders>
              <w:top w:val="nil"/>
              <w:left w:val="nil"/>
              <w:bottom w:val="single" w:sz="4" w:space="0" w:color="000000"/>
              <w:right w:val="single" w:sz="4" w:space="0" w:color="000000"/>
            </w:tcBorders>
            <w:shd w:val="clear" w:color="000000" w:fill="FFFFFF"/>
            <w:hideMark/>
          </w:tcPr>
          <w:p w14:paraId="5168E7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La Registraduría Nacional del Estado Civil tendrá un (1) año a partir de la sanción del presente código para adecuar un sistema de recolección y verificación de apoyos ciudadanos utilizando los medios manuales existentes, así como medios tecnológicos que permitan la validación biométrica.</w:t>
            </w:r>
          </w:p>
        </w:tc>
        <w:tc>
          <w:tcPr>
            <w:tcW w:w="3798" w:type="dxa"/>
            <w:tcBorders>
              <w:top w:val="nil"/>
              <w:left w:val="nil"/>
              <w:bottom w:val="single" w:sz="4" w:space="0" w:color="000000"/>
              <w:right w:val="single" w:sz="4" w:space="0" w:color="000000"/>
            </w:tcBorders>
            <w:shd w:val="clear" w:color="000000" w:fill="FFFFFF"/>
            <w:hideMark/>
          </w:tcPr>
          <w:p w14:paraId="408D309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La Registraduría Nacional del Estado Civil tendrá un (1) año a partir de la sanción del presente código para adecuar un sistema de recolección y verificación de apoyos ciudadanos utilizando los medios manuales existentes, así como medios tecnológicos que permitan la validación biométrica. La prohibición ciudadana de respaldar a más de una candidatura entrará a regir un (1) año a partir de la sanción del presente código.</w:t>
            </w:r>
          </w:p>
        </w:tc>
        <w:tc>
          <w:tcPr>
            <w:tcW w:w="1480" w:type="dxa"/>
            <w:tcBorders>
              <w:top w:val="nil"/>
              <w:left w:val="nil"/>
              <w:bottom w:val="single" w:sz="4" w:space="0" w:color="000000"/>
              <w:right w:val="single" w:sz="4" w:space="0" w:color="000000"/>
            </w:tcBorders>
            <w:shd w:val="clear" w:color="000000" w:fill="FFFFFF"/>
            <w:hideMark/>
          </w:tcPr>
          <w:p w14:paraId="038EE3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A0A54A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AC8EB8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64.- Publicidad para la recolección de apoyos.</w:t>
            </w:r>
            <w:r w:rsidRPr="00222F34">
              <w:rPr>
                <w:rFonts w:ascii="Calibri" w:eastAsia="Times New Roman" w:hAnsi="Calibri" w:cs="Calibri"/>
                <w:color w:val="000000"/>
                <w:lang w:val="es-CO" w:eastAsia="es-CO" w:bidi="ar-SA"/>
              </w:rPr>
              <w:t xml:space="preserve"> Los actos de publicidad desplegados por los grupos significativos de ciudadanos con ocasión del proceso de recolección de apoyos, tendrán como único objetivo promover la inscripción de las diferentes </w:t>
            </w:r>
            <w:r w:rsidRPr="00222F34">
              <w:rPr>
                <w:rFonts w:ascii="Calibri" w:eastAsia="Times New Roman" w:hAnsi="Calibri" w:cs="Calibri"/>
                <w:color w:val="000000"/>
                <w:lang w:val="es-CO" w:eastAsia="es-CO" w:bidi="ar-SA"/>
              </w:rPr>
              <w:lastRenderedPageBreak/>
              <w:t xml:space="preserve">candidaturas. Para tales efectos, podrán promocionar: </w:t>
            </w:r>
          </w:p>
        </w:tc>
        <w:tc>
          <w:tcPr>
            <w:tcW w:w="3798" w:type="dxa"/>
            <w:tcBorders>
              <w:top w:val="nil"/>
              <w:left w:val="nil"/>
              <w:bottom w:val="nil"/>
              <w:right w:val="single" w:sz="4" w:space="0" w:color="000000"/>
            </w:tcBorders>
            <w:shd w:val="clear" w:color="000000" w:fill="FFFFFF"/>
            <w:hideMark/>
          </w:tcPr>
          <w:p w14:paraId="590052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68. Publicidad para la recolección de apoyos</w:t>
            </w:r>
            <w:r w:rsidRPr="00222F34">
              <w:rPr>
                <w:rFonts w:ascii="Calibri" w:eastAsia="Times New Roman" w:hAnsi="Calibri" w:cs="Calibri"/>
                <w:color w:val="000000"/>
                <w:lang w:val="es-CO" w:eastAsia="es-CO" w:bidi="ar-SA"/>
              </w:rPr>
              <w:t xml:space="preserve">. Los actos de publicidad desplegados por los grupos significativos de ciudadanos con ocasión del proceso de recolección de apoyos, tendrán como único objetivo promover la inscripción de las diferentes </w:t>
            </w:r>
            <w:r w:rsidRPr="00222F34">
              <w:rPr>
                <w:rFonts w:ascii="Calibri" w:eastAsia="Times New Roman" w:hAnsi="Calibri" w:cs="Calibri"/>
                <w:color w:val="000000"/>
                <w:lang w:val="es-CO" w:eastAsia="es-CO" w:bidi="ar-SA"/>
              </w:rPr>
              <w:lastRenderedPageBreak/>
              <w:t>candidaturas. Para tales efectos, podrán promocionar:</w:t>
            </w:r>
          </w:p>
        </w:tc>
        <w:tc>
          <w:tcPr>
            <w:tcW w:w="3798" w:type="dxa"/>
            <w:tcBorders>
              <w:top w:val="nil"/>
              <w:left w:val="nil"/>
              <w:bottom w:val="nil"/>
              <w:right w:val="single" w:sz="4" w:space="0" w:color="000000"/>
            </w:tcBorders>
            <w:shd w:val="clear" w:color="000000" w:fill="FFFFFF"/>
            <w:hideMark/>
          </w:tcPr>
          <w:p w14:paraId="7C6870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68. Publicidad para la recolección de apoyos</w:t>
            </w:r>
            <w:r w:rsidRPr="00222F34">
              <w:rPr>
                <w:rFonts w:ascii="Calibri" w:eastAsia="Times New Roman" w:hAnsi="Calibri" w:cs="Calibri"/>
                <w:color w:val="000000"/>
                <w:lang w:val="es-CO" w:eastAsia="es-CO" w:bidi="ar-SA"/>
              </w:rPr>
              <w:t xml:space="preserve">. Los actos de publicidad desplegados por los grupos significativos de ciudadanos con ocasión del proceso de recolección de apoyos, tendrán como único objetivo promover la inscripción de las diferentes </w:t>
            </w:r>
            <w:r w:rsidRPr="00222F34">
              <w:rPr>
                <w:rFonts w:ascii="Calibri" w:eastAsia="Times New Roman" w:hAnsi="Calibri" w:cs="Calibri"/>
                <w:color w:val="000000"/>
                <w:lang w:val="es-CO" w:eastAsia="es-CO" w:bidi="ar-SA"/>
              </w:rPr>
              <w:lastRenderedPageBreak/>
              <w:t>candidaturas. Para tales efectos, podrán promocionar:</w:t>
            </w:r>
          </w:p>
        </w:tc>
        <w:tc>
          <w:tcPr>
            <w:tcW w:w="1480" w:type="dxa"/>
            <w:tcBorders>
              <w:top w:val="nil"/>
              <w:left w:val="nil"/>
              <w:bottom w:val="nil"/>
              <w:right w:val="single" w:sz="4" w:space="0" w:color="000000"/>
            </w:tcBorders>
            <w:shd w:val="clear" w:color="000000" w:fill="FFFFFF"/>
            <w:hideMark/>
          </w:tcPr>
          <w:p w14:paraId="4DAEE815" w14:textId="5470C32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73A3EA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95E81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La denominación y el logo símbolo del grupo significativo de ciudadanos registrados y aprobados por el Consejo Nacional Electoral. </w:t>
            </w:r>
          </w:p>
        </w:tc>
        <w:tc>
          <w:tcPr>
            <w:tcW w:w="3798" w:type="dxa"/>
            <w:tcBorders>
              <w:top w:val="nil"/>
              <w:left w:val="nil"/>
              <w:bottom w:val="nil"/>
              <w:right w:val="single" w:sz="4" w:space="0" w:color="000000"/>
            </w:tcBorders>
            <w:shd w:val="clear" w:color="000000" w:fill="FFFFFF"/>
            <w:hideMark/>
          </w:tcPr>
          <w:p w14:paraId="099B0E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denominación y el logosímbolo del grupo significativo de ciudadanos registrados y aprobados por el Consejo Nacional Electoral.</w:t>
            </w:r>
          </w:p>
        </w:tc>
        <w:tc>
          <w:tcPr>
            <w:tcW w:w="3798" w:type="dxa"/>
            <w:tcBorders>
              <w:top w:val="nil"/>
              <w:left w:val="nil"/>
              <w:bottom w:val="nil"/>
              <w:right w:val="single" w:sz="4" w:space="0" w:color="000000"/>
            </w:tcBorders>
            <w:shd w:val="clear" w:color="000000" w:fill="FFFFFF"/>
            <w:hideMark/>
          </w:tcPr>
          <w:p w14:paraId="1C9584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denominación y el logosímbolo del grupo significativo de ciudadanos registrados y aprobados por el Consejo Nacional Electoral.</w:t>
            </w:r>
          </w:p>
        </w:tc>
        <w:tc>
          <w:tcPr>
            <w:tcW w:w="1480" w:type="dxa"/>
            <w:tcBorders>
              <w:top w:val="nil"/>
              <w:left w:val="nil"/>
              <w:bottom w:val="nil"/>
              <w:right w:val="single" w:sz="4" w:space="0" w:color="000000"/>
            </w:tcBorders>
            <w:shd w:val="clear" w:color="000000" w:fill="FFFFFF"/>
            <w:hideMark/>
          </w:tcPr>
          <w:p w14:paraId="2F0E00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73EB42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0819E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El nombre e identificación de los ciudadanos que aspiran a ser inscritos como candidatos y sus remanentes. </w:t>
            </w:r>
          </w:p>
        </w:tc>
        <w:tc>
          <w:tcPr>
            <w:tcW w:w="3798" w:type="dxa"/>
            <w:tcBorders>
              <w:top w:val="nil"/>
              <w:left w:val="nil"/>
              <w:bottom w:val="nil"/>
              <w:right w:val="single" w:sz="4" w:space="0" w:color="000000"/>
            </w:tcBorders>
            <w:shd w:val="clear" w:color="000000" w:fill="FFFFFF"/>
            <w:hideMark/>
          </w:tcPr>
          <w:p w14:paraId="279CF4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nombre e identificación de los ciudadanos que aspiran a  ser inscritos como candidatos y sus remanentes.</w:t>
            </w:r>
          </w:p>
        </w:tc>
        <w:tc>
          <w:tcPr>
            <w:tcW w:w="3798" w:type="dxa"/>
            <w:tcBorders>
              <w:top w:val="nil"/>
              <w:left w:val="nil"/>
              <w:bottom w:val="nil"/>
              <w:right w:val="single" w:sz="4" w:space="0" w:color="000000"/>
            </w:tcBorders>
            <w:shd w:val="clear" w:color="000000" w:fill="FFFFFF"/>
            <w:hideMark/>
          </w:tcPr>
          <w:p w14:paraId="4B64F3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nombre e identificación de los ciudadanos que aspiran a  ser inscritos como candidatos y sus remanentes.</w:t>
            </w:r>
          </w:p>
        </w:tc>
        <w:tc>
          <w:tcPr>
            <w:tcW w:w="1480" w:type="dxa"/>
            <w:tcBorders>
              <w:top w:val="nil"/>
              <w:left w:val="nil"/>
              <w:bottom w:val="nil"/>
              <w:right w:val="single" w:sz="4" w:space="0" w:color="000000"/>
            </w:tcBorders>
            <w:shd w:val="clear" w:color="000000" w:fill="FFFFFF"/>
            <w:hideMark/>
          </w:tcPr>
          <w:p w14:paraId="7AD70D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809A4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B9177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El cargo o la corporación pública y la circunscripción electoral para los cuales se solicita la firma de apoyo. </w:t>
            </w:r>
          </w:p>
        </w:tc>
        <w:tc>
          <w:tcPr>
            <w:tcW w:w="3798" w:type="dxa"/>
            <w:tcBorders>
              <w:top w:val="nil"/>
              <w:left w:val="nil"/>
              <w:bottom w:val="nil"/>
              <w:right w:val="single" w:sz="4" w:space="0" w:color="000000"/>
            </w:tcBorders>
            <w:shd w:val="clear" w:color="000000" w:fill="FFFFFF"/>
            <w:hideMark/>
          </w:tcPr>
          <w:p w14:paraId="06A66D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cargo o la corporación pública y la circunscripción electoral para los cuales se solicita la firma de apoyo.</w:t>
            </w:r>
          </w:p>
        </w:tc>
        <w:tc>
          <w:tcPr>
            <w:tcW w:w="3798" w:type="dxa"/>
            <w:tcBorders>
              <w:top w:val="nil"/>
              <w:left w:val="nil"/>
              <w:bottom w:val="nil"/>
              <w:right w:val="single" w:sz="4" w:space="0" w:color="000000"/>
            </w:tcBorders>
            <w:shd w:val="clear" w:color="000000" w:fill="FFFFFF"/>
            <w:hideMark/>
          </w:tcPr>
          <w:p w14:paraId="39CEE1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cargo o la corporación pública y la circunscripción electoral para los cuales se solicita la firma de apoyo.</w:t>
            </w:r>
          </w:p>
        </w:tc>
        <w:tc>
          <w:tcPr>
            <w:tcW w:w="1480" w:type="dxa"/>
            <w:tcBorders>
              <w:top w:val="nil"/>
              <w:left w:val="nil"/>
              <w:bottom w:val="nil"/>
              <w:right w:val="single" w:sz="4" w:space="0" w:color="000000"/>
            </w:tcBorders>
            <w:shd w:val="clear" w:color="000000" w:fill="FFFFFF"/>
            <w:hideMark/>
          </w:tcPr>
          <w:p w14:paraId="50B0EC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0BBEB5"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6AB4C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  </w:t>
            </w:r>
          </w:p>
        </w:tc>
        <w:tc>
          <w:tcPr>
            <w:tcW w:w="3798" w:type="dxa"/>
            <w:tcBorders>
              <w:top w:val="nil"/>
              <w:left w:val="nil"/>
              <w:bottom w:val="nil"/>
              <w:right w:val="single" w:sz="4" w:space="0" w:color="000000"/>
            </w:tcBorders>
            <w:shd w:val="clear" w:color="000000" w:fill="FFFFFF"/>
            <w:hideMark/>
          </w:tcPr>
          <w:p w14:paraId="44A807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w:t>
            </w:r>
          </w:p>
        </w:tc>
        <w:tc>
          <w:tcPr>
            <w:tcW w:w="3798" w:type="dxa"/>
            <w:tcBorders>
              <w:top w:val="nil"/>
              <w:left w:val="nil"/>
              <w:bottom w:val="nil"/>
              <w:right w:val="single" w:sz="4" w:space="0" w:color="000000"/>
            </w:tcBorders>
            <w:shd w:val="clear" w:color="000000" w:fill="FFFFFF"/>
            <w:hideMark/>
          </w:tcPr>
          <w:p w14:paraId="7D44A2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w:t>
            </w:r>
          </w:p>
        </w:tc>
        <w:tc>
          <w:tcPr>
            <w:tcW w:w="1480" w:type="dxa"/>
            <w:tcBorders>
              <w:top w:val="nil"/>
              <w:left w:val="nil"/>
              <w:bottom w:val="nil"/>
              <w:right w:val="single" w:sz="4" w:space="0" w:color="000000"/>
            </w:tcBorders>
            <w:shd w:val="clear" w:color="000000" w:fill="FFFFFF"/>
            <w:hideMark/>
          </w:tcPr>
          <w:p w14:paraId="4D0CAB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0247B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FA018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plazo para la realización de los actos de publicidad del proceso de recolección de apoyos será desde el día de la aprobación por parte del Consejo Nacional Electoral del logo símbolo y </w:t>
            </w:r>
            <w:r w:rsidRPr="00222F34">
              <w:rPr>
                <w:rFonts w:ascii="Calibri" w:eastAsia="Times New Roman" w:hAnsi="Calibri" w:cs="Calibri"/>
                <w:color w:val="000000"/>
                <w:lang w:val="es-CO" w:eastAsia="es-CO" w:bidi="ar-SA"/>
              </w:rPr>
              <w:lastRenderedPageBreak/>
              <w:t xml:space="preserve">denominación, hasta la fecha límite para entregar los apoyos.  </w:t>
            </w:r>
          </w:p>
        </w:tc>
        <w:tc>
          <w:tcPr>
            <w:tcW w:w="3798" w:type="dxa"/>
            <w:tcBorders>
              <w:top w:val="nil"/>
              <w:left w:val="nil"/>
              <w:bottom w:val="nil"/>
              <w:right w:val="single" w:sz="4" w:space="0" w:color="000000"/>
            </w:tcBorders>
            <w:shd w:val="clear" w:color="000000" w:fill="FFFFFF"/>
            <w:hideMark/>
          </w:tcPr>
          <w:p w14:paraId="2BDA70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plazo para la realización de los actos de publicidad del proceso de recolección de apoyos será desde el día de la aprobación por parte del Consejo Nacional Electoral del logo símbolo y </w:t>
            </w:r>
            <w:r w:rsidRPr="00222F34">
              <w:rPr>
                <w:rFonts w:ascii="Calibri" w:eastAsia="Times New Roman" w:hAnsi="Calibri" w:cs="Calibri"/>
                <w:color w:val="000000"/>
                <w:lang w:val="es-CO" w:eastAsia="es-CO" w:bidi="ar-SA"/>
              </w:rPr>
              <w:lastRenderedPageBreak/>
              <w:t>denominación, hasta la fecha límite para entregar los apoyos.</w:t>
            </w:r>
          </w:p>
        </w:tc>
        <w:tc>
          <w:tcPr>
            <w:tcW w:w="3798" w:type="dxa"/>
            <w:tcBorders>
              <w:top w:val="nil"/>
              <w:left w:val="nil"/>
              <w:bottom w:val="nil"/>
              <w:right w:val="single" w:sz="4" w:space="0" w:color="000000"/>
            </w:tcBorders>
            <w:shd w:val="clear" w:color="000000" w:fill="FFFFFF"/>
            <w:hideMark/>
          </w:tcPr>
          <w:p w14:paraId="762730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plazo para la realización de los actos de publicidad del proceso de recolección de apoyos será desde el día de la aprobación por parte del Consejo Nacional Electoral del logo símbolo y </w:t>
            </w:r>
            <w:r w:rsidRPr="00222F34">
              <w:rPr>
                <w:rFonts w:ascii="Calibri" w:eastAsia="Times New Roman" w:hAnsi="Calibri" w:cs="Calibri"/>
                <w:color w:val="000000"/>
                <w:lang w:val="es-CO" w:eastAsia="es-CO" w:bidi="ar-SA"/>
              </w:rPr>
              <w:lastRenderedPageBreak/>
              <w:t>denominación, hasta la fecha límite para entregar los apoyos.</w:t>
            </w:r>
          </w:p>
        </w:tc>
        <w:tc>
          <w:tcPr>
            <w:tcW w:w="1480" w:type="dxa"/>
            <w:tcBorders>
              <w:top w:val="nil"/>
              <w:left w:val="nil"/>
              <w:bottom w:val="nil"/>
              <w:right w:val="single" w:sz="4" w:space="0" w:color="000000"/>
            </w:tcBorders>
            <w:shd w:val="clear" w:color="000000" w:fill="FFFFFF"/>
            <w:hideMark/>
          </w:tcPr>
          <w:p w14:paraId="58884D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2BA250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2871C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 </w:t>
            </w:r>
          </w:p>
        </w:tc>
        <w:tc>
          <w:tcPr>
            <w:tcW w:w="3798" w:type="dxa"/>
            <w:tcBorders>
              <w:top w:val="nil"/>
              <w:left w:val="nil"/>
              <w:bottom w:val="nil"/>
              <w:right w:val="single" w:sz="4" w:space="0" w:color="000000"/>
            </w:tcBorders>
            <w:shd w:val="clear" w:color="000000" w:fill="FFFFFF"/>
            <w:hideMark/>
          </w:tcPr>
          <w:p w14:paraId="445ADB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w:t>
            </w:r>
          </w:p>
        </w:tc>
        <w:tc>
          <w:tcPr>
            <w:tcW w:w="3798" w:type="dxa"/>
            <w:tcBorders>
              <w:top w:val="nil"/>
              <w:left w:val="nil"/>
              <w:bottom w:val="nil"/>
              <w:right w:val="single" w:sz="4" w:space="0" w:color="000000"/>
            </w:tcBorders>
            <w:shd w:val="clear" w:color="000000" w:fill="FFFFFF"/>
            <w:hideMark/>
          </w:tcPr>
          <w:p w14:paraId="6CA05A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w:t>
            </w:r>
          </w:p>
        </w:tc>
        <w:tc>
          <w:tcPr>
            <w:tcW w:w="1480" w:type="dxa"/>
            <w:tcBorders>
              <w:top w:val="nil"/>
              <w:left w:val="nil"/>
              <w:bottom w:val="nil"/>
              <w:right w:val="single" w:sz="4" w:space="0" w:color="000000"/>
            </w:tcBorders>
            <w:shd w:val="clear" w:color="000000" w:fill="FFFFFF"/>
            <w:hideMark/>
          </w:tcPr>
          <w:p w14:paraId="5EB64D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CE2712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A2BA4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vigilará el cumplimiento de las normas de publicidad para la recolección de apoyos ciudadanos e impondrá las sanciones correspondientes ante su incumplimiento a partir del régimen sancionatorio establecido en la Ley 1475 de 2011.</w:t>
            </w:r>
          </w:p>
        </w:tc>
        <w:tc>
          <w:tcPr>
            <w:tcW w:w="3798" w:type="dxa"/>
            <w:tcBorders>
              <w:top w:val="nil"/>
              <w:left w:val="nil"/>
              <w:bottom w:val="nil"/>
              <w:right w:val="single" w:sz="4" w:space="0" w:color="000000"/>
            </w:tcBorders>
            <w:shd w:val="clear" w:color="000000" w:fill="FFFFFF"/>
            <w:hideMark/>
          </w:tcPr>
          <w:p w14:paraId="4757B6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vigilará el cumplimiento de las normas de publicidad para la recolección de apoyos ciudadanos e impondrá las sanciones correspondientes ante su incumplimiento a partir del régimen sancionatorio establecido en la Ley 1475 de 2011.</w:t>
            </w:r>
          </w:p>
        </w:tc>
        <w:tc>
          <w:tcPr>
            <w:tcW w:w="3798" w:type="dxa"/>
            <w:tcBorders>
              <w:top w:val="nil"/>
              <w:left w:val="nil"/>
              <w:bottom w:val="nil"/>
              <w:right w:val="single" w:sz="4" w:space="0" w:color="000000"/>
            </w:tcBorders>
            <w:shd w:val="clear" w:color="000000" w:fill="FFFFFF"/>
            <w:hideMark/>
          </w:tcPr>
          <w:p w14:paraId="0B11F8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vigilará el cumplimiento de las normas de publicidad para la recolección de apoyos ciudadanos e impondrá las sanciones correspondientes ante su incumplimiento a partir del régimen sancionatorio establecido en la Ley 1475 de 2011.</w:t>
            </w:r>
          </w:p>
        </w:tc>
        <w:tc>
          <w:tcPr>
            <w:tcW w:w="1480" w:type="dxa"/>
            <w:tcBorders>
              <w:top w:val="nil"/>
              <w:left w:val="nil"/>
              <w:bottom w:val="nil"/>
              <w:right w:val="single" w:sz="4" w:space="0" w:color="000000"/>
            </w:tcBorders>
            <w:shd w:val="clear" w:color="000000" w:fill="FFFFFF"/>
            <w:hideMark/>
          </w:tcPr>
          <w:p w14:paraId="4B6781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14ADA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61B47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grupos significativos de ciudadanos reportarán al Consejo Nacional Electoral en tiempo real, a través del medio que este disponga, los ingresos percibidos y los gastos empleados desde el registro del comité inscriptor y durante el proceso de recolección de firmas, incluso en aquellos eventos en los que se formalicen la inscripción de candidaturas o no se presenten los </w:t>
            </w:r>
            <w:r w:rsidRPr="00222F34">
              <w:rPr>
                <w:rFonts w:ascii="Calibri" w:eastAsia="Times New Roman" w:hAnsi="Calibri" w:cs="Calibri"/>
                <w:color w:val="000000"/>
                <w:lang w:val="es-CO" w:eastAsia="es-CO" w:bidi="ar-SA"/>
              </w:rPr>
              <w:lastRenderedPageBreak/>
              <w:t>apoyos ciudadanos ante la Registraduría Nacional del Estado Civil.</w:t>
            </w:r>
          </w:p>
        </w:tc>
        <w:tc>
          <w:tcPr>
            <w:tcW w:w="3798" w:type="dxa"/>
            <w:tcBorders>
              <w:top w:val="nil"/>
              <w:left w:val="nil"/>
              <w:bottom w:val="nil"/>
              <w:right w:val="single" w:sz="4" w:space="0" w:color="000000"/>
            </w:tcBorders>
            <w:shd w:val="clear" w:color="000000" w:fill="FFFFFF"/>
            <w:hideMark/>
          </w:tcPr>
          <w:p w14:paraId="0F8A10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grupos significativos de ciudadanos reportarán al Consejo Nacional Electoral en tiempo real, a través del medio que este disponga, los ingresos percibidos y los gastos empleados desde el registro del comité inscriptor y durante el proceso de recolección de firmas, incluso en aquellos eventos en los que se formalicen la inscripción de candidaturas o no se presenten los </w:t>
            </w:r>
            <w:r w:rsidRPr="00222F34">
              <w:rPr>
                <w:rFonts w:ascii="Calibri" w:eastAsia="Times New Roman" w:hAnsi="Calibri" w:cs="Calibri"/>
                <w:color w:val="000000"/>
                <w:lang w:val="es-CO" w:eastAsia="es-CO" w:bidi="ar-SA"/>
              </w:rPr>
              <w:lastRenderedPageBreak/>
              <w:t>apoyos ciudadanos ante la Registraduría Nacional del Estado Civil.</w:t>
            </w:r>
          </w:p>
        </w:tc>
        <w:tc>
          <w:tcPr>
            <w:tcW w:w="3798" w:type="dxa"/>
            <w:tcBorders>
              <w:top w:val="nil"/>
              <w:left w:val="nil"/>
              <w:bottom w:val="nil"/>
              <w:right w:val="single" w:sz="4" w:space="0" w:color="000000"/>
            </w:tcBorders>
            <w:shd w:val="clear" w:color="000000" w:fill="FFFFFF"/>
            <w:hideMark/>
          </w:tcPr>
          <w:p w14:paraId="3E9702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grupos significativos de ciudadanos reportarán al Consejo Nacional Electoral en tiempo real, a través del medio que este disponga, los ingresos percibidos y los gastos empleados desde el registro del comité inscriptor y durante el proceso de recolección de firmas, incluso en aquellos eventos en los que se formalicen la inscripción de candidaturas o no se presenten los </w:t>
            </w:r>
            <w:r w:rsidRPr="00222F34">
              <w:rPr>
                <w:rFonts w:ascii="Calibri" w:eastAsia="Times New Roman" w:hAnsi="Calibri" w:cs="Calibri"/>
                <w:color w:val="000000"/>
                <w:lang w:val="es-CO" w:eastAsia="es-CO" w:bidi="ar-SA"/>
              </w:rPr>
              <w:lastRenderedPageBreak/>
              <w:t>apoyos ciudadanos ante la Registraduría Nacional del Estado Civil.</w:t>
            </w:r>
          </w:p>
        </w:tc>
        <w:tc>
          <w:tcPr>
            <w:tcW w:w="1480" w:type="dxa"/>
            <w:tcBorders>
              <w:top w:val="nil"/>
              <w:left w:val="nil"/>
              <w:bottom w:val="nil"/>
              <w:right w:val="single" w:sz="4" w:space="0" w:color="000000"/>
            </w:tcBorders>
            <w:shd w:val="clear" w:color="000000" w:fill="FFFFFF"/>
            <w:hideMark/>
          </w:tcPr>
          <w:p w14:paraId="423AE2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3E9D2D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C579D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normas sobre financiamiento electoral que rigen para las campañas electorales se aplicarán en lo pertinente a la promoción de candidaturas a través de grupos significativos de ciudadanos. </w:t>
            </w:r>
          </w:p>
        </w:tc>
        <w:tc>
          <w:tcPr>
            <w:tcW w:w="3798" w:type="dxa"/>
            <w:tcBorders>
              <w:top w:val="nil"/>
              <w:left w:val="nil"/>
              <w:bottom w:val="nil"/>
              <w:right w:val="single" w:sz="4" w:space="0" w:color="000000"/>
            </w:tcBorders>
            <w:shd w:val="clear" w:color="000000" w:fill="FFFFFF"/>
            <w:hideMark/>
          </w:tcPr>
          <w:p w14:paraId="483CD8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normas sobre financiamiento electoral que rigen para las campañas electorales se aplicarán en lo pertinente a la promoción de candidaturas a través de grupos significativos de ciudadanos.</w:t>
            </w:r>
          </w:p>
        </w:tc>
        <w:tc>
          <w:tcPr>
            <w:tcW w:w="3798" w:type="dxa"/>
            <w:tcBorders>
              <w:top w:val="nil"/>
              <w:left w:val="nil"/>
              <w:bottom w:val="nil"/>
              <w:right w:val="single" w:sz="4" w:space="0" w:color="000000"/>
            </w:tcBorders>
            <w:shd w:val="clear" w:color="000000" w:fill="FFFFFF"/>
            <w:hideMark/>
          </w:tcPr>
          <w:p w14:paraId="614F0B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normas sobre financiamiento electoral que rigen para las campañas electorales se aplicarán en lo pertinente a la promoción de candidaturas a través de grupos significativos de ciudadanos.</w:t>
            </w:r>
          </w:p>
        </w:tc>
        <w:tc>
          <w:tcPr>
            <w:tcW w:w="1480" w:type="dxa"/>
            <w:tcBorders>
              <w:top w:val="nil"/>
              <w:left w:val="nil"/>
              <w:bottom w:val="nil"/>
              <w:right w:val="single" w:sz="4" w:space="0" w:color="000000"/>
            </w:tcBorders>
            <w:shd w:val="clear" w:color="000000" w:fill="FFFFFF"/>
            <w:hideMark/>
          </w:tcPr>
          <w:p w14:paraId="307A03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FB9B7C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C4A41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reglamentará la materia, fijará el valor de las sumas máximas autorizadas en la promoción de la recolección de apoyos, que no podrá superar el 30% del límite fijado para la respectiva campaña e impondrá las sanciones a que hubiere lugar por incumplimiento de lo aquí dispuesto, de acuerdo con la ley. </w:t>
            </w:r>
          </w:p>
        </w:tc>
        <w:tc>
          <w:tcPr>
            <w:tcW w:w="3798" w:type="dxa"/>
            <w:tcBorders>
              <w:top w:val="nil"/>
              <w:left w:val="nil"/>
              <w:bottom w:val="nil"/>
              <w:right w:val="single" w:sz="4" w:space="0" w:color="000000"/>
            </w:tcBorders>
            <w:shd w:val="clear" w:color="000000" w:fill="FFFFFF"/>
            <w:hideMark/>
          </w:tcPr>
          <w:p w14:paraId="57AE33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reglamentará la materia, fijará el valor de las sumas máximas autorizadas en la promoción de la recolección de apoyos, que no podrá superar el 30% del límite fijado para la respectiva campaña e impondrá las sanciones a que hubiere lugar por incumplimiento de lo aquí dispuesto, de acuerdo con la ley.</w:t>
            </w:r>
          </w:p>
        </w:tc>
        <w:tc>
          <w:tcPr>
            <w:tcW w:w="3798" w:type="dxa"/>
            <w:tcBorders>
              <w:top w:val="nil"/>
              <w:left w:val="nil"/>
              <w:bottom w:val="nil"/>
              <w:right w:val="single" w:sz="4" w:space="0" w:color="000000"/>
            </w:tcBorders>
            <w:shd w:val="clear" w:color="000000" w:fill="FFFFFF"/>
            <w:hideMark/>
          </w:tcPr>
          <w:p w14:paraId="50E7E9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reglamentará la materia, fijará el valor de las sumas máximas autorizadas en la promoción de la recolección de apoyos, que no podrá superar el 30% del límite fijado para la respectiva campaña e impondrá las sanciones a que hubiere lugar por incumplimiento de lo aquí dispuesto, de acuerdo con la ley.</w:t>
            </w:r>
          </w:p>
        </w:tc>
        <w:tc>
          <w:tcPr>
            <w:tcW w:w="1480" w:type="dxa"/>
            <w:tcBorders>
              <w:top w:val="nil"/>
              <w:left w:val="nil"/>
              <w:bottom w:val="nil"/>
              <w:right w:val="single" w:sz="4" w:space="0" w:color="000000"/>
            </w:tcBorders>
            <w:shd w:val="clear" w:color="000000" w:fill="FFFFFF"/>
            <w:hideMark/>
          </w:tcPr>
          <w:p w14:paraId="6BE79E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21477C"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2CCF8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candidato o los candidatos, los integrantes del comité promotor y el gerente designado responderán solidariamente por cualquier irregularidad en el manejo de los ingresos y gastos de las campañas de recolección de apoyos. </w:t>
            </w:r>
          </w:p>
        </w:tc>
        <w:tc>
          <w:tcPr>
            <w:tcW w:w="3798" w:type="dxa"/>
            <w:tcBorders>
              <w:top w:val="nil"/>
              <w:left w:val="nil"/>
              <w:bottom w:val="single" w:sz="4" w:space="0" w:color="000000"/>
              <w:right w:val="single" w:sz="4" w:space="0" w:color="000000"/>
            </w:tcBorders>
            <w:shd w:val="clear" w:color="000000" w:fill="FFFFFF"/>
            <w:hideMark/>
          </w:tcPr>
          <w:p w14:paraId="0C6B2B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candidato o los candidatos, los integrantes del comité promotor y el gerente designado responderán solidariamente por cualquier irregularidad en el manejo de los ingresos y gastos de las campañas de recolección de apoyos.</w:t>
            </w:r>
          </w:p>
        </w:tc>
        <w:tc>
          <w:tcPr>
            <w:tcW w:w="3798" w:type="dxa"/>
            <w:tcBorders>
              <w:top w:val="nil"/>
              <w:left w:val="nil"/>
              <w:bottom w:val="single" w:sz="4" w:space="0" w:color="000000"/>
              <w:right w:val="single" w:sz="4" w:space="0" w:color="000000"/>
            </w:tcBorders>
            <w:shd w:val="clear" w:color="000000" w:fill="FFFFFF"/>
            <w:hideMark/>
          </w:tcPr>
          <w:p w14:paraId="066DE6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candidato o los candidatos, los integrantes del comité promotor y el gerente designado responderán solidariamente por cualquier irregularidad en el manejo de los ingresos y gastos de las campañas de recolección de apoyos.</w:t>
            </w:r>
          </w:p>
        </w:tc>
        <w:tc>
          <w:tcPr>
            <w:tcW w:w="1480" w:type="dxa"/>
            <w:tcBorders>
              <w:top w:val="nil"/>
              <w:left w:val="nil"/>
              <w:bottom w:val="single" w:sz="4" w:space="0" w:color="000000"/>
              <w:right w:val="single" w:sz="4" w:space="0" w:color="000000"/>
            </w:tcBorders>
            <w:shd w:val="clear" w:color="000000" w:fill="FFFFFF"/>
            <w:hideMark/>
          </w:tcPr>
          <w:p w14:paraId="413E9D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CF0D3D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9C0151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28F62AA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06CE7EC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nil"/>
              <w:left w:val="nil"/>
              <w:bottom w:val="nil"/>
              <w:right w:val="single" w:sz="4" w:space="0" w:color="000000"/>
            </w:tcBorders>
            <w:shd w:val="clear" w:color="000000" w:fill="FFFFFF"/>
            <w:hideMark/>
          </w:tcPr>
          <w:p w14:paraId="3AE2E1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C93317"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DFBED1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Inscripción y modificación de candidatos y listas</w:t>
            </w:r>
          </w:p>
        </w:tc>
        <w:tc>
          <w:tcPr>
            <w:tcW w:w="3798" w:type="dxa"/>
            <w:tcBorders>
              <w:top w:val="nil"/>
              <w:left w:val="nil"/>
              <w:bottom w:val="single" w:sz="4" w:space="0" w:color="000000"/>
              <w:right w:val="single" w:sz="4" w:space="0" w:color="000000"/>
            </w:tcBorders>
            <w:shd w:val="clear" w:color="000000" w:fill="FFFFFF"/>
            <w:hideMark/>
          </w:tcPr>
          <w:p w14:paraId="34C3939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Inscripción y modificación de candidatos y listas</w:t>
            </w:r>
          </w:p>
        </w:tc>
        <w:tc>
          <w:tcPr>
            <w:tcW w:w="3798" w:type="dxa"/>
            <w:tcBorders>
              <w:top w:val="nil"/>
              <w:left w:val="nil"/>
              <w:bottom w:val="single" w:sz="4" w:space="0" w:color="000000"/>
              <w:right w:val="single" w:sz="4" w:space="0" w:color="000000"/>
            </w:tcBorders>
            <w:shd w:val="clear" w:color="000000" w:fill="FFFFFF"/>
            <w:hideMark/>
          </w:tcPr>
          <w:p w14:paraId="4E0150C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Inscripción y modificación de candidatos y listas</w:t>
            </w:r>
          </w:p>
        </w:tc>
        <w:tc>
          <w:tcPr>
            <w:tcW w:w="1480" w:type="dxa"/>
            <w:tcBorders>
              <w:top w:val="nil"/>
              <w:left w:val="nil"/>
              <w:bottom w:val="single" w:sz="4" w:space="0" w:color="000000"/>
              <w:right w:val="single" w:sz="4" w:space="0" w:color="000000"/>
            </w:tcBorders>
            <w:shd w:val="clear" w:color="000000" w:fill="FFFFFF"/>
            <w:hideMark/>
          </w:tcPr>
          <w:p w14:paraId="2384F5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513DBA"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47B9CBE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65.- Derecho de postulación.</w:t>
            </w:r>
            <w:r w:rsidRPr="00222F34">
              <w:rPr>
                <w:rFonts w:ascii="Calibri" w:eastAsia="Times New Roman" w:hAnsi="Calibri" w:cs="Calibri"/>
                <w:color w:val="000000"/>
                <w:lang w:val="es-CO" w:eastAsia="es-CO" w:bidi="ar-SA"/>
              </w:rPr>
              <w:t xml:space="preserve"> 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 </w:t>
            </w:r>
          </w:p>
        </w:tc>
        <w:tc>
          <w:tcPr>
            <w:tcW w:w="3798" w:type="dxa"/>
            <w:tcBorders>
              <w:top w:val="nil"/>
              <w:left w:val="nil"/>
              <w:bottom w:val="nil"/>
              <w:right w:val="single" w:sz="4" w:space="0" w:color="000000"/>
            </w:tcBorders>
            <w:shd w:val="clear" w:color="000000" w:fill="FFFFFF"/>
            <w:hideMark/>
          </w:tcPr>
          <w:p w14:paraId="3DD123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69. Derecho de postulación.</w:t>
            </w:r>
            <w:r w:rsidRPr="00222F34">
              <w:rPr>
                <w:rFonts w:ascii="Calibri" w:eastAsia="Times New Roman" w:hAnsi="Calibri" w:cs="Calibri"/>
                <w:color w:val="000000"/>
                <w:lang w:val="es-CO" w:eastAsia="es-CO" w:bidi="ar-SA"/>
              </w:rPr>
              <w:t xml:space="preserve"> 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w:t>
            </w:r>
          </w:p>
        </w:tc>
        <w:tc>
          <w:tcPr>
            <w:tcW w:w="3798" w:type="dxa"/>
            <w:tcBorders>
              <w:top w:val="nil"/>
              <w:left w:val="nil"/>
              <w:bottom w:val="nil"/>
              <w:right w:val="single" w:sz="4" w:space="0" w:color="000000"/>
            </w:tcBorders>
            <w:shd w:val="clear" w:color="000000" w:fill="FFFFFF"/>
            <w:hideMark/>
          </w:tcPr>
          <w:p w14:paraId="1B4729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69. Derecho de postulación.</w:t>
            </w:r>
            <w:r w:rsidRPr="00222F34">
              <w:rPr>
                <w:rFonts w:ascii="Calibri" w:eastAsia="Times New Roman" w:hAnsi="Calibri" w:cs="Calibri"/>
                <w:color w:val="000000"/>
                <w:lang w:val="es-CO" w:eastAsia="es-CO" w:bidi="ar-SA"/>
              </w:rPr>
              <w:t xml:space="preserve"> 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w:t>
            </w:r>
          </w:p>
        </w:tc>
        <w:tc>
          <w:tcPr>
            <w:tcW w:w="1480" w:type="dxa"/>
            <w:tcBorders>
              <w:top w:val="nil"/>
              <w:left w:val="nil"/>
              <w:bottom w:val="nil"/>
              <w:right w:val="single" w:sz="4" w:space="0" w:color="000000"/>
            </w:tcBorders>
            <w:shd w:val="clear" w:color="000000" w:fill="FFFFFF"/>
            <w:hideMark/>
          </w:tcPr>
          <w:p w14:paraId="141907E9" w14:textId="33C3F72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0D9DA9FA"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0AB9D8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w:t>
            </w:r>
            <w:r w:rsidRPr="00222F34">
              <w:rPr>
                <w:rFonts w:ascii="Calibri" w:eastAsia="Times New Roman" w:hAnsi="Calibri" w:cs="Calibri"/>
                <w:color w:val="000000"/>
                <w:lang w:val="es-CO" w:eastAsia="es-CO" w:bidi="ar-SA"/>
              </w:rPr>
              <w:lastRenderedPageBreak/>
              <w:t xml:space="preserve">las bases de datos de las entidades públicas que permitan conocer los antecedentes, sanciones e inhabilidades que impidan ser elegido, de conformidad con la Constitución Política y la ley. </w:t>
            </w:r>
          </w:p>
        </w:tc>
        <w:tc>
          <w:tcPr>
            <w:tcW w:w="3798" w:type="dxa"/>
            <w:tcBorders>
              <w:top w:val="nil"/>
              <w:left w:val="nil"/>
              <w:bottom w:val="nil"/>
              <w:right w:val="single" w:sz="4" w:space="0" w:color="000000"/>
            </w:tcBorders>
            <w:shd w:val="clear" w:color="000000" w:fill="FFFFFF"/>
            <w:hideMark/>
          </w:tcPr>
          <w:p w14:paraId="16AE79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w:t>
            </w:r>
            <w:r w:rsidRPr="00222F34">
              <w:rPr>
                <w:rFonts w:ascii="Calibri" w:eastAsia="Times New Roman" w:hAnsi="Calibri" w:cs="Calibri"/>
                <w:color w:val="000000"/>
                <w:lang w:val="es-CO" w:eastAsia="es-CO" w:bidi="ar-SA"/>
              </w:rPr>
              <w:lastRenderedPageBreak/>
              <w:t>las bases de datos de las entidades públicas que permitan conocer los antecedentes, sanciones e inhabilidades que impidan ser elegido, de conformidad con la Constitución Política y la ley.</w:t>
            </w:r>
          </w:p>
        </w:tc>
        <w:tc>
          <w:tcPr>
            <w:tcW w:w="3798" w:type="dxa"/>
            <w:tcBorders>
              <w:top w:val="nil"/>
              <w:left w:val="nil"/>
              <w:bottom w:val="nil"/>
              <w:right w:val="single" w:sz="4" w:space="0" w:color="000000"/>
            </w:tcBorders>
            <w:shd w:val="clear" w:color="000000" w:fill="FFFFFF"/>
            <w:hideMark/>
          </w:tcPr>
          <w:p w14:paraId="3E6A68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w:t>
            </w:r>
            <w:r w:rsidRPr="00222F34">
              <w:rPr>
                <w:rFonts w:ascii="Calibri" w:eastAsia="Times New Roman" w:hAnsi="Calibri" w:cs="Calibri"/>
                <w:color w:val="000000"/>
                <w:lang w:val="es-CO" w:eastAsia="es-CO" w:bidi="ar-SA"/>
              </w:rPr>
              <w:lastRenderedPageBreak/>
              <w:t>las bases de datos de las entidades públicas que permitan conocer los antecedentes, sanciones e inhabilidades que impidan ser elegido, de conformidad con la Constitución Política y la ley.</w:t>
            </w:r>
          </w:p>
        </w:tc>
        <w:tc>
          <w:tcPr>
            <w:tcW w:w="1480" w:type="dxa"/>
            <w:tcBorders>
              <w:top w:val="nil"/>
              <w:left w:val="nil"/>
              <w:bottom w:val="nil"/>
              <w:right w:val="single" w:sz="4" w:space="0" w:color="000000"/>
            </w:tcBorders>
            <w:shd w:val="clear" w:color="000000" w:fill="FFFFFF"/>
            <w:hideMark/>
          </w:tcPr>
          <w:p w14:paraId="1349B4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CCC9C2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48EA6B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Para la postulación de candidatos, los partidos o movimientos políticos deberán regirse por las reglas previstas en sus estatutos. </w:t>
            </w:r>
          </w:p>
        </w:tc>
        <w:tc>
          <w:tcPr>
            <w:tcW w:w="3798" w:type="dxa"/>
            <w:tcBorders>
              <w:top w:val="nil"/>
              <w:left w:val="nil"/>
              <w:bottom w:val="nil"/>
              <w:right w:val="single" w:sz="4" w:space="0" w:color="000000"/>
            </w:tcBorders>
            <w:shd w:val="clear" w:color="000000" w:fill="FFFFFF"/>
            <w:hideMark/>
          </w:tcPr>
          <w:p w14:paraId="1F9FDF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Para la postulación de candidatos, los partidos o movimientos políticos deberán regirse por las reglas previstas en sus estatutos.</w:t>
            </w:r>
          </w:p>
        </w:tc>
        <w:tc>
          <w:tcPr>
            <w:tcW w:w="3798" w:type="dxa"/>
            <w:tcBorders>
              <w:top w:val="nil"/>
              <w:left w:val="nil"/>
              <w:bottom w:val="nil"/>
              <w:right w:val="single" w:sz="4" w:space="0" w:color="000000"/>
            </w:tcBorders>
            <w:shd w:val="clear" w:color="000000" w:fill="FFFFFF"/>
            <w:hideMark/>
          </w:tcPr>
          <w:p w14:paraId="5359A3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Para la postulación de candidatos, los partidos o movimientos políticos deberán regirse por las reglas previstas en sus estatutos.</w:t>
            </w:r>
          </w:p>
        </w:tc>
        <w:tc>
          <w:tcPr>
            <w:tcW w:w="1480" w:type="dxa"/>
            <w:tcBorders>
              <w:top w:val="nil"/>
              <w:left w:val="nil"/>
              <w:bottom w:val="nil"/>
              <w:right w:val="single" w:sz="4" w:space="0" w:color="000000"/>
            </w:tcBorders>
            <w:shd w:val="clear" w:color="000000" w:fill="FFFFFF"/>
            <w:hideMark/>
          </w:tcPr>
          <w:p w14:paraId="30DE57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CE01A82"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08E8C4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la consulta y verificación de los antecedentes, sanciones e inhabilidades, el Ministerio del Interior en coordinación con las entidades competentes, recepcionará por medio de la Ventanilla Única Electoral Permanente, las consultas formuladas por los partidos, movimientos políticos y grupos significativos de ciudadanos, de antecedentes judiciales, disciplinarios, fiscales e investigaciones penales de los ciudadanos que aspiran a ser avalados e inscritos como candidatos. </w:t>
            </w:r>
          </w:p>
        </w:tc>
        <w:tc>
          <w:tcPr>
            <w:tcW w:w="3798" w:type="dxa"/>
            <w:tcBorders>
              <w:top w:val="nil"/>
              <w:left w:val="nil"/>
              <w:bottom w:val="nil"/>
              <w:right w:val="single" w:sz="4" w:space="0" w:color="000000"/>
            </w:tcBorders>
            <w:shd w:val="clear" w:color="000000" w:fill="FFFFFF"/>
            <w:hideMark/>
          </w:tcPr>
          <w:p w14:paraId="67A88E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la consulta y verificación de los antecedentes, sanciones e inhabilidades, el Ministerio del Interior en coordinación con las entidades competentes, recepcionará por medio de la Ventanilla Única Electoral Permanente, las consultas formuladas por los partidos, movimientos políticos y grupos significativos de ciudadanos, de antecedentes judiciales, disciplinarios, fiscales e investigaciones penales de los ciudadanos que aspiran a ser avalados e inscritos como candidatos.</w:t>
            </w:r>
          </w:p>
        </w:tc>
        <w:tc>
          <w:tcPr>
            <w:tcW w:w="3798" w:type="dxa"/>
            <w:tcBorders>
              <w:top w:val="nil"/>
              <w:left w:val="nil"/>
              <w:bottom w:val="nil"/>
              <w:right w:val="single" w:sz="4" w:space="0" w:color="000000"/>
            </w:tcBorders>
            <w:shd w:val="clear" w:color="000000" w:fill="FFFFFF"/>
            <w:hideMark/>
          </w:tcPr>
          <w:p w14:paraId="486B12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la consulta y verificación de los antecedentes, sanciones e inhabilidades, el Ministerio del Interior en coordinación con las entidades competentes, recepcionará por medio de la Ventanilla Única Electoral Permanente, las consultas formuladas por los partidos, movimientos políticos y grupos significativos de ciudadanos, de antecedentes judiciales, disciplinarios, fiscales e investigaciones penales de los ciudadanos que aspiran a ser avalados e inscritos como candidatos.</w:t>
            </w:r>
          </w:p>
        </w:tc>
        <w:tc>
          <w:tcPr>
            <w:tcW w:w="1480" w:type="dxa"/>
            <w:tcBorders>
              <w:top w:val="nil"/>
              <w:left w:val="nil"/>
              <w:bottom w:val="nil"/>
              <w:right w:val="single" w:sz="4" w:space="0" w:color="000000"/>
            </w:tcBorders>
            <w:shd w:val="clear" w:color="000000" w:fill="FFFFFF"/>
            <w:hideMark/>
          </w:tcPr>
          <w:p w14:paraId="4EB0BA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E87F12"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C65ED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Ventanilla Única Electoral Permanente será un instrumento para el fortalecimiento de los procesos electorales y de asistencia técnica, coordinada previamente con: la Procuraduría General de la Nación, Contraloría General de la República, Fiscalía General de la Nación, Policía Nacional, Ministerio de Relaciones Exteriores y la Corte Suprema de Justicia, estas entidades deberán enviar las consultas formuladas a más tardar tres (3) días después de haberse radicado la solicitud a la Ventanilla Única Electoral Permanente del Ministerio del Interior. </w:t>
            </w:r>
          </w:p>
        </w:tc>
        <w:tc>
          <w:tcPr>
            <w:tcW w:w="3798" w:type="dxa"/>
            <w:tcBorders>
              <w:top w:val="nil"/>
              <w:left w:val="nil"/>
              <w:bottom w:val="nil"/>
              <w:right w:val="single" w:sz="4" w:space="0" w:color="000000"/>
            </w:tcBorders>
            <w:shd w:val="clear" w:color="000000" w:fill="FFFFFF"/>
            <w:hideMark/>
          </w:tcPr>
          <w:p w14:paraId="1D5DE6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Ventanilla Única Electoral Permanente será un instrumento para el fortalecimiento de los procesos electorales y de asistencia técnica, coordinada previamente con: la Procuraduría General de la Nación, Contraloría General de la República, Fiscalía General de la Nación, Policía Nacional, Ministerio de Relaciones Exteriores y la Corte Suprema de Justicia, estas entidades deberán enviar las consultas formuladas a más tardar cinco (5) días después de haberse radicado la solicitud a la Ventanilla Única Electoral Permanente del Ministerio del Interior.</w:t>
            </w:r>
          </w:p>
        </w:tc>
        <w:tc>
          <w:tcPr>
            <w:tcW w:w="3798" w:type="dxa"/>
            <w:tcBorders>
              <w:top w:val="nil"/>
              <w:left w:val="nil"/>
              <w:bottom w:val="nil"/>
              <w:right w:val="single" w:sz="4" w:space="0" w:color="000000"/>
            </w:tcBorders>
            <w:shd w:val="clear" w:color="000000" w:fill="FFFFFF"/>
            <w:hideMark/>
          </w:tcPr>
          <w:p w14:paraId="3654B5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Ventanilla Única Electoral Permanente será un instrumento para el fortalecimiento de los procesos electorales y de asistencia técnica, coordinada previamente con: la Procuraduría General de la Nación, Contraloría General de la República, Fiscalía General de la Nación, Policía Nacional, Ministerio de Relaciones Exteriores y la Corte Suprema de Justicia, estas entidades deberán enviar las consultas formuladas a más tardar cinco (5) días después de haberse radicado la solicitud a la Ventanilla Única Electoral Permanente del Ministerio del Interior.</w:t>
            </w:r>
          </w:p>
        </w:tc>
        <w:tc>
          <w:tcPr>
            <w:tcW w:w="1480" w:type="dxa"/>
            <w:tcBorders>
              <w:top w:val="nil"/>
              <w:left w:val="nil"/>
              <w:bottom w:val="nil"/>
              <w:right w:val="single" w:sz="4" w:space="0" w:color="000000"/>
            </w:tcBorders>
            <w:shd w:val="clear" w:color="000000" w:fill="FFFFFF"/>
            <w:hideMark/>
          </w:tcPr>
          <w:p w14:paraId="6ACD59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E932F6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C5FBF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Departamento Administrativo de la Función Pública, deberá reportar ante la Ventanilla Única Electoral Permanente, los servidores públicos que, durante el año inmediatamente anterior al período de inscripción, ocuparon cargos en propiedad o encargo, donde se ejerció algún tipo de autoridad. </w:t>
            </w:r>
          </w:p>
        </w:tc>
        <w:tc>
          <w:tcPr>
            <w:tcW w:w="3798" w:type="dxa"/>
            <w:tcBorders>
              <w:top w:val="nil"/>
              <w:left w:val="nil"/>
              <w:bottom w:val="nil"/>
              <w:right w:val="single" w:sz="4" w:space="0" w:color="000000"/>
            </w:tcBorders>
            <w:shd w:val="clear" w:color="000000" w:fill="FFFFFF"/>
            <w:hideMark/>
          </w:tcPr>
          <w:p w14:paraId="503392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Departamento Administrativo de la Función Pública, deberá reportar ante la Ventanilla Única Electoral Permanente, los servidores públicos que, durante el año inmediatamente anterior al período de inscripción, ocuparon cargos en propiedad o encargo, donde se ejerció algún tipo de autoridad.</w:t>
            </w:r>
          </w:p>
        </w:tc>
        <w:tc>
          <w:tcPr>
            <w:tcW w:w="3798" w:type="dxa"/>
            <w:tcBorders>
              <w:top w:val="nil"/>
              <w:left w:val="nil"/>
              <w:bottom w:val="nil"/>
              <w:right w:val="single" w:sz="4" w:space="0" w:color="000000"/>
            </w:tcBorders>
            <w:shd w:val="clear" w:color="000000" w:fill="FFFFFF"/>
            <w:hideMark/>
          </w:tcPr>
          <w:p w14:paraId="6591BA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Departamento Administrativo de la Función Pública, deberá reportar ante la Ventanilla Única Electoral Permanente, los servidores públicos que, durante el año inmediatamente anterior al período de inscripción, ocuparon cargos en propiedad o encargo, donde se ejerció algún tipo de autoridad.</w:t>
            </w:r>
          </w:p>
        </w:tc>
        <w:tc>
          <w:tcPr>
            <w:tcW w:w="1480" w:type="dxa"/>
            <w:tcBorders>
              <w:top w:val="nil"/>
              <w:left w:val="nil"/>
              <w:bottom w:val="nil"/>
              <w:right w:val="single" w:sz="4" w:space="0" w:color="000000"/>
            </w:tcBorders>
            <w:shd w:val="clear" w:color="000000" w:fill="FFFFFF"/>
            <w:hideMark/>
          </w:tcPr>
          <w:p w14:paraId="229C3B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E315884"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4F8D70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Adicionalmente la Ventanilla Única Electoral Permanente permitirá la revisión de antecedentes, previa la elección de las directivas de los partidos y movimientos políticos y para la presentación de ternas para alcaldes o gobernadores por suspensión o falta </w:t>
            </w:r>
            <w:r w:rsidRPr="00222F34">
              <w:rPr>
                <w:rFonts w:ascii="Calibri" w:eastAsia="Times New Roman" w:hAnsi="Calibri" w:cs="Calibri"/>
                <w:color w:val="000000"/>
                <w:lang w:val="es-CO" w:eastAsia="es-CO" w:bidi="ar-SA"/>
              </w:rPr>
              <w:lastRenderedPageBreak/>
              <w:t xml:space="preserve">absoluta de los mandatarios territoriales elegidos popularmente, cuando a ello hubiere lugar. </w:t>
            </w:r>
          </w:p>
        </w:tc>
        <w:tc>
          <w:tcPr>
            <w:tcW w:w="3798" w:type="dxa"/>
            <w:tcBorders>
              <w:top w:val="nil"/>
              <w:left w:val="nil"/>
              <w:bottom w:val="single" w:sz="4" w:space="0" w:color="000000"/>
              <w:right w:val="single" w:sz="4" w:space="0" w:color="000000"/>
            </w:tcBorders>
            <w:shd w:val="clear" w:color="000000" w:fill="FFFFFF"/>
            <w:hideMark/>
          </w:tcPr>
          <w:p w14:paraId="001499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Adicionalmente la Ventanilla Única Electoral Permanente permitirá la revisión de antecedentes, previa la elección de las directivas de los partidos y movimientos políticos y para la presentación de ternas para alcaldes o gobernadores por suspensión o falta </w:t>
            </w:r>
            <w:r w:rsidRPr="00222F34">
              <w:rPr>
                <w:rFonts w:ascii="Calibri" w:eastAsia="Times New Roman" w:hAnsi="Calibri" w:cs="Calibri"/>
                <w:color w:val="000000"/>
                <w:lang w:val="es-CO" w:eastAsia="es-CO" w:bidi="ar-SA"/>
              </w:rPr>
              <w:lastRenderedPageBreak/>
              <w:t>absoluta de los mandatarios territoriales elegidos popularmente, cuando a ello hubiere lugar.</w:t>
            </w:r>
          </w:p>
        </w:tc>
        <w:tc>
          <w:tcPr>
            <w:tcW w:w="3798" w:type="dxa"/>
            <w:tcBorders>
              <w:top w:val="nil"/>
              <w:left w:val="nil"/>
              <w:bottom w:val="single" w:sz="4" w:space="0" w:color="000000"/>
              <w:right w:val="single" w:sz="4" w:space="0" w:color="000000"/>
            </w:tcBorders>
            <w:shd w:val="clear" w:color="000000" w:fill="FFFFFF"/>
            <w:hideMark/>
          </w:tcPr>
          <w:p w14:paraId="314459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Adicionalmente la Ventanilla Única Electoral Permanente permitirá la revisión de antecedentes, previa la elección de las directivas de los partidos y movimientos políticos y para la presentación de ternas para alcaldes o gobernadores por suspensión o falta </w:t>
            </w:r>
            <w:r w:rsidRPr="00222F34">
              <w:rPr>
                <w:rFonts w:ascii="Calibri" w:eastAsia="Times New Roman" w:hAnsi="Calibri" w:cs="Calibri"/>
                <w:color w:val="000000"/>
                <w:lang w:val="es-CO" w:eastAsia="es-CO" w:bidi="ar-SA"/>
              </w:rPr>
              <w:lastRenderedPageBreak/>
              <w:t>absoluta de los mandatarios territoriales elegidos popularmente, cuando a ello hubiere lugar.</w:t>
            </w:r>
          </w:p>
        </w:tc>
        <w:tc>
          <w:tcPr>
            <w:tcW w:w="1480" w:type="dxa"/>
            <w:tcBorders>
              <w:top w:val="nil"/>
              <w:left w:val="nil"/>
              <w:bottom w:val="single" w:sz="4" w:space="0" w:color="000000"/>
              <w:right w:val="single" w:sz="4" w:space="0" w:color="000000"/>
            </w:tcBorders>
            <w:shd w:val="clear" w:color="000000" w:fill="FFFFFF"/>
            <w:hideMark/>
          </w:tcPr>
          <w:p w14:paraId="261F69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2085403"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661D785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66. Definición de aval.</w:t>
            </w:r>
            <w:r w:rsidRPr="00222F34">
              <w:rPr>
                <w:rFonts w:ascii="Calibri" w:eastAsia="Times New Roman" w:hAnsi="Calibri" w:cs="Calibri"/>
                <w:color w:val="000000"/>
                <w:lang w:val="es-CO" w:eastAsia="es-CO" w:bidi="ar-SA"/>
              </w:rPr>
              <w:t xml:space="preserve"> Aval es la designación que hace un partido o movimiento político con personería jurídica a una persona natural que pueda representar a la colectividad, aspirando a ser elegido como resultado de una elección popular. Será otorgado mediante un documento suscrito por el representante legal o su delegado, el cual será utilizado por el avalado en el momento del periodo de inscripciones de candidaturas; en el caso de la delegación deberá señalar de manera expresa si se extiende a la posibilidad de avalar en el periodo de modificación de inscripciones.  </w:t>
            </w:r>
          </w:p>
        </w:tc>
        <w:tc>
          <w:tcPr>
            <w:tcW w:w="3798" w:type="dxa"/>
            <w:tcBorders>
              <w:top w:val="nil"/>
              <w:left w:val="nil"/>
              <w:bottom w:val="nil"/>
              <w:right w:val="single" w:sz="4" w:space="0" w:color="000000"/>
            </w:tcBorders>
            <w:shd w:val="clear" w:color="000000" w:fill="FFFFFF"/>
            <w:hideMark/>
          </w:tcPr>
          <w:p w14:paraId="139FCC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70. Definición de aval. </w:t>
            </w:r>
            <w:r w:rsidRPr="00222F34">
              <w:rPr>
                <w:rFonts w:ascii="Calibri" w:eastAsia="Times New Roman" w:hAnsi="Calibri" w:cs="Calibri"/>
                <w:color w:val="000000"/>
                <w:lang w:val="es-CO" w:eastAsia="es-CO" w:bidi="ar-SA"/>
              </w:rPr>
              <w:t>Aval es la designación que hace un partido o movimiento político con personería jurídica a una persona natural que pueda representar a la colectividad, aspirando a ser elegido como resultado de una elección popular. Será otorgado mediante un documento suscrito por el representante legal o su delegado, el cual será utilizado por el avalado en el momento del periodo de inscripciones de candidaturas; en el caso de la delegación deberá señalar de manera expresa si se extiende a la posibilidad de avalar en el periodo de modificación de inscripciones.</w:t>
            </w:r>
          </w:p>
        </w:tc>
        <w:tc>
          <w:tcPr>
            <w:tcW w:w="3798" w:type="dxa"/>
            <w:tcBorders>
              <w:top w:val="nil"/>
              <w:left w:val="nil"/>
              <w:bottom w:val="nil"/>
              <w:right w:val="single" w:sz="4" w:space="0" w:color="000000"/>
            </w:tcBorders>
            <w:shd w:val="clear" w:color="000000" w:fill="FFFFFF"/>
            <w:hideMark/>
          </w:tcPr>
          <w:p w14:paraId="7465B1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70. Definición de aval. </w:t>
            </w:r>
            <w:r w:rsidRPr="00222F34">
              <w:rPr>
                <w:rFonts w:ascii="Calibri" w:eastAsia="Times New Roman" w:hAnsi="Calibri" w:cs="Calibri"/>
                <w:color w:val="000000"/>
                <w:lang w:val="es-CO" w:eastAsia="es-CO" w:bidi="ar-SA"/>
              </w:rPr>
              <w:t>Aval es la designación que hace un partido o movimiento político con personería jurídica a una persona natural que pueda representar a la colectividad, aspirando a ser elegido como resultado de una elección popular. Será otorgado mediante un documento suscrito por el representante legal o su delegado, el cual será utilizado por el avalado en el momento del periodo de inscripciones de candidaturas; en el caso de la delegación deberá señalar de manera expresa si se extiende a la posibilidad de avalar en el periodo de modificación de inscripciones.</w:t>
            </w:r>
          </w:p>
        </w:tc>
        <w:tc>
          <w:tcPr>
            <w:tcW w:w="1480" w:type="dxa"/>
            <w:tcBorders>
              <w:top w:val="nil"/>
              <w:left w:val="nil"/>
              <w:bottom w:val="nil"/>
              <w:right w:val="single" w:sz="4" w:space="0" w:color="000000"/>
            </w:tcBorders>
            <w:shd w:val="clear" w:color="000000" w:fill="FFFFFF"/>
            <w:hideMark/>
          </w:tcPr>
          <w:p w14:paraId="7C451A21" w14:textId="5276179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1CC127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48B99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caso de listas para corporaciones públicas, el aval expedido para un candidato que va a reemplazar a otro, durante el periodo de modificaciones, deberá indicar expresamente cuál es el renglón que se pretende modificar. </w:t>
            </w:r>
          </w:p>
        </w:tc>
        <w:tc>
          <w:tcPr>
            <w:tcW w:w="3798" w:type="dxa"/>
            <w:tcBorders>
              <w:top w:val="nil"/>
              <w:left w:val="nil"/>
              <w:bottom w:val="nil"/>
              <w:right w:val="single" w:sz="4" w:space="0" w:color="000000"/>
            </w:tcBorders>
            <w:shd w:val="clear" w:color="000000" w:fill="FFFFFF"/>
            <w:hideMark/>
          </w:tcPr>
          <w:p w14:paraId="4A8BEB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listas para corporaciones públicas, el aval expedido para un candidato que va a reemplazar a otro, durante el periodo de modificaciones, deberá indicar expresamente cuál es el renglón que se pretende modificar.</w:t>
            </w:r>
          </w:p>
        </w:tc>
        <w:tc>
          <w:tcPr>
            <w:tcW w:w="3798" w:type="dxa"/>
            <w:tcBorders>
              <w:top w:val="nil"/>
              <w:left w:val="nil"/>
              <w:bottom w:val="nil"/>
              <w:right w:val="single" w:sz="4" w:space="0" w:color="000000"/>
            </w:tcBorders>
            <w:shd w:val="clear" w:color="000000" w:fill="FFFFFF"/>
            <w:hideMark/>
          </w:tcPr>
          <w:p w14:paraId="74E34D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listas para corporaciones públicas, el aval expedido para un candidato que va a reemplazar a otro, durante el periodo de modificaciones, deberá indicar expresamente cuál es el renglón que se pretende modificar.</w:t>
            </w:r>
          </w:p>
        </w:tc>
        <w:tc>
          <w:tcPr>
            <w:tcW w:w="1480" w:type="dxa"/>
            <w:tcBorders>
              <w:top w:val="nil"/>
              <w:left w:val="nil"/>
              <w:bottom w:val="nil"/>
              <w:right w:val="single" w:sz="4" w:space="0" w:color="000000"/>
            </w:tcBorders>
            <w:shd w:val="clear" w:color="000000" w:fill="FFFFFF"/>
            <w:hideMark/>
          </w:tcPr>
          <w:p w14:paraId="4F26E2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A023B6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CECD0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avales se expedirán sin costo alguno y se observarán las reglas establecidas en los estatutos y las leyes previstas para la selección de candidatos; y no podrán ser revocados por las organizaciones políticas con posterioridad a la inscripción de las candidaturas. </w:t>
            </w:r>
          </w:p>
        </w:tc>
        <w:tc>
          <w:tcPr>
            <w:tcW w:w="3798" w:type="dxa"/>
            <w:tcBorders>
              <w:top w:val="nil"/>
              <w:left w:val="nil"/>
              <w:bottom w:val="nil"/>
              <w:right w:val="single" w:sz="4" w:space="0" w:color="000000"/>
            </w:tcBorders>
            <w:shd w:val="clear" w:color="000000" w:fill="FFFFFF"/>
            <w:hideMark/>
          </w:tcPr>
          <w:p w14:paraId="140F0D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avales se expedirán sin costo alguno y se observarán las reglas establecidas en los estatutos y las leyes previstas para la selección de candidatos; y no podrán ser revocados por las organizaciones políticas con posterioridad a la inscripción de las candidaturas.</w:t>
            </w:r>
          </w:p>
        </w:tc>
        <w:tc>
          <w:tcPr>
            <w:tcW w:w="3798" w:type="dxa"/>
            <w:tcBorders>
              <w:top w:val="nil"/>
              <w:left w:val="nil"/>
              <w:bottom w:val="nil"/>
              <w:right w:val="single" w:sz="4" w:space="0" w:color="000000"/>
            </w:tcBorders>
            <w:shd w:val="clear" w:color="000000" w:fill="FFFFFF"/>
            <w:hideMark/>
          </w:tcPr>
          <w:p w14:paraId="208074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avales se expedirán sin costo alguno y se observarán las reglas establecidas en los estatutos y las leyes previstas para la selección de candidatos; y no podrán ser revocados por las organizaciones políticas con posterioridad a la inscripción de las candidaturas.</w:t>
            </w:r>
          </w:p>
        </w:tc>
        <w:tc>
          <w:tcPr>
            <w:tcW w:w="1480" w:type="dxa"/>
            <w:tcBorders>
              <w:top w:val="nil"/>
              <w:left w:val="nil"/>
              <w:bottom w:val="nil"/>
              <w:right w:val="single" w:sz="4" w:space="0" w:color="000000"/>
            </w:tcBorders>
            <w:shd w:val="clear" w:color="000000" w:fill="FFFFFF"/>
            <w:hideMark/>
          </w:tcPr>
          <w:p w14:paraId="7AFAFE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959EEF5"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2ACF2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 </w:t>
            </w:r>
          </w:p>
        </w:tc>
        <w:tc>
          <w:tcPr>
            <w:tcW w:w="3798" w:type="dxa"/>
            <w:tcBorders>
              <w:top w:val="nil"/>
              <w:left w:val="nil"/>
              <w:bottom w:val="nil"/>
              <w:right w:val="single" w:sz="4" w:space="0" w:color="000000"/>
            </w:tcBorders>
            <w:shd w:val="clear" w:color="000000" w:fill="FFFFFF"/>
            <w:hideMark/>
          </w:tcPr>
          <w:p w14:paraId="0FD263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w:t>
            </w:r>
          </w:p>
        </w:tc>
        <w:tc>
          <w:tcPr>
            <w:tcW w:w="3798" w:type="dxa"/>
            <w:tcBorders>
              <w:top w:val="nil"/>
              <w:left w:val="nil"/>
              <w:bottom w:val="nil"/>
              <w:right w:val="single" w:sz="4" w:space="0" w:color="000000"/>
            </w:tcBorders>
            <w:shd w:val="clear" w:color="000000" w:fill="FFFFFF"/>
            <w:hideMark/>
          </w:tcPr>
          <w:p w14:paraId="15434B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w:t>
            </w:r>
          </w:p>
        </w:tc>
        <w:tc>
          <w:tcPr>
            <w:tcW w:w="1480" w:type="dxa"/>
            <w:tcBorders>
              <w:top w:val="nil"/>
              <w:left w:val="nil"/>
              <w:bottom w:val="nil"/>
              <w:right w:val="single" w:sz="4" w:space="0" w:color="000000"/>
            </w:tcBorders>
            <w:shd w:val="clear" w:color="000000" w:fill="FFFFFF"/>
            <w:hideMark/>
          </w:tcPr>
          <w:p w14:paraId="51BF0C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4D90DC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A30FD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los casos que se expidan avales desconociendo estas prohibiciones, el funcionario electoral competente dará validez únicamente al primero que se haya expedido. </w:t>
            </w:r>
          </w:p>
        </w:tc>
        <w:tc>
          <w:tcPr>
            <w:tcW w:w="3798" w:type="dxa"/>
            <w:tcBorders>
              <w:top w:val="nil"/>
              <w:left w:val="nil"/>
              <w:bottom w:val="nil"/>
              <w:right w:val="single" w:sz="4" w:space="0" w:color="000000"/>
            </w:tcBorders>
            <w:shd w:val="clear" w:color="000000" w:fill="FFFFFF"/>
            <w:hideMark/>
          </w:tcPr>
          <w:p w14:paraId="44790E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que se expidan avales desconociendo estas prohibiciones, el funcionario electoral competente dará validez únicamente al primero que se haya expedido.</w:t>
            </w:r>
          </w:p>
        </w:tc>
        <w:tc>
          <w:tcPr>
            <w:tcW w:w="3798" w:type="dxa"/>
            <w:tcBorders>
              <w:top w:val="nil"/>
              <w:left w:val="nil"/>
              <w:bottom w:val="nil"/>
              <w:right w:val="single" w:sz="4" w:space="0" w:color="000000"/>
            </w:tcBorders>
            <w:shd w:val="clear" w:color="000000" w:fill="FFFFFF"/>
            <w:hideMark/>
          </w:tcPr>
          <w:p w14:paraId="7326B0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que se expidan avales desconociendo estas prohibiciones, el funcionario electoral competente dará validez únicamente al primero que se haya expedido.</w:t>
            </w:r>
          </w:p>
        </w:tc>
        <w:tc>
          <w:tcPr>
            <w:tcW w:w="1480" w:type="dxa"/>
            <w:tcBorders>
              <w:top w:val="nil"/>
              <w:left w:val="nil"/>
              <w:bottom w:val="nil"/>
              <w:right w:val="single" w:sz="4" w:space="0" w:color="000000"/>
            </w:tcBorders>
            <w:shd w:val="clear" w:color="000000" w:fill="FFFFFF"/>
            <w:hideMark/>
          </w:tcPr>
          <w:p w14:paraId="2E42D4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223C1A4"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5F38FD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aval entregado por parte de los partidos o movimientos políticos será válido para la inscripción de la candidatura y tendrá vigencia máxima hasta el día en que se declare la </w:t>
            </w:r>
            <w:r w:rsidRPr="00222F34">
              <w:rPr>
                <w:rFonts w:ascii="Calibri" w:eastAsia="Times New Roman" w:hAnsi="Calibri" w:cs="Calibri"/>
                <w:color w:val="000000"/>
                <w:lang w:val="es-CO" w:eastAsia="es-CO" w:bidi="ar-SA"/>
              </w:rPr>
              <w:lastRenderedPageBreak/>
              <w:t xml:space="preserve">elección, en caso de que se haya hecho efectiva la inscripción. </w:t>
            </w:r>
          </w:p>
        </w:tc>
        <w:tc>
          <w:tcPr>
            <w:tcW w:w="3798" w:type="dxa"/>
            <w:tcBorders>
              <w:top w:val="nil"/>
              <w:left w:val="nil"/>
              <w:bottom w:val="single" w:sz="4" w:space="0" w:color="000000"/>
              <w:right w:val="single" w:sz="4" w:space="0" w:color="000000"/>
            </w:tcBorders>
            <w:shd w:val="clear" w:color="000000" w:fill="FFFFFF"/>
            <w:hideMark/>
          </w:tcPr>
          <w:p w14:paraId="0BE337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El aval entregado por parte de los partidos o movimientos políticos será válido para la inscripción de la candidatura y tendrá vigencia máxima hasta el día en que se declare la </w:t>
            </w:r>
            <w:r w:rsidRPr="00222F34">
              <w:rPr>
                <w:rFonts w:ascii="Calibri" w:eastAsia="Times New Roman" w:hAnsi="Calibri" w:cs="Calibri"/>
                <w:color w:val="000000"/>
                <w:lang w:val="es-CO" w:eastAsia="es-CO" w:bidi="ar-SA"/>
              </w:rPr>
              <w:lastRenderedPageBreak/>
              <w:t>elección, en caso de que se haya hecho efectiva la inscripción.</w:t>
            </w:r>
          </w:p>
        </w:tc>
        <w:tc>
          <w:tcPr>
            <w:tcW w:w="3798" w:type="dxa"/>
            <w:tcBorders>
              <w:top w:val="nil"/>
              <w:left w:val="nil"/>
              <w:bottom w:val="single" w:sz="4" w:space="0" w:color="000000"/>
              <w:right w:val="single" w:sz="4" w:space="0" w:color="000000"/>
            </w:tcBorders>
            <w:shd w:val="clear" w:color="000000" w:fill="FFFFFF"/>
            <w:hideMark/>
          </w:tcPr>
          <w:p w14:paraId="26D138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El aval entregado por parte de los partidos o movimientos políticos será válido para la inscripción de la candidatura y tendrá vigencia máxima hasta el día en que se declare la </w:t>
            </w:r>
            <w:r w:rsidRPr="00222F34">
              <w:rPr>
                <w:rFonts w:ascii="Calibri" w:eastAsia="Times New Roman" w:hAnsi="Calibri" w:cs="Calibri"/>
                <w:color w:val="000000"/>
                <w:lang w:val="es-CO" w:eastAsia="es-CO" w:bidi="ar-SA"/>
              </w:rPr>
              <w:lastRenderedPageBreak/>
              <w:t>elección, en caso de que se haya hecho efectiva la inscripción.</w:t>
            </w:r>
          </w:p>
        </w:tc>
        <w:tc>
          <w:tcPr>
            <w:tcW w:w="1480" w:type="dxa"/>
            <w:tcBorders>
              <w:top w:val="nil"/>
              <w:left w:val="nil"/>
              <w:bottom w:val="single" w:sz="4" w:space="0" w:color="000000"/>
              <w:right w:val="single" w:sz="4" w:space="0" w:color="000000"/>
            </w:tcBorders>
            <w:shd w:val="clear" w:color="000000" w:fill="FFFFFF"/>
            <w:hideMark/>
          </w:tcPr>
          <w:p w14:paraId="4376DD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DAD71B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0C8917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67. Autoridades competentes para la inscripción de candidatos y listas.</w:t>
            </w:r>
            <w:r w:rsidRPr="00222F34">
              <w:rPr>
                <w:rFonts w:ascii="Calibri" w:eastAsia="Times New Roman" w:hAnsi="Calibri" w:cs="Calibri"/>
                <w:color w:val="000000"/>
                <w:lang w:val="es-CO" w:eastAsia="es-CO" w:bidi="ar-SA"/>
              </w:rPr>
              <w:t xml:space="preserve"> Las autoridades competentes para la inscripción de candidatos y listas son las siguientes:</w:t>
            </w:r>
          </w:p>
        </w:tc>
        <w:tc>
          <w:tcPr>
            <w:tcW w:w="3798" w:type="dxa"/>
            <w:tcBorders>
              <w:top w:val="nil"/>
              <w:left w:val="nil"/>
              <w:bottom w:val="nil"/>
              <w:right w:val="single" w:sz="4" w:space="0" w:color="000000"/>
            </w:tcBorders>
            <w:shd w:val="clear" w:color="000000" w:fill="FFFFFF"/>
            <w:hideMark/>
          </w:tcPr>
          <w:p w14:paraId="5981306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71. Autoridades competentes para la inscripción de candidatos y listas. </w:t>
            </w:r>
            <w:r w:rsidRPr="00222F34">
              <w:rPr>
                <w:rFonts w:ascii="Calibri" w:eastAsia="Times New Roman" w:hAnsi="Calibri" w:cs="Calibri"/>
                <w:color w:val="000000"/>
                <w:lang w:val="es-CO" w:eastAsia="es-CO" w:bidi="ar-SA"/>
              </w:rPr>
              <w:t>Las autoridades competentes para la inscripción de candidatos y listas son las siguientes:</w:t>
            </w:r>
          </w:p>
        </w:tc>
        <w:tc>
          <w:tcPr>
            <w:tcW w:w="3798" w:type="dxa"/>
            <w:tcBorders>
              <w:top w:val="nil"/>
              <w:left w:val="nil"/>
              <w:bottom w:val="nil"/>
              <w:right w:val="single" w:sz="4" w:space="0" w:color="000000"/>
            </w:tcBorders>
            <w:shd w:val="clear" w:color="000000" w:fill="FFFFFF"/>
            <w:hideMark/>
          </w:tcPr>
          <w:p w14:paraId="4C2A1B9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71. Autoridades competentes para la inscripción de candidatos y listas. </w:t>
            </w:r>
            <w:r w:rsidRPr="00222F34">
              <w:rPr>
                <w:rFonts w:ascii="Calibri" w:eastAsia="Times New Roman" w:hAnsi="Calibri" w:cs="Calibri"/>
                <w:color w:val="000000"/>
                <w:lang w:val="es-CO" w:eastAsia="es-CO" w:bidi="ar-SA"/>
              </w:rPr>
              <w:t>Las autoridades competentes para la inscripción de candidatos y listas son las siguientes:</w:t>
            </w:r>
          </w:p>
        </w:tc>
        <w:tc>
          <w:tcPr>
            <w:tcW w:w="1480" w:type="dxa"/>
            <w:tcBorders>
              <w:top w:val="nil"/>
              <w:left w:val="nil"/>
              <w:bottom w:val="nil"/>
              <w:right w:val="single" w:sz="4" w:space="0" w:color="000000"/>
            </w:tcBorders>
            <w:shd w:val="clear" w:color="000000" w:fill="FFFFFF"/>
            <w:hideMark/>
          </w:tcPr>
          <w:p w14:paraId="0671FAC1" w14:textId="4494383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2CD475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1F13F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Para los candidatos a presidente y vicepresidente de la República será el registrador Nacional del Estado Civil o su registrador delegado en lo electoral. </w:t>
            </w:r>
          </w:p>
        </w:tc>
        <w:tc>
          <w:tcPr>
            <w:tcW w:w="3798" w:type="dxa"/>
            <w:tcBorders>
              <w:top w:val="nil"/>
              <w:left w:val="nil"/>
              <w:bottom w:val="nil"/>
              <w:right w:val="single" w:sz="4" w:space="0" w:color="000000"/>
            </w:tcBorders>
            <w:shd w:val="clear" w:color="000000" w:fill="FFFFFF"/>
            <w:hideMark/>
          </w:tcPr>
          <w:p w14:paraId="7F150B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Para los candidatos a presidente y vicepresidente de la República será el registrador Nacional del Estado Civil o su registrador delegado en lo electoral.</w:t>
            </w:r>
          </w:p>
        </w:tc>
        <w:tc>
          <w:tcPr>
            <w:tcW w:w="3798" w:type="dxa"/>
            <w:tcBorders>
              <w:top w:val="nil"/>
              <w:left w:val="nil"/>
              <w:bottom w:val="nil"/>
              <w:right w:val="single" w:sz="4" w:space="0" w:color="000000"/>
            </w:tcBorders>
            <w:shd w:val="clear" w:color="000000" w:fill="FFFFFF"/>
            <w:hideMark/>
          </w:tcPr>
          <w:p w14:paraId="655C0B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Para los candidatos a presidente y vicepresidente de la República será el registrador Nacional del Estado Civil o su registrador delegado en lo electoral.</w:t>
            </w:r>
          </w:p>
        </w:tc>
        <w:tc>
          <w:tcPr>
            <w:tcW w:w="1480" w:type="dxa"/>
            <w:tcBorders>
              <w:top w:val="nil"/>
              <w:left w:val="nil"/>
              <w:bottom w:val="nil"/>
              <w:right w:val="single" w:sz="4" w:space="0" w:color="000000"/>
            </w:tcBorders>
            <w:shd w:val="clear" w:color="000000" w:fill="FFFFFF"/>
            <w:hideMark/>
          </w:tcPr>
          <w:p w14:paraId="17437A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2D16918"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83724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los candidatos al Senado de la República, a las circunscripciones especiales de la Cámara de Representantes y a la Cámara de Representantes en 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tc>
        <w:tc>
          <w:tcPr>
            <w:tcW w:w="3798" w:type="dxa"/>
            <w:tcBorders>
              <w:top w:val="nil"/>
              <w:left w:val="nil"/>
              <w:bottom w:val="nil"/>
              <w:right w:val="single" w:sz="4" w:space="0" w:color="000000"/>
            </w:tcBorders>
            <w:shd w:val="clear" w:color="000000" w:fill="FFFFFF"/>
            <w:hideMark/>
          </w:tcPr>
          <w:p w14:paraId="267012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los candidatos al Senado de la República, a las circunscripciones especiales de la Cámara de Representantes y a la Cámara de Representantes en 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tc>
        <w:tc>
          <w:tcPr>
            <w:tcW w:w="3798" w:type="dxa"/>
            <w:tcBorders>
              <w:top w:val="nil"/>
              <w:left w:val="nil"/>
              <w:bottom w:val="nil"/>
              <w:right w:val="single" w:sz="4" w:space="0" w:color="000000"/>
            </w:tcBorders>
            <w:shd w:val="clear" w:color="000000" w:fill="FFFFFF"/>
            <w:hideMark/>
          </w:tcPr>
          <w:p w14:paraId="347116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los candidatos al Senado de la República, a las circunscripciones especiales de la Cámara de Representantes y a la Cámara de Representantes en 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tc>
        <w:tc>
          <w:tcPr>
            <w:tcW w:w="1480" w:type="dxa"/>
            <w:tcBorders>
              <w:top w:val="nil"/>
              <w:left w:val="nil"/>
              <w:bottom w:val="nil"/>
              <w:right w:val="single" w:sz="4" w:space="0" w:color="000000"/>
            </w:tcBorders>
            <w:shd w:val="clear" w:color="000000" w:fill="FFFFFF"/>
            <w:hideMark/>
          </w:tcPr>
          <w:p w14:paraId="718192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F680C1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6B97F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Para los candidatos a la Cámara de Representantes por las circunscripciones territoriales, a las gobernaciones y a las asambleas departamentales, es el delegado seccional en lo electoral de la correspondiente circunscripción. </w:t>
            </w:r>
          </w:p>
        </w:tc>
        <w:tc>
          <w:tcPr>
            <w:tcW w:w="3798" w:type="dxa"/>
            <w:tcBorders>
              <w:top w:val="nil"/>
              <w:left w:val="nil"/>
              <w:bottom w:val="nil"/>
              <w:right w:val="single" w:sz="4" w:space="0" w:color="000000"/>
            </w:tcBorders>
            <w:shd w:val="clear" w:color="000000" w:fill="FFFFFF"/>
            <w:hideMark/>
          </w:tcPr>
          <w:p w14:paraId="156603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Para los candidatos a la Cámara de Representantes por las circunscripciones territoriales, a las gobernaciones y a las asambleas departamentales, es el delegado seccional en lo electoral de la correspondiente circunscripción.</w:t>
            </w:r>
          </w:p>
        </w:tc>
        <w:tc>
          <w:tcPr>
            <w:tcW w:w="3798" w:type="dxa"/>
            <w:tcBorders>
              <w:top w:val="nil"/>
              <w:left w:val="nil"/>
              <w:bottom w:val="nil"/>
              <w:right w:val="single" w:sz="4" w:space="0" w:color="000000"/>
            </w:tcBorders>
            <w:shd w:val="clear" w:color="000000" w:fill="FFFFFF"/>
            <w:hideMark/>
          </w:tcPr>
          <w:p w14:paraId="05AA95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Para los candidatos a la Cámara de Representantes por las circunscripciones territoriales, a las gobernaciones y a las asambleas departamentales, es el delegado seccional en lo electoral de la correspondiente circunscripción.</w:t>
            </w:r>
          </w:p>
        </w:tc>
        <w:tc>
          <w:tcPr>
            <w:tcW w:w="1480" w:type="dxa"/>
            <w:tcBorders>
              <w:top w:val="nil"/>
              <w:left w:val="nil"/>
              <w:bottom w:val="nil"/>
              <w:right w:val="single" w:sz="4" w:space="0" w:color="000000"/>
            </w:tcBorders>
            <w:shd w:val="clear" w:color="000000" w:fill="FFFFFF"/>
            <w:hideMark/>
          </w:tcPr>
          <w:p w14:paraId="7C4648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9BAF59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5A52C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Para los candidatos a concejos y alcaldías distritales o municipales, es el respectivo registrador distrital, especial o municipal, según el caso. </w:t>
            </w:r>
          </w:p>
        </w:tc>
        <w:tc>
          <w:tcPr>
            <w:tcW w:w="3798" w:type="dxa"/>
            <w:tcBorders>
              <w:top w:val="nil"/>
              <w:left w:val="nil"/>
              <w:bottom w:val="nil"/>
              <w:right w:val="single" w:sz="4" w:space="0" w:color="000000"/>
            </w:tcBorders>
            <w:shd w:val="clear" w:color="000000" w:fill="FFFFFF"/>
            <w:hideMark/>
          </w:tcPr>
          <w:p w14:paraId="6C9E33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Para los candidatos a concejos y alcaldías distritales o municipales, es el respectivo registrador distrital, especial o municipal, según el caso.</w:t>
            </w:r>
          </w:p>
        </w:tc>
        <w:tc>
          <w:tcPr>
            <w:tcW w:w="3798" w:type="dxa"/>
            <w:tcBorders>
              <w:top w:val="nil"/>
              <w:left w:val="nil"/>
              <w:bottom w:val="nil"/>
              <w:right w:val="single" w:sz="4" w:space="0" w:color="000000"/>
            </w:tcBorders>
            <w:shd w:val="clear" w:color="000000" w:fill="FFFFFF"/>
            <w:hideMark/>
          </w:tcPr>
          <w:p w14:paraId="0C3C59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Para los candidatos a concejos y alcaldías distritales o municipales, es el respectivo registrador distrital, especial o municipal, según el caso.</w:t>
            </w:r>
          </w:p>
        </w:tc>
        <w:tc>
          <w:tcPr>
            <w:tcW w:w="1480" w:type="dxa"/>
            <w:tcBorders>
              <w:top w:val="nil"/>
              <w:left w:val="nil"/>
              <w:bottom w:val="nil"/>
              <w:right w:val="single" w:sz="4" w:space="0" w:color="000000"/>
            </w:tcBorders>
            <w:shd w:val="clear" w:color="000000" w:fill="FFFFFF"/>
            <w:hideMark/>
          </w:tcPr>
          <w:p w14:paraId="024199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376712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46B4E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Para los candidatos a juntas administradoras locales, es el respectivo registrador especial, municipal o auxiliar, según el caso. </w:t>
            </w:r>
          </w:p>
        </w:tc>
        <w:tc>
          <w:tcPr>
            <w:tcW w:w="3798" w:type="dxa"/>
            <w:tcBorders>
              <w:top w:val="nil"/>
              <w:left w:val="nil"/>
              <w:bottom w:val="nil"/>
              <w:right w:val="single" w:sz="4" w:space="0" w:color="000000"/>
            </w:tcBorders>
            <w:shd w:val="clear" w:color="000000" w:fill="FFFFFF"/>
            <w:hideMark/>
          </w:tcPr>
          <w:p w14:paraId="23A90C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Para los candidatos a juntas administradoras locales, es el respectivo registrador especial, municipal o auxiliar, según el caso.</w:t>
            </w:r>
          </w:p>
        </w:tc>
        <w:tc>
          <w:tcPr>
            <w:tcW w:w="3798" w:type="dxa"/>
            <w:tcBorders>
              <w:top w:val="nil"/>
              <w:left w:val="nil"/>
              <w:bottom w:val="nil"/>
              <w:right w:val="single" w:sz="4" w:space="0" w:color="000000"/>
            </w:tcBorders>
            <w:shd w:val="clear" w:color="000000" w:fill="FFFFFF"/>
            <w:hideMark/>
          </w:tcPr>
          <w:p w14:paraId="2750E9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Para los candidatos a juntas administradoras locales, es el respectivo registrador especial, municipal o auxiliar, según el caso.</w:t>
            </w:r>
          </w:p>
        </w:tc>
        <w:tc>
          <w:tcPr>
            <w:tcW w:w="1480" w:type="dxa"/>
            <w:tcBorders>
              <w:top w:val="nil"/>
              <w:left w:val="nil"/>
              <w:bottom w:val="nil"/>
              <w:right w:val="single" w:sz="4" w:space="0" w:color="000000"/>
            </w:tcBorders>
            <w:shd w:val="clear" w:color="000000" w:fill="FFFFFF"/>
            <w:hideMark/>
          </w:tcPr>
          <w:p w14:paraId="6621A2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DA5E4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1E04D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Para los candidatos a los Consejos Municipales y Locales de juventud, es el registrador municipal, auxiliar y especiales según el caso. </w:t>
            </w:r>
          </w:p>
        </w:tc>
        <w:tc>
          <w:tcPr>
            <w:tcW w:w="3798" w:type="dxa"/>
            <w:tcBorders>
              <w:top w:val="nil"/>
              <w:left w:val="nil"/>
              <w:bottom w:val="nil"/>
              <w:right w:val="single" w:sz="4" w:space="0" w:color="000000"/>
            </w:tcBorders>
            <w:shd w:val="clear" w:color="000000" w:fill="FFFFFF"/>
            <w:hideMark/>
          </w:tcPr>
          <w:p w14:paraId="75050B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Para los candidatos a los Consejos Municipales y Locales de juventud, es el registrador municipal, auxiliar y especiales según el caso.</w:t>
            </w:r>
          </w:p>
        </w:tc>
        <w:tc>
          <w:tcPr>
            <w:tcW w:w="3798" w:type="dxa"/>
            <w:tcBorders>
              <w:top w:val="nil"/>
              <w:left w:val="nil"/>
              <w:bottom w:val="nil"/>
              <w:right w:val="single" w:sz="4" w:space="0" w:color="000000"/>
            </w:tcBorders>
            <w:shd w:val="clear" w:color="000000" w:fill="FFFFFF"/>
            <w:hideMark/>
          </w:tcPr>
          <w:p w14:paraId="5D9DE7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Para los candidatos a los Consejos Municipales y Locales de juventud, es el registrador municipal, auxiliar y especiales según el caso.</w:t>
            </w:r>
          </w:p>
        </w:tc>
        <w:tc>
          <w:tcPr>
            <w:tcW w:w="1480" w:type="dxa"/>
            <w:tcBorders>
              <w:top w:val="nil"/>
              <w:left w:val="nil"/>
              <w:bottom w:val="nil"/>
              <w:right w:val="single" w:sz="4" w:space="0" w:color="000000"/>
            </w:tcBorders>
            <w:shd w:val="clear" w:color="000000" w:fill="FFFFFF"/>
            <w:hideMark/>
          </w:tcPr>
          <w:p w14:paraId="0DCEC7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C42016"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64603DF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Consejo Nacional Electoral verificará si existe sanción respecto de la suspensión del derecho de inscribir candidatos o listas en la circunscripción por parte de algún partido o movimiento político con personería jurídica reconocida por esta corporación. De existir sanción, se abstendrá de inscribir la candidatura. </w:t>
            </w:r>
          </w:p>
        </w:tc>
        <w:tc>
          <w:tcPr>
            <w:tcW w:w="3798" w:type="dxa"/>
            <w:tcBorders>
              <w:top w:val="nil"/>
              <w:left w:val="nil"/>
              <w:bottom w:val="single" w:sz="4" w:space="0" w:color="000000"/>
              <w:right w:val="single" w:sz="4" w:space="0" w:color="000000"/>
            </w:tcBorders>
            <w:shd w:val="clear" w:color="000000" w:fill="FFFFFF"/>
            <w:hideMark/>
          </w:tcPr>
          <w:p w14:paraId="5B36C5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verificará si existe sanción respecto de la suspensión del derecho de inscribir candidatos o listas en la circunscripción por parte de algún partido o movimiento político con personería jurídica reconocida por esta corporación. De existir sanción, se abstendrá de inscribir la candidatura.</w:t>
            </w:r>
          </w:p>
        </w:tc>
        <w:tc>
          <w:tcPr>
            <w:tcW w:w="3798" w:type="dxa"/>
            <w:tcBorders>
              <w:top w:val="nil"/>
              <w:left w:val="nil"/>
              <w:bottom w:val="single" w:sz="4" w:space="0" w:color="000000"/>
              <w:right w:val="single" w:sz="4" w:space="0" w:color="000000"/>
            </w:tcBorders>
            <w:shd w:val="clear" w:color="000000" w:fill="FFFFFF"/>
            <w:hideMark/>
          </w:tcPr>
          <w:p w14:paraId="5F34B7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verificará si existe sanción respecto de la suspensión del derecho de inscribir candidatos o listas en la circunscripción por parte de algún partido o movimiento político con personería jurídica reconocida por esta corporación. De existir sanción, se abstendrá de inscribir la candidatura.</w:t>
            </w:r>
          </w:p>
        </w:tc>
        <w:tc>
          <w:tcPr>
            <w:tcW w:w="1480" w:type="dxa"/>
            <w:tcBorders>
              <w:top w:val="nil"/>
              <w:left w:val="nil"/>
              <w:bottom w:val="single" w:sz="4" w:space="0" w:color="000000"/>
              <w:right w:val="single" w:sz="4" w:space="0" w:color="000000"/>
            </w:tcBorders>
            <w:shd w:val="clear" w:color="000000" w:fill="FFFFFF"/>
            <w:hideMark/>
          </w:tcPr>
          <w:p w14:paraId="047D5F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867380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70FCD3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68.- Periodo de inscripción de candidatos.</w:t>
            </w:r>
            <w:r w:rsidRPr="00222F34">
              <w:rPr>
                <w:rFonts w:ascii="Calibri" w:eastAsia="Times New Roman" w:hAnsi="Calibri" w:cs="Calibri"/>
                <w:color w:val="000000"/>
                <w:lang w:val="es-CO" w:eastAsia="es-CO" w:bidi="ar-SA"/>
              </w:rPr>
              <w:t xml:space="preserve"> La inscripción de candidatos a cargos de elección popular iniciará cuatro (4) meses antes del día de </w:t>
            </w:r>
            <w:r w:rsidRPr="00222F34">
              <w:rPr>
                <w:rFonts w:ascii="Calibri" w:eastAsia="Times New Roman" w:hAnsi="Calibri" w:cs="Calibri"/>
                <w:color w:val="000000"/>
                <w:lang w:val="es-CO" w:eastAsia="es-CO" w:bidi="ar-SA"/>
              </w:rPr>
              <w:lastRenderedPageBreak/>
              <w:t xml:space="preserve">las elecciones y se realizará durante un (1) mes.  </w:t>
            </w:r>
          </w:p>
        </w:tc>
        <w:tc>
          <w:tcPr>
            <w:tcW w:w="3798" w:type="dxa"/>
            <w:tcBorders>
              <w:top w:val="nil"/>
              <w:left w:val="nil"/>
              <w:bottom w:val="nil"/>
              <w:right w:val="single" w:sz="4" w:space="0" w:color="000000"/>
            </w:tcBorders>
            <w:shd w:val="clear" w:color="000000" w:fill="FFFFFF"/>
            <w:hideMark/>
          </w:tcPr>
          <w:p w14:paraId="3441E1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72. Periodo de inscripción de candidatos. </w:t>
            </w:r>
            <w:r w:rsidRPr="00222F34">
              <w:rPr>
                <w:rFonts w:ascii="Calibri" w:eastAsia="Times New Roman" w:hAnsi="Calibri" w:cs="Calibri"/>
                <w:color w:val="000000"/>
                <w:lang w:val="es-CO" w:eastAsia="es-CO" w:bidi="ar-SA"/>
              </w:rPr>
              <w:t xml:space="preserve">La inscripción de candidatos a cargos de elección popular iniciará cuatro (4) meses antes del día de las </w:t>
            </w:r>
            <w:r w:rsidRPr="00222F34">
              <w:rPr>
                <w:rFonts w:ascii="Calibri" w:eastAsia="Times New Roman" w:hAnsi="Calibri" w:cs="Calibri"/>
                <w:color w:val="000000"/>
                <w:lang w:val="es-CO" w:eastAsia="es-CO" w:bidi="ar-SA"/>
              </w:rPr>
              <w:lastRenderedPageBreak/>
              <w:t>elecciones y se realizará durante un (1) mes.</w:t>
            </w:r>
          </w:p>
        </w:tc>
        <w:tc>
          <w:tcPr>
            <w:tcW w:w="3798" w:type="dxa"/>
            <w:tcBorders>
              <w:top w:val="nil"/>
              <w:left w:val="nil"/>
              <w:bottom w:val="nil"/>
              <w:right w:val="single" w:sz="4" w:space="0" w:color="000000"/>
            </w:tcBorders>
            <w:shd w:val="clear" w:color="000000" w:fill="FFFFFF"/>
            <w:hideMark/>
          </w:tcPr>
          <w:p w14:paraId="5E6B15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72. Periodo de inscripción de candidatos. </w:t>
            </w:r>
            <w:r w:rsidRPr="00222F34">
              <w:rPr>
                <w:rFonts w:ascii="Calibri" w:eastAsia="Times New Roman" w:hAnsi="Calibri" w:cs="Calibri"/>
                <w:color w:val="000000"/>
                <w:lang w:val="es-CO" w:eastAsia="es-CO" w:bidi="ar-SA"/>
              </w:rPr>
              <w:t xml:space="preserve">La inscripción de candidatos a cargos de elección popular iniciará cuatro (4) meses antes del día de las </w:t>
            </w:r>
            <w:r w:rsidRPr="00222F34">
              <w:rPr>
                <w:rFonts w:ascii="Calibri" w:eastAsia="Times New Roman" w:hAnsi="Calibri" w:cs="Calibri"/>
                <w:color w:val="000000"/>
                <w:lang w:val="es-CO" w:eastAsia="es-CO" w:bidi="ar-SA"/>
              </w:rPr>
              <w:lastRenderedPageBreak/>
              <w:t>elecciones y se realizará durante un (1) mes.</w:t>
            </w:r>
          </w:p>
        </w:tc>
        <w:tc>
          <w:tcPr>
            <w:tcW w:w="1480" w:type="dxa"/>
            <w:tcBorders>
              <w:top w:val="nil"/>
              <w:left w:val="nil"/>
              <w:bottom w:val="nil"/>
              <w:right w:val="single" w:sz="4" w:space="0" w:color="000000"/>
            </w:tcBorders>
            <w:shd w:val="clear" w:color="000000" w:fill="FFFFFF"/>
            <w:hideMark/>
          </w:tcPr>
          <w:p w14:paraId="4D1F64B4" w14:textId="09BF286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243F25AC"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ADCB7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 </w:t>
            </w:r>
          </w:p>
        </w:tc>
        <w:tc>
          <w:tcPr>
            <w:tcW w:w="3798" w:type="dxa"/>
            <w:tcBorders>
              <w:top w:val="nil"/>
              <w:left w:val="nil"/>
              <w:bottom w:val="nil"/>
              <w:right w:val="single" w:sz="4" w:space="0" w:color="000000"/>
            </w:tcBorders>
            <w:shd w:val="clear" w:color="000000" w:fill="FFFFFF"/>
            <w:hideMark/>
          </w:tcPr>
          <w:p w14:paraId="406A90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w:t>
            </w:r>
          </w:p>
        </w:tc>
        <w:tc>
          <w:tcPr>
            <w:tcW w:w="3798" w:type="dxa"/>
            <w:tcBorders>
              <w:top w:val="nil"/>
              <w:left w:val="nil"/>
              <w:bottom w:val="nil"/>
              <w:right w:val="single" w:sz="4" w:space="0" w:color="000000"/>
            </w:tcBorders>
            <w:shd w:val="clear" w:color="000000" w:fill="FFFFFF"/>
            <w:hideMark/>
          </w:tcPr>
          <w:p w14:paraId="533E45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w:t>
            </w:r>
          </w:p>
        </w:tc>
        <w:tc>
          <w:tcPr>
            <w:tcW w:w="1480" w:type="dxa"/>
            <w:tcBorders>
              <w:top w:val="nil"/>
              <w:left w:val="nil"/>
              <w:bottom w:val="nil"/>
              <w:right w:val="single" w:sz="4" w:space="0" w:color="000000"/>
            </w:tcBorders>
            <w:shd w:val="clear" w:color="000000" w:fill="FFFFFF"/>
            <w:hideMark/>
          </w:tcPr>
          <w:p w14:paraId="16F085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254469"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594EF9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En los casos de elecciones atípicas o complementarias, el periodo de inscripción de candidatos durará quince (15) días del calendario, contados a partir del día siguiente calendario a la convocatoria de las nuevas elecciones. </w:t>
            </w:r>
          </w:p>
        </w:tc>
        <w:tc>
          <w:tcPr>
            <w:tcW w:w="3798" w:type="dxa"/>
            <w:tcBorders>
              <w:top w:val="nil"/>
              <w:left w:val="nil"/>
              <w:bottom w:val="single" w:sz="4" w:space="0" w:color="000000"/>
              <w:right w:val="single" w:sz="4" w:space="0" w:color="000000"/>
            </w:tcBorders>
            <w:shd w:val="clear" w:color="000000" w:fill="FFFFFF"/>
            <w:hideMark/>
          </w:tcPr>
          <w:p w14:paraId="5DB8E9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En los casos de elecciones atípicas o complementarias, el periodo de inscripción de candidatos durará quince (15) días del calendario, contados a partir del día siguiente calendario a la convocatoria de las nuevas elecciones.</w:t>
            </w:r>
          </w:p>
        </w:tc>
        <w:tc>
          <w:tcPr>
            <w:tcW w:w="3798" w:type="dxa"/>
            <w:tcBorders>
              <w:top w:val="nil"/>
              <w:left w:val="nil"/>
              <w:bottom w:val="single" w:sz="4" w:space="0" w:color="000000"/>
              <w:right w:val="single" w:sz="4" w:space="0" w:color="000000"/>
            </w:tcBorders>
            <w:shd w:val="clear" w:color="000000" w:fill="FFFFFF"/>
            <w:hideMark/>
          </w:tcPr>
          <w:p w14:paraId="19D04B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En los casos de elecciones atípicas o complementarias, el periodo de inscripción de candidatos durará quince (15) días del calendario, contados a partir del día siguiente calendario a la convocatoria de las nuevas elecciones.</w:t>
            </w:r>
          </w:p>
        </w:tc>
        <w:tc>
          <w:tcPr>
            <w:tcW w:w="1480" w:type="dxa"/>
            <w:tcBorders>
              <w:top w:val="nil"/>
              <w:left w:val="nil"/>
              <w:bottom w:val="single" w:sz="4" w:space="0" w:color="000000"/>
              <w:right w:val="single" w:sz="4" w:space="0" w:color="000000"/>
            </w:tcBorders>
            <w:shd w:val="clear" w:color="000000" w:fill="FFFFFF"/>
            <w:hideMark/>
          </w:tcPr>
          <w:p w14:paraId="66E36E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A4A45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6BE56F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69.- Requisitos para la inscripción de candidatos.</w:t>
            </w:r>
            <w:r w:rsidRPr="00222F34">
              <w:rPr>
                <w:rFonts w:ascii="Calibri" w:eastAsia="Times New Roman" w:hAnsi="Calibri" w:cs="Calibri"/>
                <w:color w:val="000000"/>
                <w:lang w:val="es-CO" w:eastAsia="es-CO" w:bidi="ar-SA"/>
              </w:rPr>
              <w:t xml:space="preserve"> La inscripción de candidatos a cargos y corporaciones de elección popular está sometida al cumplimiento de los siguientes requisitos: </w:t>
            </w:r>
          </w:p>
        </w:tc>
        <w:tc>
          <w:tcPr>
            <w:tcW w:w="3798" w:type="dxa"/>
            <w:tcBorders>
              <w:top w:val="nil"/>
              <w:left w:val="nil"/>
              <w:bottom w:val="nil"/>
              <w:right w:val="single" w:sz="4" w:space="0" w:color="000000"/>
            </w:tcBorders>
            <w:shd w:val="clear" w:color="000000" w:fill="FFFFFF"/>
            <w:hideMark/>
          </w:tcPr>
          <w:p w14:paraId="3F1A63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73. Requisitos para la inscripción de candidatos.</w:t>
            </w:r>
            <w:r w:rsidRPr="00222F34">
              <w:rPr>
                <w:rFonts w:ascii="Calibri" w:eastAsia="Times New Roman" w:hAnsi="Calibri" w:cs="Calibri"/>
                <w:color w:val="000000"/>
                <w:lang w:val="es-CO" w:eastAsia="es-CO" w:bidi="ar-SA"/>
              </w:rPr>
              <w:t xml:space="preserve"> La inscripción de candidatos a cargos y corporaciones de elección popular está sometida al cumplimiento de los siguientes requisitos:</w:t>
            </w:r>
          </w:p>
        </w:tc>
        <w:tc>
          <w:tcPr>
            <w:tcW w:w="3798" w:type="dxa"/>
            <w:tcBorders>
              <w:top w:val="nil"/>
              <w:left w:val="nil"/>
              <w:bottom w:val="nil"/>
              <w:right w:val="single" w:sz="4" w:space="0" w:color="000000"/>
            </w:tcBorders>
            <w:shd w:val="clear" w:color="000000" w:fill="FFFFFF"/>
            <w:hideMark/>
          </w:tcPr>
          <w:p w14:paraId="72753ED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73.- Requisitos para la inscripción de candidatos.</w:t>
            </w:r>
            <w:r w:rsidRPr="00222F34">
              <w:rPr>
                <w:rFonts w:ascii="Calibri" w:eastAsia="Times New Roman" w:hAnsi="Calibri" w:cs="Calibri"/>
                <w:color w:val="000000"/>
                <w:lang w:val="es-CO" w:eastAsia="es-CO" w:bidi="ar-SA"/>
              </w:rPr>
              <w:t xml:space="preserve"> La inscripción de candidatos a cargos y corporaciones de elección popular está sometida al cumplimiento de los siguientes requisitos: </w:t>
            </w:r>
          </w:p>
        </w:tc>
        <w:tc>
          <w:tcPr>
            <w:tcW w:w="1480" w:type="dxa"/>
            <w:tcBorders>
              <w:top w:val="nil"/>
              <w:left w:val="nil"/>
              <w:bottom w:val="nil"/>
              <w:right w:val="single" w:sz="4" w:space="0" w:color="000000"/>
            </w:tcBorders>
            <w:shd w:val="clear" w:color="000000" w:fill="FFFFFF"/>
            <w:hideMark/>
          </w:tcPr>
          <w:p w14:paraId="16F7C09A" w14:textId="4D5A976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E02CFA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C4199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Presentación del documento que acredite la candidatura, según el caso: </w:t>
            </w:r>
          </w:p>
        </w:tc>
        <w:tc>
          <w:tcPr>
            <w:tcW w:w="3798" w:type="dxa"/>
            <w:tcBorders>
              <w:top w:val="nil"/>
              <w:left w:val="nil"/>
              <w:bottom w:val="nil"/>
              <w:right w:val="single" w:sz="4" w:space="0" w:color="000000"/>
            </w:tcBorders>
            <w:shd w:val="clear" w:color="000000" w:fill="FFFFFF"/>
            <w:hideMark/>
          </w:tcPr>
          <w:p w14:paraId="7BBD46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Presentación del documento que acredite la candidatura, según el caso:</w:t>
            </w:r>
          </w:p>
        </w:tc>
        <w:tc>
          <w:tcPr>
            <w:tcW w:w="3798" w:type="dxa"/>
            <w:tcBorders>
              <w:top w:val="nil"/>
              <w:left w:val="nil"/>
              <w:bottom w:val="nil"/>
              <w:right w:val="single" w:sz="4" w:space="0" w:color="000000"/>
            </w:tcBorders>
            <w:shd w:val="clear" w:color="000000" w:fill="FFFFFF"/>
            <w:hideMark/>
          </w:tcPr>
          <w:p w14:paraId="27452F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Presentación del documento que acredite la candidatura, según el caso: </w:t>
            </w:r>
          </w:p>
        </w:tc>
        <w:tc>
          <w:tcPr>
            <w:tcW w:w="1480" w:type="dxa"/>
            <w:tcBorders>
              <w:top w:val="nil"/>
              <w:left w:val="nil"/>
              <w:bottom w:val="nil"/>
              <w:right w:val="single" w:sz="4" w:space="0" w:color="000000"/>
            </w:tcBorders>
            <w:shd w:val="clear" w:color="000000" w:fill="FFFFFF"/>
            <w:hideMark/>
          </w:tcPr>
          <w:p w14:paraId="242AEE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5AFB9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CE477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En el caso de los partidos o movimientos políticos con personería jurídica reconocida por el Consejo Nacional Electoral, aval expedido por el </w:t>
            </w:r>
            <w:r w:rsidRPr="00222F34">
              <w:rPr>
                <w:rFonts w:ascii="Calibri" w:eastAsia="Times New Roman" w:hAnsi="Calibri" w:cs="Calibri"/>
                <w:color w:val="000000"/>
                <w:lang w:val="es-CO" w:eastAsia="es-CO" w:bidi="ar-SA"/>
              </w:rPr>
              <w:lastRenderedPageBreak/>
              <w:t xml:space="preserve">representante legal o su delegado, evento este último en el que se deberá acompañar, además, el documento de delegación. </w:t>
            </w:r>
          </w:p>
        </w:tc>
        <w:tc>
          <w:tcPr>
            <w:tcW w:w="3798" w:type="dxa"/>
            <w:tcBorders>
              <w:top w:val="nil"/>
              <w:left w:val="nil"/>
              <w:bottom w:val="nil"/>
              <w:right w:val="single" w:sz="4" w:space="0" w:color="000000"/>
            </w:tcBorders>
            <w:shd w:val="clear" w:color="000000" w:fill="FFFFFF"/>
            <w:hideMark/>
          </w:tcPr>
          <w:p w14:paraId="13C981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 En el caso de los partidos o movimientos políticos con personería jurídica reconocida por el Consejo Nacional Electoral, aval expedido por el </w:t>
            </w:r>
            <w:r w:rsidRPr="00222F34">
              <w:rPr>
                <w:rFonts w:ascii="Calibri" w:eastAsia="Times New Roman" w:hAnsi="Calibri" w:cs="Calibri"/>
                <w:color w:val="000000"/>
                <w:lang w:val="es-CO" w:eastAsia="es-CO" w:bidi="ar-SA"/>
              </w:rPr>
              <w:lastRenderedPageBreak/>
              <w:t>representante legal o su delegado, evento este último en el que se deberá acompañar, además, el documento de delegación.</w:t>
            </w:r>
          </w:p>
        </w:tc>
        <w:tc>
          <w:tcPr>
            <w:tcW w:w="3798" w:type="dxa"/>
            <w:tcBorders>
              <w:top w:val="nil"/>
              <w:left w:val="nil"/>
              <w:bottom w:val="nil"/>
              <w:right w:val="single" w:sz="4" w:space="0" w:color="000000"/>
            </w:tcBorders>
            <w:shd w:val="clear" w:color="000000" w:fill="FFFFFF"/>
            <w:hideMark/>
          </w:tcPr>
          <w:p w14:paraId="346CA7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 En el caso de los partidos o movimientos políticos con personería jurídica reconocida por el Consejo Nacional Electoral, aval expedido por el </w:t>
            </w:r>
            <w:r w:rsidRPr="00222F34">
              <w:rPr>
                <w:rFonts w:ascii="Calibri" w:eastAsia="Times New Roman" w:hAnsi="Calibri" w:cs="Calibri"/>
                <w:color w:val="000000"/>
                <w:lang w:val="es-CO" w:eastAsia="es-CO" w:bidi="ar-SA"/>
              </w:rPr>
              <w:lastRenderedPageBreak/>
              <w:t xml:space="preserve">representante legal o su delegado, evento este último en el que se deberá acompañar, además, el documento de delegación. </w:t>
            </w:r>
          </w:p>
        </w:tc>
        <w:tc>
          <w:tcPr>
            <w:tcW w:w="1480" w:type="dxa"/>
            <w:tcBorders>
              <w:top w:val="nil"/>
              <w:left w:val="nil"/>
              <w:bottom w:val="nil"/>
              <w:right w:val="single" w:sz="4" w:space="0" w:color="000000"/>
            </w:tcBorders>
            <w:shd w:val="clear" w:color="000000" w:fill="FFFFFF"/>
            <w:hideMark/>
          </w:tcPr>
          <w:p w14:paraId="4765E6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60F155A"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C7259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b) En el caso de candidatos de grupos significativos de ciudadanos y sus coaliciones, certificación de la autoridad electoral sobre la validez y suficiencia de los apoyos recaudados por los comités inscriptores, la póliza de seriedad prevista en este código; y la aprobación o registro del logosimbolo por el Consejo Nacional Electoral. Se aclara en todo caso que la póliza no se constituirá para la postulación de presidente y vicepresidente de la República. </w:t>
            </w:r>
          </w:p>
        </w:tc>
        <w:tc>
          <w:tcPr>
            <w:tcW w:w="3798" w:type="dxa"/>
            <w:tcBorders>
              <w:top w:val="nil"/>
              <w:left w:val="nil"/>
              <w:bottom w:val="nil"/>
              <w:right w:val="single" w:sz="4" w:space="0" w:color="000000"/>
            </w:tcBorders>
            <w:shd w:val="clear" w:color="000000" w:fill="FFFFFF"/>
            <w:hideMark/>
          </w:tcPr>
          <w:p w14:paraId="29D2CE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En el caso de candidatos de grupos significativos de ciudadanos y sus coaliciones, certificación de la autoridad electoral sobre la validez y suficiencia de los apoyos recaudados por los comités inscriptores, la póliza de seriedad prevista en este código; y la aprobación o registro del logosímbolo por el Consejo Nacional Electoral. Se aclara en todo caso que la póliza no se constituirá para la postulación de presidente y vicepresidente de la República.</w:t>
            </w:r>
          </w:p>
        </w:tc>
        <w:tc>
          <w:tcPr>
            <w:tcW w:w="3798" w:type="dxa"/>
            <w:tcBorders>
              <w:top w:val="nil"/>
              <w:left w:val="nil"/>
              <w:bottom w:val="nil"/>
              <w:right w:val="single" w:sz="4" w:space="0" w:color="000000"/>
            </w:tcBorders>
            <w:shd w:val="clear" w:color="000000" w:fill="FFFFFF"/>
            <w:hideMark/>
          </w:tcPr>
          <w:p w14:paraId="17438B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En el caso de candidatos de grupos significativos de ciudadanos y sus coaliciones, certificación de la autoridad electoral sobre la validez y suficiencia de los apoyos recaudados por los comités inscriptores, la póliza de seriedad prevista en este código; y la aprobación o registro del logosimbolo por el Consejo Nacional Electoral. Se aclara en todo caso que la póliza no se constituirá para la postulación de presidente y vicepresidente de la República. </w:t>
            </w:r>
          </w:p>
        </w:tc>
        <w:tc>
          <w:tcPr>
            <w:tcW w:w="1480" w:type="dxa"/>
            <w:tcBorders>
              <w:top w:val="nil"/>
              <w:left w:val="nil"/>
              <w:bottom w:val="nil"/>
              <w:right w:val="single" w:sz="4" w:space="0" w:color="000000"/>
            </w:tcBorders>
            <w:shd w:val="clear" w:color="000000" w:fill="FFFFFF"/>
            <w:hideMark/>
          </w:tcPr>
          <w:p w14:paraId="153ED2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5073D8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BB2D2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En el caso de circunscripciones especiales de comunidades étnicas, documento expedido por la autoridad competente, conforme a la normatividad vigente. </w:t>
            </w:r>
          </w:p>
        </w:tc>
        <w:tc>
          <w:tcPr>
            <w:tcW w:w="3798" w:type="dxa"/>
            <w:tcBorders>
              <w:top w:val="nil"/>
              <w:left w:val="nil"/>
              <w:bottom w:val="nil"/>
              <w:right w:val="single" w:sz="4" w:space="0" w:color="000000"/>
            </w:tcBorders>
            <w:shd w:val="clear" w:color="000000" w:fill="FFFFFF"/>
            <w:hideMark/>
          </w:tcPr>
          <w:p w14:paraId="063D54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En el caso de circunscripciones especiales de comunidades étnicas, documento expedido por la autoridad competente, conforme a la normatividad vigente.</w:t>
            </w:r>
          </w:p>
        </w:tc>
        <w:tc>
          <w:tcPr>
            <w:tcW w:w="3798" w:type="dxa"/>
            <w:tcBorders>
              <w:top w:val="nil"/>
              <w:left w:val="nil"/>
              <w:bottom w:val="nil"/>
              <w:right w:val="single" w:sz="4" w:space="0" w:color="000000"/>
            </w:tcBorders>
            <w:shd w:val="clear" w:color="000000" w:fill="FFFFFF"/>
            <w:hideMark/>
          </w:tcPr>
          <w:p w14:paraId="79E2E2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En el caso de circunscripciones especiales de comunidades étnicas, documento expedido por la autoridad competente, conforme a la normatividad vigente. </w:t>
            </w:r>
          </w:p>
        </w:tc>
        <w:tc>
          <w:tcPr>
            <w:tcW w:w="1480" w:type="dxa"/>
            <w:tcBorders>
              <w:top w:val="nil"/>
              <w:left w:val="nil"/>
              <w:bottom w:val="nil"/>
              <w:right w:val="single" w:sz="4" w:space="0" w:color="000000"/>
            </w:tcBorders>
            <w:shd w:val="clear" w:color="000000" w:fill="FFFFFF"/>
            <w:hideMark/>
          </w:tcPr>
          <w:p w14:paraId="101EB4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BB3D73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1D019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En el caso de la circunscripción internacional, el requisito de residencia mínima en el extranjero se entenderá que se ha cumplido bajo gravedad de juramento en el momento de la inscripción. </w:t>
            </w:r>
          </w:p>
        </w:tc>
        <w:tc>
          <w:tcPr>
            <w:tcW w:w="3798" w:type="dxa"/>
            <w:tcBorders>
              <w:top w:val="nil"/>
              <w:left w:val="nil"/>
              <w:bottom w:val="nil"/>
              <w:right w:val="single" w:sz="4" w:space="0" w:color="000000"/>
            </w:tcBorders>
            <w:shd w:val="clear" w:color="000000" w:fill="FFFFFF"/>
            <w:hideMark/>
          </w:tcPr>
          <w:p w14:paraId="276538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En el caso de la circunscripción internacional, el requisito de residencia mínima en el extranjero se entenderá que se ha cumplido bajo gravedad de juramento en el momento de la inscripción.</w:t>
            </w:r>
          </w:p>
        </w:tc>
        <w:tc>
          <w:tcPr>
            <w:tcW w:w="3798" w:type="dxa"/>
            <w:tcBorders>
              <w:top w:val="nil"/>
              <w:left w:val="nil"/>
              <w:bottom w:val="nil"/>
              <w:right w:val="single" w:sz="4" w:space="0" w:color="000000"/>
            </w:tcBorders>
            <w:shd w:val="clear" w:color="000000" w:fill="FFFFFF"/>
            <w:hideMark/>
          </w:tcPr>
          <w:p w14:paraId="7122B8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En el caso de la circunscripción internacional, el requisito de residencia mínima en el extranjero se entenderá que se ha cumplido bajo gravedad de juramento en el momento de la inscripción. </w:t>
            </w:r>
          </w:p>
        </w:tc>
        <w:tc>
          <w:tcPr>
            <w:tcW w:w="1480" w:type="dxa"/>
            <w:tcBorders>
              <w:top w:val="nil"/>
              <w:left w:val="nil"/>
              <w:bottom w:val="nil"/>
              <w:right w:val="single" w:sz="4" w:space="0" w:color="000000"/>
            </w:tcBorders>
            <w:shd w:val="clear" w:color="000000" w:fill="FFFFFF"/>
            <w:hideMark/>
          </w:tcPr>
          <w:p w14:paraId="5C17E4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962B3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D5426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 </w:t>
            </w:r>
          </w:p>
        </w:tc>
        <w:tc>
          <w:tcPr>
            <w:tcW w:w="3798" w:type="dxa"/>
            <w:tcBorders>
              <w:top w:val="nil"/>
              <w:left w:val="nil"/>
              <w:bottom w:val="nil"/>
              <w:right w:val="single" w:sz="4" w:space="0" w:color="000000"/>
            </w:tcBorders>
            <w:shd w:val="clear" w:color="000000" w:fill="FFFFFF"/>
            <w:hideMark/>
          </w:tcPr>
          <w:p w14:paraId="0048A9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w:t>
            </w:r>
          </w:p>
        </w:tc>
        <w:tc>
          <w:tcPr>
            <w:tcW w:w="3798" w:type="dxa"/>
            <w:tcBorders>
              <w:top w:val="nil"/>
              <w:left w:val="nil"/>
              <w:bottom w:val="nil"/>
              <w:right w:val="single" w:sz="4" w:space="0" w:color="000000"/>
            </w:tcBorders>
            <w:shd w:val="clear" w:color="000000" w:fill="FFFFFF"/>
            <w:hideMark/>
          </w:tcPr>
          <w:p w14:paraId="7EA796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 </w:t>
            </w:r>
          </w:p>
        </w:tc>
        <w:tc>
          <w:tcPr>
            <w:tcW w:w="1480" w:type="dxa"/>
            <w:tcBorders>
              <w:top w:val="nil"/>
              <w:left w:val="nil"/>
              <w:bottom w:val="nil"/>
              <w:right w:val="single" w:sz="4" w:space="0" w:color="000000"/>
            </w:tcBorders>
            <w:shd w:val="clear" w:color="000000" w:fill="FFFFFF"/>
            <w:hideMark/>
          </w:tcPr>
          <w:p w14:paraId="7E3B57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C8D212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D05D5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Fotocopia de la cédula de ciudadanía o medio de autenticación de la cédula digital de los candidatos. </w:t>
            </w:r>
          </w:p>
        </w:tc>
        <w:tc>
          <w:tcPr>
            <w:tcW w:w="3798" w:type="dxa"/>
            <w:tcBorders>
              <w:top w:val="nil"/>
              <w:left w:val="nil"/>
              <w:bottom w:val="nil"/>
              <w:right w:val="single" w:sz="4" w:space="0" w:color="000000"/>
            </w:tcBorders>
            <w:shd w:val="clear" w:color="000000" w:fill="FFFFFF"/>
            <w:hideMark/>
          </w:tcPr>
          <w:p w14:paraId="53D679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Fotocopia de la cédula de ciudadanía o medio de autenticación de la cédula digital de los candidatos.</w:t>
            </w:r>
          </w:p>
        </w:tc>
        <w:tc>
          <w:tcPr>
            <w:tcW w:w="3798" w:type="dxa"/>
            <w:tcBorders>
              <w:top w:val="nil"/>
              <w:left w:val="nil"/>
              <w:bottom w:val="nil"/>
              <w:right w:val="single" w:sz="4" w:space="0" w:color="000000"/>
            </w:tcBorders>
            <w:shd w:val="clear" w:color="000000" w:fill="FFFFFF"/>
            <w:hideMark/>
          </w:tcPr>
          <w:p w14:paraId="65FCDF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Fotocopia de la cédula de ciudadanía o medio de autenticación de la cédula digital de los candidatos. </w:t>
            </w:r>
          </w:p>
        </w:tc>
        <w:tc>
          <w:tcPr>
            <w:tcW w:w="1480" w:type="dxa"/>
            <w:tcBorders>
              <w:top w:val="nil"/>
              <w:left w:val="nil"/>
              <w:bottom w:val="nil"/>
              <w:right w:val="single" w:sz="4" w:space="0" w:color="000000"/>
            </w:tcBorders>
            <w:shd w:val="clear" w:color="000000" w:fill="FFFFFF"/>
            <w:hideMark/>
          </w:tcPr>
          <w:p w14:paraId="311CE5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3BCA32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D3ED7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Dos (2) fotografías de los candidatos del tamaño que se solicita para una cédula y con fondo blanco. </w:t>
            </w:r>
          </w:p>
        </w:tc>
        <w:tc>
          <w:tcPr>
            <w:tcW w:w="3798" w:type="dxa"/>
            <w:tcBorders>
              <w:top w:val="nil"/>
              <w:left w:val="nil"/>
              <w:bottom w:val="nil"/>
              <w:right w:val="single" w:sz="4" w:space="0" w:color="000000"/>
            </w:tcBorders>
            <w:shd w:val="clear" w:color="000000" w:fill="FFFFFF"/>
            <w:hideMark/>
          </w:tcPr>
          <w:p w14:paraId="3EE3D1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Dos (2) fotografías de los candidatos del tamaño que se solicita para una cédula y con fondo blanco.</w:t>
            </w:r>
          </w:p>
        </w:tc>
        <w:tc>
          <w:tcPr>
            <w:tcW w:w="3798" w:type="dxa"/>
            <w:tcBorders>
              <w:top w:val="nil"/>
              <w:left w:val="nil"/>
              <w:bottom w:val="nil"/>
              <w:right w:val="single" w:sz="4" w:space="0" w:color="000000"/>
            </w:tcBorders>
            <w:shd w:val="clear" w:color="000000" w:fill="FFFFFF"/>
            <w:hideMark/>
          </w:tcPr>
          <w:p w14:paraId="44E504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Dos (2) fotografías de los candidatos del tamaño que se solicita para una cédula y con fondo blanco. </w:t>
            </w:r>
          </w:p>
        </w:tc>
        <w:tc>
          <w:tcPr>
            <w:tcW w:w="1480" w:type="dxa"/>
            <w:tcBorders>
              <w:top w:val="nil"/>
              <w:left w:val="nil"/>
              <w:bottom w:val="nil"/>
              <w:right w:val="single" w:sz="4" w:space="0" w:color="000000"/>
            </w:tcBorders>
            <w:shd w:val="clear" w:color="000000" w:fill="FFFFFF"/>
            <w:hideMark/>
          </w:tcPr>
          <w:p w14:paraId="20ED89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E326C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6CD24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 </w:t>
            </w:r>
          </w:p>
        </w:tc>
        <w:tc>
          <w:tcPr>
            <w:tcW w:w="3798" w:type="dxa"/>
            <w:tcBorders>
              <w:top w:val="nil"/>
              <w:left w:val="nil"/>
              <w:bottom w:val="nil"/>
              <w:right w:val="single" w:sz="4" w:space="0" w:color="000000"/>
            </w:tcBorders>
            <w:shd w:val="clear" w:color="000000" w:fill="FFFFFF"/>
            <w:hideMark/>
          </w:tcPr>
          <w:p w14:paraId="06FC62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w:t>
            </w:r>
          </w:p>
        </w:tc>
        <w:tc>
          <w:tcPr>
            <w:tcW w:w="3798" w:type="dxa"/>
            <w:tcBorders>
              <w:top w:val="nil"/>
              <w:left w:val="nil"/>
              <w:bottom w:val="nil"/>
              <w:right w:val="single" w:sz="4" w:space="0" w:color="000000"/>
            </w:tcBorders>
            <w:shd w:val="clear" w:color="000000" w:fill="FFFFFF"/>
            <w:hideMark/>
          </w:tcPr>
          <w:p w14:paraId="1B6C61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 </w:t>
            </w:r>
          </w:p>
        </w:tc>
        <w:tc>
          <w:tcPr>
            <w:tcW w:w="1480" w:type="dxa"/>
            <w:tcBorders>
              <w:top w:val="nil"/>
              <w:left w:val="nil"/>
              <w:bottom w:val="nil"/>
              <w:right w:val="single" w:sz="4" w:space="0" w:color="000000"/>
            </w:tcBorders>
            <w:shd w:val="clear" w:color="000000" w:fill="FFFFFF"/>
            <w:hideMark/>
          </w:tcPr>
          <w:p w14:paraId="27D74E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46F42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A546F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Cumplido el requisito del aval no se exigirá la presentación del representante legal del partido o movimiento político, o su delegado, para radicar el formulario de la inscripción de la candidatura. En el caso de la </w:t>
            </w:r>
            <w:r w:rsidRPr="00222F34">
              <w:rPr>
                <w:rFonts w:ascii="Calibri" w:eastAsia="Times New Roman" w:hAnsi="Calibri" w:cs="Calibri"/>
                <w:color w:val="000000"/>
                <w:lang w:val="es-CO" w:eastAsia="es-CO" w:bidi="ar-SA"/>
              </w:rPr>
              <w:lastRenderedPageBreak/>
              <w:t xml:space="preserve">inscripción de los grupos significativos de ciudadanos se exigirá la presentación de al menos dos (2) de los tres (3) miembros de su comité promotor. </w:t>
            </w:r>
          </w:p>
        </w:tc>
        <w:tc>
          <w:tcPr>
            <w:tcW w:w="3798" w:type="dxa"/>
            <w:tcBorders>
              <w:top w:val="nil"/>
              <w:left w:val="nil"/>
              <w:bottom w:val="nil"/>
              <w:right w:val="single" w:sz="4" w:space="0" w:color="000000"/>
            </w:tcBorders>
            <w:shd w:val="clear" w:color="000000" w:fill="FFFFFF"/>
            <w:hideMark/>
          </w:tcPr>
          <w:p w14:paraId="445873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Cumplido el requisito del aval no se exigirá la presentación del representante legal del partido o movimiento político, o su delegado, para radicar el formulario de la inscripción de la candidatura. En el caso de la </w:t>
            </w:r>
            <w:r w:rsidRPr="00222F34">
              <w:rPr>
                <w:rFonts w:ascii="Calibri" w:eastAsia="Times New Roman" w:hAnsi="Calibri" w:cs="Calibri"/>
                <w:color w:val="000000"/>
                <w:lang w:val="es-CO" w:eastAsia="es-CO" w:bidi="ar-SA"/>
              </w:rPr>
              <w:lastRenderedPageBreak/>
              <w:t>inscripción de los grupos significativos de ciudadanos se exigirá la presentación de al menos dos (2) de los tres (3) miembros de su comité promotor.</w:t>
            </w:r>
          </w:p>
        </w:tc>
        <w:tc>
          <w:tcPr>
            <w:tcW w:w="3798" w:type="dxa"/>
            <w:tcBorders>
              <w:top w:val="nil"/>
              <w:left w:val="nil"/>
              <w:bottom w:val="nil"/>
              <w:right w:val="single" w:sz="4" w:space="0" w:color="000000"/>
            </w:tcBorders>
            <w:shd w:val="clear" w:color="000000" w:fill="FFFFFF"/>
            <w:hideMark/>
          </w:tcPr>
          <w:p w14:paraId="105BAE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Cumplido el requisito del aval no se exigirá la presentación del representante legal del partido o movimiento político, o su delegado, para radicar el formulario de la inscripción de la candidatura. En el caso de la </w:t>
            </w:r>
            <w:r w:rsidRPr="00222F34">
              <w:rPr>
                <w:rFonts w:ascii="Calibri" w:eastAsia="Times New Roman" w:hAnsi="Calibri" w:cs="Calibri"/>
                <w:color w:val="000000"/>
                <w:lang w:val="es-CO" w:eastAsia="es-CO" w:bidi="ar-SA"/>
              </w:rPr>
              <w:lastRenderedPageBreak/>
              <w:t xml:space="preserve">inscripción de los grupos significativos de ciudadanos se exigirá la presentación de al menos dos (2) de los tres (3) miembros de su comité promotor. </w:t>
            </w:r>
          </w:p>
        </w:tc>
        <w:tc>
          <w:tcPr>
            <w:tcW w:w="1480" w:type="dxa"/>
            <w:tcBorders>
              <w:top w:val="nil"/>
              <w:left w:val="nil"/>
              <w:bottom w:val="nil"/>
              <w:right w:val="single" w:sz="4" w:space="0" w:color="000000"/>
            </w:tcBorders>
            <w:shd w:val="clear" w:color="000000" w:fill="FFFFFF"/>
            <w:hideMark/>
          </w:tcPr>
          <w:p w14:paraId="284F17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BAF1B4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6107E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las coaliciones en el formulario de inscripción se deberá señalar de forma expresa cada candidato a qué agrupación u organización política pertenece. </w:t>
            </w:r>
          </w:p>
        </w:tc>
        <w:tc>
          <w:tcPr>
            <w:tcW w:w="3798" w:type="dxa"/>
            <w:tcBorders>
              <w:top w:val="nil"/>
              <w:left w:val="nil"/>
              <w:bottom w:val="nil"/>
              <w:right w:val="single" w:sz="4" w:space="0" w:color="000000"/>
            </w:tcBorders>
            <w:shd w:val="clear" w:color="000000" w:fill="FFFFFF"/>
            <w:hideMark/>
          </w:tcPr>
          <w:p w14:paraId="61D250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las coaliciones en el formulario de inscripción se deberá señalar de forma expresa cada candidato a qué agrupación u organización política pertenece.</w:t>
            </w:r>
          </w:p>
        </w:tc>
        <w:tc>
          <w:tcPr>
            <w:tcW w:w="3798" w:type="dxa"/>
            <w:tcBorders>
              <w:top w:val="nil"/>
              <w:left w:val="nil"/>
              <w:bottom w:val="nil"/>
              <w:right w:val="single" w:sz="4" w:space="0" w:color="000000"/>
            </w:tcBorders>
            <w:shd w:val="clear" w:color="000000" w:fill="FFFFFF"/>
            <w:hideMark/>
          </w:tcPr>
          <w:p w14:paraId="5C63D0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las coaliciones en el formulario de inscripción se deberá señalar de forma expresa cada candidato a qué agrupación u organización política pertenece. </w:t>
            </w:r>
          </w:p>
        </w:tc>
        <w:tc>
          <w:tcPr>
            <w:tcW w:w="1480" w:type="dxa"/>
            <w:tcBorders>
              <w:top w:val="nil"/>
              <w:left w:val="nil"/>
              <w:bottom w:val="nil"/>
              <w:right w:val="single" w:sz="4" w:space="0" w:color="000000"/>
            </w:tcBorders>
            <w:shd w:val="clear" w:color="000000" w:fill="FFFFFF"/>
            <w:hideMark/>
          </w:tcPr>
          <w:p w14:paraId="7C4CDC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D915F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7B73D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Programa de gobierno, en el caso de inscripción de candidaturas para alcaldes y gobernadores. El programa de gobierno será la base del proyecto de plan de desarrollo que el elegido someta ante la corporación pública respectiva.</w:t>
            </w:r>
          </w:p>
        </w:tc>
        <w:tc>
          <w:tcPr>
            <w:tcW w:w="3798" w:type="dxa"/>
            <w:tcBorders>
              <w:top w:val="nil"/>
              <w:left w:val="nil"/>
              <w:bottom w:val="nil"/>
              <w:right w:val="single" w:sz="4" w:space="0" w:color="000000"/>
            </w:tcBorders>
            <w:shd w:val="clear" w:color="000000" w:fill="FFFFFF"/>
            <w:hideMark/>
          </w:tcPr>
          <w:p w14:paraId="4BB795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Programa de gobierno, en el caso de inscripción de candidaturas para alcaldes y gobernadores. El programa de gobierno será la base del proyecto de plan de desarrollo que el elegido someta ante la corporación pública respectiva.</w:t>
            </w:r>
          </w:p>
        </w:tc>
        <w:tc>
          <w:tcPr>
            <w:tcW w:w="3798" w:type="dxa"/>
            <w:tcBorders>
              <w:top w:val="nil"/>
              <w:left w:val="nil"/>
              <w:bottom w:val="nil"/>
              <w:right w:val="single" w:sz="4" w:space="0" w:color="000000"/>
            </w:tcBorders>
            <w:shd w:val="clear" w:color="000000" w:fill="FFFFFF"/>
            <w:hideMark/>
          </w:tcPr>
          <w:p w14:paraId="5CE0EB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Programa de gobierno, en el caso de inscripción de candidaturas para alcaldes y gobernadores. El programa de gobierno será la base del proyecto de plan de desarrollo que el elegido someta ante la corporación pública respectiva.</w:t>
            </w:r>
          </w:p>
        </w:tc>
        <w:tc>
          <w:tcPr>
            <w:tcW w:w="1480" w:type="dxa"/>
            <w:tcBorders>
              <w:top w:val="nil"/>
              <w:left w:val="nil"/>
              <w:bottom w:val="nil"/>
              <w:right w:val="single" w:sz="4" w:space="0" w:color="000000"/>
            </w:tcBorders>
            <w:shd w:val="clear" w:color="000000" w:fill="FFFFFF"/>
            <w:hideMark/>
          </w:tcPr>
          <w:p w14:paraId="3BA555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600D0A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32BF6E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Certificación de la Sala de Consulta y Servicio Civil del Consejo de Estado sobre el cumplimiento de los requisitos, para el caso de los candidatos a la Presidencia y Vicepresidencia de la República. </w:t>
            </w:r>
          </w:p>
        </w:tc>
        <w:tc>
          <w:tcPr>
            <w:tcW w:w="3798" w:type="dxa"/>
            <w:tcBorders>
              <w:top w:val="nil"/>
              <w:left w:val="nil"/>
              <w:bottom w:val="nil"/>
              <w:right w:val="single" w:sz="4" w:space="0" w:color="000000"/>
            </w:tcBorders>
            <w:shd w:val="clear" w:color="000000" w:fill="FFFFFF"/>
            <w:hideMark/>
          </w:tcPr>
          <w:p w14:paraId="38AAC2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Certificación de la Sala de Consulta y Servicio Civil del Consejo de Estado sobre el cumplimiento de los requisitos, para el caso de los candidatos a la Presidencia y Vicepresidencia de la República.</w:t>
            </w:r>
          </w:p>
        </w:tc>
        <w:tc>
          <w:tcPr>
            <w:tcW w:w="3798" w:type="dxa"/>
            <w:tcBorders>
              <w:top w:val="nil"/>
              <w:left w:val="nil"/>
              <w:bottom w:val="nil"/>
              <w:right w:val="single" w:sz="4" w:space="0" w:color="000000"/>
            </w:tcBorders>
            <w:shd w:val="clear" w:color="000000" w:fill="FFFFFF"/>
            <w:hideMark/>
          </w:tcPr>
          <w:p w14:paraId="0A049F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Certificación de la Sala de Consulta y Servicio Civil del Consejo de Estado sobre el cumplimiento de los requisitos, para el caso de los candidatos a la Presidencia y Vicepresidencia de la República. </w:t>
            </w:r>
          </w:p>
        </w:tc>
        <w:tc>
          <w:tcPr>
            <w:tcW w:w="1480" w:type="dxa"/>
            <w:tcBorders>
              <w:top w:val="nil"/>
              <w:left w:val="nil"/>
              <w:bottom w:val="nil"/>
              <w:right w:val="single" w:sz="4" w:space="0" w:color="000000"/>
            </w:tcBorders>
            <w:shd w:val="clear" w:color="000000" w:fill="FFFFFF"/>
            <w:hideMark/>
          </w:tcPr>
          <w:p w14:paraId="6E6865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DD50F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8510A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Cumplimiento de la cuota de paridad entre mujeres y hombres, en el caso de inscripciones de candidatos a corporaciones públicas. </w:t>
            </w:r>
          </w:p>
        </w:tc>
        <w:tc>
          <w:tcPr>
            <w:tcW w:w="3798" w:type="dxa"/>
            <w:tcBorders>
              <w:top w:val="nil"/>
              <w:left w:val="nil"/>
              <w:bottom w:val="nil"/>
              <w:right w:val="single" w:sz="4" w:space="0" w:color="000000"/>
            </w:tcBorders>
            <w:shd w:val="clear" w:color="000000" w:fill="FFFFFF"/>
            <w:hideMark/>
          </w:tcPr>
          <w:p w14:paraId="3810AC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Cumplimiento de la cuota de paridad entre mujeres y hombres, en el caso de inscripciones de candidatos a corporaciones públicas. El registro de los ingresos y gastos de campaña se ajustará a la normatividad vigente expedida por el Fondo de Financiación Política del Consejo Nacional Electoral.</w:t>
            </w:r>
          </w:p>
        </w:tc>
        <w:tc>
          <w:tcPr>
            <w:tcW w:w="3798" w:type="dxa"/>
            <w:tcBorders>
              <w:top w:val="nil"/>
              <w:left w:val="nil"/>
              <w:bottom w:val="nil"/>
              <w:right w:val="single" w:sz="4" w:space="0" w:color="000000"/>
            </w:tcBorders>
            <w:shd w:val="clear" w:color="000000" w:fill="FFFFFF"/>
            <w:hideMark/>
          </w:tcPr>
          <w:p w14:paraId="72C151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Cumplimiento de la cuota de paridad entre mujeres y hombres, en el caso de inscripciones de candidatos a corporaciones públicas. </w:t>
            </w:r>
          </w:p>
        </w:tc>
        <w:tc>
          <w:tcPr>
            <w:tcW w:w="1480" w:type="dxa"/>
            <w:tcBorders>
              <w:top w:val="nil"/>
              <w:left w:val="nil"/>
              <w:bottom w:val="nil"/>
              <w:right w:val="single" w:sz="4" w:space="0" w:color="000000"/>
            </w:tcBorders>
            <w:shd w:val="clear" w:color="000000" w:fill="FFFFFF"/>
            <w:hideMark/>
          </w:tcPr>
          <w:p w14:paraId="7D65EA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B804F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A7924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8. El registro de los ingresos y gastos de campaña se ajustará a la normatividad vigente expedida por el Fondo de Financiación Política del Consejo Nacional Electoral. </w:t>
            </w:r>
          </w:p>
        </w:tc>
        <w:tc>
          <w:tcPr>
            <w:tcW w:w="3798" w:type="dxa"/>
            <w:tcBorders>
              <w:top w:val="nil"/>
              <w:left w:val="nil"/>
              <w:bottom w:val="nil"/>
              <w:right w:val="single" w:sz="4" w:space="0" w:color="000000"/>
            </w:tcBorders>
            <w:shd w:val="clear" w:color="FFC000" w:fill="FFFFFF"/>
            <w:hideMark/>
          </w:tcPr>
          <w:p w14:paraId="2480B2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785648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El registro de los ingresos y gastos de campaña se ajustará a la normatividad vigente expedida por el Fondo de Financiación Política del Consejo Nacional Electoral. </w:t>
            </w:r>
          </w:p>
        </w:tc>
        <w:tc>
          <w:tcPr>
            <w:tcW w:w="1480" w:type="dxa"/>
            <w:tcBorders>
              <w:top w:val="nil"/>
              <w:left w:val="nil"/>
              <w:bottom w:val="nil"/>
              <w:right w:val="single" w:sz="4" w:space="0" w:color="000000"/>
            </w:tcBorders>
            <w:shd w:val="clear" w:color="000000" w:fill="FFFFFF"/>
            <w:hideMark/>
          </w:tcPr>
          <w:p w14:paraId="2129B9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5E5AD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6A340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Documento que acredite que las organizaciones políticas y los Grupos Significativos de Ciudadanos, consultaron la Ventanilla Única Electoral Permanente (VUEP), para determinar las calidades de los candidatos. </w:t>
            </w:r>
          </w:p>
        </w:tc>
        <w:tc>
          <w:tcPr>
            <w:tcW w:w="3798" w:type="dxa"/>
            <w:tcBorders>
              <w:top w:val="nil"/>
              <w:left w:val="nil"/>
              <w:bottom w:val="nil"/>
              <w:right w:val="single" w:sz="4" w:space="0" w:color="000000"/>
            </w:tcBorders>
            <w:shd w:val="clear" w:color="000000" w:fill="FFFFFF"/>
            <w:hideMark/>
          </w:tcPr>
          <w:p w14:paraId="5FF65C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8.Documento que acredite que las organizaciones políticas y los Grupos Significativos de Ciudadanos, consultaron la Ventanilla Única Electoral Permanente (VUEP), para determinar las calidades de los candidatos.</w:t>
            </w:r>
          </w:p>
        </w:tc>
        <w:tc>
          <w:tcPr>
            <w:tcW w:w="3798" w:type="dxa"/>
            <w:tcBorders>
              <w:top w:val="nil"/>
              <w:left w:val="nil"/>
              <w:bottom w:val="nil"/>
              <w:right w:val="single" w:sz="4" w:space="0" w:color="000000"/>
            </w:tcBorders>
            <w:shd w:val="clear" w:color="000000" w:fill="FFFFFF"/>
            <w:hideMark/>
          </w:tcPr>
          <w:p w14:paraId="095351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Documento que acredite que las organizaciones políticas y los Grupos Significativos de Ciudadanos, consultaron la Ventanilla Única Electoral Permanente (VUEP), para determinar las calidades de los candidatos. </w:t>
            </w:r>
          </w:p>
        </w:tc>
        <w:tc>
          <w:tcPr>
            <w:tcW w:w="1480" w:type="dxa"/>
            <w:tcBorders>
              <w:top w:val="nil"/>
              <w:left w:val="nil"/>
              <w:bottom w:val="nil"/>
              <w:right w:val="single" w:sz="4" w:space="0" w:color="000000"/>
            </w:tcBorders>
            <w:shd w:val="clear" w:color="000000" w:fill="FFFFFF"/>
            <w:hideMark/>
          </w:tcPr>
          <w:p w14:paraId="5C5B65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0E3220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3D0E3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Indicación del correo electrónico u otro medio similar que permita el envío, recepción y almacenamiento de mensajes de datos, por parte del candidato, del partido y/o de los miembros del Grupo Significativo de Ciudadanos.</w:t>
            </w:r>
          </w:p>
        </w:tc>
        <w:tc>
          <w:tcPr>
            <w:tcW w:w="3798" w:type="dxa"/>
            <w:tcBorders>
              <w:top w:val="nil"/>
              <w:left w:val="nil"/>
              <w:bottom w:val="nil"/>
              <w:right w:val="single" w:sz="4" w:space="0" w:color="000000"/>
            </w:tcBorders>
            <w:shd w:val="clear" w:color="000000" w:fill="FFFFFF"/>
            <w:hideMark/>
          </w:tcPr>
          <w:p w14:paraId="2FA9BC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Indicación del correo electrónico u otro medio similar que permita el envío, recepción y almacenamiento de mensajes de datos, por parte del candidato, del partido y/o de los miembros del Grupo Significativo de Ciudadanos.</w:t>
            </w:r>
          </w:p>
        </w:tc>
        <w:tc>
          <w:tcPr>
            <w:tcW w:w="3798" w:type="dxa"/>
            <w:tcBorders>
              <w:top w:val="nil"/>
              <w:left w:val="nil"/>
              <w:bottom w:val="nil"/>
              <w:right w:val="single" w:sz="4" w:space="0" w:color="000000"/>
            </w:tcBorders>
            <w:shd w:val="clear" w:color="000000" w:fill="FFFFFF"/>
            <w:hideMark/>
          </w:tcPr>
          <w:p w14:paraId="1DBAF0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Indicación del correo electrónico u otro medio similar que permita el envío, recepción y almacenamiento de mensajes de datos, por parte del candidato, del partido y/o de los miembros del Grupo Significativo de Ciudadanos.</w:t>
            </w:r>
          </w:p>
        </w:tc>
        <w:tc>
          <w:tcPr>
            <w:tcW w:w="1480" w:type="dxa"/>
            <w:tcBorders>
              <w:top w:val="nil"/>
              <w:left w:val="nil"/>
              <w:bottom w:val="nil"/>
              <w:right w:val="single" w:sz="4" w:space="0" w:color="000000"/>
            </w:tcBorders>
            <w:shd w:val="clear" w:color="000000" w:fill="FFFFFF"/>
            <w:hideMark/>
          </w:tcPr>
          <w:p w14:paraId="27B048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A3089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49C1B5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establecerá los parámetros y el contenido del formulario de inscripción, sin perjuicio de una plataforma tecnológica que permita adelantar todo el proceso de inscripción. </w:t>
            </w:r>
          </w:p>
        </w:tc>
        <w:tc>
          <w:tcPr>
            <w:tcW w:w="3798" w:type="dxa"/>
            <w:tcBorders>
              <w:top w:val="nil"/>
              <w:left w:val="nil"/>
              <w:bottom w:val="nil"/>
              <w:right w:val="single" w:sz="4" w:space="0" w:color="000000"/>
            </w:tcBorders>
            <w:shd w:val="clear" w:color="000000" w:fill="FFFFFF"/>
            <w:hideMark/>
          </w:tcPr>
          <w:p w14:paraId="43D19B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La Registraduría Nacional del Estado Civil establecerá los parámetros y el contenido del formulario de inscripción, sin perjuicio de una plataforma tecnológica que permita adelantar todo el proceso de inscripción.</w:t>
            </w:r>
          </w:p>
        </w:tc>
        <w:tc>
          <w:tcPr>
            <w:tcW w:w="3798" w:type="dxa"/>
            <w:tcBorders>
              <w:top w:val="nil"/>
              <w:left w:val="nil"/>
              <w:bottom w:val="nil"/>
              <w:right w:val="single" w:sz="4" w:space="0" w:color="000000"/>
            </w:tcBorders>
            <w:shd w:val="clear" w:color="000000" w:fill="FFFFFF"/>
            <w:hideMark/>
          </w:tcPr>
          <w:p w14:paraId="5B36B96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establecerá los parámetros y el contenido del formulario de inscripción, sin perjuicio de una plataforma tecnológica que permita adelantar todo el proceso de inscripción. </w:t>
            </w:r>
          </w:p>
        </w:tc>
        <w:tc>
          <w:tcPr>
            <w:tcW w:w="1480" w:type="dxa"/>
            <w:tcBorders>
              <w:top w:val="nil"/>
              <w:left w:val="nil"/>
              <w:bottom w:val="nil"/>
              <w:right w:val="single" w:sz="4" w:space="0" w:color="000000"/>
            </w:tcBorders>
            <w:shd w:val="clear" w:color="000000" w:fill="FFFFFF"/>
            <w:hideMark/>
          </w:tcPr>
          <w:p w14:paraId="5D74C4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9F594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08C60A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Solo se permitirá la inscripción de un candidato o lista por partido o movimiento político, grupo significativo de ciudadanos, coaliciones u organizaciones étnicas durante el periodo de inscripción. </w:t>
            </w:r>
          </w:p>
        </w:tc>
        <w:tc>
          <w:tcPr>
            <w:tcW w:w="3798" w:type="dxa"/>
            <w:tcBorders>
              <w:top w:val="nil"/>
              <w:left w:val="nil"/>
              <w:bottom w:val="nil"/>
              <w:right w:val="single" w:sz="4" w:space="0" w:color="000000"/>
            </w:tcBorders>
            <w:shd w:val="clear" w:color="000000" w:fill="FFFFFF"/>
            <w:hideMark/>
          </w:tcPr>
          <w:p w14:paraId="246455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Solo se permitirá por parte de los partidos o movimientos políticos, grupo significativo de ciudadanos, coaliciones u organizaciones étnicas la inscripción de un candidato a cargos uninominales, y a una lista a </w:t>
            </w:r>
            <w:r w:rsidRPr="00222F34">
              <w:rPr>
                <w:rFonts w:ascii="Calibri" w:eastAsia="Times New Roman" w:hAnsi="Calibri" w:cs="Calibri"/>
                <w:color w:val="000000"/>
                <w:lang w:val="es-CO" w:eastAsia="es-CO" w:bidi="ar-SA"/>
              </w:rPr>
              <w:lastRenderedPageBreak/>
              <w:t>corporaciones públicas, durante el respectivo periodo de inscripción.</w:t>
            </w:r>
          </w:p>
        </w:tc>
        <w:tc>
          <w:tcPr>
            <w:tcW w:w="3798" w:type="dxa"/>
            <w:tcBorders>
              <w:top w:val="nil"/>
              <w:left w:val="nil"/>
              <w:bottom w:val="nil"/>
              <w:right w:val="single" w:sz="4" w:space="0" w:color="000000"/>
            </w:tcBorders>
            <w:shd w:val="clear" w:color="000000" w:fill="FFFFFF"/>
            <w:hideMark/>
          </w:tcPr>
          <w:p w14:paraId="3839E53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Solo se permitirá la inscripción de un candidato o lista por partido o movimiento político, grupo significativo de ciudadanos, coaliciones u organizaciones étnicas durante el periodo de inscripción. </w:t>
            </w:r>
          </w:p>
        </w:tc>
        <w:tc>
          <w:tcPr>
            <w:tcW w:w="1480" w:type="dxa"/>
            <w:tcBorders>
              <w:top w:val="nil"/>
              <w:left w:val="nil"/>
              <w:bottom w:val="nil"/>
              <w:right w:val="single" w:sz="4" w:space="0" w:color="000000"/>
            </w:tcBorders>
            <w:shd w:val="clear" w:color="000000" w:fill="FFFFFF"/>
            <w:hideMark/>
          </w:tcPr>
          <w:p w14:paraId="201A4A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AAA768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B32004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En el caso de elecciones juveniles, el documento de identificación será la tarjeta de identidad o el documento de identificación del menor de edad que avale la Registraduría Nacional del Estado Civil. </w:t>
            </w:r>
          </w:p>
        </w:tc>
        <w:tc>
          <w:tcPr>
            <w:tcW w:w="3798" w:type="dxa"/>
            <w:tcBorders>
              <w:top w:val="nil"/>
              <w:left w:val="nil"/>
              <w:bottom w:val="nil"/>
              <w:right w:val="single" w:sz="4" w:space="0" w:color="000000"/>
            </w:tcBorders>
            <w:shd w:val="clear" w:color="000000" w:fill="FFFFFF"/>
            <w:hideMark/>
          </w:tcPr>
          <w:p w14:paraId="684219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el caso de elecciones juveniles, el documento de identificación será la tarjeta de identidad o el documento de identificación del menor de edad que avale la Registraduría Nacional del Estado Civil.</w:t>
            </w:r>
          </w:p>
        </w:tc>
        <w:tc>
          <w:tcPr>
            <w:tcW w:w="3798" w:type="dxa"/>
            <w:tcBorders>
              <w:top w:val="nil"/>
              <w:left w:val="nil"/>
              <w:bottom w:val="nil"/>
              <w:right w:val="single" w:sz="4" w:space="0" w:color="000000"/>
            </w:tcBorders>
            <w:shd w:val="clear" w:color="000000" w:fill="FFFFFF"/>
            <w:hideMark/>
          </w:tcPr>
          <w:p w14:paraId="4AE6D3E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el caso de elecciones juveniles, el documento de identificación será la tarjeta de identidad o el documento de identificación del menor de edad que avale la Registraduría Nacional del Estado Civil. </w:t>
            </w:r>
          </w:p>
        </w:tc>
        <w:tc>
          <w:tcPr>
            <w:tcW w:w="1480" w:type="dxa"/>
            <w:tcBorders>
              <w:top w:val="nil"/>
              <w:left w:val="nil"/>
              <w:bottom w:val="nil"/>
              <w:right w:val="single" w:sz="4" w:space="0" w:color="000000"/>
            </w:tcBorders>
            <w:shd w:val="clear" w:color="000000" w:fill="FFFFFF"/>
            <w:hideMark/>
          </w:tcPr>
          <w:p w14:paraId="145B39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9290FC7"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4892225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Asimismo, una vez terminado el correspondiente proceso electoral, las entidades financieras deberán actualizar la información interna sobre personas expuestas políticamente, para lo cual se permitirá la realización de las diligencias necesarias para verificar y actualizar la información de los clientes que, por su naturaleza, puede variar, de conformidad con las leyes vigentes. </w:t>
            </w:r>
          </w:p>
        </w:tc>
        <w:tc>
          <w:tcPr>
            <w:tcW w:w="3798" w:type="dxa"/>
            <w:tcBorders>
              <w:top w:val="nil"/>
              <w:left w:val="nil"/>
              <w:bottom w:val="nil"/>
              <w:right w:val="single" w:sz="4" w:space="0" w:color="000000"/>
            </w:tcBorders>
            <w:shd w:val="clear" w:color="000000" w:fill="FFFFFF"/>
            <w:hideMark/>
          </w:tcPr>
          <w:p w14:paraId="293B27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Superintendencia Financiera o la entidad que haga sus veces implementará un protocolo que garantice seis (6) meses antes de la inscripción de candidatos, que las entidades financieras faciliten los trámites para la apertura de la cuenta única o subcuentas para el manejo de los recursos en dinero de campaña. Asimismo, una vez terminado el correspondiente proceso electoral, las entidades financieras deberán actualizar la información interna sobre personas expuestas políticamente, para lo cual se permitirá la realización de las diligencias necesarias para verificar y actualizar la información de los clientes que, por su naturaleza, puede variar, de conformidad con las leyes vigentes.</w:t>
            </w:r>
          </w:p>
        </w:tc>
        <w:tc>
          <w:tcPr>
            <w:tcW w:w="3798" w:type="dxa"/>
            <w:tcBorders>
              <w:top w:val="nil"/>
              <w:left w:val="nil"/>
              <w:bottom w:val="nil"/>
              <w:right w:val="single" w:sz="4" w:space="0" w:color="000000"/>
            </w:tcBorders>
            <w:shd w:val="clear" w:color="000000" w:fill="FFFFFF"/>
            <w:hideMark/>
          </w:tcPr>
          <w:p w14:paraId="5D76EF1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Asimismo, una vez terminado el correspondiente proceso electoral, las entidades financieras deberán actualizar la información interna sobre personas expuestas políticamente, para lo cual se permitirá la realización de las diligencias necesarias para verificar y actualizar la información de los clientes que, por su naturaleza, puede variar, de conformidad con las leyes vigentes. </w:t>
            </w:r>
          </w:p>
        </w:tc>
        <w:tc>
          <w:tcPr>
            <w:tcW w:w="1480" w:type="dxa"/>
            <w:tcBorders>
              <w:top w:val="nil"/>
              <w:left w:val="nil"/>
              <w:bottom w:val="nil"/>
              <w:right w:val="single" w:sz="4" w:space="0" w:color="000000"/>
            </w:tcBorders>
            <w:shd w:val="clear" w:color="000000" w:fill="FFFFFF"/>
            <w:hideMark/>
          </w:tcPr>
          <w:p w14:paraId="36BFDA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E9CC5E8"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74F38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entidades financieras que ofrezcan en su portafolio la creación de cuentas para el manejo de recursos de campañas electorales, y reciban solicitudes de creación de cuentas únicas para la recepción y administración de recursos de las campañas electorales, deberán responder dicha solicitud en un plazo de ocho (8) días hábiles siguientes a la solicitud, so pena de incurrir en las sanciones correspondientes por parte de la Superintendencia Financiera.  </w:t>
            </w:r>
          </w:p>
        </w:tc>
        <w:tc>
          <w:tcPr>
            <w:tcW w:w="3798" w:type="dxa"/>
            <w:tcBorders>
              <w:top w:val="nil"/>
              <w:left w:val="nil"/>
              <w:bottom w:val="nil"/>
              <w:right w:val="single" w:sz="4" w:space="0" w:color="000000"/>
            </w:tcBorders>
            <w:shd w:val="clear" w:color="000000" w:fill="FFFFFF"/>
            <w:hideMark/>
          </w:tcPr>
          <w:p w14:paraId="752482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entidades financieras que ofrezcan en su portafolio la creación de cuentas para el manejo de recursos de campañas electorales, y reciban solicitudes de creación de cuentas únicas para la recepción y administración de recursos de las campañas electorales, deberán responder dicha solicitud en un plazo de ocho (8) días hábiles siguientes a la solicitud de forma escrita o a través de medios electrónicos; indicando los motivos de la aceptación o rechazo de la misma, so pena de incurrir en las sanciones correspondientes por parte de la Superintendencia Financiera.</w:t>
            </w:r>
          </w:p>
        </w:tc>
        <w:tc>
          <w:tcPr>
            <w:tcW w:w="3798" w:type="dxa"/>
            <w:tcBorders>
              <w:top w:val="nil"/>
              <w:left w:val="nil"/>
              <w:bottom w:val="nil"/>
              <w:right w:val="single" w:sz="4" w:space="0" w:color="000000"/>
            </w:tcBorders>
            <w:shd w:val="clear" w:color="000000" w:fill="FFFFFF"/>
            <w:hideMark/>
          </w:tcPr>
          <w:p w14:paraId="14A24C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entidades financieras que ofrezcan en su portafolio la creación de cuentas para el manejo de recursos de campañas electorales, y reciban solicitudes de creación de cuentas únicas para la recepción y administración de recursos de las campañas electorales, deberán responder dicha solicitud en un plazo de ocho (8) días hábiles siguientes a la solicitud, so pena de incurrir en las sanciones correspondientes por parte de la Superintendencia Financiera.  </w:t>
            </w:r>
          </w:p>
        </w:tc>
        <w:tc>
          <w:tcPr>
            <w:tcW w:w="1480" w:type="dxa"/>
            <w:tcBorders>
              <w:top w:val="nil"/>
              <w:left w:val="nil"/>
              <w:bottom w:val="nil"/>
              <w:right w:val="single" w:sz="4" w:space="0" w:color="000000"/>
            </w:tcBorders>
            <w:shd w:val="clear" w:color="000000" w:fill="FFFFFF"/>
            <w:hideMark/>
          </w:tcPr>
          <w:p w14:paraId="314FD4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BC64C38"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F612F9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Con la inscripción de la candidatura se autoriza a la Organización Electoral para que notifique sus actos a través de los medios electrónicos, suministrados por las organizaciones políticas, sus candidatos, gerentes de campaña, apoderados y a quienes intervengan en alguna de las etapas del proceso electoral.</w:t>
            </w:r>
          </w:p>
        </w:tc>
        <w:tc>
          <w:tcPr>
            <w:tcW w:w="3798" w:type="dxa"/>
            <w:tcBorders>
              <w:top w:val="nil"/>
              <w:left w:val="nil"/>
              <w:bottom w:val="single" w:sz="4" w:space="0" w:color="000000"/>
              <w:right w:val="single" w:sz="4" w:space="0" w:color="000000"/>
            </w:tcBorders>
            <w:shd w:val="clear" w:color="000000" w:fill="FFFFFF"/>
            <w:hideMark/>
          </w:tcPr>
          <w:p w14:paraId="0E6AC9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Con la inscripción de la candidatura se autoriza a la Organización Electoral para que notifique sus actos a través de los medios electrónicos, suministrados por las organizaciones políticas, sus candidatos, gerentes de campaña, apoderados y a quienes intervengan en alguna de las etapas del proceso electoral.</w:t>
            </w:r>
          </w:p>
        </w:tc>
        <w:tc>
          <w:tcPr>
            <w:tcW w:w="3798" w:type="dxa"/>
            <w:tcBorders>
              <w:top w:val="nil"/>
              <w:left w:val="nil"/>
              <w:bottom w:val="single" w:sz="4" w:space="0" w:color="000000"/>
              <w:right w:val="single" w:sz="4" w:space="0" w:color="000000"/>
            </w:tcBorders>
            <w:shd w:val="clear" w:color="000000" w:fill="FFFFFF"/>
            <w:hideMark/>
          </w:tcPr>
          <w:p w14:paraId="31B3EA8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Con la inscripción de la candidatura se autoriza a la Organización Electoral para que notifique sus actos a través de los medios electrónicos, suministrados por las organizaciones políticas, sus candidatos, gerentes de campaña, apoderados y a quienes intervengan en alguna de las etapas del proceso electoral.</w:t>
            </w:r>
          </w:p>
        </w:tc>
        <w:tc>
          <w:tcPr>
            <w:tcW w:w="1480" w:type="dxa"/>
            <w:tcBorders>
              <w:top w:val="nil"/>
              <w:left w:val="nil"/>
              <w:bottom w:val="single" w:sz="4" w:space="0" w:color="000000"/>
              <w:right w:val="single" w:sz="4" w:space="0" w:color="000000"/>
            </w:tcBorders>
            <w:shd w:val="clear" w:color="000000" w:fill="FFFFFF"/>
            <w:hideMark/>
          </w:tcPr>
          <w:p w14:paraId="5E3A40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0055E0"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0166EA2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70.- Póliza de seriedad de candidaturas de grupos significativos de ciudadanos o sus coaliciones.</w:t>
            </w:r>
            <w:r w:rsidRPr="00222F34">
              <w:rPr>
                <w:rFonts w:ascii="Calibri" w:eastAsia="Times New Roman" w:hAnsi="Calibri" w:cs="Calibri"/>
                <w:color w:val="000000"/>
                <w:lang w:val="es-CO" w:eastAsia="es-CO" w:bidi="ar-SA"/>
              </w:rPr>
              <w:t xml:space="preserve"> 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 </w:t>
            </w:r>
          </w:p>
        </w:tc>
        <w:tc>
          <w:tcPr>
            <w:tcW w:w="3798" w:type="dxa"/>
            <w:tcBorders>
              <w:top w:val="nil"/>
              <w:left w:val="nil"/>
              <w:bottom w:val="nil"/>
              <w:right w:val="single" w:sz="4" w:space="0" w:color="000000"/>
            </w:tcBorders>
            <w:shd w:val="clear" w:color="000000" w:fill="FFFFFF"/>
            <w:hideMark/>
          </w:tcPr>
          <w:p w14:paraId="643153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74. Póliza de seriedad de candidaturas de grupos significativos de ciudadanos o sus coaliciones.</w:t>
            </w:r>
            <w:r w:rsidRPr="00222F34">
              <w:rPr>
                <w:rFonts w:ascii="Calibri" w:eastAsia="Times New Roman" w:hAnsi="Calibri" w:cs="Calibri"/>
                <w:color w:val="000000"/>
                <w:lang w:val="es-CO" w:eastAsia="es-CO" w:bidi="ar-SA"/>
              </w:rPr>
              <w:t xml:space="preserve"> 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w:t>
            </w:r>
          </w:p>
        </w:tc>
        <w:tc>
          <w:tcPr>
            <w:tcW w:w="3798" w:type="dxa"/>
            <w:tcBorders>
              <w:top w:val="nil"/>
              <w:left w:val="nil"/>
              <w:bottom w:val="nil"/>
              <w:right w:val="single" w:sz="4" w:space="0" w:color="000000"/>
            </w:tcBorders>
            <w:shd w:val="clear" w:color="000000" w:fill="FFFFFF"/>
            <w:hideMark/>
          </w:tcPr>
          <w:p w14:paraId="5351A9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74. Póliza de seriedad de candidaturas de grupos significativos de ciudadanos o sus coaliciones.</w:t>
            </w:r>
            <w:r w:rsidRPr="00222F34">
              <w:rPr>
                <w:rFonts w:ascii="Calibri" w:eastAsia="Times New Roman" w:hAnsi="Calibri" w:cs="Calibri"/>
                <w:color w:val="000000"/>
                <w:lang w:val="es-CO" w:eastAsia="es-CO" w:bidi="ar-SA"/>
              </w:rPr>
              <w:t xml:space="preserve"> 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w:t>
            </w:r>
          </w:p>
        </w:tc>
        <w:tc>
          <w:tcPr>
            <w:tcW w:w="1480" w:type="dxa"/>
            <w:tcBorders>
              <w:top w:val="nil"/>
              <w:left w:val="nil"/>
              <w:bottom w:val="nil"/>
              <w:right w:val="single" w:sz="4" w:space="0" w:color="000000"/>
            </w:tcBorders>
            <w:shd w:val="clear" w:color="000000" w:fill="FFFFFF"/>
            <w:hideMark/>
          </w:tcPr>
          <w:p w14:paraId="7EDFFD2B" w14:textId="4E0237E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85CE61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1EB6A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ningún caso las compañías aseguradoras podrán exigir como requisito para la expedición de pólizas de seriedad de la candidatura la constitución de contragarantías de cualquier naturaleza, por el riesgo asegurable. </w:t>
            </w:r>
          </w:p>
        </w:tc>
        <w:tc>
          <w:tcPr>
            <w:tcW w:w="3798" w:type="dxa"/>
            <w:tcBorders>
              <w:top w:val="nil"/>
              <w:left w:val="nil"/>
              <w:bottom w:val="nil"/>
              <w:right w:val="single" w:sz="4" w:space="0" w:color="000000"/>
            </w:tcBorders>
            <w:shd w:val="clear" w:color="000000" w:fill="FFFFFF"/>
            <w:hideMark/>
          </w:tcPr>
          <w:p w14:paraId="0F7236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las compañías aseguradoras podrán exigir como requisito para la expedición de pólizas de seriedad de la candidatura la constitución de contragarantías de cualquier naturaleza, por el riesgo asegurable.</w:t>
            </w:r>
          </w:p>
        </w:tc>
        <w:tc>
          <w:tcPr>
            <w:tcW w:w="3798" w:type="dxa"/>
            <w:tcBorders>
              <w:top w:val="nil"/>
              <w:left w:val="nil"/>
              <w:bottom w:val="nil"/>
              <w:right w:val="single" w:sz="4" w:space="0" w:color="000000"/>
            </w:tcBorders>
            <w:shd w:val="clear" w:color="000000" w:fill="FFFFFF"/>
            <w:hideMark/>
          </w:tcPr>
          <w:p w14:paraId="2BA976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las compañías aseguradoras podrán exigir como requisito para la expedición de pólizas de seriedad de la candidatura la constitución de contragarantías de cualquier naturaleza, por el riesgo asegurable.</w:t>
            </w:r>
          </w:p>
        </w:tc>
        <w:tc>
          <w:tcPr>
            <w:tcW w:w="1480" w:type="dxa"/>
            <w:tcBorders>
              <w:top w:val="nil"/>
              <w:left w:val="nil"/>
              <w:bottom w:val="nil"/>
              <w:right w:val="single" w:sz="4" w:space="0" w:color="000000"/>
            </w:tcBorders>
            <w:shd w:val="clear" w:color="000000" w:fill="FFFFFF"/>
            <w:hideMark/>
          </w:tcPr>
          <w:p w14:paraId="1F248D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45741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EF3E6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Esta garantía se hará exigible por parte del funcionario electoral competente de la inscripción con la sola verificación de los resultados en el documento electoral correspondiente, cuando el candidato o la lista de candidatos no obtuvieren al menos la siguiente votación: </w:t>
            </w:r>
          </w:p>
        </w:tc>
        <w:tc>
          <w:tcPr>
            <w:tcW w:w="3798" w:type="dxa"/>
            <w:tcBorders>
              <w:top w:val="nil"/>
              <w:left w:val="nil"/>
              <w:bottom w:val="nil"/>
              <w:right w:val="single" w:sz="4" w:space="0" w:color="000000"/>
            </w:tcBorders>
            <w:shd w:val="clear" w:color="000000" w:fill="FFFFFF"/>
            <w:hideMark/>
          </w:tcPr>
          <w:p w14:paraId="6DEF2B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garantía se hará exigible por parte del funcionario electoral competente de la inscripción con la sola verificación de los resultados en el documento electoral correspondiente, cuando el candidato o la lista de candidatos no obtuvieren al menos la siguiente votación:</w:t>
            </w:r>
          </w:p>
        </w:tc>
        <w:tc>
          <w:tcPr>
            <w:tcW w:w="3798" w:type="dxa"/>
            <w:tcBorders>
              <w:top w:val="nil"/>
              <w:left w:val="nil"/>
              <w:bottom w:val="nil"/>
              <w:right w:val="single" w:sz="4" w:space="0" w:color="000000"/>
            </w:tcBorders>
            <w:shd w:val="clear" w:color="000000" w:fill="FFFFFF"/>
            <w:hideMark/>
          </w:tcPr>
          <w:p w14:paraId="0B7219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garantía se hará exigible por parte del funcionario electoral competente de la inscripción con la sola verificación de los resultados en el documento electoral correspondiente, cuando el candidato o la lista de candidatos no obtuvieren al menos la siguiente votación:</w:t>
            </w:r>
          </w:p>
        </w:tc>
        <w:tc>
          <w:tcPr>
            <w:tcW w:w="1480" w:type="dxa"/>
            <w:tcBorders>
              <w:top w:val="nil"/>
              <w:left w:val="nil"/>
              <w:bottom w:val="nil"/>
              <w:right w:val="single" w:sz="4" w:space="0" w:color="000000"/>
            </w:tcBorders>
            <w:shd w:val="clear" w:color="000000" w:fill="FFFFFF"/>
            <w:hideMark/>
          </w:tcPr>
          <w:p w14:paraId="334AD1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6E183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8485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En las elecciones para corporaciones públicas, el cincuenta (50%) o más del </w:t>
            </w:r>
            <w:r w:rsidRPr="00222F34">
              <w:rPr>
                <w:rFonts w:ascii="Calibri" w:eastAsia="Times New Roman" w:hAnsi="Calibri" w:cs="Calibri"/>
                <w:color w:val="000000"/>
                <w:lang w:val="es-CO" w:eastAsia="es-CO" w:bidi="ar-SA"/>
              </w:rPr>
              <w:lastRenderedPageBreak/>
              <w:t xml:space="preserve">umbral determinado para la respectiva corporación. </w:t>
            </w:r>
          </w:p>
        </w:tc>
        <w:tc>
          <w:tcPr>
            <w:tcW w:w="3798" w:type="dxa"/>
            <w:tcBorders>
              <w:top w:val="nil"/>
              <w:left w:val="nil"/>
              <w:bottom w:val="nil"/>
              <w:right w:val="single" w:sz="4" w:space="0" w:color="000000"/>
            </w:tcBorders>
            <w:shd w:val="clear" w:color="000000" w:fill="FFFFFF"/>
            <w:hideMark/>
          </w:tcPr>
          <w:p w14:paraId="25F9E1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En las elecciones para corporaciones públicas, el cincuenta (50%) o más del </w:t>
            </w:r>
            <w:r w:rsidRPr="00222F34">
              <w:rPr>
                <w:rFonts w:ascii="Calibri" w:eastAsia="Times New Roman" w:hAnsi="Calibri" w:cs="Calibri"/>
                <w:color w:val="000000"/>
                <w:lang w:val="es-CO" w:eastAsia="es-CO" w:bidi="ar-SA"/>
              </w:rPr>
              <w:lastRenderedPageBreak/>
              <w:t>umbral determinado para la respectiva corporación.</w:t>
            </w:r>
          </w:p>
        </w:tc>
        <w:tc>
          <w:tcPr>
            <w:tcW w:w="3798" w:type="dxa"/>
            <w:tcBorders>
              <w:top w:val="nil"/>
              <w:left w:val="nil"/>
              <w:bottom w:val="nil"/>
              <w:right w:val="single" w:sz="4" w:space="0" w:color="000000"/>
            </w:tcBorders>
            <w:shd w:val="clear" w:color="000000" w:fill="FFFFFF"/>
            <w:hideMark/>
          </w:tcPr>
          <w:p w14:paraId="7E502D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En las elecciones para corporaciones públicas, el cincuenta (50%) o más del </w:t>
            </w:r>
            <w:r w:rsidRPr="00222F34">
              <w:rPr>
                <w:rFonts w:ascii="Calibri" w:eastAsia="Times New Roman" w:hAnsi="Calibri" w:cs="Calibri"/>
                <w:color w:val="000000"/>
                <w:lang w:val="es-CO" w:eastAsia="es-CO" w:bidi="ar-SA"/>
              </w:rPr>
              <w:lastRenderedPageBreak/>
              <w:t>umbral determinado para la respectiva corporación.</w:t>
            </w:r>
          </w:p>
        </w:tc>
        <w:tc>
          <w:tcPr>
            <w:tcW w:w="1480" w:type="dxa"/>
            <w:tcBorders>
              <w:top w:val="nil"/>
              <w:left w:val="nil"/>
              <w:bottom w:val="nil"/>
              <w:right w:val="single" w:sz="4" w:space="0" w:color="000000"/>
            </w:tcBorders>
            <w:shd w:val="clear" w:color="000000" w:fill="FFFFFF"/>
            <w:hideMark/>
          </w:tcPr>
          <w:p w14:paraId="64FA0A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F6C090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5A3C7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En las elecciones para presidente y vicepresidente de la República, gobernadores y alcaldes, el cuatro (4%) o más del total de votos válidos depositados en la respectiva elección. </w:t>
            </w:r>
          </w:p>
        </w:tc>
        <w:tc>
          <w:tcPr>
            <w:tcW w:w="3798" w:type="dxa"/>
            <w:tcBorders>
              <w:top w:val="nil"/>
              <w:left w:val="nil"/>
              <w:bottom w:val="nil"/>
              <w:right w:val="single" w:sz="4" w:space="0" w:color="000000"/>
            </w:tcBorders>
            <w:shd w:val="clear" w:color="000000" w:fill="FFFFFF"/>
            <w:hideMark/>
          </w:tcPr>
          <w:p w14:paraId="77182C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En las elecciones para presidente y vicepresidente de la República, gobernadores y alcaldes, el cuatro (4%) o más del total de votos válidos depositados en la respectiva elección.</w:t>
            </w:r>
          </w:p>
        </w:tc>
        <w:tc>
          <w:tcPr>
            <w:tcW w:w="3798" w:type="dxa"/>
            <w:tcBorders>
              <w:top w:val="nil"/>
              <w:left w:val="nil"/>
              <w:bottom w:val="nil"/>
              <w:right w:val="single" w:sz="4" w:space="0" w:color="000000"/>
            </w:tcBorders>
            <w:shd w:val="clear" w:color="000000" w:fill="FFFFFF"/>
            <w:hideMark/>
          </w:tcPr>
          <w:p w14:paraId="75605D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En las elecciones para presidente y vicepresidente de la República, gobernadores y alcaldes, el cuatro (4%) o más del total de votos válidos depositados en la respectiva elección.</w:t>
            </w:r>
          </w:p>
        </w:tc>
        <w:tc>
          <w:tcPr>
            <w:tcW w:w="1480" w:type="dxa"/>
            <w:tcBorders>
              <w:top w:val="nil"/>
              <w:left w:val="nil"/>
              <w:bottom w:val="nil"/>
              <w:right w:val="single" w:sz="4" w:space="0" w:color="000000"/>
            </w:tcBorders>
            <w:shd w:val="clear" w:color="000000" w:fill="FFFFFF"/>
            <w:hideMark/>
          </w:tcPr>
          <w:p w14:paraId="0CF1B2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4F74D80"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5EA3DE3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renuncia extemporánea del candidato presentada hasta cuarenta (40) días calendario antes de la fecha de la elección será causal de exoneración de ejecución de la póliza.  </w:t>
            </w:r>
          </w:p>
        </w:tc>
        <w:tc>
          <w:tcPr>
            <w:tcW w:w="3798" w:type="dxa"/>
            <w:tcBorders>
              <w:top w:val="nil"/>
              <w:left w:val="nil"/>
              <w:bottom w:val="single" w:sz="4" w:space="0" w:color="000000"/>
              <w:right w:val="single" w:sz="4" w:space="0" w:color="000000"/>
            </w:tcBorders>
            <w:shd w:val="clear" w:color="000000" w:fill="FFFFFF"/>
            <w:hideMark/>
          </w:tcPr>
          <w:p w14:paraId="4F918B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renuncia extemporánea del candidato presentada hasta cuarenta (40) días calendario antes de la fecha de la elección será causal de exoneración de ejecución de la póliza.</w:t>
            </w:r>
          </w:p>
        </w:tc>
        <w:tc>
          <w:tcPr>
            <w:tcW w:w="3798" w:type="dxa"/>
            <w:tcBorders>
              <w:top w:val="nil"/>
              <w:left w:val="nil"/>
              <w:bottom w:val="single" w:sz="4" w:space="0" w:color="000000"/>
              <w:right w:val="single" w:sz="4" w:space="0" w:color="000000"/>
            </w:tcBorders>
            <w:shd w:val="clear" w:color="000000" w:fill="FFFFFF"/>
            <w:hideMark/>
          </w:tcPr>
          <w:p w14:paraId="1DA44F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renuncia extemporánea del candidato presentada hasta cuarenta (40) días calendario antes de la fecha de la elección será causal de exoneración de ejecución de la póliza.</w:t>
            </w:r>
          </w:p>
        </w:tc>
        <w:tc>
          <w:tcPr>
            <w:tcW w:w="1480" w:type="dxa"/>
            <w:tcBorders>
              <w:top w:val="nil"/>
              <w:left w:val="nil"/>
              <w:bottom w:val="single" w:sz="4" w:space="0" w:color="000000"/>
              <w:right w:val="single" w:sz="4" w:space="0" w:color="000000"/>
            </w:tcBorders>
            <w:shd w:val="clear" w:color="000000" w:fill="FFFFFF"/>
            <w:hideMark/>
          </w:tcPr>
          <w:p w14:paraId="439778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B64655"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3E64F06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71.- Modalidades de póliza de seriedad.</w:t>
            </w:r>
            <w:r w:rsidRPr="00222F34">
              <w:rPr>
                <w:rFonts w:ascii="Calibri" w:eastAsia="Times New Roman" w:hAnsi="Calibri" w:cs="Calibri"/>
                <w:color w:val="000000"/>
                <w:lang w:val="es-CO" w:eastAsia="es-CO" w:bidi="ar-SA"/>
              </w:rPr>
              <w:t xml:space="preserve"> Para el cumplimiento de lo dispuesto en los artículos anteriores, las pólizas de seriedad de candidaturas se 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 </w:t>
            </w:r>
          </w:p>
        </w:tc>
        <w:tc>
          <w:tcPr>
            <w:tcW w:w="3798" w:type="dxa"/>
            <w:tcBorders>
              <w:top w:val="nil"/>
              <w:left w:val="nil"/>
              <w:bottom w:val="nil"/>
              <w:right w:val="single" w:sz="4" w:space="0" w:color="000000"/>
            </w:tcBorders>
            <w:shd w:val="clear" w:color="000000" w:fill="FFFFFF"/>
            <w:hideMark/>
          </w:tcPr>
          <w:p w14:paraId="416795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75. Modalidades de póliza de seriedad.</w:t>
            </w:r>
            <w:r w:rsidRPr="00222F34">
              <w:rPr>
                <w:rFonts w:ascii="Calibri" w:eastAsia="Times New Roman" w:hAnsi="Calibri" w:cs="Calibri"/>
                <w:color w:val="000000"/>
                <w:lang w:val="es-CO" w:eastAsia="es-CO" w:bidi="ar-SA"/>
              </w:rPr>
              <w:t xml:space="preserve"> Para el cumplimiento de lo dispuesto en los artículos anteriores, las pólizas de seriedad de candidaturas se 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w:t>
            </w:r>
          </w:p>
        </w:tc>
        <w:tc>
          <w:tcPr>
            <w:tcW w:w="3798" w:type="dxa"/>
            <w:tcBorders>
              <w:top w:val="nil"/>
              <w:left w:val="nil"/>
              <w:bottom w:val="nil"/>
              <w:right w:val="single" w:sz="4" w:space="0" w:color="000000"/>
            </w:tcBorders>
            <w:shd w:val="clear" w:color="000000" w:fill="FFFFFF"/>
            <w:hideMark/>
          </w:tcPr>
          <w:p w14:paraId="3DDF59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75. Modalidades de póliza de seriedad.</w:t>
            </w:r>
            <w:r w:rsidRPr="00222F34">
              <w:rPr>
                <w:rFonts w:ascii="Calibri" w:eastAsia="Times New Roman" w:hAnsi="Calibri" w:cs="Calibri"/>
                <w:color w:val="000000"/>
                <w:lang w:val="es-CO" w:eastAsia="es-CO" w:bidi="ar-SA"/>
              </w:rPr>
              <w:t xml:space="preserve"> Para el cumplimiento de lo dispuesto en los artículos anteriores, las pólizas de seriedad de candidaturas se 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w:t>
            </w:r>
          </w:p>
        </w:tc>
        <w:tc>
          <w:tcPr>
            <w:tcW w:w="1480" w:type="dxa"/>
            <w:tcBorders>
              <w:top w:val="nil"/>
              <w:left w:val="nil"/>
              <w:bottom w:val="nil"/>
              <w:right w:val="single" w:sz="4" w:space="0" w:color="000000"/>
            </w:tcBorders>
            <w:shd w:val="clear" w:color="000000" w:fill="FFFFFF"/>
            <w:hideMark/>
          </w:tcPr>
          <w:p w14:paraId="3C886C7A" w14:textId="6DDB42A7"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52E20C9" w14:textId="77777777" w:rsidTr="00222F34">
        <w:trPr>
          <w:trHeight w:val="3000"/>
        </w:trPr>
        <w:tc>
          <w:tcPr>
            <w:tcW w:w="3798" w:type="dxa"/>
            <w:tcBorders>
              <w:top w:val="single" w:sz="4" w:space="0" w:color="000000"/>
              <w:left w:val="single" w:sz="4" w:space="0" w:color="000000"/>
              <w:bottom w:val="nil"/>
              <w:right w:val="single" w:sz="4" w:space="0" w:color="000000"/>
            </w:tcBorders>
            <w:shd w:val="clear" w:color="000000" w:fill="FFFFFF"/>
            <w:hideMark/>
          </w:tcPr>
          <w:p w14:paraId="63B505B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72.- Verificación de Requisitos.</w:t>
            </w:r>
            <w:r w:rsidRPr="00222F34">
              <w:rPr>
                <w:rFonts w:ascii="Calibri" w:eastAsia="Times New Roman" w:hAnsi="Calibri" w:cs="Calibri"/>
                <w:color w:val="000000"/>
                <w:lang w:val="es-CO" w:eastAsia="es-CO" w:bidi="ar-SA"/>
              </w:rPr>
              <w:t xml:space="preserve"> La Superintendencia Financiera o la que haga sus veces vigilará y sancionará que las entidades financieras o empresas aseguradoras, no pongan obstáculos, demanden requisitos adicionales ni soliciten garantías reales o contragarantías con el fin de garantizar la apertura de la cuenta única o subcuentas para el manejo de los recursos en dinero de campaña y/o 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 </w:t>
            </w:r>
          </w:p>
        </w:tc>
        <w:tc>
          <w:tcPr>
            <w:tcW w:w="3798" w:type="dxa"/>
            <w:tcBorders>
              <w:top w:val="single" w:sz="4" w:space="0" w:color="000000"/>
              <w:left w:val="nil"/>
              <w:bottom w:val="nil"/>
              <w:right w:val="single" w:sz="4" w:space="0" w:color="000000"/>
            </w:tcBorders>
            <w:shd w:val="clear" w:color="000000" w:fill="FFFFFF"/>
            <w:hideMark/>
          </w:tcPr>
          <w:p w14:paraId="32A836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76. Verificación de requisitos.</w:t>
            </w:r>
            <w:r w:rsidRPr="00222F34">
              <w:rPr>
                <w:rFonts w:ascii="Calibri" w:eastAsia="Times New Roman" w:hAnsi="Calibri" w:cs="Calibri"/>
                <w:color w:val="000000"/>
                <w:lang w:val="es-CO" w:eastAsia="es-CO" w:bidi="ar-SA"/>
              </w:rPr>
              <w:t xml:space="preserve"> La Superintendencia Financiera o la que haga sus veces vigilará y sancionará a las entidades financieras o empresas aseguradoras que, pongan obstáculos, demanden requisitos adicionales o soliciten garantías reales o contragarantías con el fin de respaldar la apertura de la cuenta única o subcuentas para el manejo de los recursos en dinero de campaña y/o 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w:t>
            </w:r>
          </w:p>
        </w:tc>
        <w:tc>
          <w:tcPr>
            <w:tcW w:w="3798" w:type="dxa"/>
            <w:tcBorders>
              <w:top w:val="single" w:sz="4" w:space="0" w:color="000000"/>
              <w:left w:val="nil"/>
              <w:bottom w:val="nil"/>
              <w:right w:val="single" w:sz="4" w:space="0" w:color="000000"/>
            </w:tcBorders>
            <w:shd w:val="clear" w:color="000000" w:fill="FFFFFF"/>
            <w:hideMark/>
          </w:tcPr>
          <w:p w14:paraId="7A4C79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76. Verificación de requisitos.</w:t>
            </w:r>
            <w:r w:rsidRPr="00222F34">
              <w:rPr>
                <w:rFonts w:ascii="Calibri" w:eastAsia="Times New Roman" w:hAnsi="Calibri" w:cs="Calibri"/>
                <w:color w:val="000000"/>
                <w:lang w:val="es-CO" w:eastAsia="es-CO" w:bidi="ar-SA"/>
              </w:rPr>
              <w:t xml:space="preserve"> La Superintendencia Financiera o la que haga sus veces vigilará y sancionará a las entidades financieras o empresas aseguradoras que, pongan obstáculos, demanden requisitos adicionales o soliciten garantías reales o contragarantías con el fin de respaldar la apertura de la cuenta única o subcuentas para el manejo de los recursos en dinero de campaña y/o 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w:t>
            </w:r>
          </w:p>
        </w:tc>
        <w:tc>
          <w:tcPr>
            <w:tcW w:w="1480" w:type="dxa"/>
            <w:tcBorders>
              <w:top w:val="single" w:sz="4" w:space="0" w:color="000000"/>
              <w:left w:val="nil"/>
              <w:bottom w:val="nil"/>
              <w:right w:val="single" w:sz="4" w:space="0" w:color="000000"/>
            </w:tcBorders>
            <w:shd w:val="clear" w:color="000000" w:fill="FFFFFF"/>
            <w:hideMark/>
          </w:tcPr>
          <w:p w14:paraId="62EE25D4" w14:textId="7978D72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8C6879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5ACB90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Consejo Nacional Electoral y la Superintendencia Financiera, doce (12) meses antes de cada certamen electoral, deberán expedir los requisitos necesarios para dar cumplimiento a los mandatos establecidos en este código. </w:t>
            </w:r>
          </w:p>
        </w:tc>
        <w:tc>
          <w:tcPr>
            <w:tcW w:w="3798" w:type="dxa"/>
            <w:tcBorders>
              <w:top w:val="nil"/>
              <w:left w:val="nil"/>
              <w:bottom w:val="nil"/>
              <w:right w:val="single" w:sz="4" w:space="0" w:color="000000"/>
            </w:tcBorders>
            <w:shd w:val="clear" w:color="000000" w:fill="FFFFFF"/>
            <w:hideMark/>
          </w:tcPr>
          <w:p w14:paraId="3E422A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El Consejo Nacional Electoral y la Superintendencia Financiera, doce (12) meses antes de cada certamen electoral, deberán expedir los requisitos necesarios para dar cumplimiento a los mandatos establecidos en este código.</w:t>
            </w:r>
          </w:p>
        </w:tc>
        <w:tc>
          <w:tcPr>
            <w:tcW w:w="3798" w:type="dxa"/>
            <w:tcBorders>
              <w:top w:val="nil"/>
              <w:left w:val="nil"/>
              <w:bottom w:val="nil"/>
              <w:right w:val="single" w:sz="4" w:space="0" w:color="000000"/>
            </w:tcBorders>
            <w:shd w:val="clear" w:color="000000" w:fill="FFFFFF"/>
            <w:hideMark/>
          </w:tcPr>
          <w:p w14:paraId="0B5670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El Consejo Nacional Electoral y la Superintendencia Financiera, doce (12) meses antes de cada certamen electoral, deberán expedir los requisitos necesarios para dar cumplimiento a los mandatos establecidos en este código.</w:t>
            </w:r>
          </w:p>
        </w:tc>
        <w:tc>
          <w:tcPr>
            <w:tcW w:w="1480" w:type="dxa"/>
            <w:tcBorders>
              <w:top w:val="nil"/>
              <w:left w:val="nil"/>
              <w:bottom w:val="nil"/>
              <w:right w:val="single" w:sz="4" w:space="0" w:color="000000"/>
            </w:tcBorders>
            <w:shd w:val="clear" w:color="000000" w:fill="FFFFFF"/>
            <w:hideMark/>
          </w:tcPr>
          <w:p w14:paraId="0E2E7E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7F1400D"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34D278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La Superintendencia Financiera publicará el listado de entidades que cuentan con autorización para expedir pólizas en el ramo de cumplimiento, este listado debe garantizar cobertura en todo el territorio nacional. Previa solicitud de las organizaciones o grupos de ciudadanos que requieran la expedición de la póliza ante las entidades aseguradoras, la Superintendencia Financiera de Colombia, en el marco de sus competencias, realizará procesos  de acompañamiento para tales gestiones. </w:t>
            </w:r>
          </w:p>
        </w:tc>
        <w:tc>
          <w:tcPr>
            <w:tcW w:w="3798" w:type="dxa"/>
            <w:tcBorders>
              <w:top w:val="nil"/>
              <w:left w:val="nil"/>
              <w:bottom w:val="single" w:sz="4" w:space="0" w:color="000000"/>
              <w:right w:val="single" w:sz="4" w:space="0" w:color="000000"/>
            </w:tcBorders>
            <w:shd w:val="clear" w:color="000000" w:fill="FFFFFF"/>
            <w:hideMark/>
          </w:tcPr>
          <w:p w14:paraId="21F2B7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Superintendencia Financiera publicará el listado de entidades que cuentan con autorización para expedir pólizas en el ramo de cumplimiento, este listado debe garantizar cobertura en todo el territorio nacional. Previa solicitud de las organizaciones o grupos de ciudadanos que requieran la expedición de la póliza ante las entidades aseguradoras, la Superintendencia Financiera de Colombia, en el marco de sus competencias, realizará procesos de acompañamiento para tales gestiones.</w:t>
            </w:r>
          </w:p>
        </w:tc>
        <w:tc>
          <w:tcPr>
            <w:tcW w:w="3798" w:type="dxa"/>
            <w:tcBorders>
              <w:top w:val="nil"/>
              <w:left w:val="nil"/>
              <w:bottom w:val="single" w:sz="4" w:space="0" w:color="000000"/>
              <w:right w:val="single" w:sz="4" w:space="0" w:color="000000"/>
            </w:tcBorders>
            <w:shd w:val="clear" w:color="000000" w:fill="FFFFFF"/>
            <w:hideMark/>
          </w:tcPr>
          <w:p w14:paraId="778963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Superintendencia Financiera publicará el listado de entidades que cuentan con autorización para expedir pólizas en el ramo de cumplimiento, este listado debe garantizar cobertura en todo el territorio nacional. Previa solicitud de las organizaciones o grupos de ciudadanos que requieran la expedición de la póliza ante las entidades aseguradoras, la Superintendencia Financiera de Colombia, en el marco de sus competencias, realizará procesos de acompañamiento para tales gestiones.</w:t>
            </w:r>
          </w:p>
        </w:tc>
        <w:tc>
          <w:tcPr>
            <w:tcW w:w="1480" w:type="dxa"/>
            <w:tcBorders>
              <w:top w:val="nil"/>
              <w:left w:val="nil"/>
              <w:bottom w:val="single" w:sz="4" w:space="0" w:color="000000"/>
              <w:right w:val="single" w:sz="4" w:space="0" w:color="000000"/>
            </w:tcBorders>
            <w:shd w:val="clear" w:color="000000" w:fill="FFFFFF"/>
            <w:hideMark/>
          </w:tcPr>
          <w:p w14:paraId="6CB99E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BE3AA1"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D32F8C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73.- Reglas especiales para la inscripción de candidatos de coalición a cargos uninominales.</w:t>
            </w:r>
            <w:r w:rsidRPr="00222F34">
              <w:rPr>
                <w:rFonts w:ascii="Calibri" w:eastAsia="Times New Roman" w:hAnsi="Calibri" w:cs="Calibri"/>
                <w:color w:val="000000"/>
                <w:lang w:val="es-CO" w:eastAsia="es-CO" w:bidi="ar-SA"/>
              </w:rPr>
              <w:t xml:space="preserve"> 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  </w:t>
            </w:r>
          </w:p>
        </w:tc>
        <w:tc>
          <w:tcPr>
            <w:tcW w:w="3798" w:type="dxa"/>
            <w:tcBorders>
              <w:top w:val="nil"/>
              <w:left w:val="nil"/>
              <w:bottom w:val="nil"/>
              <w:right w:val="single" w:sz="4" w:space="0" w:color="000000"/>
            </w:tcBorders>
            <w:shd w:val="clear" w:color="000000" w:fill="FFFFFF"/>
            <w:hideMark/>
          </w:tcPr>
          <w:p w14:paraId="577EE4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77. Reglas especiales para la inscripción de candidatos de coalición a cargos uninominales. </w:t>
            </w:r>
            <w:r w:rsidRPr="00222F34">
              <w:rPr>
                <w:rFonts w:ascii="Calibri" w:eastAsia="Times New Roman" w:hAnsi="Calibri" w:cs="Calibri"/>
                <w:color w:val="000000"/>
                <w:lang w:val="es-CO" w:eastAsia="es-CO" w:bidi="ar-SA"/>
              </w:rPr>
              <w:t>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p>
        </w:tc>
        <w:tc>
          <w:tcPr>
            <w:tcW w:w="3798" w:type="dxa"/>
            <w:tcBorders>
              <w:top w:val="nil"/>
              <w:left w:val="nil"/>
              <w:bottom w:val="nil"/>
              <w:right w:val="single" w:sz="4" w:space="0" w:color="000000"/>
            </w:tcBorders>
            <w:shd w:val="clear" w:color="000000" w:fill="FFFFFF"/>
            <w:hideMark/>
          </w:tcPr>
          <w:p w14:paraId="3A0286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77. Reglas especiales para la inscripción de candidatos de coalición a cargos uninominales. </w:t>
            </w:r>
            <w:r w:rsidRPr="00222F34">
              <w:rPr>
                <w:rFonts w:ascii="Calibri" w:eastAsia="Times New Roman" w:hAnsi="Calibri" w:cs="Calibri"/>
                <w:color w:val="000000"/>
                <w:lang w:val="es-CO" w:eastAsia="es-CO" w:bidi="ar-SA"/>
              </w:rPr>
              <w:t>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p>
        </w:tc>
        <w:tc>
          <w:tcPr>
            <w:tcW w:w="1480" w:type="dxa"/>
            <w:tcBorders>
              <w:top w:val="nil"/>
              <w:left w:val="nil"/>
              <w:bottom w:val="nil"/>
              <w:right w:val="single" w:sz="4" w:space="0" w:color="000000"/>
            </w:tcBorders>
            <w:shd w:val="clear" w:color="000000" w:fill="FFFFFF"/>
            <w:hideMark/>
          </w:tcPr>
          <w:p w14:paraId="0E0004A1" w14:textId="261BF8A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125735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9DBF7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 </w:t>
            </w:r>
          </w:p>
        </w:tc>
        <w:tc>
          <w:tcPr>
            <w:tcW w:w="3798" w:type="dxa"/>
            <w:tcBorders>
              <w:top w:val="nil"/>
              <w:left w:val="nil"/>
              <w:bottom w:val="nil"/>
              <w:right w:val="single" w:sz="4" w:space="0" w:color="000000"/>
            </w:tcBorders>
            <w:shd w:val="clear" w:color="000000" w:fill="FFFFFF"/>
            <w:hideMark/>
          </w:tcPr>
          <w:p w14:paraId="36AFC8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w:t>
            </w:r>
          </w:p>
        </w:tc>
        <w:tc>
          <w:tcPr>
            <w:tcW w:w="3798" w:type="dxa"/>
            <w:tcBorders>
              <w:top w:val="nil"/>
              <w:left w:val="nil"/>
              <w:bottom w:val="nil"/>
              <w:right w:val="single" w:sz="4" w:space="0" w:color="000000"/>
            </w:tcBorders>
            <w:shd w:val="clear" w:color="000000" w:fill="FFFFFF"/>
            <w:hideMark/>
          </w:tcPr>
          <w:p w14:paraId="10A2D7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w:t>
            </w:r>
          </w:p>
        </w:tc>
        <w:tc>
          <w:tcPr>
            <w:tcW w:w="1480" w:type="dxa"/>
            <w:tcBorders>
              <w:top w:val="nil"/>
              <w:left w:val="nil"/>
              <w:bottom w:val="nil"/>
              <w:right w:val="single" w:sz="4" w:space="0" w:color="000000"/>
            </w:tcBorders>
            <w:shd w:val="clear" w:color="000000" w:fill="FFFFFF"/>
            <w:hideMark/>
          </w:tcPr>
          <w:p w14:paraId="522BB0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F3EBFA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4C623E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caso de las campañas presidenciales, también formarán parte de la coalición los partidos, movimientos y/o grupos significativos de ciudadanos políticos que públicamente manifiesten su apoyo al candidato, a través de su representante legal o del comité inscriptor, según sea el caso. </w:t>
            </w:r>
          </w:p>
        </w:tc>
        <w:tc>
          <w:tcPr>
            <w:tcW w:w="3798" w:type="dxa"/>
            <w:tcBorders>
              <w:top w:val="nil"/>
              <w:left w:val="nil"/>
              <w:bottom w:val="nil"/>
              <w:right w:val="single" w:sz="4" w:space="0" w:color="000000"/>
            </w:tcBorders>
            <w:shd w:val="clear" w:color="000000" w:fill="FFFFFF"/>
            <w:hideMark/>
          </w:tcPr>
          <w:p w14:paraId="005B11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las campañas presidenciales, también formarán parte de la coalición los partidos, movimientos y/o grupos significativos de ciudadanos políticos que públicamente manifiesten su apoyo al candidato, a través de su representante legal o del comité inscriptor, según sea el caso.</w:t>
            </w:r>
          </w:p>
        </w:tc>
        <w:tc>
          <w:tcPr>
            <w:tcW w:w="3798" w:type="dxa"/>
            <w:tcBorders>
              <w:top w:val="nil"/>
              <w:left w:val="nil"/>
              <w:bottom w:val="nil"/>
              <w:right w:val="single" w:sz="4" w:space="0" w:color="000000"/>
            </w:tcBorders>
            <w:shd w:val="clear" w:color="000000" w:fill="FFFFFF"/>
            <w:hideMark/>
          </w:tcPr>
          <w:p w14:paraId="40B886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las campañas presidenciales, también formarán parte de la coalición los partidos, movimientos y/o grupos significativos de ciudadanos políticos que públicamente manifiesten su apoyo al candidato, a través de su representante legal o del comité inscriptor, según sea el caso.</w:t>
            </w:r>
          </w:p>
        </w:tc>
        <w:tc>
          <w:tcPr>
            <w:tcW w:w="1480" w:type="dxa"/>
            <w:tcBorders>
              <w:top w:val="nil"/>
              <w:left w:val="nil"/>
              <w:bottom w:val="nil"/>
              <w:right w:val="single" w:sz="4" w:space="0" w:color="000000"/>
            </w:tcBorders>
            <w:shd w:val="clear" w:color="000000" w:fill="FFFFFF"/>
            <w:hideMark/>
          </w:tcPr>
          <w:p w14:paraId="02115D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A45FA9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54AD3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formulario de inscripción se indicarán los partidos, movimientos y/o grupos significativos de ciudadanos que integran la coalición y la militancia política del candidato. </w:t>
            </w:r>
          </w:p>
        </w:tc>
        <w:tc>
          <w:tcPr>
            <w:tcW w:w="3798" w:type="dxa"/>
            <w:tcBorders>
              <w:top w:val="nil"/>
              <w:left w:val="nil"/>
              <w:bottom w:val="nil"/>
              <w:right w:val="single" w:sz="4" w:space="0" w:color="000000"/>
            </w:tcBorders>
            <w:shd w:val="clear" w:color="000000" w:fill="FFFFFF"/>
            <w:hideMark/>
          </w:tcPr>
          <w:p w14:paraId="3291FC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formulario de inscripción se indicarán los partidos, movimientos y/o grupos significativos de ciudadanos que integran la coalición y la militancia política del candidato.</w:t>
            </w:r>
          </w:p>
        </w:tc>
        <w:tc>
          <w:tcPr>
            <w:tcW w:w="3798" w:type="dxa"/>
            <w:tcBorders>
              <w:top w:val="nil"/>
              <w:left w:val="nil"/>
              <w:bottom w:val="nil"/>
              <w:right w:val="single" w:sz="4" w:space="0" w:color="000000"/>
            </w:tcBorders>
            <w:shd w:val="clear" w:color="000000" w:fill="FFFFFF"/>
            <w:hideMark/>
          </w:tcPr>
          <w:p w14:paraId="259F8C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formulario de inscripción se indicarán los partidos, movimientos y/o grupos significativos de ciudadanos que integran la coalición y la militancia política del candidato.</w:t>
            </w:r>
          </w:p>
        </w:tc>
        <w:tc>
          <w:tcPr>
            <w:tcW w:w="1480" w:type="dxa"/>
            <w:tcBorders>
              <w:top w:val="nil"/>
              <w:left w:val="nil"/>
              <w:bottom w:val="nil"/>
              <w:right w:val="single" w:sz="4" w:space="0" w:color="000000"/>
            </w:tcBorders>
            <w:shd w:val="clear" w:color="000000" w:fill="FFFFFF"/>
            <w:hideMark/>
          </w:tcPr>
          <w:p w14:paraId="74D429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D38495"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9AB2B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candidato inscrito por una coalición a cargos uninominales podrá realizar eventos de proselitismo político en cada uno de los movimientos de ciudadanos movimientos políticos o partidos políticos que apoye dicha coalición, en la elección para la cual fue inscrito. </w:t>
            </w:r>
          </w:p>
        </w:tc>
        <w:tc>
          <w:tcPr>
            <w:tcW w:w="3798" w:type="dxa"/>
            <w:tcBorders>
              <w:top w:val="nil"/>
              <w:left w:val="nil"/>
              <w:bottom w:val="single" w:sz="4" w:space="0" w:color="000000"/>
              <w:right w:val="single" w:sz="4" w:space="0" w:color="000000"/>
            </w:tcBorders>
            <w:shd w:val="clear" w:color="000000" w:fill="FFFFFF"/>
            <w:hideMark/>
          </w:tcPr>
          <w:p w14:paraId="76A254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candidato inscrito por una coalición a cargos uninominales podrá realizar eventos de proselitismo político en cada uno de los movimientos de ciudadanos, movimientos políticos o partidos políticos que apoye dicha coalición, en la elección para la cual fue inscrito.</w:t>
            </w:r>
          </w:p>
        </w:tc>
        <w:tc>
          <w:tcPr>
            <w:tcW w:w="3798" w:type="dxa"/>
            <w:tcBorders>
              <w:top w:val="nil"/>
              <w:left w:val="nil"/>
              <w:bottom w:val="single" w:sz="4" w:space="0" w:color="000000"/>
              <w:right w:val="single" w:sz="4" w:space="0" w:color="000000"/>
            </w:tcBorders>
            <w:shd w:val="clear" w:color="000000" w:fill="FFFFFF"/>
            <w:hideMark/>
          </w:tcPr>
          <w:p w14:paraId="4C87DF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candidato inscrito por una coalición a cargos uninominales podrá realizar eventos de proselitismo político en cada uno de los movimientos de ciudadanos, movimientos políticos o partidos políticos que apoye dicha coalición, en la elección para la cual fue inscrito.</w:t>
            </w:r>
          </w:p>
        </w:tc>
        <w:tc>
          <w:tcPr>
            <w:tcW w:w="1480" w:type="dxa"/>
            <w:tcBorders>
              <w:top w:val="nil"/>
              <w:left w:val="nil"/>
              <w:bottom w:val="single" w:sz="4" w:space="0" w:color="000000"/>
              <w:right w:val="single" w:sz="4" w:space="0" w:color="000000"/>
            </w:tcBorders>
            <w:shd w:val="clear" w:color="000000" w:fill="FFFFFF"/>
            <w:hideMark/>
          </w:tcPr>
          <w:p w14:paraId="139A70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E162C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B92019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74.- Contenido del acuerdo de coalición a cargos uninominales.</w:t>
            </w:r>
            <w:r w:rsidRPr="00222F34">
              <w:rPr>
                <w:rFonts w:ascii="Calibri" w:eastAsia="Times New Roman" w:hAnsi="Calibri" w:cs="Calibri"/>
                <w:color w:val="000000"/>
                <w:lang w:val="es-CO" w:eastAsia="es-CO" w:bidi="ar-SA"/>
              </w:rPr>
              <w:t xml:space="preserve"> El acuerdo de coalición debe contener, como mínimo, los siguientes aspectos: </w:t>
            </w:r>
          </w:p>
        </w:tc>
        <w:tc>
          <w:tcPr>
            <w:tcW w:w="3798" w:type="dxa"/>
            <w:tcBorders>
              <w:top w:val="nil"/>
              <w:left w:val="nil"/>
              <w:bottom w:val="nil"/>
              <w:right w:val="single" w:sz="4" w:space="0" w:color="000000"/>
            </w:tcBorders>
            <w:shd w:val="clear" w:color="000000" w:fill="FFFFFF"/>
            <w:hideMark/>
          </w:tcPr>
          <w:p w14:paraId="4B5430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78. Contenido del acuerdo de coalición a cargos uninominales.</w:t>
            </w:r>
            <w:r w:rsidRPr="00222F34">
              <w:rPr>
                <w:rFonts w:ascii="Calibri" w:eastAsia="Times New Roman" w:hAnsi="Calibri" w:cs="Calibri"/>
                <w:color w:val="000000"/>
                <w:lang w:val="es-CO" w:eastAsia="es-CO" w:bidi="ar-SA"/>
              </w:rPr>
              <w:t xml:space="preserve"> El acuerdo de coalición debe contener, como mínimo, los siguientes aspectos:</w:t>
            </w:r>
          </w:p>
        </w:tc>
        <w:tc>
          <w:tcPr>
            <w:tcW w:w="3798" w:type="dxa"/>
            <w:tcBorders>
              <w:top w:val="nil"/>
              <w:left w:val="nil"/>
              <w:bottom w:val="nil"/>
              <w:right w:val="single" w:sz="4" w:space="0" w:color="000000"/>
            </w:tcBorders>
            <w:shd w:val="clear" w:color="000000" w:fill="FFFFFF"/>
            <w:hideMark/>
          </w:tcPr>
          <w:p w14:paraId="77DA9F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78. Contenido del acuerdo de coalición a cargos uninominales.</w:t>
            </w:r>
            <w:r w:rsidRPr="00222F34">
              <w:rPr>
                <w:rFonts w:ascii="Calibri" w:eastAsia="Times New Roman" w:hAnsi="Calibri" w:cs="Calibri"/>
                <w:color w:val="000000"/>
                <w:lang w:val="es-CO" w:eastAsia="es-CO" w:bidi="ar-SA"/>
              </w:rPr>
              <w:t xml:space="preserve"> El acuerdo de coalición debe contener, como mínimo, los siguientes aspectos:</w:t>
            </w:r>
          </w:p>
        </w:tc>
        <w:tc>
          <w:tcPr>
            <w:tcW w:w="1480" w:type="dxa"/>
            <w:tcBorders>
              <w:top w:val="nil"/>
              <w:left w:val="nil"/>
              <w:bottom w:val="nil"/>
              <w:right w:val="single" w:sz="4" w:space="0" w:color="000000"/>
            </w:tcBorders>
            <w:shd w:val="clear" w:color="000000" w:fill="FFFFFF"/>
            <w:hideMark/>
          </w:tcPr>
          <w:p w14:paraId="19324DDA" w14:textId="12E7E1B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D631D6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696A0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Nombre del Candidato y mecanismo mediante el cual se efectúa tanto la selección del candidato para cargo uninominal como su eventual modificación. </w:t>
            </w:r>
          </w:p>
        </w:tc>
        <w:tc>
          <w:tcPr>
            <w:tcW w:w="3798" w:type="dxa"/>
            <w:tcBorders>
              <w:top w:val="nil"/>
              <w:left w:val="nil"/>
              <w:bottom w:val="nil"/>
              <w:right w:val="single" w:sz="4" w:space="0" w:color="000000"/>
            </w:tcBorders>
            <w:shd w:val="clear" w:color="000000" w:fill="FFFFFF"/>
            <w:hideMark/>
          </w:tcPr>
          <w:p w14:paraId="2B8596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 del Candidato y mecanismo mediante el cual se efectúa tanto la selección del candidato para cargo uninominal como su eventual modificación.</w:t>
            </w:r>
          </w:p>
        </w:tc>
        <w:tc>
          <w:tcPr>
            <w:tcW w:w="3798" w:type="dxa"/>
            <w:tcBorders>
              <w:top w:val="nil"/>
              <w:left w:val="nil"/>
              <w:bottom w:val="nil"/>
              <w:right w:val="single" w:sz="4" w:space="0" w:color="000000"/>
            </w:tcBorders>
            <w:shd w:val="clear" w:color="000000" w:fill="FFFFFF"/>
            <w:hideMark/>
          </w:tcPr>
          <w:p w14:paraId="3EF4AF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 del Candidato y mecanismo mediante el cual se efectúa tanto la selección del candidato para cargo uninominal como su eventual modificación.</w:t>
            </w:r>
          </w:p>
        </w:tc>
        <w:tc>
          <w:tcPr>
            <w:tcW w:w="1480" w:type="dxa"/>
            <w:tcBorders>
              <w:top w:val="nil"/>
              <w:left w:val="nil"/>
              <w:bottom w:val="nil"/>
              <w:right w:val="single" w:sz="4" w:space="0" w:color="000000"/>
            </w:tcBorders>
            <w:shd w:val="clear" w:color="000000" w:fill="FFFFFF"/>
            <w:hideMark/>
          </w:tcPr>
          <w:p w14:paraId="4C0F98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C17F94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6B6E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El programa de gobierno que el candidato de coalición a alcaldía o gobernación someterá a consideración de los votantes. </w:t>
            </w:r>
          </w:p>
        </w:tc>
        <w:tc>
          <w:tcPr>
            <w:tcW w:w="3798" w:type="dxa"/>
            <w:tcBorders>
              <w:top w:val="nil"/>
              <w:left w:val="nil"/>
              <w:bottom w:val="nil"/>
              <w:right w:val="single" w:sz="4" w:space="0" w:color="000000"/>
            </w:tcBorders>
            <w:shd w:val="clear" w:color="000000" w:fill="FFFFFF"/>
            <w:hideMark/>
          </w:tcPr>
          <w:p w14:paraId="6A8A6B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programa de gobierno que el candidato de coalición a alcaldía o gobernación someterá a consideración de los votantes.</w:t>
            </w:r>
          </w:p>
        </w:tc>
        <w:tc>
          <w:tcPr>
            <w:tcW w:w="3798" w:type="dxa"/>
            <w:tcBorders>
              <w:top w:val="nil"/>
              <w:left w:val="nil"/>
              <w:bottom w:val="nil"/>
              <w:right w:val="single" w:sz="4" w:space="0" w:color="000000"/>
            </w:tcBorders>
            <w:shd w:val="clear" w:color="000000" w:fill="FFFFFF"/>
            <w:hideMark/>
          </w:tcPr>
          <w:p w14:paraId="5B3CE1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programa de gobierno que el candidato de coalición a alcaldía o gobernación someterá a consideración de los votantes.</w:t>
            </w:r>
          </w:p>
        </w:tc>
        <w:tc>
          <w:tcPr>
            <w:tcW w:w="1480" w:type="dxa"/>
            <w:tcBorders>
              <w:top w:val="nil"/>
              <w:left w:val="nil"/>
              <w:bottom w:val="nil"/>
              <w:right w:val="single" w:sz="4" w:space="0" w:color="000000"/>
            </w:tcBorders>
            <w:shd w:val="clear" w:color="000000" w:fill="FFFFFF"/>
            <w:hideMark/>
          </w:tcPr>
          <w:p w14:paraId="49AA7A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D74108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EC386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forma como se distribuirán los gastos y la reposición correspondiente, la distribución del anticipo, la rendición de informes consolidados, los sistemas de publicidad y de auditoría interna. </w:t>
            </w:r>
          </w:p>
        </w:tc>
        <w:tc>
          <w:tcPr>
            <w:tcW w:w="3798" w:type="dxa"/>
            <w:tcBorders>
              <w:top w:val="nil"/>
              <w:left w:val="nil"/>
              <w:bottom w:val="nil"/>
              <w:right w:val="single" w:sz="4" w:space="0" w:color="000000"/>
            </w:tcBorders>
            <w:shd w:val="clear" w:color="000000" w:fill="FFFFFF"/>
            <w:hideMark/>
          </w:tcPr>
          <w:p w14:paraId="1DFEE3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forma como se distribuirán los gastos y la reposición correspondiente, la distribución del anticipo, la rendición de informes consolidados, los sistemas de publicidad y de auditoría interna.</w:t>
            </w:r>
          </w:p>
        </w:tc>
        <w:tc>
          <w:tcPr>
            <w:tcW w:w="3798" w:type="dxa"/>
            <w:tcBorders>
              <w:top w:val="nil"/>
              <w:left w:val="nil"/>
              <w:bottom w:val="nil"/>
              <w:right w:val="single" w:sz="4" w:space="0" w:color="000000"/>
            </w:tcBorders>
            <w:shd w:val="clear" w:color="000000" w:fill="FFFFFF"/>
            <w:hideMark/>
          </w:tcPr>
          <w:p w14:paraId="56791A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forma como se distribuirán los gastos y la reposición correspondiente, la distribución del anticipo, la rendición de informes consolidados, los sistemas de publicidad y de auditoría interna.</w:t>
            </w:r>
          </w:p>
        </w:tc>
        <w:tc>
          <w:tcPr>
            <w:tcW w:w="1480" w:type="dxa"/>
            <w:tcBorders>
              <w:top w:val="nil"/>
              <w:left w:val="nil"/>
              <w:bottom w:val="nil"/>
              <w:right w:val="single" w:sz="4" w:space="0" w:color="000000"/>
            </w:tcBorders>
            <w:shd w:val="clear" w:color="000000" w:fill="FFFFFF"/>
            <w:hideMark/>
          </w:tcPr>
          <w:p w14:paraId="7F0568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6791C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8AA27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forma de sufragar los gastos en los casos de ejecución de la póliza de seriedad de la candidatura. </w:t>
            </w:r>
          </w:p>
        </w:tc>
        <w:tc>
          <w:tcPr>
            <w:tcW w:w="3798" w:type="dxa"/>
            <w:tcBorders>
              <w:top w:val="nil"/>
              <w:left w:val="nil"/>
              <w:bottom w:val="nil"/>
              <w:right w:val="single" w:sz="4" w:space="0" w:color="000000"/>
            </w:tcBorders>
            <w:shd w:val="clear" w:color="000000" w:fill="FFFFFF"/>
            <w:hideMark/>
          </w:tcPr>
          <w:p w14:paraId="72C44A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La forma de sufragar los gastos en los casos de ejecución de la póliza de seriedad de la candidatura.</w:t>
            </w:r>
          </w:p>
        </w:tc>
        <w:tc>
          <w:tcPr>
            <w:tcW w:w="3798" w:type="dxa"/>
            <w:tcBorders>
              <w:top w:val="nil"/>
              <w:left w:val="nil"/>
              <w:bottom w:val="nil"/>
              <w:right w:val="single" w:sz="4" w:space="0" w:color="000000"/>
            </w:tcBorders>
            <w:shd w:val="clear" w:color="000000" w:fill="FFFFFF"/>
            <w:hideMark/>
          </w:tcPr>
          <w:p w14:paraId="6F5F18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La forma de sufragar los gastos en los casos de ejecución de la póliza de seriedad de la candidatura.</w:t>
            </w:r>
          </w:p>
        </w:tc>
        <w:tc>
          <w:tcPr>
            <w:tcW w:w="1480" w:type="dxa"/>
            <w:tcBorders>
              <w:top w:val="nil"/>
              <w:left w:val="nil"/>
              <w:bottom w:val="nil"/>
              <w:right w:val="single" w:sz="4" w:space="0" w:color="000000"/>
            </w:tcBorders>
            <w:shd w:val="clear" w:color="000000" w:fill="FFFFFF"/>
            <w:hideMark/>
          </w:tcPr>
          <w:p w14:paraId="2E3384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B13559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55174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El mecanismo mediante el cual se conformará la terna en los casos en que hubiere lugar a reemplazar al elegido con motivo de faltas temporales o absolutas, respetando en la conformación de la terna al menos uno de los géneros.  </w:t>
            </w:r>
          </w:p>
        </w:tc>
        <w:tc>
          <w:tcPr>
            <w:tcW w:w="3798" w:type="dxa"/>
            <w:tcBorders>
              <w:top w:val="nil"/>
              <w:left w:val="nil"/>
              <w:bottom w:val="nil"/>
              <w:right w:val="single" w:sz="4" w:space="0" w:color="000000"/>
            </w:tcBorders>
            <w:shd w:val="clear" w:color="000000" w:fill="FFFFFF"/>
            <w:hideMark/>
          </w:tcPr>
          <w:p w14:paraId="00E136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mecanismo mediante el cual se conformará la terna en los casos en que hubiere lugar a reemplazar al elegido con motivo de faltas temporales o absolutas, respetando en la conformación de la terna al menos uno de los géneros.</w:t>
            </w:r>
          </w:p>
        </w:tc>
        <w:tc>
          <w:tcPr>
            <w:tcW w:w="3798" w:type="dxa"/>
            <w:tcBorders>
              <w:top w:val="nil"/>
              <w:left w:val="nil"/>
              <w:bottom w:val="nil"/>
              <w:right w:val="single" w:sz="4" w:space="0" w:color="000000"/>
            </w:tcBorders>
            <w:shd w:val="clear" w:color="000000" w:fill="FFFFFF"/>
            <w:hideMark/>
          </w:tcPr>
          <w:p w14:paraId="5AF6EF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mecanismo mediante el cual se conformará la terna en los casos en que hubiere lugar a reemplazar al elegido con motivo de faltas temporales o absolutas, respetando en la conformación de la terna al menos uno de los géneros.</w:t>
            </w:r>
          </w:p>
        </w:tc>
        <w:tc>
          <w:tcPr>
            <w:tcW w:w="1480" w:type="dxa"/>
            <w:tcBorders>
              <w:top w:val="nil"/>
              <w:left w:val="nil"/>
              <w:bottom w:val="nil"/>
              <w:right w:val="single" w:sz="4" w:space="0" w:color="000000"/>
            </w:tcBorders>
            <w:shd w:val="clear" w:color="000000" w:fill="FFFFFF"/>
            <w:hideMark/>
          </w:tcPr>
          <w:p w14:paraId="4E52D7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E3DD69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FC85F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En caso de coalición con grupos significativos de ciudadanos se deberá </w:t>
            </w:r>
            <w:r w:rsidRPr="00222F34">
              <w:rPr>
                <w:rFonts w:ascii="Calibri" w:eastAsia="Times New Roman" w:hAnsi="Calibri" w:cs="Calibri"/>
                <w:color w:val="000000"/>
                <w:lang w:val="es-CO" w:eastAsia="es-CO" w:bidi="ar-SA"/>
              </w:rPr>
              <w:lastRenderedPageBreak/>
              <w:t xml:space="preserve">aportar la certificación de validez y suficiencia de los apoyos. </w:t>
            </w:r>
          </w:p>
        </w:tc>
        <w:tc>
          <w:tcPr>
            <w:tcW w:w="3798" w:type="dxa"/>
            <w:tcBorders>
              <w:top w:val="nil"/>
              <w:left w:val="nil"/>
              <w:bottom w:val="nil"/>
              <w:right w:val="single" w:sz="4" w:space="0" w:color="000000"/>
            </w:tcBorders>
            <w:shd w:val="clear" w:color="000000" w:fill="FFFFFF"/>
            <w:hideMark/>
          </w:tcPr>
          <w:p w14:paraId="14FDAD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En caso de coalición con grupos significativos de ciudadanos se deberá </w:t>
            </w:r>
            <w:r w:rsidRPr="00222F34">
              <w:rPr>
                <w:rFonts w:ascii="Calibri" w:eastAsia="Times New Roman" w:hAnsi="Calibri" w:cs="Calibri"/>
                <w:color w:val="000000"/>
                <w:lang w:val="es-CO" w:eastAsia="es-CO" w:bidi="ar-SA"/>
              </w:rPr>
              <w:lastRenderedPageBreak/>
              <w:t>aportar la certificación de validez y suficiencia de los apoyos.</w:t>
            </w:r>
          </w:p>
        </w:tc>
        <w:tc>
          <w:tcPr>
            <w:tcW w:w="3798" w:type="dxa"/>
            <w:tcBorders>
              <w:top w:val="nil"/>
              <w:left w:val="nil"/>
              <w:bottom w:val="nil"/>
              <w:right w:val="single" w:sz="4" w:space="0" w:color="000000"/>
            </w:tcBorders>
            <w:shd w:val="clear" w:color="000000" w:fill="FFFFFF"/>
            <w:hideMark/>
          </w:tcPr>
          <w:p w14:paraId="62EB34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En caso de coalición con grupos significativos de ciudadanos se deberá </w:t>
            </w:r>
            <w:r w:rsidRPr="00222F34">
              <w:rPr>
                <w:rFonts w:ascii="Calibri" w:eastAsia="Times New Roman" w:hAnsi="Calibri" w:cs="Calibri"/>
                <w:color w:val="000000"/>
                <w:lang w:val="es-CO" w:eastAsia="es-CO" w:bidi="ar-SA"/>
              </w:rPr>
              <w:lastRenderedPageBreak/>
              <w:t>aportar la certificación de validez y suficiencia de los apoyos.</w:t>
            </w:r>
          </w:p>
        </w:tc>
        <w:tc>
          <w:tcPr>
            <w:tcW w:w="1480" w:type="dxa"/>
            <w:tcBorders>
              <w:top w:val="nil"/>
              <w:left w:val="nil"/>
              <w:bottom w:val="nil"/>
              <w:right w:val="single" w:sz="4" w:space="0" w:color="000000"/>
            </w:tcBorders>
            <w:shd w:val="clear" w:color="000000" w:fill="FFFFFF"/>
            <w:hideMark/>
          </w:tcPr>
          <w:p w14:paraId="7454A4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65CB62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55E27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Ser suscrito por el representante legal del partido o movimiento político, candidato y por dos (2) de los inscriptores en el caso de los grupos significativos de ciudadanos. </w:t>
            </w:r>
          </w:p>
        </w:tc>
        <w:tc>
          <w:tcPr>
            <w:tcW w:w="3798" w:type="dxa"/>
            <w:tcBorders>
              <w:top w:val="nil"/>
              <w:left w:val="nil"/>
              <w:bottom w:val="nil"/>
              <w:right w:val="single" w:sz="4" w:space="0" w:color="000000"/>
            </w:tcBorders>
            <w:shd w:val="clear" w:color="000000" w:fill="FFFFFF"/>
            <w:hideMark/>
          </w:tcPr>
          <w:p w14:paraId="182273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Ser suscrito por el representante legal del partido o movimiento político, candidato y por dos (2) de los inscriptores en el caso de los grupos significativos de ciudadanos.</w:t>
            </w:r>
          </w:p>
        </w:tc>
        <w:tc>
          <w:tcPr>
            <w:tcW w:w="3798" w:type="dxa"/>
            <w:tcBorders>
              <w:top w:val="nil"/>
              <w:left w:val="nil"/>
              <w:bottom w:val="nil"/>
              <w:right w:val="single" w:sz="4" w:space="0" w:color="000000"/>
            </w:tcBorders>
            <w:shd w:val="clear" w:color="000000" w:fill="FFFFFF"/>
            <w:hideMark/>
          </w:tcPr>
          <w:p w14:paraId="7CC50B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Ser suscrito por el representante legal del partido o movimiento político, candidato y por dos (2) de los inscriptores en el caso de los grupos significativos de ciudadanos.</w:t>
            </w:r>
          </w:p>
        </w:tc>
        <w:tc>
          <w:tcPr>
            <w:tcW w:w="1480" w:type="dxa"/>
            <w:tcBorders>
              <w:top w:val="nil"/>
              <w:left w:val="nil"/>
              <w:bottom w:val="nil"/>
              <w:right w:val="single" w:sz="4" w:space="0" w:color="000000"/>
            </w:tcBorders>
            <w:shd w:val="clear" w:color="000000" w:fill="FFFFFF"/>
            <w:hideMark/>
          </w:tcPr>
          <w:p w14:paraId="2E5462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F67FB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DC54A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Definición de la organización política que otorga el aval principal al candidato. </w:t>
            </w:r>
          </w:p>
        </w:tc>
        <w:tc>
          <w:tcPr>
            <w:tcW w:w="3798" w:type="dxa"/>
            <w:tcBorders>
              <w:top w:val="nil"/>
              <w:left w:val="nil"/>
              <w:bottom w:val="nil"/>
              <w:right w:val="single" w:sz="4" w:space="0" w:color="000000"/>
            </w:tcBorders>
            <w:shd w:val="clear" w:color="000000" w:fill="FFFFFF"/>
            <w:hideMark/>
          </w:tcPr>
          <w:p w14:paraId="74C2BB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Definición de la organización política que otorga el aval principal al candidato.</w:t>
            </w:r>
          </w:p>
        </w:tc>
        <w:tc>
          <w:tcPr>
            <w:tcW w:w="3798" w:type="dxa"/>
            <w:tcBorders>
              <w:top w:val="nil"/>
              <w:left w:val="nil"/>
              <w:bottom w:val="nil"/>
              <w:right w:val="single" w:sz="4" w:space="0" w:color="000000"/>
            </w:tcBorders>
            <w:shd w:val="clear" w:color="000000" w:fill="FFFFFF"/>
            <w:hideMark/>
          </w:tcPr>
          <w:p w14:paraId="6D94CF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Definición de la organización política que otorga el aval principal al candidato.</w:t>
            </w:r>
          </w:p>
        </w:tc>
        <w:tc>
          <w:tcPr>
            <w:tcW w:w="1480" w:type="dxa"/>
            <w:tcBorders>
              <w:top w:val="nil"/>
              <w:left w:val="nil"/>
              <w:bottom w:val="nil"/>
              <w:right w:val="single" w:sz="4" w:space="0" w:color="000000"/>
            </w:tcBorders>
            <w:shd w:val="clear" w:color="000000" w:fill="FFFFFF"/>
            <w:hideMark/>
          </w:tcPr>
          <w:p w14:paraId="00F876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A90FC2F"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498E7CB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y los elegidos popularmente, pertenecientes a las organizaciones políticas coaligados no podrán inscribir ni apoyar candidato distinto al que fue designado por la coalición. </w:t>
            </w:r>
          </w:p>
        </w:tc>
        <w:tc>
          <w:tcPr>
            <w:tcW w:w="3798" w:type="dxa"/>
            <w:tcBorders>
              <w:top w:val="nil"/>
              <w:left w:val="nil"/>
              <w:bottom w:val="nil"/>
              <w:right w:val="single" w:sz="4" w:space="0" w:color="000000"/>
            </w:tcBorders>
            <w:shd w:val="clear" w:color="000000" w:fill="FFFFFF"/>
            <w:hideMark/>
          </w:tcPr>
          <w:p w14:paraId="7A53CA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y los elegidos popularmente, pertenecientes a las organizaciones políticas coaligados no podrán inscribir ni apoyar candidato distinto al que fue designado por la coalición.</w:t>
            </w:r>
          </w:p>
        </w:tc>
        <w:tc>
          <w:tcPr>
            <w:tcW w:w="3798" w:type="dxa"/>
            <w:tcBorders>
              <w:top w:val="nil"/>
              <w:left w:val="nil"/>
              <w:bottom w:val="nil"/>
              <w:right w:val="single" w:sz="4" w:space="0" w:color="000000"/>
            </w:tcBorders>
            <w:shd w:val="clear" w:color="000000" w:fill="FFFFFF"/>
            <w:hideMark/>
          </w:tcPr>
          <w:p w14:paraId="7B89B6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y los elegidos popularmente, pertenecientes a las organizaciones políticas coaligados no podrán inscribir ni apoyar candidato distinto al que fue designado por la coalición.</w:t>
            </w:r>
          </w:p>
        </w:tc>
        <w:tc>
          <w:tcPr>
            <w:tcW w:w="1480" w:type="dxa"/>
            <w:tcBorders>
              <w:top w:val="nil"/>
              <w:left w:val="nil"/>
              <w:bottom w:val="nil"/>
              <w:right w:val="single" w:sz="4" w:space="0" w:color="000000"/>
            </w:tcBorders>
            <w:shd w:val="clear" w:color="000000" w:fill="FFFFFF"/>
            <w:hideMark/>
          </w:tcPr>
          <w:p w14:paraId="6D1DC8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378259"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7275F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inscripción hecha con inobservancia de este precepto será causal de no aceptación de la candidatura y subsidiariamente de revocatoria de la inscripción del candidato que se apoye, diferente al designado en la coalición. </w:t>
            </w:r>
          </w:p>
        </w:tc>
        <w:tc>
          <w:tcPr>
            <w:tcW w:w="3798" w:type="dxa"/>
            <w:tcBorders>
              <w:top w:val="nil"/>
              <w:left w:val="nil"/>
              <w:bottom w:val="single" w:sz="4" w:space="0" w:color="000000"/>
              <w:right w:val="single" w:sz="4" w:space="0" w:color="000000"/>
            </w:tcBorders>
            <w:shd w:val="clear" w:color="000000" w:fill="FFFFFF"/>
            <w:hideMark/>
          </w:tcPr>
          <w:p w14:paraId="5C99EF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inscripción hecha con inobservancia de este precepto será causal de no aceptación de la candidatura y subsidiariamente de revocatoria de la inscripción del candidato que se apoye, diferente al designado en la coalición.</w:t>
            </w:r>
          </w:p>
        </w:tc>
        <w:tc>
          <w:tcPr>
            <w:tcW w:w="3798" w:type="dxa"/>
            <w:tcBorders>
              <w:top w:val="nil"/>
              <w:left w:val="nil"/>
              <w:bottom w:val="single" w:sz="4" w:space="0" w:color="000000"/>
              <w:right w:val="single" w:sz="4" w:space="0" w:color="000000"/>
            </w:tcBorders>
            <w:shd w:val="clear" w:color="000000" w:fill="FFFFFF"/>
            <w:hideMark/>
          </w:tcPr>
          <w:p w14:paraId="18957B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inscripción hecha con inobservancia de este precepto será causal de no aceptación de la candidatura y subsidiariamente de revocatoria de la inscripción del candidato que se apoye, diferente al designado en la coalición.</w:t>
            </w:r>
          </w:p>
        </w:tc>
        <w:tc>
          <w:tcPr>
            <w:tcW w:w="1480" w:type="dxa"/>
            <w:tcBorders>
              <w:top w:val="nil"/>
              <w:left w:val="nil"/>
              <w:bottom w:val="single" w:sz="4" w:space="0" w:color="000000"/>
              <w:right w:val="single" w:sz="4" w:space="0" w:color="000000"/>
            </w:tcBorders>
            <w:shd w:val="clear" w:color="000000" w:fill="FFFFFF"/>
            <w:hideMark/>
          </w:tcPr>
          <w:p w14:paraId="39A872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6643BA8"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029044C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75.- Reglas especiales para la inscripción de candidatos de coalición a listas de corporaciones públicas de elección popular.</w:t>
            </w:r>
            <w:r w:rsidRPr="00222F34">
              <w:rPr>
                <w:rFonts w:ascii="Calibri" w:eastAsia="Times New Roman" w:hAnsi="Calibri" w:cs="Calibri"/>
                <w:color w:val="000000"/>
                <w:lang w:val="es-CO" w:eastAsia="es-CO" w:bidi="ar-SA"/>
              </w:rPr>
              <w:t xml:space="preserve"> Los partidos y movimientos políticos con personería jurídica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tc>
        <w:tc>
          <w:tcPr>
            <w:tcW w:w="3798" w:type="dxa"/>
            <w:tcBorders>
              <w:top w:val="nil"/>
              <w:left w:val="nil"/>
              <w:bottom w:val="nil"/>
              <w:right w:val="single" w:sz="4" w:space="0" w:color="000000"/>
            </w:tcBorders>
            <w:shd w:val="clear" w:color="000000" w:fill="FFFFFF"/>
            <w:hideMark/>
          </w:tcPr>
          <w:p w14:paraId="73AB8C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79. Reglas especiales para la inscripción de candidatos de coalición a listas de corporaciones públicas de elección popular</w:t>
            </w:r>
            <w:r w:rsidRPr="00222F34">
              <w:rPr>
                <w:rFonts w:ascii="Calibri" w:eastAsia="Times New Roman" w:hAnsi="Calibri" w:cs="Calibri"/>
                <w:color w:val="000000"/>
                <w:lang w:val="es-CO" w:eastAsia="es-CO" w:bidi="ar-SA"/>
              </w:rPr>
              <w:t>. Los partidos y movimientos políticos con personería jurídica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tc>
        <w:tc>
          <w:tcPr>
            <w:tcW w:w="3798" w:type="dxa"/>
            <w:tcBorders>
              <w:top w:val="nil"/>
              <w:left w:val="nil"/>
              <w:bottom w:val="nil"/>
              <w:right w:val="single" w:sz="4" w:space="0" w:color="000000"/>
            </w:tcBorders>
            <w:shd w:val="clear" w:color="000000" w:fill="FFFFFF"/>
            <w:hideMark/>
          </w:tcPr>
          <w:p w14:paraId="172DFD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79. Reglas especiales para la inscripción de candidatos de coalición a listas de corporaciones públicas de elección popular</w:t>
            </w:r>
            <w:r w:rsidRPr="00222F34">
              <w:rPr>
                <w:rFonts w:ascii="Calibri" w:eastAsia="Times New Roman" w:hAnsi="Calibri" w:cs="Calibri"/>
                <w:color w:val="000000"/>
                <w:lang w:val="es-CO" w:eastAsia="es-CO" w:bidi="ar-SA"/>
              </w:rPr>
              <w:t>. Los partidos y movimientos políticos con personería jurídica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tc>
        <w:tc>
          <w:tcPr>
            <w:tcW w:w="1480" w:type="dxa"/>
            <w:tcBorders>
              <w:top w:val="nil"/>
              <w:left w:val="nil"/>
              <w:bottom w:val="nil"/>
              <w:right w:val="single" w:sz="4" w:space="0" w:color="000000"/>
            </w:tcBorders>
            <w:shd w:val="clear" w:color="000000" w:fill="FFFFFF"/>
            <w:hideMark/>
          </w:tcPr>
          <w:p w14:paraId="5A75705B" w14:textId="371AB347"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A17EA8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518B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Nombre de los candidatos y descripción clara y expresa de la militancia política de cada uno de los candidatos y de las organizaciones políticas que suscriben el acuerdo.  </w:t>
            </w:r>
          </w:p>
        </w:tc>
        <w:tc>
          <w:tcPr>
            <w:tcW w:w="3798" w:type="dxa"/>
            <w:tcBorders>
              <w:top w:val="nil"/>
              <w:left w:val="nil"/>
              <w:bottom w:val="nil"/>
              <w:right w:val="single" w:sz="4" w:space="0" w:color="000000"/>
            </w:tcBorders>
            <w:shd w:val="clear" w:color="000000" w:fill="FFFFFF"/>
            <w:hideMark/>
          </w:tcPr>
          <w:p w14:paraId="096B17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 de los candidatos y descripción clara y expresa de la militancia política de cada uno de los candidatos y de las organizaciones políticas que suscriben el acuerdo.</w:t>
            </w:r>
          </w:p>
        </w:tc>
        <w:tc>
          <w:tcPr>
            <w:tcW w:w="3798" w:type="dxa"/>
            <w:tcBorders>
              <w:top w:val="nil"/>
              <w:left w:val="nil"/>
              <w:bottom w:val="nil"/>
              <w:right w:val="single" w:sz="4" w:space="0" w:color="000000"/>
            </w:tcBorders>
            <w:shd w:val="clear" w:color="000000" w:fill="FFFFFF"/>
            <w:hideMark/>
          </w:tcPr>
          <w:p w14:paraId="6C8184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 de los candidatos y descripción clara y expresa de la militancia política de cada uno de los candidatos y de las organizaciones políticas que suscriben el acuerdo.</w:t>
            </w:r>
          </w:p>
        </w:tc>
        <w:tc>
          <w:tcPr>
            <w:tcW w:w="1480" w:type="dxa"/>
            <w:tcBorders>
              <w:top w:val="nil"/>
              <w:left w:val="nil"/>
              <w:bottom w:val="nil"/>
              <w:right w:val="single" w:sz="4" w:space="0" w:color="000000"/>
            </w:tcBorders>
            <w:shd w:val="clear" w:color="000000" w:fill="FFFFFF"/>
            <w:hideMark/>
          </w:tcPr>
          <w:p w14:paraId="3FB33C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F6B856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28C29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Las reglas para conformación de la lista, con el propósito de establecer el número de candidatos por cada partido o movimiento y la posición de los mismos al interior de la lista.</w:t>
            </w:r>
          </w:p>
        </w:tc>
        <w:tc>
          <w:tcPr>
            <w:tcW w:w="3798" w:type="dxa"/>
            <w:tcBorders>
              <w:top w:val="nil"/>
              <w:left w:val="nil"/>
              <w:bottom w:val="nil"/>
              <w:right w:val="single" w:sz="4" w:space="0" w:color="000000"/>
            </w:tcBorders>
            <w:shd w:val="clear" w:color="000000" w:fill="FFFFFF"/>
            <w:hideMark/>
          </w:tcPr>
          <w:p w14:paraId="3612E8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Las reglas para conformación de la lista, con el propósito de establecer el número de candidatos por cada partido o movimiento y la posición de los mismos al interior de la lista.</w:t>
            </w:r>
          </w:p>
        </w:tc>
        <w:tc>
          <w:tcPr>
            <w:tcW w:w="3798" w:type="dxa"/>
            <w:tcBorders>
              <w:top w:val="nil"/>
              <w:left w:val="nil"/>
              <w:bottom w:val="nil"/>
              <w:right w:val="single" w:sz="4" w:space="0" w:color="000000"/>
            </w:tcBorders>
            <w:shd w:val="clear" w:color="000000" w:fill="FFFFFF"/>
            <w:hideMark/>
          </w:tcPr>
          <w:p w14:paraId="0E5FE7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Las reglas para conformación de la lista, con el propósito de establecer el número de candidatos por cada partido o movimiento y la posición de los mismos al interior de la lista.</w:t>
            </w:r>
          </w:p>
        </w:tc>
        <w:tc>
          <w:tcPr>
            <w:tcW w:w="1480" w:type="dxa"/>
            <w:tcBorders>
              <w:top w:val="nil"/>
              <w:left w:val="nil"/>
              <w:bottom w:val="nil"/>
              <w:right w:val="single" w:sz="4" w:space="0" w:color="000000"/>
            </w:tcBorders>
            <w:shd w:val="clear" w:color="000000" w:fill="FFFFFF"/>
            <w:hideMark/>
          </w:tcPr>
          <w:p w14:paraId="10372A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681508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AE8D6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Reglas para la modificación de las listas y cumplimiento de la cuota entre mujeres y hombres.  </w:t>
            </w:r>
          </w:p>
        </w:tc>
        <w:tc>
          <w:tcPr>
            <w:tcW w:w="3798" w:type="dxa"/>
            <w:tcBorders>
              <w:top w:val="nil"/>
              <w:left w:val="nil"/>
              <w:bottom w:val="nil"/>
              <w:right w:val="single" w:sz="4" w:space="0" w:color="000000"/>
            </w:tcBorders>
            <w:shd w:val="clear" w:color="000000" w:fill="FFFFFF"/>
            <w:hideMark/>
          </w:tcPr>
          <w:p w14:paraId="616A3A3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Reglas para la modificación de las listas y cumplimiento de la cuota entre mujeres y hombres.</w:t>
            </w:r>
          </w:p>
        </w:tc>
        <w:tc>
          <w:tcPr>
            <w:tcW w:w="3798" w:type="dxa"/>
            <w:tcBorders>
              <w:top w:val="nil"/>
              <w:left w:val="nil"/>
              <w:bottom w:val="nil"/>
              <w:right w:val="single" w:sz="4" w:space="0" w:color="000000"/>
            </w:tcBorders>
            <w:shd w:val="clear" w:color="000000" w:fill="FFFFFF"/>
            <w:hideMark/>
          </w:tcPr>
          <w:p w14:paraId="43487E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Reglas para la modificación de las listas y cumplimiento de la cuota entre mujeres y hombres.</w:t>
            </w:r>
          </w:p>
        </w:tc>
        <w:tc>
          <w:tcPr>
            <w:tcW w:w="1480" w:type="dxa"/>
            <w:tcBorders>
              <w:top w:val="nil"/>
              <w:left w:val="nil"/>
              <w:bottom w:val="nil"/>
              <w:right w:val="single" w:sz="4" w:space="0" w:color="000000"/>
            </w:tcBorders>
            <w:shd w:val="clear" w:color="000000" w:fill="FFFFFF"/>
            <w:hideMark/>
          </w:tcPr>
          <w:p w14:paraId="4F3A9C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992C2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9FC03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Reglas para definir la asignación de vallas, cuñas radiales y demás publicidad </w:t>
            </w:r>
            <w:r w:rsidRPr="00222F34">
              <w:rPr>
                <w:rFonts w:ascii="Calibri" w:eastAsia="Times New Roman" w:hAnsi="Calibri" w:cs="Calibri"/>
                <w:color w:val="000000"/>
                <w:lang w:val="es-CO" w:eastAsia="es-CO" w:bidi="ar-SA"/>
              </w:rPr>
              <w:lastRenderedPageBreak/>
              <w:t xml:space="preserve">de la campaña, según la reglamentación del Consejo Nacional Electoral.  </w:t>
            </w:r>
          </w:p>
        </w:tc>
        <w:tc>
          <w:tcPr>
            <w:tcW w:w="3798" w:type="dxa"/>
            <w:tcBorders>
              <w:top w:val="nil"/>
              <w:left w:val="nil"/>
              <w:bottom w:val="nil"/>
              <w:right w:val="single" w:sz="4" w:space="0" w:color="000000"/>
            </w:tcBorders>
            <w:shd w:val="clear" w:color="000000" w:fill="FFFFFF"/>
            <w:hideMark/>
          </w:tcPr>
          <w:p w14:paraId="540DA4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Reglas para definir la asignación de vallas, cuñas radiales y demás publicidad </w:t>
            </w:r>
            <w:r w:rsidRPr="00222F34">
              <w:rPr>
                <w:rFonts w:ascii="Calibri" w:eastAsia="Times New Roman" w:hAnsi="Calibri" w:cs="Calibri"/>
                <w:color w:val="000000"/>
                <w:lang w:val="es-CO" w:eastAsia="es-CO" w:bidi="ar-SA"/>
              </w:rPr>
              <w:lastRenderedPageBreak/>
              <w:t>de la campaña, según la reglamentación del Consejo Nacional Electoral.</w:t>
            </w:r>
          </w:p>
        </w:tc>
        <w:tc>
          <w:tcPr>
            <w:tcW w:w="3798" w:type="dxa"/>
            <w:tcBorders>
              <w:top w:val="nil"/>
              <w:left w:val="nil"/>
              <w:bottom w:val="nil"/>
              <w:right w:val="single" w:sz="4" w:space="0" w:color="000000"/>
            </w:tcBorders>
            <w:shd w:val="clear" w:color="000000" w:fill="FFFFFF"/>
            <w:hideMark/>
          </w:tcPr>
          <w:p w14:paraId="2A65CA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Reglas para definir la asignación de vallas, cuñas radiales y demás publicidad </w:t>
            </w:r>
            <w:r w:rsidRPr="00222F34">
              <w:rPr>
                <w:rFonts w:ascii="Calibri" w:eastAsia="Times New Roman" w:hAnsi="Calibri" w:cs="Calibri"/>
                <w:color w:val="000000"/>
                <w:lang w:val="es-CO" w:eastAsia="es-CO" w:bidi="ar-SA"/>
              </w:rPr>
              <w:lastRenderedPageBreak/>
              <w:t>de la campaña, según la reglamentación del Consejo Nacional Electoral.</w:t>
            </w:r>
          </w:p>
        </w:tc>
        <w:tc>
          <w:tcPr>
            <w:tcW w:w="1480" w:type="dxa"/>
            <w:tcBorders>
              <w:top w:val="nil"/>
              <w:left w:val="nil"/>
              <w:bottom w:val="nil"/>
              <w:right w:val="single" w:sz="4" w:space="0" w:color="000000"/>
            </w:tcBorders>
            <w:shd w:val="clear" w:color="000000" w:fill="FFFFFF"/>
            <w:hideMark/>
          </w:tcPr>
          <w:p w14:paraId="1E0B4D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8A8314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9404C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Reglas para la presentación de informes de ingresos y gastos de la campaña según corresponda; y los mecanismos a través de los cuales se llevará a cabo la auditoría interna.  </w:t>
            </w:r>
          </w:p>
        </w:tc>
        <w:tc>
          <w:tcPr>
            <w:tcW w:w="3798" w:type="dxa"/>
            <w:tcBorders>
              <w:top w:val="nil"/>
              <w:left w:val="nil"/>
              <w:bottom w:val="nil"/>
              <w:right w:val="single" w:sz="4" w:space="0" w:color="000000"/>
            </w:tcBorders>
            <w:shd w:val="clear" w:color="000000" w:fill="FFFFFF"/>
            <w:hideMark/>
          </w:tcPr>
          <w:p w14:paraId="72B1A3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Reglas para la presentación de informes de ingresos y gastos de la campaña según corresponda; y los mecanismos a través de los cuales se llevará a cabo la auditoría interna.</w:t>
            </w:r>
          </w:p>
        </w:tc>
        <w:tc>
          <w:tcPr>
            <w:tcW w:w="3798" w:type="dxa"/>
            <w:tcBorders>
              <w:top w:val="nil"/>
              <w:left w:val="nil"/>
              <w:bottom w:val="nil"/>
              <w:right w:val="single" w:sz="4" w:space="0" w:color="000000"/>
            </w:tcBorders>
            <w:shd w:val="clear" w:color="000000" w:fill="FFFFFF"/>
            <w:hideMark/>
          </w:tcPr>
          <w:p w14:paraId="23E001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Reglas para la presentación de informes de ingresos y gastos de la campaña según corresponda; y los mecanismos a través de los cuales se llevará a cabo la auditoría interna.</w:t>
            </w:r>
          </w:p>
        </w:tc>
        <w:tc>
          <w:tcPr>
            <w:tcW w:w="1480" w:type="dxa"/>
            <w:tcBorders>
              <w:top w:val="nil"/>
              <w:left w:val="nil"/>
              <w:bottom w:val="nil"/>
              <w:right w:val="single" w:sz="4" w:space="0" w:color="000000"/>
            </w:tcBorders>
            <w:shd w:val="clear" w:color="000000" w:fill="FFFFFF"/>
            <w:hideMark/>
          </w:tcPr>
          <w:p w14:paraId="63B3ED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F0A908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7778A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Reglas en cuanto a la financiación de las campañas, incluyendo los anticipos y la forma como se distribuirá la reposición estatal de los gastos de campaña. y las previstas para hacer efectiva la póliza que trata el artículo 22 de la Ley 1475 de 2011 o norma que la modifique, adicione o derogue.</w:t>
            </w:r>
          </w:p>
        </w:tc>
        <w:tc>
          <w:tcPr>
            <w:tcW w:w="3798" w:type="dxa"/>
            <w:tcBorders>
              <w:top w:val="nil"/>
              <w:left w:val="nil"/>
              <w:bottom w:val="nil"/>
              <w:right w:val="single" w:sz="4" w:space="0" w:color="000000"/>
            </w:tcBorders>
            <w:shd w:val="clear" w:color="000000" w:fill="FFFFFF"/>
            <w:hideMark/>
          </w:tcPr>
          <w:p w14:paraId="00024C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Reglas en cuanto a la financiación de las campañas, incluyendo los anticipos y la forma como se distribuirá la reposición estatal de los gastos de campaña. y las previstas para hacer efectiva la póliza que trata el artículo 22 de la Ley 1475 de 2011 o norma que la modifique, adicione o derogue.</w:t>
            </w:r>
          </w:p>
        </w:tc>
        <w:tc>
          <w:tcPr>
            <w:tcW w:w="3798" w:type="dxa"/>
            <w:tcBorders>
              <w:top w:val="nil"/>
              <w:left w:val="nil"/>
              <w:bottom w:val="nil"/>
              <w:right w:val="single" w:sz="4" w:space="0" w:color="000000"/>
            </w:tcBorders>
            <w:shd w:val="clear" w:color="000000" w:fill="FFFFFF"/>
            <w:hideMark/>
          </w:tcPr>
          <w:p w14:paraId="734157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Reglas en cuanto a la financiación de las campañas, incluyendo los anticipos y la forma como se distribuirá la reposición estatal de los gastos de campaña. y las previstas para hacer efectiva la póliza que trata el artículo 22 de la Ley 1475 de 2011 o norma que la modifique, adicione o derogue.</w:t>
            </w:r>
          </w:p>
        </w:tc>
        <w:tc>
          <w:tcPr>
            <w:tcW w:w="1480" w:type="dxa"/>
            <w:tcBorders>
              <w:top w:val="nil"/>
              <w:left w:val="nil"/>
              <w:bottom w:val="nil"/>
              <w:right w:val="single" w:sz="4" w:space="0" w:color="000000"/>
            </w:tcBorders>
            <w:shd w:val="clear" w:color="000000" w:fill="FFFFFF"/>
            <w:hideMark/>
          </w:tcPr>
          <w:p w14:paraId="2CB88D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3D7E7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357D3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Responsabilidad que le asiste a cada organización política en los eventos en que se infrinja la normativa electoral.  </w:t>
            </w:r>
          </w:p>
        </w:tc>
        <w:tc>
          <w:tcPr>
            <w:tcW w:w="3798" w:type="dxa"/>
            <w:tcBorders>
              <w:top w:val="nil"/>
              <w:left w:val="nil"/>
              <w:bottom w:val="nil"/>
              <w:right w:val="single" w:sz="4" w:space="0" w:color="000000"/>
            </w:tcBorders>
            <w:shd w:val="clear" w:color="000000" w:fill="FFFFFF"/>
            <w:hideMark/>
          </w:tcPr>
          <w:p w14:paraId="2B55E5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Responsabilidad que le asiste a cada organización política en los eventos en que se infrinja la normativa electoral.</w:t>
            </w:r>
          </w:p>
        </w:tc>
        <w:tc>
          <w:tcPr>
            <w:tcW w:w="3798" w:type="dxa"/>
            <w:tcBorders>
              <w:top w:val="nil"/>
              <w:left w:val="nil"/>
              <w:bottom w:val="nil"/>
              <w:right w:val="single" w:sz="4" w:space="0" w:color="000000"/>
            </w:tcBorders>
            <w:shd w:val="clear" w:color="000000" w:fill="FFFFFF"/>
            <w:hideMark/>
          </w:tcPr>
          <w:p w14:paraId="193FB9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Responsabilidad que le asiste a cada organización política en los eventos en que se infrinja la normativa electoral.</w:t>
            </w:r>
          </w:p>
        </w:tc>
        <w:tc>
          <w:tcPr>
            <w:tcW w:w="1480" w:type="dxa"/>
            <w:tcBorders>
              <w:top w:val="nil"/>
              <w:left w:val="nil"/>
              <w:bottom w:val="nil"/>
              <w:right w:val="single" w:sz="4" w:space="0" w:color="000000"/>
            </w:tcBorders>
            <w:shd w:val="clear" w:color="000000" w:fill="FFFFFF"/>
            <w:hideMark/>
          </w:tcPr>
          <w:p w14:paraId="3CAADF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0F9038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C29D1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Reglas para la actuación de los elegidos en las correspondientes bancadas que suscriben el acuerdo.  </w:t>
            </w:r>
          </w:p>
        </w:tc>
        <w:tc>
          <w:tcPr>
            <w:tcW w:w="3798" w:type="dxa"/>
            <w:tcBorders>
              <w:top w:val="nil"/>
              <w:left w:val="nil"/>
              <w:bottom w:val="nil"/>
              <w:right w:val="single" w:sz="4" w:space="0" w:color="000000"/>
            </w:tcBorders>
            <w:shd w:val="clear" w:color="000000" w:fill="FFFFFF"/>
            <w:hideMark/>
          </w:tcPr>
          <w:p w14:paraId="3B4CA6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Reglas para la actuación de los elegidos en las correspondientes bancadas que suscriben el acuerdo.</w:t>
            </w:r>
          </w:p>
        </w:tc>
        <w:tc>
          <w:tcPr>
            <w:tcW w:w="3798" w:type="dxa"/>
            <w:tcBorders>
              <w:top w:val="nil"/>
              <w:left w:val="nil"/>
              <w:bottom w:val="nil"/>
              <w:right w:val="single" w:sz="4" w:space="0" w:color="000000"/>
            </w:tcBorders>
            <w:shd w:val="clear" w:color="000000" w:fill="FFFFFF"/>
            <w:hideMark/>
          </w:tcPr>
          <w:p w14:paraId="068E9E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Reglas para la actuación de los elegidos en las correspondientes bancadas que suscriben el acuerdo.</w:t>
            </w:r>
          </w:p>
        </w:tc>
        <w:tc>
          <w:tcPr>
            <w:tcW w:w="1480" w:type="dxa"/>
            <w:tcBorders>
              <w:top w:val="nil"/>
              <w:left w:val="nil"/>
              <w:bottom w:val="nil"/>
              <w:right w:val="single" w:sz="4" w:space="0" w:color="000000"/>
            </w:tcBorders>
            <w:shd w:val="clear" w:color="000000" w:fill="FFFFFF"/>
            <w:hideMark/>
          </w:tcPr>
          <w:p w14:paraId="28640A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97840F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C0842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Ubicación de los logos símbolos en la tarjeta electoral.  </w:t>
            </w:r>
          </w:p>
        </w:tc>
        <w:tc>
          <w:tcPr>
            <w:tcW w:w="3798" w:type="dxa"/>
            <w:tcBorders>
              <w:top w:val="nil"/>
              <w:left w:val="nil"/>
              <w:bottom w:val="nil"/>
              <w:right w:val="single" w:sz="4" w:space="0" w:color="000000"/>
            </w:tcBorders>
            <w:shd w:val="clear" w:color="000000" w:fill="FFFFFF"/>
            <w:hideMark/>
          </w:tcPr>
          <w:p w14:paraId="33DCE2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Ubicación de los logos símbolos en la tarjeta electoral.</w:t>
            </w:r>
          </w:p>
        </w:tc>
        <w:tc>
          <w:tcPr>
            <w:tcW w:w="3798" w:type="dxa"/>
            <w:tcBorders>
              <w:top w:val="nil"/>
              <w:left w:val="nil"/>
              <w:bottom w:val="nil"/>
              <w:right w:val="single" w:sz="4" w:space="0" w:color="000000"/>
            </w:tcBorders>
            <w:shd w:val="clear" w:color="000000" w:fill="FFFFFF"/>
            <w:hideMark/>
          </w:tcPr>
          <w:p w14:paraId="3BE150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Ubicación de los logos símbolos en la tarjeta electoral.</w:t>
            </w:r>
          </w:p>
        </w:tc>
        <w:tc>
          <w:tcPr>
            <w:tcW w:w="1480" w:type="dxa"/>
            <w:tcBorders>
              <w:top w:val="nil"/>
              <w:left w:val="nil"/>
              <w:bottom w:val="nil"/>
              <w:right w:val="single" w:sz="4" w:space="0" w:color="000000"/>
            </w:tcBorders>
            <w:shd w:val="clear" w:color="000000" w:fill="FFFFFF"/>
            <w:hideMark/>
          </w:tcPr>
          <w:p w14:paraId="4DD82E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EA9873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560212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Cada partido integrante de la coalición deberá cumplir con presentar los informes individuales y consolidados de los ingresos y gastos de campaña ante el Consejo Nacional Electoral de los candidatos que avalaron, </w:t>
            </w:r>
            <w:r w:rsidRPr="00222F34">
              <w:rPr>
                <w:rFonts w:ascii="Calibri" w:eastAsia="Times New Roman" w:hAnsi="Calibri" w:cs="Calibri"/>
                <w:color w:val="000000"/>
                <w:lang w:val="es-CO" w:eastAsia="es-CO" w:bidi="ar-SA"/>
              </w:rPr>
              <w:lastRenderedPageBreak/>
              <w:t xml:space="preserve">a través del mecanismo que este determine. </w:t>
            </w:r>
          </w:p>
        </w:tc>
        <w:tc>
          <w:tcPr>
            <w:tcW w:w="3798" w:type="dxa"/>
            <w:tcBorders>
              <w:top w:val="nil"/>
              <w:left w:val="nil"/>
              <w:bottom w:val="nil"/>
              <w:right w:val="single" w:sz="4" w:space="0" w:color="000000"/>
            </w:tcBorders>
            <w:shd w:val="clear" w:color="000000" w:fill="FFFFFF"/>
            <w:hideMark/>
          </w:tcPr>
          <w:p w14:paraId="23E40F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1. </w:t>
            </w:r>
            <w:r w:rsidRPr="00222F34">
              <w:rPr>
                <w:rFonts w:ascii="Calibri" w:eastAsia="Times New Roman" w:hAnsi="Calibri" w:cs="Calibri"/>
                <w:color w:val="000000"/>
                <w:lang w:val="es-CO" w:eastAsia="es-CO" w:bidi="ar-SA"/>
              </w:rPr>
              <w:t xml:space="preserve">Cada partido integrante de la coalición deberá cumplir con presentar los informes individuales y consolidados de los ingresos y gastos de campaña ante el Consejo Nacional Electoral de los candidatos que avalaron, </w:t>
            </w:r>
            <w:r w:rsidRPr="00222F34">
              <w:rPr>
                <w:rFonts w:ascii="Calibri" w:eastAsia="Times New Roman" w:hAnsi="Calibri" w:cs="Calibri"/>
                <w:color w:val="000000"/>
                <w:lang w:val="es-CO" w:eastAsia="es-CO" w:bidi="ar-SA"/>
              </w:rPr>
              <w:lastRenderedPageBreak/>
              <w:t>a través del mecanismo que este determine.</w:t>
            </w:r>
          </w:p>
        </w:tc>
        <w:tc>
          <w:tcPr>
            <w:tcW w:w="3798" w:type="dxa"/>
            <w:tcBorders>
              <w:top w:val="nil"/>
              <w:left w:val="nil"/>
              <w:bottom w:val="nil"/>
              <w:right w:val="single" w:sz="4" w:space="0" w:color="000000"/>
            </w:tcBorders>
            <w:shd w:val="clear" w:color="000000" w:fill="FFFFFF"/>
            <w:hideMark/>
          </w:tcPr>
          <w:p w14:paraId="7F35C4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1. </w:t>
            </w:r>
            <w:r w:rsidRPr="00222F34">
              <w:rPr>
                <w:rFonts w:ascii="Calibri" w:eastAsia="Times New Roman" w:hAnsi="Calibri" w:cs="Calibri"/>
                <w:color w:val="000000"/>
                <w:lang w:val="es-CO" w:eastAsia="es-CO" w:bidi="ar-SA"/>
              </w:rPr>
              <w:t xml:space="preserve">Cada partido integrante de la coalición deberá cumplir con presentar los informes individuales y consolidados de los ingresos y gastos de campaña ante el Consejo Nacional Electoral de los candidatos que avalaron, </w:t>
            </w:r>
            <w:r w:rsidRPr="00222F34">
              <w:rPr>
                <w:rFonts w:ascii="Calibri" w:eastAsia="Times New Roman" w:hAnsi="Calibri" w:cs="Calibri"/>
                <w:color w:val="000000"/>
                <w:lang w:val="es-CO" w:eastAsia="es-CO" w:bidi="ar-SA"/>
              </w:rPr>
              <w:lastRenderedPageBreak/>
              <w:t>a través del mecanismo que este determine.</w:t>
            </w:r>
          </w:p>
        </w:tc>
        <w:tc>
          <w:tcPr>
            <w:tcW w:w="1480" w:type="dxa"/>
            <w:tcBorders>
              <w:top w:val="nil"/>
              <w:left w:val="nil"/>
              <w:bottom w:val="nil"/>
              <w:right w:val="single" w:sz="4" w:space="0" w:color="000000"/>
            </w:tcBorders>
            <w:shd w:val="clear" w:color="000000" w:fill="FFFFFF"/>
            <w:hideMark/>
          </w:tcPr>
          <w:p w14:paraId="4CC438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4E6895CF" w14:textId="77777777" w:rsidTr="00222F34">
        <w:trPr>
          <w:trHeight w:val="2700"/>
        </w:trPr>
        <w:tc>
          <w:tcPr>
            <w:tcW w:w="3798" w:type="dxa"/>
            <w:tcBorders>
              <w:top w:val="nil"/>
              <w:left w:val="single" w:sz="4" w:space="0" w:color="000000"/>
              <w:bottom w:val="single" w:sz="4" w:space="0" w:color="000000"/>
              <w:right w:val="single" w:sz="4" w:space="0" w:color="000000"/>
            </w:tcBorders>
            <w:shd w:val="clear" w:color="000000" w:fill="FFFFFF"/>
            <w:hideMark/>
          </w:tcPr>
          <w:p w14:paraId="68B59BF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 o norma que la sustituya o modifique. </w:t>
            </w:r>
          </w:p>
        </w:tc>
        <w:tc>
          <w:tcPr>
            <w:tcW w:w="3798" w:type="dxa"/>
            <w:tcBorders>
              <w:top w:val="nil"/>
              <w:left w:val="nil"/>
              <w:bottom w:val="single" w:sz="4" w:space="0" w:color="000000"/>
              <w:right w:val="single" w:sz="4" w:space="0" w:color="000000"/>
            </w:tcBorders>
            <w:shd w:val="clear" w:color="000000" w:fill="FFFFFF"/>
            <w:hideMark/>
          </w:tcPr>
          <w:p w14:paraId="1A2DB2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 o norma que la sustituya o modifique.</w:t>
            </w:r>
          </w:p>
        </w:tc>
        <w:tc>
          <w:tcPr>
            <w:tcW w:w="3798" w:type="dxa"/>
            <w:tcBorders>
              <w:top w:val="nil"/>
              <w:left w:val="nil"/>
              <w:bottom w:val="single" w:sz="4" w:space="0" w:color="000000"/>
              <w:right w:val="single" w:sz="4" w:space="0" w:color="000000"/>
            </w:tcBorders>
            <w:shd w:val="clear" w:color="000000" w:fill="FFFFFF"/>
            <w:hideMark/>
          </w:tcPr>
          <w:p w14:paraId="6632C6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 o norma que la sustituya o modifique.</w:t>
            </w:r>
          </w:p>
        </w:tc>
        <w:tc>
          <w:tcPr>
            <w:tcW w:w="1480" w:type="dxa"/>
            <w:tcBorders>
              <w:top w:val="nil"/>
              <w:left w:val="nil"/>
              <w:bottom w:val="single" w:sz="4" w:space="0" w:color="000000"/>
              <w:right w:val="single" w:sz="4" w:space="0" w:color="000000"/>
            </w:tcBorders>
            <w:shd w:val="clear" w:color="000000" w:fill="FFFFFF"/>
            <w:hideMark/>
          </w:tcPr>
          <w:p w14:paraId="450791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1C71E6"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1D48052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76.- Carácter vinculante del acuerdo.</w:t>
            </w:r>
            <w:r w:rsidRPr="00222F34">
              <w:rPr>
                <w:rFonts w:ascii="Calibri" w:eastAsia="Times New Roman" w:hAnsi="Calibri" w:cs="Calibri"/>
                <w:color w:val="000000"/>
                <w:lang w:val="es-CO" w:eastAsia="es-CO" w:bidi="ar-SA"/>
              </w:rPr>
              <w:t xml:space="preserve"> La suscripción del acuerdo de coalición tiene carácter vinculante. Los partidos y movimientos políticos con personería jurídica y/o los grupos significativos de ciudadanos que </w:t>
            </w:r>
            <w:r w:rsidRPr="00222F34">
              <w:rPr>
                <w:rFonts w:ascii="Calibri" w:eastAsia="Times New Roman" w:hAnsi="Calibri" w:cs="Calibri"/>
                <w:color w:val="000000"/>
                <w:lang w:val="es-CO" w:eastAsia="es-CO" w:bidi="ar-SA"/>
              </w:rPr>
              <w:lastRenderedPageBreak/>
              <w:t xml:space="preserve">suscriban el acuerdo de coalición se obligan a cumplir las estipulaciones del mismo. El incumplimiento del acuerdo tendrá las sanciones establecidas en la normativa vigente por el Consejo Nacional Electoral. </w:t>
            </w:r>
          </w:p>
        </w:tc>
        <w:tc>
          <w:tcPr>
            <w:tcW w:w="3798" w:type="dxa"/>
            <w:tcBorders>
              <w:top w:val="nil"/>
              <w:left w:val="nil"/>
              <w:bottom w:val="single" w:sz="4" w:space="0" w:color="000000"/>
              <w:right w:val="single" w:sz="4" w:space="0" w:color="000000"/>
            </w:tcBorders>
            <w:shd w:val="clear" w:color="000000" w:fill="FFFFFF"/>
            <w:hideMark/>
          </w:tcPr>
          <w:p w14:paraId="6EF9C8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80. Carácter vinculante del acuerdo.</w:t>
            </w:r>
            <w:r w:rsidRPr="00222F34">
              <w:rPr>
                <w:rFonts w:ascii="Calibri" w:eastAsia="Times New Roman" w:hAnsi="Calibri" w:cs="Calibri"/>
                <w:color w:val="000000"/>
                <w:lang w:val="es-CO" w:eastAsia="es-CO" w:bidi="ar-SA"/>
              </w:rPr>
              <w:t xml:space="preserve"> La suscripción del acuerdo de coalición tiene carácter vinculante. Los partidos y movimientos políticos con personería jurídica y/o los grupos significativos de ciudadanos que </w:t>
            </w:r>
            <w:r w:rsidRPr="00222F34">
              <w:rPr>
                <w:rFonts w:ascii="Calibri" w:eastAsia="Times New Roman" w:hAnsi="Calibri" w:cs="Calibri"/>
                <w:color w:val="000000"/>
                <w:lang w:val="es-CO" w:eastAsia="es-CO" w:bidi="ar-SA"/>
              </w:rPr>
              <w:lastRenderedPageBreak/>
              <w:t>suscriban el acuerdo de coalición se obligan a cumplir las estipulaciones del mismo. El incumplimiento del acuerdo tendrá las sanciones establecidas en la normativa vigente por el Consejo Nacional Electoral.</w:t>
            </w:r>
          </w:p>
        </w:tc>
        <w:tc>
          <w:tcPr>
            <w:tcW w:w="3798" w:type="dxa"/>
            <w:tcBorders>
              <w:top w:val="nil"/>
              <w:left w:val="nil"/>
              <w:bottom w:val="single" w:sz="4" w:space="0" w:color="000000"/>
              <w:right w:val="single" w:sz="4" w:space="0" w:color="000000"/>
            </w:tcBorders>
            <w:shd w:val="clear" w:color="000000" w:fill="FFFFFF"/>
            <w:hideMark/>
          </w:tcPr>
          <w:p w14:paraId="7F8E17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80. Carácter vinculante del acuerdo.</w:t>
            </w:r>
            <w:r w:rsidRPr="00222F34">
              <w:rPr>
                <w:rFonts w:ascii="Calibri" w:eastAsia="Times New Roman" w:hAnsi="Calibri" w:cs="Calibri"/>
                <w:color w:val="000000"/>
                <w:lang w:val="es-CO" w:eastAsia="es-CO" w:bidi="ar-SA"/>
              </w:rPr>
              <w:t xml:space="preserve"> La suscripción del acuerdo de coalición tiene carácter vinculante. Los partidos y movimientos políticos con personería jurídica y/o los grupos significativos de ciudadanos que </w:t>
            </w:r>
            <w:r w:rsidRPr="00222F34">
              <w:rPr>
                <w:rFonts w:ascii="Calibri" w:eastAsia="Times New Roman" w:hAnsi="Calibri" w:cs="Calibri"/>
                <w:color w:val="000000"/>
                <w:lang w:val="es-CO" w:eastAsia="es-CO" w:bidi="ar-SA"/>
              </w:rPr>
              <w:lastRenderedPageBreak/>
              <w:t>suscriban el acuerdo de coalición se obligan a cumplir las estipulaciones del mismo. El incumplimiento del acuerdo tendrá las sanciones establecidas en la normativa vigente por el Consejo Nacional Electoral.</w:t>
            </w:r>
          </w:p>
        </w:tc>
        <w:tc>
          <w:tcPr>
            <w:tcW w:w="1480" w:type="dxa"/>
            <w:tcBorders>
              <w:top w:val="nil"/>
              <w:left w:val="nil"/>
              <w:bottom w:val="nil"/>
              <w:right w:val="single" w:sz="4" w:space="0" w:color="000000"/>
            </w:tcBorders>
            <w:shd w:val="clear" w:color="000000" w:fill="FFFFFF"/>
            <w:hideMark/>
          </w:tcPr>
          <w:p w14:paraId="092059AA" w14:textId="778C9EA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6179CF3"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134A65A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77.- Cuota de paridad entre mujeres y hombres.</w:t>
            </w:r>
            <w:r w:rsidRPr="00222F34">
              <w:rPr>
                <w:rFonts w:ascii="Calibri" w:eastAsia="Times New Roman" w:hAnsi="Calibri" w:cs="Calibri"/>
                <w:color w:val="000000"/>
                <w:lang w:val="es-CO" w:eastAsia="es-CO" w:bidi="ar-SA"/>
              </w:rPr>
              <w:t xml:space="preserve"> En atención a la aplicación progresiva de los principios de paridad, alternancia y universalidad consagrados en los artículos 40, 107 y 262 de la Constitución Política; en las listas donde se elijan corporaciones de elección popular o las que se sometan a consulta, a excepción de su resultado, incluyendo aquellas relativas a la elección de directivos, cuando las agrupaciones políticas opten por este mecanismo para elección, deberán conformarse por un mínimo de cincuenta por ciento (50%) de mujeres, sobre el número de candidatos inscritos a la corporación que se pretenda postular.  </w:t>
            </w:r>
          </w:p>
        </w:tc>
        <w:tc>
          <w:tcPr>
            <w:tcW w:w="3798" w:type="dxa"/>
            <w:tcBorders>
              <w:top w:val="nil"/>
              <w:left w:val="nil"/>
              <w:bottom w:val="nil"/>
              <w:right w:val="single" w:sz="4" w:space="0" w:color="000000"/>
            </w:tcBorders>
            <w:shd w:val="clear" w:color="FF0000" w:fill="FFFFFF"/>
            <w:hideMark/>
          </w:tcPr>
          <w:p w14:paraId="282AEDD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eliminado.</w:t>
            </w:r>
          </w:p>
        </w:tc>
        <w:tc>
          <w:tcPr>
            <w:tcW w:w="3798" w:type="dxa"/>
            <w:tcBorders>
              <w:top w:val="nil"/>
              <w:left w:val="nil"/>
              <w:bottom w:val="nil"/>
              <w:right w:val="single" w:sz="4" w:space="0" w:color="000000"/>
            </w:tcBorders>
            <w:shd w:val="clear" w:color="FF0000" w:fill="FFFFFF"/>
            <w:hideMark/>
          </w:tcPr>
          <w:p w14:paraId="11F25A92" w14:textId="2E559D1D"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81. </w:t>
            </w:r>
            <w:r>
              <w:rPr>
                <w:rFonts w:ascii="Calibri" w:eastAsia="Times New Roman" w:hAnsi="Calibri" w:cs="Calibri"/>
                <w:b/>
                <w:bCs/>
                <w:color w:val="000000"/>
                <w:lang w:val="es-CO" w:eastAsia="es-CO" w:bidi="ar-SA"/>
              </w:rPr>
              <w:t>A</w:t>
            </w:r>
            <w:r w:rsidRPr="00222F34">
              <w:rPr>
                <w:rFonts w:ascii="Calibri" w:eastAsia="Times New Roman" w:hAnsi="Calibri" w:cs="Calibri"/>
                <w:b/>
                <w:bCs/>
                <w:color w:val="000000"/>
                <w:lang w:val="es-CO" w:eastAsia="es-CO" w:bidi="ar-SA"/>
              </w:rPr>
              <w:t>rtículo</w:t>
            </w:r>
            <w:r>
              <w:rPr>
                <w:rFonts w:ascii="Calibri" w:eastAsia="Times New Roman" w:hAnsi="Calibri" w:cs="Calibri"/>
                <w:b/>
                <w:bCs/>
                <w:color w:val="000000"/>
                <w:lang w:val="es-CO" w:eastAsia="es-CO" w:bidi="ar-SA"/>
              </w:rPr>
              <w:t xml:space="preserve"> eliminado</w:t>
            </w:r>
            <w:r w:rsidRPr="00222F34">
              <w:rPr>
                <w:rFonts w:ascii="Calibri" w:eastAsia="Times New Roman" w:hAnsi="Calibri" w:cs="Calibri"/>
                <w:b/>
                <w:bCs/>
                <w:color w:val="000000"/>
                <w:lang w:val="es-CO" w:eastAsia="es-CO" w:bidi="ar-SA"/>
              </w:rPr>
              <w:t>.</w:t>
            </w:r>
          </w:p>
        </w:tc>
        <w:tc>
          <w:tcPr>
            <w:tcW w:w="1480" w:type="dxa"/>
            <w:tcBorders>
              <w:top w:val="single" w:sz="4" w:space="0" w:color="000000"/>
              <w:left w:val="nil"/>
              <w:bottom w:val="nil"/>
              <w:right w:val="single" w:sz="4" w:space="0" w:color="000000"/>
            </w:tcBorders>
            <w:shd w:val="clear" w:color="000000" w:fill="FFFFFF"/>
            <w:hideMark/>
          </w:tcPr>
          <w:p w14:paraId="19895F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D9DE1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2ECDE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las circunscripciones electorales o en las listas de candidatos, cuando el número de integrantes sea impar, la diferencia entre el total de hombres y mujeres no podrá ser superior a uno.</w:t>
            </w:r>
          </w:p>
        </w:tc>
        <w:tc>
          <w:tcPr>
            <w:tcW w:w="3798" w:type="dxa"/>
            <w:tcBorders>
              <w:top w:val="nil"/>
              <w:left w:val="nil"/>
              <w:bottom w:val="nil"/>
              <w:right w:val="single" w:sz="4" w:space="0" w:color="000000"/>
            </w:tcBorders>
            <w:shd w:val="clear" w:color="FF0000" w:fill="FFFFFF"/>
            <w:hideMark/>
          </w:tcPr>
          <w:p w14:paraId="241E1F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FF0000" w:fill="FFFFFF"/>
            <w:hideMark/>
          </w:tcPr>
          <w:p w14:paraId="329B9C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16C56C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D14D0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72A9A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Tratándose de las circunscripciones especiales, con el fin de garantizar la paridad, uno de los candidatos deberá ser mujer.  Excepto para la elección de congresistas por las circunscripciones especiales de minorías étnicas.</w:t>
            </w:r>
          </w:p>
        </w:tc>
        <w:tc>
          <w:tcPr>
            <w:tcW w:w="3798" w:type="dxa"/>
            <w:tcBorders>
              <w:top w:val="nil"/>
              <w:left w:val="nil"/>
              <w:bottom w:val="nil"/>
              <w:right w:val="single" w:sz="4" w:space="0" w:color="000000"/>
            </w:tcBorders>
            <w:shd w:val="clear" w:color="FF0000" w:fill="FFFFFF"/>
            <w:hideMark/>
          </w:tcPr>
          <w:p w14:paraId="3883B6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FF0000" w:fill="FFFFFF"/>
            <w:hideMark/>
          </w:tcPr>
          <w:p w14:paraId="3005B8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66741E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C12500D"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6B8483E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Constituirá como causal de revocatoria de inscripción las listas que no cumplan con la cuota de paridad entre mujeres y hombres, estipulada en el presente artículo. Lo anterior, sin perjuicio de las sanciones disciplinarias o multas que se puedan interponer a las agrupaciones políticas ante este incumplimiento.</w:t>
            </w:r>
          </w:p>
        </w:tc>
        <w:tc>
          <w:tcPr>
            <w:tcW w:w="3798" w:type="dxa"/>
            <w:tcBorders>
              <w:top w:val="nil"/>
              <w:left w:val="nil"/>
              <w:bottom w:val="single" w:sz="4" w:space="0" w:color="000000"/>
              <w:right w:val="single" w:sz="4" w:space="0" w:color="000000"/>
            </w:tcBorders>
            <w:shd w:val="clear" w:color="FF0000" w:fill="FFFFFF"/>
            <w:hideMark/>
          </w:tcPr>
          <w:p w14:paraId="55C4C2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FF0000" w:fill="FFFFFF"/>
            <w:hideMark/>
          </w:tcPr>
          <w:p w14:paraId="785A3E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391880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A9A461"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6595EE2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78.- Inclusión de comunidades.</w:t>
            </w:r>
            <w:r w:rsidRPr="00222F34">
              <w:rPr>
                <w:rFonts w:ascii="Calibri" w:eastAsia="Times New Roman" w:hAnsi="Calibri" w:cs="Calibri"/>
                <w:color w:val="000000"/>
                <w:lang w:val="es-CO" w:eastAsia="es-CO" w:bidi="ar-SA"/>
              </w:rPr>
              <w:t xml:space="preserve"> Las organizaciones políticas, de conformidad con sus estatutos, podrán propiciar mecanismos de democracia interna que promuevan la inclusión de los sujetos de especial protección constitucional y población que el partido político considere en la selección de sus candidaturas, así como en sus órganos de gobierno, dirección, control y administración. </w:t>
            </w:r>
          </w:p>
        </w:tc>
        <w:tc>
          <w:tcPr>
            <w:tcW w:w="3798" w:type="dxa"/>
            <w:tcBorders>
              <w:top w:val="nil"/>
              <w:left w:val="nil"/>
              <w:bottom w:val="single" w:sz="4" w:space="0" w:color="000000"/>
              <w:right w:val="single" w:sz="4" w:space="0" w:color="000000"/>
            </w:tcBorders>
            <w:shd w:val="clear" w:color="000000" w:fill="FFFFFF"/>
            <w:hideMark/>
          </w:tcPr>
          <w:p w14:paraId="43DED3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82. Inclusión de comunidades</w:t>
            </w:r>
            <w:r w:rsidRPr="00222F34">
              <w:rPr>
                <w:rFonts w:ascii="Calibri" w:eastAsia="Times New Roman" w:hAnsi="Calibri" w:cs="Calibri"/>
                <w:color w:val="000000"/>
                <w:lang w:val="es-CO" w:eastAsia="es-CO" w:bidi="ar-SA"/>
              </w:rPr>
              <w:t>. Las organizaciones políticas, de conformidad con sus estatutos, podrán propiciar mecanismos de democracia interna que promuevan la inclusión de los sujetos de especial protección constitucional y población que el partido político considere en la selección de sus candidaturas, así como en sus órganos de gobierno, dirección, control y administración.</w:t>
            </w:r>
          </w:p>
        </w:tc>
        <w:tc>
          <w:tcPr>
            <w:tcW w:w="3798" w:type="dxa"/>
            <w:tcBorders>
              <w:top w:val="nil"/>
              <w:left w:val="nil"/>
              <w:bottom w:val="single" w:sz="4" w:space="0" w:color="000000"/>
              <w:right w:val="single" w:sz="4" w:space="0" w:color="000000"/>
            </w:tcBorders>
            <w:shd w:val="clear" w:color="000000" w:fill="FFFFFF"/>
            <w:hideMark/>
          </w:tcPr>
          <w:p w14:paraId="566DFD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82. Inclusión de comunidades</w:t>
            </w:r>
            <w:r w:rsidRPr="00222F34">
              <w:rPr>
                <w:rFonts w:ascii="Calibri" w:eastAsia="Times New Roman" w:hAnsi="Calibri" w:cs="Calibri"/>
                <w:color w:val="000000"/>
                <w:lang w:val="es-CO" w:eastAsia="es-CO" w:bidi="ar-SA"/>
              </w:rPr>
              <w:t>. Las organizaciones políticas, de conformidad con sus estatutos, podrán propiciar mecanismos de democracia interna que promuevan la inclusión de los sujetos de especial protección constitucional y población que el partido político considere en la selección de sus candidaturas, así como en sus órganos de gobierno, dirección, control y administración.</w:t>
            </w:r>
          </w:p>
        </w:tc>
        <w:tc>
          <w:tcPr>
            <w:tcW w:w="1480" w:type="dxa"/>
            <w:tcBorders>
              <w:top w:val="nil"/>
              <w:left w:val="nil"/>
              <w:bottom w:val="single" w:sz="4" w:space="0" w:color="000000"/>
              <w:right w:val="single" w:sz="4" w:space="0" w:color="000000"/>
            </w:tcBorders>
            <w:shd w:val="clear" w:color="000000" w:fill="FFFFFF"/>
            <w:hideMark/>
          </w:tcPr>
          <w:p w14:paraId="54B57DD8" w14:textId="5805E87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17BDA17"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414001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79. Promotores del voto en blanco.</w:t>
            </w:r>
            <w:r w:rsidRPr="00222F34">
              <w:rPr>
                <w:rFonts w:ascii="Calibri" w:eastAsia="Times New Roman" w:hAnsi="Calibri" w:cs="Calibri"/>
                <w:color w:val="000000"/>
                <w:lang w:val="es-CO" w:eastAsia="es-CO" w:bidi="ar-SA"/>
              </w:rPr>
              <w:t xml:space="preserve"> 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 </w:t>
            </w:r>
          </w:p>
        </w:tc>
        <w:tc>
          <w:tcPr>
            <w:tcW w:w="3798" w:type="dxa"/>
            <w:tcBorders>
              <w:top w:val="nil"/>
              <w:left w:val="nil"/>
              <w:bottom w:val="nil"/>
              <w:right w:val="single" w:sz="4" w:space="0" w:color="000000"/>
            </w:tcBorders>
            <w:shd w:val="clear" w:color="000000" w:fill="FFFFFF"/>
            <w:hideMark/>
          </w:tcPr>
          <w:p w14:paraId="3E537C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83. Promotores del voto en blanco.</w:t>
            </w:r>
            <w:r w:rsidRPr="00222F34">
              <w:rPr>
                <w:rFonts w:ascii="Calibri" w:eastAsia="Times New Roman" w:hAnsi="Calibri" w:cs="Calibri"/>
                <w:color w:val="000000"/>
                <w:lang w:val="es-CO" w:eastAsia="es-CO" w:bidi="ar-SA"/>
              </w:rPr>
              <w:t xml:space="preserve"> 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p>
        </w:tc>
        <w:tc>
          <w:tcPr>
            <w:tcW w:w="3798" w:type="dxa"/>
            <w:tcBorders>
              <w:top w:val="nil"/>
              <w:left w:val="nil"/>
              <w:bottom w:val="nil"/>
              <w:right w:val="single" w:sz="4" w:space="0" w:color="000000"/>
            </w:tcBorders>
            <w:shd w:val="clear" w:color="000000" w:fill="FFFFFF"/>
            <w:hideMark/>
          </w:tcPr>
          <w:p w14:paraId="23D8F2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83. Promotores del voto en blanco.</w:t>
            </w:r>
            <w:r w:rsidRPr="00222F34">
              <w:rPr>
                <w:rFonts w:ascii="Calibri" w:eastAsia="Times New Roman" w:hAnsi="Calibri" w:cs="Calibri"/>
                <w:color w:val="000000"/>
                <w:lang w:val="es-CO" w:eastAsia="es-CO" w:bidi="ar-SA"/>
              </w:rPr>
              <w:t xml:space="preserve"> 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p>
        </w:tc>
        <w:tc>
          <w:tcPr>
            <w:tcW w:w="1480" w:type="dxa"/>
            <w:tcBorders>
              <w:top w:val="nil"/>
              <w:left w:val="nil"/>
              <w:bottom w:val="nil"/>
              <w:right w:val="single" w:sz="4" w:space="0" w:color="000000"/>
            </w:tcBorders>
            <w:shd w:val="clear" w:color="000000" w:fill="FFFFFF"/>
            <w:hideMark/>
          </w:tcPr>
          <w:p w14:paraId="54E00710" w14:textId="0D43ADF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ADB763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76A5FB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diseñará el formulario de inscripción con los requisitos para los comités promotores del voto en blanco. </w:t>
            </w:r>
          </w:p>
        </w:tc>
        <w:tc>
          <w:tcPr>
            <w:tcW w:w="3798" w:type="dxa"/>
            <w:tcBorders>
              <w:top w:val="nil"/>
              <w:left w:val="nil"/>
              <w:bottom w:val="nil"/>
              <w:right w:val="single" w:sz="4" w:space="0" w:color="000000"/>
            </w:tcBorders>
            <w:shd w:val="clear" w:color="000000" w:fill="FFFFFF"/>
            <w:hideMark/>
          </w:tcPr>
          <w:p w14:paraId="46E62A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diseñará el formulario de inscripción con los requisitos para los comités promotores del voto en blanco.</w:t>
            </w:r>
          </w:p>
        </w:tc>
        <w:tc>
          <w:tcPr>
            <w:tcW w:w="3798" w:type="dxa"/>
            <w:tcBorders>
              <w:top w:val="nil"/>
              <w:left w:val="nil"/>
              <w:bottom w:val="nil"/>
              <w:right w:val="single" w:sz="4" w:space="0" w:color="000000"/>
            </w:tcBorders>
            <w:shd w:val="clear" w:color="000000" w:fill="FFFFFF"/>
            <w:hideMark/>
          </w:tcPr>
          <w:p w14:paraId="06F832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diseñará el formulario de inscripción con los requisitos para los comités promotores del voto en blanco.</w:t>
            </w:r>
          </w:p>
        </w:tc>
        <w:tc>
          <w:tcPr>
            <w:tcW w:w="1480" w:type="dxa"/>
            <w:tcBorders>
              <w:top w:val="nil"/>
              <w:left w:val="nil"/>
              <w:bottom w:val="nil"/>
              <w:right w:val="single" w:sz="4" w:space="0" w:color="000000"/>
            </w:tcBorders>
            <w:shd w:val="clear" w:color="000000" w:fill="FFFFFF"/>
            <w:hideMark/>
          </w:tcPr>
          <w:p w14:paraId="7ABE1F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064495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05372A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 fin. </w:t>
            </w:r>
          </w:p>
        </w:tc>
        <w:tc>
          <w:tcPr>
            <w:tcW w:w="3798" w:type="dxa"/>
            <w:tcBorders>
              <w:top w:val="nil"/>
              <w:left w:val="nil"/>
              <w:bottom w:val="nil"/>
              <w:right w:val="single" w:sz="4" w:space="0" w:color="000000"/>
            </w:tcBorders>
            <w:shd w:val="clear" w:color="000000" w:fill="FFFFFF"/>
            <w:hideMark/>
          </w:tcPr>
          <w:p w14:paraId="1C6233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 fin.</w:t>
            </w:r>
          </w:p>
        </w:tc>
        <w:tc>
          <w:tcPr>
            <w:tcW w:w="3798" w:type="dxa"/>
            <w:tcBorders>
              <w:top w:val="nil"/>
              <w:left w:val="nil"/>
              <w:bottom w:val="nil"/>
              <w:right w:val="single" w:sz="4" w:space="0" w:color="000000"/>
            </w:tcBorders>
            <w:shd w:val="clear" w:color="000000" w:fill="FFFFFF"/>
            <w:hideMark/>
          </w:tcPr>
          <w:p w14:paraId="7E6196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 fin.</w:t>
            </w:r>
          </w:p>
        </w:tc>
        <w:tc>
          <w:tcPr>
            <w:tcW w:w="1480" w:type="dxa"/>
            <w:tcBorders>
              <w:top w:val="nil"/>
              <w:left w:val="nil"/>
              <w:bottom w:val="nil"/>
              <w:right w:val="single" w:sz="4" w:space="0" w:color="000000"/>
            </w:tcBorders>
            <w:shd w:val="clear" w:color="000000" w:fill="FFFFFF"/>
            <w:hideMark/>
          </w:tcPr>
          <w:p w14:paraId="00D682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72F1A2"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625E4CC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las tarjetas electorales habrá una sola casilla del voto en blanco que será la que los comités podrán difundir o promover. </w:t>
            </w:r>
          </w:p>
        </w:tc>
        <w:tc>
          <w:tcPr>
            <w:tcW w:w="3798" w:type="dxa"/>
            <w:tcBorders>
              <w:top w:val="nil"/>
              <w:left w:val="nil"/>
              <w:bottom w:val="single" w:sz="4" w:space="0" w:color="000000"/>
              <w:right w:val="single" w:sz="4" w:space="0" w:color="000000"/>
            </w:tcBorders>
            <w:shd w:val="clear" w:color="000000" w:fill="FFFFFF"/>
            <w:hideMark/>
          </w:tcPr>
          <w:p w14:paraId="56B50A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En las tarjetas electorales habrá una sola casilla del voto en blanco que será la que los comités podrán difundir o promover.</w:t>
            </w:r>
          </w:p>
        </w:tc>
        <w:tc>
          <w:tcPr>
            <w:tcW w:w="3798" w:type="dxa"/>
            <w:tcBorders>
              <w:top w:val="nil"/>
              <w:left w:val="nil"/>
              <w:bottom w:val="single" w:sz="4" w:space="0" w:color="000000"/>
              <w:right w:val="single" w:sz="4" w:space="0" w:color="000000"/>
            </w:tcBorders>
            <w:shd w:val="clear" w:color="000000" w:fill="FFFFFF"/>
            <w:hideMark/>
          </w:tcPr>
          <w:p w14:paraId="7A57E2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En las tarjetas electorales habrá una sola casilla del voto en blanco que será la que los comités podrán difundir o promover.</w:t>
            </w:r>
          </w:p>
        </w:tc>
        <w:tc>
          <w:tcPr>
            <w:tcW w:w="1480" w:type="dxa"/>
            <w:tcBorders>
              <w:top w:val="nil"/>
              <w:left w:val="nil"/>
              <w:bottom w:val="single" w:sz="4" w:space="0" w:color="000000"/>
              <w:right w:val="single" w:sz="4" w:space="0" w:color="000000"/>
            </w:tcBorders>
            <w:shd w:val="clear" w:color="000000" w:fill="FFFFFF"/>
            <w:hideMark/>
          </w:tcPr>
          <w:p w14:paraId="18AA04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549FF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DACA58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80.- Aceptación de la solicitud de inscripción.</w:t>
            </w:r>
            <w:r w:rsidRPr="00222F34">
              <w:rPr>
                <w:rFonts w:ascii="Calibri" w:eastAsia="Times New Roman" w:hAnsi="Calibri" w:cs="Calibri"/>
                <w:color w:val="000000"/>
                <w:lang w:val="es-CO" w:eastAsia="es-CO" w:bidi="ar-SA"/>
              </w:rPr>
              <w:t xml:space="preserve"> 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En caso contrario, no los suscribirá. </w:t>
            </w:r>
          </w:p>
        </w:tc>
        <w:tc>
          <w:tcPr>
            <w:tcW w:w="3798" w:type="dxa"/>
            <w:tcBorders>
              <w:top w:val="nil"/>
              <w:left w:val="nil"/>
              <w:bottom w:val="nil"/>
              <w:right w:val="single" w:sz="4" w:space="0" w:color="000000"/>
            </w:tcBorders>
            <w:shd w:val="clear" w:color="000000" w:fill="FFFFFF"/>
            <w:hideMark/>
          </w:tcPr>
          <w:p w14:paraId="7356DF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84. Aceptación de la solicitud de inscripción.</w:t>
            </w:r>
            <w:r w:rsidRPr="00222F34">
              <w:rPr>
                <w:rFonts w:ascii="Calibri" w:eastAsia="Times New Roman" w:hAnsi="Calibri" w:cs="Calibri"/>
                <w:color w:val="000000"/>
                <w:lang w:val="es-CO" w:eastAsia="es-CO" w:bidi="ar-SA"/>
              </w:rPr>
              <w:t xml:space="preserve"> 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En caso contrario, no los suscribirá.</w:t>
            </w:r>
          </w:p>
        </w:tc>
        <w:tc>
          <w:tcPr>
            <w:tcW w:w="3798" w:type="dxa"/>
            <w:tcBorders>
              <w:top w:val="nil"/>
              <w:left w:val="nil"/>
              <w:bottom w:val="nil"/>
              <w:right w:val="single" w:sz="4" w:space="0" w:color="000000"/>
            </w:tcBorders>
            <w:shd w:val="clear" w:color="000000" w:fill="FFFFFF"/>
            <w:hideMark/>
          </w:tcPr>
          <w:p w14:paraId="66B883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84. Aceptación de la solicitud de inscripción.</w:t>
            </w:r>
            <w:r w:rsidRPr="00222F34">
              <w:rPr>
                <w:rFonts w:ascii="Calibri" w:eastAsia="Times New Roman" w:hAnsi="Calibri" w:cs="Calibri"/>
                <w:color w:val="000000"/>
                <w:lang w:val="es-CO" w:eastAsia="es-CO" w:bidi="ar-SA"/>
              </w:rPr>
              <w:t xml:space="preserve"> 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En caso contrario, no los suscribirá.</w:t>
            </w:r>
          </w:p>
        </w:tc>
        <w:tc>
          <w:tcPr>
            <w:tcW w:w="1480" w:type="dxa"/>
            <w:tcBorders>
              <w:top w:val="nil"/>
              <w:left w:val="nil"/>
              <w:bottom w:val="nil"/>
              <w:right w:val="single" w:sz="4" w:space="0" w:color="000000"/>
            </w:tcBorders>
            <w:shd w:val="clear" w:color="000000" w:fill="FFFFFF"/>
            <w:hideMark/>
          </w:tcPr>
          <w:p w14:paraId="4FA3C1F4" w14:textId="5F05335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2580C28" w14:textId="77777777" w:rsidTr="00222F34">
        <w:trPr>
          <w:trHeight w:val="1800"/>
        </w:trPr>
        <w:tc>
          <w:tcPr>
            <w:tcW w:w="3798" w:type="dxa"/>
            <w:tcBorders>
              <w:top w:val="single" w:sz="4" w:space="0" w:color="000000"/>
              <w:left w:val="single" w:sz="4" w:space="0" w:color="000000"/>
              <w:bottom w:val="nil"/>
              <w:right w:val="single" w:sz="4" w:space="0" w:color="000000"/>
            </w:tcBorders>
            <w:shd w:val="clear" w:color="000000" w:fill="FFFFFF"/>
            <w:hideMark/>
          </w:tcPr>
          <w:p w14:paraId="418A411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81. Requisitos especiales para la aceptación de candidaturas.</w:t>
            </w:r>
            <w:r w:rsidRPr="00222F34">
              <w:rPr>
                <w:rFonts w:ascii="Calibri" w:eastAsia="Times New Roman" w:hAnsi="Calibri" w:cs="Calibri"/>
                <w:color w:val="000000"/>
                <w:lang w:val="es-CO" w:eastAsia="es-CO" w:bidi="ar-SA"/>
              </w:rPr>
              <w:t xml:space="preserve"> 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Con su aceptación, el candidato declara: </w:t>
            </w:r>
          </w:p>
        </w:tc>
        <w:tc>
          <w:tcPr>
            <w:tcW w:w="3798" w:type="dxa"/>
            <w:tcBorders>
              <w:top w:val="single" w:sz="4" w:space="0" w:color="000000"/>
              <w:left w:val="nil"/>
              <w:bottom w:val="nil"/>
              <w:right w:val="single" w:sz="4" w:space="0" w:color="000000"/>
            </w:tcBorders>
            <w:shd w:val="clear" w:color="000000" w:fill="FFFFFF"/>
            <w:hideMark/>
          </w:tcPr>
          <w:p w14:paraId="6FEEFD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85. Requisitos especiales para la aceptación de candidaturas.</w:t>
            </w:r>
            <w:r w:rsidRPr="00222F34">
              <w:rPr>
                <w:rFonts w:ascii="Calibri" w:eastAsia="Times New Roman" w:hAnsi="Calibri" w:cs="Calibri"/>
                <w:color w:val="000000"/>
                <w:lang w:val="es-CO" w:eastAsia="es-CO" w:bidi="ar-SA"/>
              </w:rPr>
              <w:t xml:space="preserve"> 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Con su aceptación, el candidato declara:</w:t>
            </w:r>
          </w:p>
        </w:tc>
        <w:tc>
          <w:tcPr>
            <w:tcW w:w="3798" w:type="dxa"/>
            <w:tcBorders>
              <w:top w:val="single" w:sz="4" w:space="0" w:color="000000"/>
              <w:left w:val="nil"/>
              <w:bottom w:val="nil"/>
              <w:right w:val="single" w:sz="4" w:space="0" w:color="000000"/>
            </w:tcBorders>
            <w:shd w:val="clear" w:color="000000" w:fill="FFFFFF"/>
            <w:hideMark/>
          </w:tcPr>
          <w:p w14:paraId="3E876B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85. Requisitos especiales para la aceptación de candidaturas.</w:t>
            </w:r>
            <w:r w:rsidRPr="00222F34">
              <w:rPr>
                <w:rFonts w:ascii="Calibri" w:eastAsia="Times New Roman" w:hAnsi="Calibri" w:cs="Calibri"/>
                <w:color w:val="000000"/>
                <w:lang w:val="es-CO" w:eastAsia="es-CO" w:bidi="ar-SA"/>
              </w:rPr>
              <w:t xml:space="preserve"> 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Con su aceptación, el candidato declara:</w:t>
            </w:r>
          </w:p>
        </w:tc>
        <w:tc>
          <w:tcPr>
            <w:tcW w:w="1480" w:type="dxa"/>
            <w:tcBorders>
              <w:top w:val="single" w:sz="4" w:space="0" w:color="000000"/>
              <w:left w:val="nil"/>
              <w:bottom w:val="nil"/>
              <w:right w:val="single" w:sz="4" w:space="0" w:color="000000"/>
            </w:tcBorders>
            <w:shd w:val="clear" w:color="000000" w:fill="FFFFFF"/>
            <w:hideMark/>
          </w:tcPr>
          <w:p w14:paraId="6C2C80DA" w14:textId="46AC0ED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D85EC6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6D70F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Cumplimiento de los requisitos y calidades exigidos para el cargo o corporación. </w:t>
            </w:r>
          </w:p>
        </w:tc>
        <w:tc>
          <w:tcPr>
            <w:tcW w:w="3798" w:type="dxa"/>
            <w:tcBorders>
              <w:top w:val="nil"/>
              <w:left w:val="nil"/>
              <w:bottom w:val="nil"/>
              <w:right w:val="single" w:sz="4" w:space="0" w:color="000000"/>
            </w:tcBorders>
            <w:shd w:val="clear" w:color="000000" w:fill="FFFFFF"/>
            <w:hideMark/>
          </w:tcPr>
          <w:p w14:paraId="038631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Cumplimiento de los requisitos y calidades exigidos para el cargo o corporación.</w:t>
            </w:r>
          </w:p>
        </w:tc>
        <w:tc>
          <w:tcPr>
            <w:tcW w:w="3798" w:type="dxa"/>
            <w:tcBorders>
              <w:top w:val="nil"/>
              <w:left w:val="nil"/>
              <w:bottom w:val="nil"/>
              <w:right w:val="single" w:sz="4" w:space="0" w:color="000000"/>
            </w:tcBorders>
            <w:shd w:val="clear" w:color="000000" w:fill="FFFFFF"/>
            <w:hideMark/>
          </w:tcPr>
          <w:p w14:paraId="4E1E0A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Cumplimiento de los requisitos y calidades exigidos para el cargo o corporación.</w:t>
            </w:r>
          </w:p>
        </w:tc>
        <w:tc>
          <w:tcPr>
            <w:tcW w:w="1480" w:type="dxa"/>
            <w:tcBorders>
              <w:top w:val="nil"/>
              <w:left w:val="nil"/>
              <w:bottom w:val="nil"/>
              <w:right w:val="single" w:sz="4" w:space="0" w:color="000000"/>
            </w:tcBorders>
            <w:shd w:val="clear" w:color="000000" w:fill="FFFFFF"/>
            <w:hideMark/>
          </w:tcPr>
          <w:p w14:paraId="7191B2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06E0C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5CAAA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No estar incurso en ninguna causal de inhabilidad o prohibición. </w:t>
            </w:r>
          </w:p>
        </w:tc>
        <w:tc>
          <w:tcPr>
            <w:tcW w:w="3798" w:type="dxa"/>
            <w:tcBorders>
              <w:top w:val="nil"/>
              <w:left w:val="nil"/>
              <w:bottom w:val="nil"/>
              <w:right w:val="single" w:sz="4" w:space="0" w:color="000000"/>
            </w:tcBorders>
            <w:shd w:val="clear" w:color="000000" w:fill="FFFFFF"/>
            <w:hideMark/>
          </w:tcPr>
          <w:p w14:paraId="1B0AE2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No estar incurso en ninguna causal de inhabilidad o prohibición.</w:t>
            </w:r>
          </w:p>
        </w:tc>
        <w:tc>
          <w:tcPr>
            <w:tcW w:w="3798" w:type="dxa"/>
            <w:tcBorders>
              <w:top w:val="nil"/>
              <w:left w:val="nil"/>
              <w:bottom w:val="nil"/>
              <w:right w:val="single" w:sz="4" w:space="0" w:color="000000"/>
            </w:tcBorders>
            <w:shd w:val="clear" w:color="000000" w:fill="FFFFFF"/>
            <w:hideMark/>
          </w:tcPr>
          <w:p w14:paraId="0BA76F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No estar incurso en ninguna causal de inhabilidad o prohibición.</w:t>
            </w:r>
          </w:p>
        </w:tc>
        <w:tc>
          <w:tcPr>
            <w:tcW w:w="1480" w:type="dxa"/>
            <w:tcBorders>
              <w:top w:val="nil"/>
              <w:left w:val="nil"/>
              <w:bottom w:val="nil"/>
              <w:right w:val="single" w:sz="4" w:space="0" w:color="000000"/>
            </w:tcBorders>
            <w:shd w:val="clear" w:color="000000" w:fill="FFFFFF"/>
            <w:hideMark/>
          </w:tcPr>
          <w:p w14:paraId="316A7B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9CB65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BE9F1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No haber aceptado ser candidato a ningún otro cargo o corporación en la misma elección. </w:t>
            </w:r>
          </w:p>
        </w:tc>
        <w:tc>
          <w:tcPr>
            <w:tcW w:w="3798" w:type="dxa"/>
            <w:tcBorders>
              <w:top w:val="nil"/>
              <w:left w:val="nil"/>
              <w:bottom w:val="nil"/>
              <w:right w:val="single" w:sz="4" w:space="0" w:color="000000"/>
            </w:tcBorders>
            <w:shd w:val="clear" w:color="000000" w:fill="FFFFFF"/>
            <w:hideMark/>
          </w:tcPr>
          <w:p w14:paraId="08DB34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 haber aceptado ser candidato a ningún otro cargo o corporación en la misma elección.</w:t>
            </w:r>
          </w:p>
        </w:tc>
        <w:tc>
          <w:tcPr>
            <w:tcW w:w="3798" w:type="dxa"/>
            <w:tcBorders>
              <w:top w:val="nil"/>
              <w:left w:val="nil"/>
              <w:bottom w:val="nil"/>
              <w:right w:val="single" w:sz="4" w:space="0" w:color="000000"/>
            </w:tcBorders>
            <w:shd w:val="clear" w:color="000000" w:fill="FFFFFF"/>
            <w:hideMark/>
          </w:tcPr>
          <w:p w14:paraId="5C7318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 haber aceptado ser candidato a ningún otro cargo o corporación en la misma elección.</w:t>
            </w:r>
          </w:p>
        </w:tc>
        <w:tc>
          <w:tcPr>
            <w:tcW w:w="1480" w:type="dxa"/>
            <w:tcBorders>
              <w:top w:val="nil"/>
              <w:left w:val="nil"/>
              <w:bottom w:val="nil"/>
              <w:right w:val="single" w:sz="4" w:space="0" w:color="000000"/>
            </w:tcBorders>
            <w:shd w:val="clear" w:color="000000" w:fill="FFFFFF"/>
            <w:hideMark/>
          </w:tcPr>
          <w:p w14:paraId="4687DF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307F2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80C97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No haber participado en consultas diferentes a las de la organización política por la cual se inscribe. </w:t>
            </w:r>
          </w:p>
        </w:tc>
        <w:tc>
          <w:tcPr>
            <w:tcW w:w="3798" w:type="dxa"/>
            <w:tcBorders>
              <w:top w:val="nil"/>
              <w:left w:val="nil"/>
              <w:bottom w:val="nil"/>
              <w:right w:val="single" w:sz="4" w:space="0" w:color="000000"/>
            </w:tcBorders>
            <w:shd w:val="clear" w:color="000000" w:fill="FFFFFF"/>
            <w:hideMark/>
          </w:tcPr>
          <w:p w14:paraId="262F20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No haber participado en consultas diferentes a las de la organización política por la cual se inscribe.</w:t>
            </w:r>
          </w:p>
        </w:tc>
        <w:tc>
          <w:tcPr>
            <w:tcW w:w="3798" w:type="dxa"/>
            <w:tcBorders>
              <w:top w:val="nil"/>
              <w:left w:val="nil"/>
              <w:bottom w:val="nil"/>
              <w:right w:val="single" w:sz="4" w:space="0" w:color="000000"/>
            </w:tcBorders>
            <w:shd w:val="clear" w:color="000000" w:fill="FFFFFF"/>
            <w:hideMark/>
          </w:tcPr>
          <w:p w14:paraId="78F5D7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No haber participado en consultas diferentes a las de la organización política por la cual se inscribe.</w:t>
            </w:r>
          </w:p>
        </w:tc>
        <w:tc>
          <w:tcPr>
            <w:tcW w:w="1480" w:type="dxa"/>
            <w:tcBorders>
              <w:top w:val="nil"/>
              <w:left w:val="nil"/>
              <w:bottom w:val="nil"/>
              <w:right w:val="single" w:sz="4" w:space="0" w:color="000000"/>
            </w:tcBorders>
            <w:shd w:val="clear" w:color="000000" w:fill="FFFFFF"/>
            <w:hideMark/>
          </w:tcPr>
          <w:p w14:paraId="0A61BA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D10D3D"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798AF27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podrá implementar el uso de la aceptación de la candidatura por medios electrónicos.</w:t>
            </w:r>
          </w:p>
        </w:tc>
        <w:tc>
          <w:tcPr>
            <w:tcW w:w="3798" w:type="dxa"/>
            <w:tcBorders>
              <w:top w:val="nil"/>
              <w:left w:val="nil"/>
              <w:bottom w:val="single" w:sz="4" w:space="0" w:color="000000"/>
              <w:right w:val="single" w:sz="4" w:space="0" w:color="000000"/>
            </w:tcBorders>
            <w:shd w:val="clear" w:color="000000" w:fill="FFFFFF"/>
            <w:hideMark/>
          </w:tcPr>
          <w:p w14:paraId="62842C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podrá implementar el uso de la aceptación de la candidatura por medios electrónicos.</w:t>
            </w:r>
          </w:p>
        </w:tc>
        <w:tc>
          <w:tcPr>
            <w:tcW w:w="3798" w:type="dxa"/>
            <w:tcBorders>
              <w:top w:val="nil"/>
              <w:left w:val="nil"/>
              <w:bottom w:val="single" w:sz="4" w:space="0" w:color="000000"/>
              <w:right w:val="single" w:sz="4" w:space="0" w:color="000000"/>
            </w:tcBorders>
            <w:shd w:val="clear" w:color="000000" w:fill="FFFFFF"/>
            <w:hideMark/>
          </w:tcPr>
          <w:p w14:paraId="03AED4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podrá implementar el uso de la aceptación de la candidatura por medios electrónicos.</w:t>
            </w:r>
          </w:p>
        </w:tc>
        <w:tc>
          <w:tcPr>
            <w:tcW w:w="1480" w:type="dxa"/>
            <w:tcBorders>
              <w:top w:val="nil"/>
              <w:left w:val="nil"/>
              <w:bottom w:val="single" w:sz="4" w:space="0" w:color="000000"/>
              <w:right w:val="single" w:sz="4" w:space="0" w:color="000000"/>
            </w:tcBorders>
            <w:shd w:val="clear" w:color="000000" w:fill="FFFFFF"/>
            <w:hideMark/>
          </w:tcPr>
          <w:p w14:paraId="651CF4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7741A6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8F5A64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82.- Rechazo de inscripciones.</w:t>
            </w:r>
            <w:r w:rsidRPr="00222F34">
              <w:rPr>
                <w:rFonts w:ascii="Calibri" w:eastAsia="Times New Roman" w:hAnsi="Calibri" w:cs="Calibri"/>
                <w:color w:val="000000"/>
                <w:lang w:val="es-CO" w:eastAsia="es-CO" w:bidi="ar-SA"/>
              </w:rPr>
              <w:t xml:space="preserve"> 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 </w:t>
            </w:r>
          </w:p>
        </w:tc>
        <w:tc>
          <w:tcPr>
            <w:tcW w:w="3798" w:type="dxa"/>
            <w:tcBorders>
              <w:top w:val="nil"/>
              <w:left w:val="nil"/>
              <w:bottom w:val="nil"/>
              <w:right w:val="single" w:sz="4" w:space="0" w:color="000000"/>
            </w:tcBorders>
            <w:shd w:val="clear" w:color="00FF00" w:fill="FFFFFF"/>
            <w:hideMark/>
          </w:tcPr>
          <w:p w14:paraId="12F949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86. Rechazo de inscripciones</w:t>
            </w:r>
            <w:r w:rsidRPr="00222F34">
              <w:rPr>
                <w:rFonts w:ascii="Calibri" w:eastAsia="Times New Roman" w:hAnsi="Calibri" w:cs="Calibri"/>
                <w:color w:val="000000"/>
                <w:lang w:val="es-CO" w:eastAsia="es-CO" w:bidi="ar-SA"/>
              </w:rPr>
              <w:t>. 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w:t>
            </w:r>
          </w:p>
        </w:tc>
        <w:tc>
          <w:tcPr>
            <w:tcW w:w="3798" w:type="dxa"/>
            <w:tcBorders>
              <w:top w:val="nil"/>
              <w:left w:val="nil"/>
              <w:bottom w:val="nil"/>
              <w:right w:val="single" w:sz="4" w:space="0" w:color="000000"/>
            </w:tcBorders>
            <w:shd w:val="clear" w:color="00FF00" w:fill="FFFFFF"/>
            <w:hideMark/>
          </w:tcPr>
          <w:p w14:paraId="0085FE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86. Rechazo de inscripciones</w:t>
            </w:r>
            <w:r w:rsidRPr="00222F34">
              <w:rPr>
                <w:rFonts w:ascii="Calibri" w:eastAsia="Times New Roman" w:hAnsi="Calibri" w:cs="Calibri"/>
                <w:color w:val="000000"/>
                <w:lang w:val="es-CO" w:eastAsia="es-CO" w:bidi="ar-SA"/>
              </w:rPr>
              <w:t>. 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w:t>
            </w:r>
          </w:p>
        </w:tc>
        <w:tc>
          <w:tcPr>
            <w:tcW w:w="1480" w:type="dxa"/>
            <w:tcBorders>
              <w:top w:val="nil"/>
              <w:left w:val="nil"/>
              <w:bottom w:val="nil"/>
              <w:right w:val="single" w:sz="4" w:space="0" w:color="000000"/>
            </w:tcBorders>
            <w:shd w:val="clear" w:color="000000" w:fill="FFFFFF"/>
            <w:hideMark/>
          </w:tcPr>
          <w:p w14:paraId="2F77F162" w14:textId="338F5B9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0CBC24BD"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2C26235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solicitud de inscripción se rechazará por parte del funcionario competente mediante acto motivado, deberá notificarse dentro de los tres (3) días calendario siguientes al recibo de la documentación, susceptible de recurso de apelación que deberá ser resuelto dentro de los tres (3) días calendario siguientes por el delegado seccional en lo Electoral. </w:t>
            </w:r>
          </w:p>
        </w:tc>
        <w:tc>
          <w:tcPr>
            <w:tcW w:w="3798" w:type="dxa"/>
            <w:tcBorders>
              <w:top w:val="nil"/>
              <w:left w:val="nil"/>
              <w:bottom w:val="single" w:sz="4" w:space="0" w:color="000000"/>
              <w:right w:val="single" w:sz="4" w:space="0" w:color="000000"/>
            </w:tcBorders>
            <w:shd w:val="clear" w:color="00FF00" w:fill="FFFFFF"/>
            <w:hideMark/>
          </w:tcPr>
          <w:p w14:paraId="4E27C0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solicitud de inscripción se rechazará por parte del funcionario competente mediante acto motivado, deberá notificarse dentro de los tres (3) días calendario siguientes al recibo de la documentación, susceptible de recurso de apelación que deberá ser resuelto dentro de los tres (3) días calendario siguientes por funcionario jerárquicamente superior, según corresponda.</w:t>
            </w:r>
          </w:p>
        </w:tc>
        <w:tc>
          <w:tcPr>
            <w:tcW w:w="3798" w:type="dxa"/>
            <w:tcBorders>
              <w:top w:val="nil"/>
              <w:left w:val="nil"/>
              <w:bottom w:val="single" w:sz="4" w:space="0" w:color="000000"/>
              <w:right w:val="single" w:sz="4" w:space="0" w:color="000000"/>
            </w:tcBorders>
            <w:shd w:val="clear" w:color="00FF00" w:fill="FFFFFF"/>
            <w:hideMark/>
          </w:tcPr>
          <w:p w14:paraId="66220C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solicitud de inscripción se rechazará por parte del funcionario competente mediante acto motivado, deberá notificarse dentro de los tres (3) días calendario siguientes al recibo de la documentación, susceptible de recurso de apelación que deberá ser resuelto dentro de los tres (3) días calendario siguientes por funcionario jerárquicamente superior, según corresponda.</w:t>
            </w:r>
          </w:p>
        </w:tc>
        <w:tc>
          <w:tcPr>
            <w:tcW w:w="1480" w:type="dxa"/>
            <w:tcBorders>
              <w:top w:val="nil"/>
              <w:left w:val="nil"/>
              <w:bottom w:val="single" w:sz="4" w:space="0" w:color="000000"/>
              <w:right w:val="single" w:sz="4" w:space="0" w:color="000000"/>
            </w:tcBorders>
            <w:shd w:val="clear" w:color="000000" w:fill="FFFFFF"/>
            <w:hideMark/>
          </w:tcPr>
          <w:p w14:paraId="4350C5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1CAAA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8DA248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83.- Modificación de inscripciones.</w:t>
            </w:r>
            <w:r w:rsidRPr="00222F34">
              <w:rPr>
                <w:rFonts w:ascii="Calibri" w:eastAsia="Times New Roman" w:hAnsi="Calibri" w:cs="Calibri"/>
                <w:color w:val="000000"/>
                <w:lang w:val="es-CO" w:eastAsia="es-CO" w:bidi="ar-SA"/>
              </w:rPr>
              <w:t xml:space="preserve"> La inscripción de candidatos a cargos y corporaciones de elección popular podrá ser modificada en los siguientes casos: </w:t>
            </w:r>
          </w:p>
        </w:tc>
        <w:tc>
          <w:tcPr>
            <w:tcW w:w="3798" w:type="dxa"/>
            <w:tcBorders>
              <w:top w:val="nil"/>
              <w:left w:val="nil"/>
              <w:bottom w:val="nil"/>
              <w:right w:val="single" w:sz="4" w:space="0" w:color="000000"/>
            </w:tcBorders>
            <w:shd w:val="clear" w:color="000000" w:fill="FFFFFF"/>
            <w:hideMark/>
          </w:tcPr>
          <w:p w14:paraId="53B910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87. Modificación de inscripciones.</w:t>
            </w:r>
            <w:r w:rsidRPr="00222F34">
              <w:rPr>
                <w:rFonts w:ascii="Calibri" w:eastAsia="Times New Roman" w:hAnsi="Calibri" w:cs="Calibri"/>
                <w:color w:val="000000"/>
                <w:lang w:val="es-CO" w:eastAsia="es-CO" w:bidi="ar-SA"/>
              </w:rPr>
              <w:t xml:space="preserve"> La inscripción de candidatos a cargos y corporaciones de elección popular podrá ser modificada en los siguientes casos:</w:t>
            </w:r>
          </w:p>
        </w:tc>
        <w:tc>
          <w:tcPr>
            <w:tcW w:w="3798" w:type="dxa"/>
            <w:tcBorders>
              <w:top w:val="nil"/>
              <w:left w:val="nil"/>
              <w:bottom w:val="nil"/>
              <w:right w:val="single" w:sz="4" w:space="0" w:color="000000"/>
            </w:tcBorders>
            <w:shd w:val="clear" w:color="000000" w:fill="FFFFFF"/>
            <w:hideMark/>
          </w:tcPr>
          <w:p w14:paraId="7DB768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87. Modificación de inscripciones.</w:t>
            </w:r>
            <w:r w:rsidRPr="00222F34">
              <w:rPr>
                <w:rFonts w:ascii="Calibri" w:eastAsia="Times New Roman" w:hAnsi="Calibri" w:cs="Calibri"/>
                <w:color w:val="000000"/>
                <w:lang w:val="es-CO" w:eastAsia="es-CO" w:bidi="ar-SA"/>
              </w:rPr>
              <w:t xml:space="preserve"> La inscripción de candidatos a cargos y corporaciones de elección popular podrá ser modificada en los siguientes casos:</w:t>
            </w:r>
          </w:p>
        </w:tc>
        <w:tc>
          <w:tcPr>
            <w:tcW w:w="1480" w:type="dxa"/>
            <w:tcBorders>
              <w:top w:val="nil"/>
              <w:left w:val="nil"/>
              <w:bottom w:val="nil"/>
              <w:right w:val="single" w:sz="4" w:space="0" w:color="000000"/>
            </w:tcBorders>
            <w:shd w:val="clear" w:color="000000" w:fill="FFFFFF"/>
            <w:hideMark/>
          </w:tcPr>
          <w:p w14:paraId="0023A279" w14:textId="2E0DE49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EDD4FC2"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50CB0F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plazo establecido, de lo cual el funcionario receptor dejará constancia y remitirá inmediatamente el escrito a la correspondiente autoridad electoral donde el candidato se inscribió inicialmente. </w:t>
            </w:r>
          </w:p>
        </w:tc>
        <w:tc>
          <w:tcPr>
            <w:tcW w:w="3798" w:type="dxa"/>
            <w:tcBorders>
              <w:top w:val="nil"/>
              <w:left w:val="nil"/>
              <w:bottom w:val="nil"/>
              <w:right w:val="single" w:sz="4" w:space="0" w:color="000000"/>
            </w:tcBorders>
            <w:shd w:val="clear" w:color="000000" w:fill="FFFFFF"/>
            <w:hideMark/>
          </w:tcPr>
          <w:p w14:paraId="1915D3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plazo establecido, de lo cual el funcionario receptor dejará constancia y remitirá inmediatamente el escrito a la correspondiente autoridad electoral donde el candidato se inscribió inicialmente.</w:t>
            </w:r>
          </w:p>
        </w:tc>
        <w:tc>
          <w:tcPr>
            <w:tcW w:w="3798" w:type="dxa"/>
            <w:tcBorders>
              <w:top w:val="nil"/>
              <w:left w:val="nil"/>
              <w:bottom w:val="nil"/>
              <w:right w:val="single" w:sz="4" w:space="0" w:color="000000"/>
            </w:tcBorders>
            <w:shd w:val="clear" w:color="000000" w:fill="FFFFFF"/>
            <w:hideMark/>
          </w:tcPr>
          <w:p w14:paraId="755C3A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plazo establecido, de lo cual el funcionario receptor dejará constancia y remitirá inmediatamente el escrito a la correspondiente autoridad electoral donde el candidato se inscribió inicialmente.</w:t>
            </w:r>
          </w:p>
        </w:tc>
        <w:tc>
          <w:tcPr>
            <w:tcW w:w="1480" w:type="dxa"/>
            <w:tcBorders>
              <w:top w:val="nil"/>
              <w:left w:val="nil"/>
              <w:bottom w:val="nil"/>
              <w:right w:val="single" w:sz="4" w:space="0" w:color="000000"/>
            </w:tcBorders>
            <w:shd w:val="clear" w:color="000000" w:fill="FFFFFF"/>
            <w:hideMark/>
          </w:tcPr>
          <w:p w14:paraId="6E4EC4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3FA35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B49B6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Por no aceptación de la candidatura vencido el periodo de inscripciones. El aval expedido para la inscripción no podrá ser utilizado para las modificaciones. </w:t>
            </w:r>
          </w:p>
        </w:tc>
        <w:tc>
          <w:tcPr>
            <w:tcW w:w="3798" w:type="dxa"/>
            <w:tcBorders>
              <w:top w:val="nil"/>
              <w:left w:val="nil"/>
              <w:bottom w:val="nil"/>
              <w:right w:val="single" w:sz="4" w:space="0" w:color="000000"/>
            </w:tcBorders>
            <w:shd w:val="clear" w:color="000000" w:fill="FFFFFF"/>
            <w:hideMark/>
          </w:tcPr>
          <w:p w14:paraId="05FE0F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Por no aceptación de la candidatura vencido el periodo de inscripciones. El aval expedido para la inscripción no podrá ser utilizado para las modificaciones.</w:t>
            </w:r>
          </w:p>
        </w:tc>
        <w:tc>
          <w:tcPr>
            <w:tcW w:w="3798" w:type="dxa"/>
            <w:tcBorders>
              <w:top w:val="nil"/>
              <w:left w:val="nil"/>
              <w:bottom w:val="nil"/>
              <w:right w:val="single" w:sz="4" w:space="0" w:color="000000"/>
            </w:tcBorders>
            <w:shd w:val="clear" w:color="000000" w:fill="FFFFFF"/>
            <w:hideMark/>
          </w:tcPr>
          <w:p w14:paraId="7E9B26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Por no aceptación de la candidatura vencido el periodo de inscripciones. El aval expedido para la inscripción no podrá ser utilizado para las modificaciones.</w:t>
            </w:r>
          </w:p>
        </w:tc>
        <w:tc>
          <w:tcPr>
            <w:tcW w:w="1480" w:type="dxa"/>
            <w:tcBorders>
              <w:top w:val="nil"/>
              <w:left w:val="nil"/>
              <w:bottom w:val="nil"/>
              <w:right w:val="single" w:sz="4" w:space="0" w:color="000000"/>
            </w:tcBorders>
            <w:shd w:val="clear" w:color="000000" w:fill="FFFFFF"/>
            <w:hideMark/>
          </w:tcPr>
          <w:p w14:paraId="211060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D9B94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06AE5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 </w:t>
            </w:r>
          </w:p>
        </w:tc>
        <w:tc>
          <w:tcPr>
            <w:tcW w:w="3798" w:type="dxa"/>
            <w:tcBorders>
              <w:top w:val="nil"/>
              <w:left w:val="nil"/>
              <w:bottom w:val="nil"/>
              <w:right w:val="single" w:sz="4" w:space="0" w:color="000000"/>
            </w:tcBorders>
            <w:shd w:val="clear" w:color="000000" w:fill="FFFFFF"/>
            <w:hideMark/>
          </w:tcPr>
          <w:p w14:paraId="1FF61A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w:t>
            </w:r>
          </w:p>
        </w:tc>
        <w:tc>
          <w:tcPr>
            <w:tcW w:w="3798" w:type="dxa"/>
            <w:tcBorders>
              <w:top w:val="nil"/>
              <w:left w:val="nil"/>
              <w:bottom w:val="nil"/>
              <w:right w:val="single" w:sz="4" w:space="0" w:color="000000"/>
            </w:tcBorders>
            <w:shd w:val="clear" w:color="000000" w:fill="FFFFFF"/>
            <w:hideMark/>
          </w:tcPr>
          <w:p w14:paraId="3F62D7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w:t>
            </w:r>
          </w:p>
        </w:tc>
        <w:tc>
          <w:tcPr>
            <w:tcW w:w="1480" w:type="dxa"/>
            <w:tcBorders>
              <w:top w:val="nil"/>
              <w:left w:val="nil"/>
              <w:bottom w:val="nil"/>
              <w:right w:val="single" w:sz="4" w:space="0" w:color="000000"/>
            </w:tcBorders>
            <w:shd w:val="clear" w:color="000000" w:fill="FFFFFF"/>
            <w:hideMark/>
          </w:tcPr>
          <w:p w14:paraId="4E0431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9CDA45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8A69E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En casos de inhabilidad sobreviniente podrán modificarse las inscripciones hasta treinta (30) días calendario antes de la fecha de la correspondiente votación. </w:t>
            </w:r>
          </w:p>
        </w:tc>
        <w:tc>
          <w:tcPr>
            <w:tcW w:w="3798" w:type="dxa"/>
            <w:tcBorders>
              <w:top w:val="nil"/>
              <w:left w:val="nil"/>
              <w:bottom w:val="nil"/>
              <w:right w:val="single" w:sz="4" w:space="0" w:color="000000"/>
            </w:tcBorders>
            <w:shd w:val="clear" w:color="000000" w:fill="FFFFFF"/>
            <w:hideMark/>
          </w:tcPr>
          <w:p w14:paraId="5B0A6C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En casos de inhabilidad sobreviniente podrán modificarse las inscripciones hasta treinta (30) días calendario antes de la fecha de la correspondiente votación.</w:t>
            </w:r>
          </w:p>
        </w:tc>
        <w:tc>
          <w:tcPr>
            <w:tcW w:w="3798" w:type="dxa"/>
            <w:tcBorders>
              <w:top w:val="nil"/>
              <w:left w:val="nil"/>
              <w:bottom w:val="nil"/>
              <w:right w:val="single" w:sz="4" w:space="0" w:color="000000"/>
            </w:tcBorders>
            <w:shd w:val="clear" w:color="000000" w:fill="FFFFFF"/>
            <w:hideMark/>
          </w:tcPr>
          <w:p w14:paraId="39E50C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En casos de inhabilidad sobreviniente podrán modificarse las inscripciones hasta treinta (30) días calendario antes de la fecha de la correspondiente votación.</w:t>
            </w:r>
          </w:p>
        </w:tc>
        <w:tc>
          <w:tcPr>
            <w:tcW w:w="1480" w:type="dxa"/>
            <w:tcBorders>
              <w:top w:val="nil"/>
              <w:left w:val="nil"/>
              <w:bottom w:val="nil"/>
              <w:right w:val="single" w:sz="4" w:space="0" w:color="000000"/>
            </w:tcBorders>
            <w:shd w:val="clear" w:color="000000" w:fill="FFFFFF"/>
            <w:hideMark/>
          </w:tcPr>
          <w:p w14:paraId="231EA5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3C5B83"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12679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 </w:t>
            </w:r>
          </w:p>
        </w:tc>
        <w:tc>
          <w:tcPr>
            <w:tcW w:w="3798" w:type="dxa"/>
            <w:tcBorders>
              <w:top w:val="nil"/>
              <w:left w:val="nil"/>
              <w:bottom w:val="nil"/>
              <w:right w:val="single" w:sz="4" w:space="0" w:color="000000"/>
            </w:tcBorders>
            <w:shd w:val="clear" w:color="000000" w:fill="FFFFFF"/>
            <w:hideMark/>
          </w:tcPr>
          <w:p w14:paraId="0BFD7F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w:t>
            </w:r>
          </w:p>
        </w:tc>
        <w:tc>
          <w:tcPr>
            <w:tcW w:w="3798" w:type="dxa"/>
            <w:tcBorders>
              <w:top w:val="nil"/>
              <w:left w:val="nil"/>
              <w:bottom w:val="nil"/>
              <w:right w:val="single" w:sz="4" w:space="0" w:color="000000"/>
            </w:tcBorders>
            <w:shd w:val="clear" w:color="000000" w:fill="FFFFFF"/>
            <w:hideMark/>
          </w:tcPr>
          <w:p w14:paraId="170C2F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w:t>
            </w:r>
          </w:p>
        </w:tc>
        <w:tc>
          <w:tcPr>
            <w:tcW w:w="1480" w:type="dxa"/>
            <w:tcBorders>
              <w:top w:val="nil"/>
              <w:left w:val="nil"/>
              <w:bottom w:val="nil"/>
              <w:right w:val="single" w:sz="4" w:space="0" w:color="000000"/>
            </w:tcBorders>
            <w:shd w:val="clear" w:color="000000" w:fill="FFFFFF"/>
            <w:hideMark/>
          </w:tcPr>
          <w:p w14:paraId="497735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8C6D86"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0F8FBE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Cuando por causa de renuncia extemporánea de los integrantes de la lista inscrita se incumpla la cuota de paridad entre mujeres y hombres, solo se podrá hacer una recomposición de la lista para adicionar el o los candidatos faltantes, hasta cuarenta (40) días calendario antes de la correspondiente elección; en todo caso, la nueva lista debe cumplir la cuota de paridad entre mujeres y hombres. Vencido este término, sin que se haya realizado la recomposición la lista será revocada por el Consejo Nacional Electoral. </w:t>
            </w:r>
          </w:p>
        </w:tc>
        <w:tc>
          <w:tcPr>
            <w:tcW w:w="3798" w:type="dxa"/>
            <w:tcBorders>
              <w:top w:val="nil"/>
              <w:left w:val="nil"/>
              <w:bottom w:val="nil"/>
              <w:right w:val="single" w:sz="4" w:space="0" w:color="000000"/>
            </w:tcBorders>
            <w:shd w:val="clear" w:color="000000" w:fill="FFFFFF"/>
            <w:hideMark/>
          </w:tcPr>
          <w:p w14:paraId="188F15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por causa de renuncia extemporánea de los integrantes de la lista inscrita se incumpla la cuota de paridad entre mujeres y hombres, solo se podrá hacer una recomposición de la lista para adicionar el o los candidatos faltantes, hasta cuarenta (40) días calendario antes de la correspondiente elección; en todo caso, la nueva lista debe cumplir la cuota de paridad entre mujeres y hombres. Vencido este término, sin que se haya realizado la recomposición la lista será revocada por el Consejo Nacional Electoral.</w:t>
            </w:r>
          </w:p>
        </w:tc>
        <w:tc>
          <w:tcPr>
            <w:tcW w:w="3798" w:type="dxa"/>
            <w:tcBorders>
              <w:top w:val="nil"/>
              <w:left w:val="nil"/>
              <w:bottom w:val="nil"/>
              <w:right w:val="single" w:sz="4" w:space="0" w:color="000000"/>
            </w:tcBorders>
            <w:shd w:val="clear" w:color="000000" w:fill="FFFFFF"/>
            <w:hideMark/>
          </w:tcPr>
          <w:p w14:paraId="444037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por causa de renuncia extemporánea de los integrantes de la lista inscrita se incumpla la cuota de paridad entre mujeres y hombres, solo se podrá hacer una recomposición de la lista para adicionar el o los candidatos faltantes, hasta cuarenta (40) días calendario antes de la correspondiente elección; en todo caso, la nueva lista debe cumplir la cuota de paridad entre mujeres y hombres. Vencido este término, sin que se haya realizado la recomposición la lista será revocada por el Consejo Nacional Electoral.</w:t>
            </w:r>
          </w:p>
        </w:tc>
        <w:tc>
          <w:tcPr>
            <w:tcW w:w="1480" w:type="dxa"/>
            <w:tcBorders>
              <w:top w:val="nil"/>
              <w:left w:val="nil"/>
              <w:bottom w:val="nil"/>
              <w:right w:val="single" w:sz="4" w:space="0" w:color="000000"/>
            </w:tcBorders>
            <w:shd w:val="clear" w:color="000000" w:fill="FFFFFF"/>
            <w:hideMark/>
          </w:tcPr>
          <w:p w14:paraId="6E8B56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DD5D4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052A3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renuncia de los candidatos podrá efectuarse bajo el medio tecnológico que defina la Registraduría Nacional del Estado Civil, y que permita la autenticación e identificación de la persona. </w:t>
            </w:r>
          </w:p>
        </w:tc>
        <w:tc>
          <w:tcPr>
            <w:tcW w:w="3798" w:type="dxa"/>
            <w:tcBorders>
              <w:top w:val="nil"/>
              <w:left w:val="nil"/>
              <w:bottom w:val="nil"/>
              <w:right w:val="single" w:sz="4" w:space="0" w:color="000000"/>
            </w:tcBorders>
            <w:shd w:val="clear" w:color="000000" w:fill="FFFFFF"/>
            <w:hideMark/>
          </w:tcPr>
          <w:p w14:paraId="4D479B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La renuncia de los candidatos podrá efectuarse bajo el medio tecnológico que defina la Registraduría Nacional del Estado Civil, y que permita la autenticación e identificación de la persona.</w:t>
            </w:r>
          </w:p>
        </w:tc>
        <w:tc>
          <w:tcPr>
            <w:tcW w:w="3798" w:type="dxa"/>
            <w:tcBorders>
              <w:top w:val="nil"/>
              <w:left w:val="nil"/>
              <w:bottom w:val="nil"/>
              <w:right w:val="single" w:sz="4" w:space="0" w:color="000000"/>
            </w:tcBorders>
            <w:shd w:val="clear" w:color="000000" w:fill="FFFFFF"/>
            <w:hideMark/>
          </w:tcPr>
          <w:p w14:paraId="4F243C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La renuncia de los candidatos podrá efectuarse bajo el medio tecnológico que defina la Registraduría Nacional del Estado Civil, y que permita la autenticación e identificación de la persona.</w:t>
            </w:r>
          </w:p>
        </w:tc>
        <w:tc>
          <w:tcPr>
            <w:tcW w:w="1480" w:type="dxa"/>
            <w:tcBorders>
              <w:top w:val="nil"/>
              <w:left w:val="nil"/>
              <w:bottom w:val="nil"/>
              <w:right w:val="single" w:sz="4" w:space="0" w:color="000000"/>
            </w:tcBorders>
            <w:shd w:val="clear" w:color="000000" w:fill="FFFFFF"/>
            <w:hideMark/>
          </w:tcPr>
          <w:p w14:paraId="3C427D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EAE2D3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0501C1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Solo las renuncias extemporáneas presentadas hasta cuarenta (40) días calendario antes de la fecha de la elección surtirán trámite para excluir a los candidatos de los documentos electorales. </w:t>
            </w:r>
          </w:p>
        </w:tc>
        <w:tc>
          <w:tcPr>
            <w:tcW w:w="3798" w:type="dxa"/>
            <w:tcBorders>
              <w:top w:val="nil"/>
              <w:left w:val="nil"/>
              <w:bottom w:val="nil"/>
              <w:right w:val="single" w:sz="4" w:space="0" w:color="000000"/>
            </w:tcBorders>
            <w:shd w:val="clear" w:color="000000" w:fill="FFFFFF"/>
            <w:hideMark/>
          </w:tcPr>
          <w:p w14:paraId="6C51CF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Solo las renuncias extemporáneas presentadas hasta cuarenta (40) días calendario antes de la fecha de la elección surtirán trámite para excluir a los candidatos de los documentos electorales.</w:t>
            </w:r>
          </w:p>
        </w:tc>
        <w:tc>
          <w:tcPr>
            <w:tcW w:w="3798" w:type="dxa"/>
            <w:tcBorders>
              <w:top w:val="nil"/>
              <w:left w:val="nil"/>
              <w:bottom w:val="nil"/>
              <w:right w:val="single" w:sz="4" w:space="0" w:color="000000"/>
            </w:tcBorders>
            <w:shd w:val="clear" w:color="000000" w:fill="FFFFFF"/>
            <w:hideMark/>
          </w:tcPr>
          <w:p w14:paraId="19A4AA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Solo las renuncias extemporáneas presentadas hasta cuarenta (40) días calendario antes de la fecha de la elección surtirán trámite para excluir a los candidatos de los documentos electorales.</w:t>
            </w:r>
          </w:p>
        </w:tc>
        <w:tc>
          <w:tcPr>
            <w:tcW w:w="1480" w:type="dxa"/>
            <w:tcBorders>
              <w:top w:val="nil"/>
              <w:left w:val="nil"/>
              <w:bottom w:val="nil"/>
              <w:right w:val="single" w:sz="4" w:space="0" w:color="000000"/>
            </w:tcBorders>
            <w:shd w:val="clear" w:color="000000" w:fill="FFFFFF"/>
            <w:hideMark/>
          </w:tcPr>
          <w:p w14:paraId="5D2139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1E13E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B0A480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Para las modificaciones de candidatos y listas de grupos significativos de ciudadanos se acudirá a los candidatos en condición de </w:t>
            </w:r>
            <w:r w:rsidRPr="00222F34">
              <w:rPr>
                <w:rFonts w:ascii="Calibri" w:eastAsia="Times New Roman" w:hAnsi="Calibri" w:cs="Calibri"/>
                <w:color w:val="000000"/>
                <w:lang w:val="es-CO" w:eastAsia="es-CO" w:bidi="ar-SA"/>
              </w:rPr>
              <w:lastRenderedPageBreak/>
              <w:t xml:space="preserve">remanentes aportados en el momento del registro del comité inscriptor. </w:t>
            </w:r>
          </w:p>
        </w:tc>
        <w:tc>
          <w:tcPr>
            <w:tcW w:w="3798" w:type="dxa"/>
            <w:tcBorders>
              <w:top w:val="nil"/>
              <w:left w:val="nil"/>
              <w:bottom w:val="nil"/>
              <w:right w:val="single" w:sz="4" w:space="0" w:color="000000"/>
            </w:tcBorders>
            <w:shd w:val="clear" w:color="000000" w:fill="FFFFFF"/>
            <w:hideMark/>
          </w:tcPr>
          <w:p w14:paraId="347986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Para las modificaciones de candidatos y listas de grupos significativos de ciudadanos se acudirá a los candidatos en condición de </w:t>
            </w:r>
            <w:r w:rsidRPr="00222F34">
              <w:rPr>
                <w:rFonts w:ascii="Calibri" w:eastAsia="Times New Roman" w:hAnsi="Calibri" w:cs="Calibri"/>
                <w:color w:val="000000"/>
                <w:lang w:val="es-CO" w:eastAsia="es-CO" w:bidi="ar-SA"/>
              </w:rPr>
              <w:lastRenderedPageBreak/>
              <w:t>remanentes aportados en el momento del registro del comité inscriptor.</w:t>
            </w:r>
          </w:p>
        </w:tc>
        <w:tc>
          <w:tcPr>
            <w:tcW w:w="3798" w:type="dxa"/>
            <w:tcBorders>
              <w:top w:val="nil"/>
              <w:left w:val="nil"/>
              <w:bottom w:val="nil"/>
              <w:right w:val="single" w:sz="4" w:space="0" w:color="000000"/>
            </w:tcBorders>
            <w:shd w:val="clear" w:color="000000" w:fill="FFFFFF"/>
            <w:hideMark/>
          </w:tcPr>
          <w:p w14:paraId="352B21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Para las modificaciones de candidatos y listas de grupos significativos de ciudadanos se acudirá a los candidatos en condición de </w:t>
            </w:r>
            <w:r w:rsidRPr="00222F34">
              <w:rPr>
                <w:rFonts w:ascii="Calibri" w:eastAsia="Times New Roman" w:hAnsi="Calibri" w:cs="Calibri"/>
                <w:color w:val="000000"/>
                <w:lang w:val="es-CO" w:eastAsia="es-CO" w:bidi="ar-SA"/>
              </w:rPr>
              <w:lastRenderedPageBreak/>
              <w:t>remanentes aportados en el momento del registro del comité inscriptor.</w:t>
            </w:r>
          </w:p>
        </w:tc>
        <w:tc>
          <w:tcPr>
            <w:tcW w:w="1480" w:type="dxa"/>
            <w:tcBorders>
              <w:top w:val="nil"/>
              <w:left w:val="nil"/>
              <w:bottom w:val="nil"/>
              <w:right w:val="single" w:sz="4" w:space="0" w:color="000000"/>
            </w:tcBorders>
            <w:shd w:val="clear" w:color="000000" w:fill="FFFFFF"/>
            <w:hideMark/>
          </w:tcPr>
          <w:p w14:paraId="52BA46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F1B1C0F"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FEE3AB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El acto de modificación únicamente afectará al candidato y no a la inscripción tratándose de listas de candidatos, por tal motivo no podrá afectarse el acto propio inicial de inscripción. </w:t>
            </w:r>
          </w:p>
        </w:tc>
        <w:tc>
          <w:tcPr>
            <w:tcW w:w="3798" w:type="dxa"/>
            <w:tcBorders>
              <w:top w:val="nil"/>
              <w:left w:val="nil"/>
              <w:bottom w:val="single" w:sz="4" w:space="0" w:color="000000"/>
              <w:right w:val="single" w:sz="4" w:space="0" w:color="000000"/>
            </w:tcBorders>
            <w:shd w:val="clear" w:color="000000" w:fill="FFFFFF"/>
            <w:hideMark/>
          </w:tcPr>
          <w:p w14:paraId="014F68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El acto de modificación únicamente afectará al candidato y no a la inscripción tratándose de listas de candidatos, por tal motivo no podrá afectarse el acto propio inicial de inscripción.</w:t>
            </w:r>
          </w:p>
        </w:tc>
        <w:tc>
          <w:tcPr>
            <w:tcW w:w="3798" w:type="dxa"/>
            <w:tcBorders>
              <w:top w:val="nil"/>
              <w:left w:val="nil"/>
              <w:bottom w:val="single" w:sz="4" w:space="0" w:color="000000"/>
              <w:right w:val="single" w:sz="4" w:space="0" w:color="000000"/>
            </w:tcBorders>
            <w:shd w:val="clear" w:color="000000" w:fill="FFFFFF"/>
            <w:hideMark/>
          </w:tcPr>
          <w:p w14:paraId="5E6337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El acto de modificación únicamente afectará al candidato y no a la inscripción tratándose de listas de candidatos, por tal motivo no podrá afectarse el acto propio inicial de inscripción.</w:t>
            </w:r>
          </w:p>
        </w:tc>
        <w:tc>
          <w:tcPr>
            <w:tcW w:w="1480" w:type="dxa"/>
            <w:tcBorders>
              <w:top w:val="nil"/>
              <w:left w:val="nil"/>
              <w:bottom w:val="single" w:sz="4" w:space="0" w:color="000000"/>
              <w:right w:val="single" w:sz="4" w:space="0" w:color="000000"/>
            </w:tcBorders>
            <w:shd w:val="clear" w:color="000000" w:fill="FFFFFF"/>
            <w:hideMark/>
          </w:tcPr>
          <w:p w14:paraId="1F5FF3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BE956A"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0E103CD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84.- Divulgación de candidatos inscritos.</w:t>
            </w:r>
            <w:r w:rsidRPr="00222F34">
              <w:rPr>
                <w:rFonts w:ascii="Calibri" w:eastAsia="Times New Roman" w:hAnsi="Calibri" w:cs="Calibri"/>
                <w:color w:val="000000"/>
                <w:lang w:val="es-CO" w:eastAsia="es-CO" w:bidi="ar-SA"/>
              </w:rPr>
              <w:t xml:space="preserve"> 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 </w:t>
            </w:r>
          </w:p>
        </w:tc>
        <w:tc>
          <w:tcPr>
            <w:tcW w:w="3798" w:type="dxa"/>
            <w:tcBorders>
              <w:top w:val="nil"/>
              <w:left w:val="nil"/>
              <w:bottom w:val="nil"/>
              <w:right w:val="single" w:sz="4" w:space="0" w:color="000000"/>
            </w:tcBorders>
            <w:shd w:val="clear" w:color="000000" w:fill="FFFFFF"/>
            <w:hideMark/>
          </w:tcPr>
          <w:p w14:paraId="1FFA28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88. Divulgación de candidatos inscritos.</w:t>
            </w:r>
            <w:r w:rsidRPr="00222F34">
              <w:rPr>
                <w:rFonts w:ascii="Calibri" w:eastAsia="Times New Roman" w:hAnsi="Calibri" w:cs="Calibri"/>
                <w:color w:val="000000"/>
                <w:lang w:val="es-CO" w:eastAsia="es-CO" w:bidi="ar-SA"/>
              </w:rPr>
              <w:t xml:space="preserve"> 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w:t>
            </w:r>
          </w:p>
        </w:tc>
        <w:tc>
          <w:tcPr>
            <w:tcW w:w="3798" w:type="dxa"/>
            <w:tcBorders>
              <w:top w:val="nil"/>
              <w:left w:val="nil"/>
              <w:bottom w:val="nil"/>
              <w:right w:val="single" w:sz="4" w:space="0" w:color="000000"/>
            </w:tcBorders>
            <w:shd w:val="clear" w:color="000000" w:fill="FFFFFF"/>
            <w:hideMark/>
          </w:tcPr>
          <w:p w14:paraId="5AE3D8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88. Divulgación de candidatos inscritos.</w:t>
            </w:r>
            <w:r w:rsidRPr="00222F34">
              <w:rPr>
                <w:rFonts w:ascii="Calibri" w:eastAsia="Times New Roman" w:hAnsi="Calibri" w:cs="Calibri"/>
                <w:color w:val="000000"/>
                <w:lang w:val="es-CO" w:eastAsia="es-CO" w:bidi="ar-SA"/>
              </w:rPr>
              <w:t xml:space="preserve"> 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w:t>
            </w:r>
          </w:p>
        </w:tc>
        <w:tc>
          <w:tcPr>
            <w:tcW w:w="1480" w:type="dxa"/>
            <w:tcBorders>
              <w:top w:val="nil"/>
              <w:left w:val="nil"/>
              <w:bottom w:val="nil"/>
              <w:right w:val="single" w:sz="4" w:space="0" w:color="000000"/>
            </w:tcBorders>
            <w:shd w:val="clear" w:color="000000" w:fill="FFFFFF"/>
            <w:hideMark/>
          </w:tcPr>
          <w:p w14:paraId="71EEFF21" w14:textId="6C24E7D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D6AD707"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4276EA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  </w:t>
            </w:r>
          </w:p>
        </w:tc>
        <w:tc>
          <w:tcPr>
            <w:tcW w:w="3798" w:type="dxa"/>
            <w:tcBorders>
              <w:top w:val="nil"/>
              <w:left w:val="nil"/>
              <w:bottom w:val="single" w:sz="4" w:space="0" w:color="000000"/>
              <w:right w:val="single" w:sz="4" w:space="0" w:color="000000"/>
            </w:tcBorders>
            <w:shd w:val="clear" w:color="000000" w:fill="FFFFFF"/>
            <w:hideMark/>
          </w:tcPr>
          <w:p w14:paraId="6704DA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w:t>
            </w:r>
          </w:p>
        </w:tc>
        <w:tc>
          <w:tcPr>
            <w:tcW w:w="3798" w:type="dxa"/>
            <w:tcBorders>
              <w:top w:val="nil"/>
              <w:left w:val="nil"/>
              <w:bottom w:val="single" w:sz="4" w:space="0" w:color="000000"/>
              <w:right w:val="single" w:sz="4" w:space="0" w:color="000000"/>
            </w:tcBorders>
            <w:shd w:val="clear" w:color="000000" w:fill="FFFFFF"/>
            <w:hideMark/>
          </w:tcPr>
          <w:p w14:paraId="404C11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w:t>
            </w:r>
          </w:p>
        </w:tc>
        <w:tc>
          <w:tcPr>
            <w:tcW w:w="1480" w:type="dxa"/>
            <w:tcBorders>
              <w:top w:val="nil"/>
              <w:left w:val="nil"/>
              <w:bottom w:val="single" w:sz="4" w:space="0" w:color="000000"/>
              <w:right w:val="single" w:sz="4" w:space="0" w:color="000000"/>
            </w:tcBorders>
            <w:shd w:val="clear" w:color="000000" w:fill="FFFFFF"/>
            <w:hideMark/>
          </w:tcPr>
          <w:p w14:paraId="415463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C3288B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6C807A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22DB536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531BBBA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1480" w:type="dxa"/>
            <w:tcBorders>
              <w:top w:val="nil"/>
              <w:left w:val="nil"/>
              <w:bottom w:val="nil"/>
              <w:right w:val="single" w:sz="4" w:space="0" w:color="000000"/>
            </w:tcBorders>
            <w:shd w:val="clear" w:color="000000" w:fill="FFFFFF"/>
            <w:hideMark/>
          </w:tcPr>
          <w:p w14:paraId="69FA23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B4B35A"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9B328D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Revocatoria de Inscripción de Candidatos</w:t>
            </w:r>
          </w:p>
        </w:tc>
        <w:tc>
          <w:tcPr>
            <w:tcW w:w="3798" w:type="dxa"/>
            <w:tcBorders>
              <w:top w:val="nil"/>
              <w:left w:val="nil"/>
              <w:bottom w:val="single" w:sz="4" w:space="0" w:color="000000"/>
              <w:right w:val="single" w:sz="4" w:space="0" w:color="000000"/>
            </w:tcBorders>
            <w:shd w:val="clear" w:color="000000" w:fill="FFFFFF"/>
            <w:hideMark/>
          </w:tcPr>
          <w:p w14:paraId="6933D7C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Revocatoria de Inscripción de Candidatos</w:t>
            </w:r>
          </w:p>
        </w:tc>
        <w:tc>
          <w:tcPr>
            <w:tcW w:w="3798" w:type="dxa"/>
            <w:tcBorders>
              <w:top w:val="nil"/>
              <w:left w:val="nil"/>
              <w:bottom w:val="single" w:sz="4" w:space="0" w:color="000000"/>
              <w:right w:val="single" w:sz="4" w:space="0" w:color="000000"/>
            </w:tcBorders>
            <w:shd w:val="clear" w:color="000000" w:fill="FFFFFF"/>
            <w:hideMark/>
          </w:tcPr>
          <w:p w14:paraId="04EA461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Revocatoria de Inscripción de Candidatos</w:t>
            </w:r>
          </w:p>
        </w:tc>
        <w:tc>
          <w:tcPr>
            <w:tcW w:w="1480" w:type="dxa"/>
            <w:tcBorders>
              <w:top w:val="nil"/>
              <w:left w:val="nil"/>
              <w:bottom w:val="single" w:sz="4" w:space="0" w:color="000000"/>
              <w:right w:val="single" w:sz="4" w:space="0" w:color="000000"/>
            </w:tcBorders>
            <w:shd w:val="clear" w:color="000000" w:fill="FFFFFF"/>
            <w:hideMark/>
          </w:tcPr>
          <w:p w14:paraId="2A8E99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4B44E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E5166C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85.- Competencia. </w:t>
            </w:r>
            <w:r w:rsidRPr="00222F34">
              <w:rPr>
                <w:rFonts w:ascii="Calibri" w:eastAsia="Times New Roman" w:hAnsi="Calibri" w:cs="Calibri"/>
                <w:color w:val="000000"/>
                <w:lang w:val="es-CO" w:eastAsia="es-CO" w:bidi="ar-SA"/>
              </w:rPr>
              <w:t xml:space="preserve">El Consejo Nacional Electoral es competente para revocar la inscripción de candidatos por causales constitucionales o legales, de oficio o a solicitud de cualquier ciudadano, o por el Ministerio Público u organización política, hasta treinta (30) días calendario antes de la fecha de las elecciones, a través de procedimiento breve y sumario. </w:t>
            </w:r>
          </w:p>
        </w:tc>
        <w:tc>
          <w:tcPr>
            <w:tcW w:w="3798" w:type="dxa"/>
            <w:tcBorders>
              <w:top w:val="nil"/>
              <w:left w:val="nil"/>
              <w:bottom w:val="nil"/>
              <w:right w:val="single" w:sz="4" w:space="0" w:color="000000"/>
            </w:tcBorders>
            <w:shd w:val="clear" w:color="000000" w:fill="FFFFFF"/>
            <w:hideMark/>
          </w:tcPr>
          <w:p w14:paraId="33DFB2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89. </w:t>
            </w:r>
            <w:r w:rsidRPr="00222F34">
              <w:rPr>
                <w:rFonts w:ascii="Calibri" w:eastAsia="Times New Roman" w:hAnsi="Calibri" w:cs="Calibri"/>
                <w:color w:val="000000"/>
                <w:lang w:val="es-CO" w:eastAsia="es-CO" w:bidi="ar-SA"/>
              </w:rPr>
              <w:t>Competencia. El Consejo Nacional Electoral es competente para revocar la inscripción de candidatos por causales constitucionales o legales, de oficio o a solicitud de cualquier ciudadano, o por el Ministerio Público u organización política, hasta treinta (30) días calendario antes de la fecha de las elecciones, a través de procedimiento breve y sumario.</w:t>
            </w:r>
          </w:p>
        </w:tc>
        <w:tc>
          <w:tcPr>
            <w:tcW w:w="3798" w:type="dxa"/>
            <w:tcBorders>
              <w:top w:val="nil"/>
              <w:left w:val="nil"/>
              <w:bottom w:val="nil"/>
              <w:right w:val="single" w:sz="4" w:space="0" w:color="000000"/>
            </w:tcBorders>
            <w:shd w:val="clear" w:color="000000" w:fill="FFFFFF"/>
            <w:hideMark/>
          </w:tcPr>
          <w:p w14:paraId="27D102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89. </w:t>
            </w:r>
            <w:r w:rsidRPr="00222F34">
              <w:rPr>
                <w:rFonts w:ascii="Calibri" w:eastAsia="Times New Roman" w:hAnsi="Calibri" w:cs="Calibri"/>
                <w:color w:val="000000"/>
                <w:lang w:val="es-CO" w:eastAsia="es-CO" w:bidi="ar-SA"/>
              </w:rPr>
              <w:t>Competencia. El Consejo Nacional Electoral es competente para revocar la inscripción de candidatos por causales constitucionales o legales, de oficio o a solicitud de cualquier ciudadano, o por el Ministerio Público u organización política, hasta treinta (30) días calendario antes de la fecha de las elecciones, a través de procedimiento breve y sumario.</w:t>
            </w:r>
          </w:p>
        </w:tc>
        <w:tc>
          <w:tcPr>
            <w:tcW w:w="1480" w:type="dxa"/>
            <w:tcBorders>
              <w:top w:val="nil"/>
              <w:left w:val="nil"/>
              <w:bottom w:val="nil"/>
              <w:right w:val="single" w:sz="4" w:space="0" w:color="000000"/>
            </w:tcBorders>
            <w:shd w:val="clear" w:color="000000" w:fill="FFFFFF"/>
            <w:hideMark/>
          </w:tcPr>
          <w:p w14:paraId="186CA038" w14:textId="4DABD94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2A0970C"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54A04E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solicitud deberá ser presentada por el interesado ante el Consejo Nacional Electoral o ante el funcionario electoral </w:t>
            </w:r>
            <w:r w:rsidRPr="00222F34">
              <w:rPr>
                <w:rFonts w:ascii="Calibri" w:eastAsia="Times New Roman" w:hAnsi="Calibri" w:cs="Calibri"/>
                <w:color w:val="000000"/>
                <w:lang w:val="es-CO" w:eastAsia="es-CO" w:bidi="ar-SA"/>
              </w:rPr>
              <w:lastRenderedPageBreak/>
              <w:t xml:space="preserve">competente de realizar la inscripción de la candidatura. </w:t>
            </w:r>
          </w:p>
        </w:tc>
        <w:tc>
          <w:tcPr>
            <w:tcW w:w="3798" w:type="dxa"/>
            <w:tcBorders>
              <w:top w:val="nil"/>
              <w:left w:val="nil"/>
              <w:bottom w:val="single" w:sz="4" w:space="0" w:color="000000"/>
              <w:right w:val="single" w:sz="4" w:space="0" w:color="000000"/>
            </w:tcBorders>
            <w:shd w:val="clear" w:color="000000" w:fill="FFFFFF"/>
            <w:hideMark/>
          </w:tcPr>
          <w:p w14:paraId="24E9CD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solicitud deberá ser presentada por el interesado ante el Consejo Nacional Electoral o ante el funcionario electoral </w:t>
            </w:r>
            <w:r w:rsidRPr="00222F34">
              <w:rPr>
                <w:rFonts w:ascii="Calibri" w:eastAsia="Times New Roman" w:hAnsi="Calibri" w:cs="Calibri"/>
                <w:color w:val="000000"/>
                <w:lang w:val="es-CO" w:eastAsia="es-CO" w:bidi="ar-SA"/>
              </w:rPr>
              <w:lastRenderedPageBreak/>
              <w:t>competente de realizar la inscripción de la candidatura.</w:t>
            </w:r>
          </w:p>
        </w:tc>
        <w:tc>
          <w:tcPr>
            <w:tcW w:w="3798" w:type="dxa"/>
            <w:tcBorders>
              <w:top w:val="nil"/>
              <w:left w:val="nil"/>
              <w:bottom w:val="single" w:sz="4" w:space="0" w:color="000000"/>
              <w:right w:val="single" w:sz="4" w:space="0" w:color="000000"/>
            </w:tcBorders>
            <w:shd w:val="clear" w:color="000000" w:fill="FFFFFF"/>
            <w:hideMark/>
          </w:tcPr>
          <w:p w14:paraId="388236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solicitud deberá ser presentada por el interesado ante el Consejo Nacional Electoral o ante el funcionario electoral </w:t>
            </w:r>
            <w:r w:rsidRPr="00222F34">
              <w:rPr>
                <w:rFonts w:ascii="Calibri" w:eastAsia="Times New Roman" w:hAnsi="Calibri" w:cs="Calibri"/>
                <w:color w:val="000000"/>
                <w:lang w:val="es-CO" w:eastAsia="es-CO" w:bidi="ar-SA"/>
              </w:rPr>
              <w:lastRenderedPageBreak/>
              <w:t>competente de realizar la inscripción de la candidatura.</w:t>
            </w:r>
          </w:p>
        </w:tc>
        <w:tc>
          <w:tcPr>
            <w:tcW w:w="1480" w:type="dxa"/>
            <w:tcBorders>
              <w:top w:val="nil"/>
              <w:left w:val="nil"/>
              <w:bottom w:val="single" w:sz="4" w:space="0" w:color="000000"/>
              <w:right w:val="single" w:sz="4" w:space="0" w:color="000000"/>
            </w:tcBorders>
            <w:shd w:val="clear" w:color="000000" w:fill="FFFFFF"/>
            <w:hideMark/>
          </w:tcPr>
          <w:p w14:paraId="766598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0E4356A"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5CF76D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86.- Causales de revocatoria de inscripción de candidatos.</w:t>
            </w:r>
            <w:r w:rsidRPr="00222F34">
              <w:rPr>
                <w:rFonts w:ascii="Calibri" w:eastAsia="Times New Roman" w:hAnsi="Calibri" w:cs="Calibri"/>
                <w:color w:val="000000"/>
                <w:lang w:val="es-CO" w:eastAsia="es-CO" w:bidi="ar-SA"/>
              </w:rPr>
              <w:t xml:space="preserve"> Son causales de revocatoria de inscripción de candidatos: </w:t>
            </w:r>
          </w:p>
        </w:tc>
        <w:tc>
          <w:tcPr>
            <w:tcW w:w="3798" w:type="dxa"/>
            <w:tcBorders>
              <w:top w:val="nil"/>
              <w:left w:val="nil"/>
              <w:bottom w:val="nil"/>
              <w:right w:val="single" w:sz="4" w:space="0" w:color="000000"/>
            </w:tcBorders>
            <w:shd w:val="clear" w:color="000000" w:fill="FFFFFF"/>
            <w:hideMark/>
          </w:tcPr>
          <w:p w14:paraId="130FA5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90. Causales de revocatoria de inscripción de candidatos</w:t>
            </w:r>
            <w:r w:rsidRPr="00222F34">
              <w:rPr>
                <w:rFonts w:ascii="Calibri" w:eastAsia="Times New Roman" w:hAnsi="Calibri" w:cs="Calibri"/>
                <w:color w:val="000000"/>
                <w:lang w:val="es-CO" w:eastAsia="es-CO" w:bidi="ar-SA"/>
              </w:rPr>
              <w:t>. Son causales de revocatoria de inscripción de candidatos:</w:t>
            </w:r>
          </w:p>
        </w:tc>
        <w:tc>
          <w:tcPr>
            <w:tcW w:w="3798" w:type="dxa"/>
            <w:tcBorders>
              <w:top w:val="nil"/>
              <w:left w:val="nil"/>
              <w:bottom w:val="nil"/>
              <w:right w:val="single" w:sz="4" w:space="0" w:color="000000"/>
            </w:tcBorders>
            <w:shd w:val="clear" w:color="000000" w:fill="FFFFFF"/>
            <w:hideMark/>
          </w:tcPr>
          <w:p w14:paraId="5A3B90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90. Causales de revocatoria de inscripción de candidatos</w:t>
            </w:r>
            <w:r w:rsidRPr="00222F34">
              <w:rPr>
                <w:rFonts w:ascii="Calibri" w:eastAsia="Times New Roman" w:hAnsi="Calibri" w:cs="Calibri"/>
                <w:color w:val="000000"/>
                <w:lang w:val="es-CO" w:eastAsia="es-CO" w:bidi="ar-SA"/>
              </w:rPr>
              <w:t>. Son causales de revocatoria de inscripción de candidatos:</w:t>
            </w:r>
          </w:p>
        </w:tc>
        <w:tc>
          <w:tcPr>
            <w:tcW w:w="1480" w:type="dxa"/>
            <w:tcBorders>
              <w:top w:val="nil"/>
              <w:left w:val="nil"/>
              <w:bottom w:val="nil"/>
              <w:right w:val="single" w:sz="4" w:space="0" w:color="000000"/>
            </w:tcBorders>
            <w:shd w:val="clear" w:color="000000" w:fill="FFFFFF"/>
            <w:hideMark/>
          </w:tcPr>
          <w:p w14:paraId="3A105D9D" w14:textId="634BEF7E" w:rsidR="00CD4925" w:rsidRPr="00222F34" w:rsidRDefault="00CD4925" w:rsidP="00917B5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w:t>
            </w:r>
            <w:r>
              <w:rPr>
                <w:rFonts w:ascii="Calibri" w:eastAsia="Times New Roman" w:hAnsi="Calibri" w:cs="Calibri"/>
                <w:color w:val="000000"/>
                <w:lang w:val="es-CO" w:eastAsia="es-CO" w:bidi="ar-SA"/>
              </w:rPr>
              <w:t>acoge texto de Cámara</w:t>
            </w:r>
            <w:r w:rsidRPr="00222F34">
              <w:rPr>
                <w:rFonts w:ascii="Calibri" w:eastAsia="Times New Roman" w:hAnsi="Calibri" w:cs="Calibri"/>
                <w:color w:val="000000"/>
                <w:lang w:val="es-CO" w:eastAsia="es-CO" w:bidi="ar-SA"/>
              </w:rPr>
              <w:t xml:space="preserve">, salvo los numerales 10 y 11 y se ajusta la numeración. </w:t>
            </w:r>
          </w:p>
        </w:tc>
      </w:tr>
      <w:tr w:rsidR="00CD4925" w:rsidRPr="00222F34" w14:paraId="3161E2D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DE1F4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Falta de calidades y requisitos para el cargo, de conformidad con la Constitución y la ley. </w:t>
            </w:r>
          </w:p>
        </w:tc>
        <w:tc>
          <w:tcPr>
            <w:tcW w:w="3798" w:type="dxa"/>
            <w:tcBorders>
              <w:top w:val="nil"/>
              <w:left w:val="nil"/>
              <w:bottom w:val="nil"/>
              <w:right w:val="single" w:sz="4" w:space="0" w:color="000000"/>
            </w:tcBorders>
            <w:shd w:val="clear" w:color="000000" w:fill="FFFFFF"/>
            <w:hideMark/>
          </w:tcPr>
          <w:p w14:paraId="105F80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Falta de calidades y requisitos para el cargo, de conformidad con la Constitución y la ley.</w:t>
            </w:r>
          </w:p>
        </w:tc>
        <w:tc>
          <w:tcPr>
            <w:tcW w:w="3798" w:type="dxa"/>
            <w:tcBorders>
              <w:top w:val="nil"/>
              <w:left w:val="nil"/>
              <w:bottom w:val="nil"/>
              <w:right w:val="single" w:sz="4" w:space="0" w:color="000000"/>
            </w:tcBorders>
            <w:shd w:val="clear" w:color="000000" w:fill="FFFFFF"/>
            <w:hideMark/>
          </w:tcPr>
          <w:p w14:paraId="3AE14C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Falta de calidades y requisitos para el cargo, de conformidad con la Constitución y la ley.</w:t>
            </w:r>
          </w:p>
        </w:tc>
        <w:tc>
          <w:tcPr>
            <w:tcW w:w="1480" w:type="dxa"/>
            <w:tcBorders>
              <w:top w:val="nil"/>
              <w:left w:val="nil"/>
              <w:bottom w:val="nil"/>
              <w:right w:val="single" w:sz="4" w:space="0" w:color="000000"/>
            </w:tcBorders>
            <w:shd w:val="clear" w:color="000000" w:fill="FFFFFF"/>
            <w:hideMark/>
          </w:tcPr>
          <w:p w14:paraId="70380D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8F06D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34907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Inhabilidad constitucional o legal manifiestas y debidamente comprobadas. </w:t>
            </w:r>
          </w:p>
        </w:tc>
        <w:tc>
          <w:tcPr>
            <w:tcW w:w="3798" w:type="dxa"/>
            <w:tcBorders>
              <w:top w:val="nil"/>
              <w:left w:val="nil"/>
              <w:bottom w:val="nil"/>
              <w:right w:val="single" w:sz="4" w:space="0" w:color="000000"/>
            </w:tcBorders>
            <w:shd w:val="clear" w:color="000000" w:fill="FFFFFF"/>
            <w:hideMark/>
          </w:tcPr>
          <w:p w14:paraId="73A57A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Inhabilidad constitucional o legal manifiestas y debidamente comprobadas.</w:t>
            </w:r>
          </w:p>
        </w:tc>
        <w:tc>
          <w:tcPr>
            <w:tcW w:w="3798" w:type="dxa"/>
            <w:tcBorders>
              <w:top w:val="nil"/>
              <w:left w:val="nil"/>
              <w:bottom w:val="nil"/>
              <w:right w:val="single" w:sz="4" w:space="0" w:color="000000"/>
            </w:tcBorders>
            <w:shd w:val="clear" w:color="000000" w:fill="FFFFFF"/>
            <w:hideMark/>
          </w:tcPr>
          <w:p w14:paraId="2E4D03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Inhabilidad constitucional o legal manifiestas y debidamente comprobadas.</w:t>
            </w:r>
          </w:p>
        </w:tc>
        <w:tc>
          <w:tcPr>
            <w:tcW w:w="1480" w:type="dxa"/>
            <w:tcBorders>
              <w:top w:val="nil"/>
              <w:left w:val="nil"/>
              <w:bottom w:val="nil"/>
              <w:right w:val="single" w:sz="4" w:space="0" w:color="000000"/>
            </w:tcBorders>
            <w:shd w:val="clear" w:color="000000" w:fill="FFFFFF"/>
            <w:hideMark/>
          </w:tcPr>
          <w:p w14:paraId="5B9DD8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A9510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7057E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Doble militancia política. </w:t>
            </w:r>
          </w:p>
        </w:tc>
        <w:tc>
          <w:tcPr>
            <w:tcW w:w="3798" w:type="dxa"/>
            <w:tcBorders>
              <w:top w:val="nil"/>
              <w:left w:val="nil"/>
              <w:bottom w:val="nil"/>
              <w:right w:val="single" w:sz="4" w:space="0" w:color="000000"/>
            </w:tcBorders>
            <w:shd w:val="clear" w:color="000000" w:fill="FFFFFF"/>
            <w:hideMark/>
          </w:tcPr>
          <w:p w14:paraId="28C687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Doble militancia política.</w:t>
            </w:r>
          </w:p>
        </w:tc>
        <w:tc>
          <w:tcPr>
            <w:tcW w:w="3798" w:type="dxa"/>
            <w:tcBorders>
              <w:top w:val="nil"/>
              <w:left w:val="nil"/>
              <w:bottom w:val="nil"/>
              <w:right w:val="single" w:sz="4" w:space="0" w:color="000000"/>
            </w:tcBorders>
            <w:shd w:val="clear" w:color="000000" w:fill="FFFFFF"/>
            <w:hideMark/>
          </w:tcPr>
          <w:p w14:paraId="6336C2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Doble militancia política.</w:t>
            </w:r>
          </w:p>
        </w:tc>
        <w:tc>
          <w:tcPr>
            <w:tcW w:w="1480" w:type="dxa"/>
            <w:tcBorders>
              <w:top w:val="nil"/>
              <w:left w:val="nil"/>
              <w:bottom w:val="nil"/>
              <w:right w:val="single" w:sz="4" w:space="0" w:color="000000"/>
            </w:tcBorders>
            <w:shd w:val="clear" w:color="000000" w:fill="FFFFFF"/>
            <w:hideMark/>
          </w:tcPr>
          <w:p w14:paraId="46D55E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2AB4D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49703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Incumplimiento de la cuota de género en las listas en las que esta es exigida por la ley. </w:t>
            </w:r>
          </w:p>
        </w:tc>
        <w:tc>
          <w:tcPr>
            <w:tcW w:w="3798" w:type="dxa"/>
            <w:tcBorders>
              <w:top w:val="nil"/>
              <w:left w:val="nil"/>
              <w:bottom w:val="nil"/>
              <w:right w:val="single" w:sz="4" w:space="0" w:color="000000"/>
            </w:tcBorders>
            <w:shd w:val="clear" w:color="000000" w:fill="FFFFFF"/>
            <w:hideMark/>
          </w:tcPr>
          <w:p w14:paraId="2080D7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Incumplimiento de la cuota de género en las listas en las que esta es exigida por la ley.</w:t>
            </w:r>
          </w:p>
        </w:tc>
        <w:tc>
          <w:tcPr>
            <w:tcW w:w="3798" w:type="dxa"/>
            <w:tcBorders>
              <w:top w:val="nil"/>
              <w:left w:val="nil"/>
              <w:bottom w:val="nil"/>
              <w:right w:val="single" w:sz="4" w:space="0" w:color="000000"/>
            </w:tcBorders>
            <w:shd w:val="clear" w:color="000000" w:fill="FFFFFF"/>
            <w:hideMark/>
          </w:tcPr>
          <w:p w14:paraId="09D666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Incumplimiento de la cuota de género en las listas en las que esta es exigida por la ley.</w:t>
            </w:r>
          </w:p>
        </w:tc>
        <w:tc>
          <w:tcPr>
            <w:tcW w:w="1480" w:type="dxa"/>
            <w:tcBorders>
              <w:top w:val="nil"/>
              <w:left w:val="nil"/>
              <w:bottom w:val="nil"/>
              <w:right w:val="single" w:sz="4" w:space="0" w:color="000000"/>
            </w:tcBorders>
            <w:shd w:val="clear" w:color="000000" w:fill="FFFFFF"/>
            <w:hideMark/>
          </w:tcPr>
          <w:p w14:paraId="011852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7D4E9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A694F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Inscripción de candidato distinto al del acuerdo de coalición. </w:t>
            </w:r>
          </w:p>
        </w:tc>
        <w:tc>
          <w:tcPr>
            <w:tcW w:w="3798" w:type="dxa"/>
            <w:tcBorders>
              <w:top w:val="nil"/>
              <w:left w:val="nil"/>
              <w:bottom w:val="nil"/>
              <w:right w:val="single" w:sz="4" w:space="0" w:color="000000"/>
            </w:tcBorders>
            <w:shd w:val="clear" w:color="000000" w:fill="FFFFFF"/>
            <w:hideMark/>
          </w:tcPr>
          <w:p w14:paraId="051A4A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Inscripción de candidato distinto al del acuerdo de coalición.</w:t>
            </w:r>
          </w:p>
        </w:tc>
        <w:tc>
          <w:tcPr>
            <w:tcW w:w="3798" w:type="dxa"/>
            <w:tcBorders>
              <w:top w:val="nil"/>
              <w:left w:val="nil"/>
              <w:bottom w:val="nil"/>
              <w:right w:val="single" w:sz="4" w:space="0" w:color="000000"/>
            </w:tcBorders>
            <w:shd w:val="clear" w:color="000000" w:fill="FFFFFF"/>
            <w:hideMark/>
          </w:tcPr>
          <w:p w14:paraId="5CAED6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Inscripción de candidato distinto al del acuerdo de coalición.</w:t>
            </w:r>
          </w:p>
        </w:tc>
        <w:tc>
          <w:tcPr>
            <w:tcW w:w="1480" w:type="dxa"/>
            <w:tcBorders>
              <w:top w:val="nil"/>
              <w:left w:val="nil"/>
              <w:bottom w:val="nil"/>
              <w:right w:val="single" w:sz="4" w:space="0" w:color="000000"/>
            </w:tcBorders>
            <w:shd w:val="clear" w:color="000000" w:fill="FFFFFF"/>
            <w:hideMark/>
          </w:tcPr>
          <w:p w14:paraId="3A6C94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6BC8F9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C3E26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Cuando los candidatos hayan participado en la consulta de un partido, movimiento político o coalición, distinto al que los inscribe. </w:t>
            </w:r>
          </w:p>
        </w:tc>
        <w:tc>
          <w:tcPr>
            <w:tcW w:w="3798" w:type="dxa"/>
            <w:tcBorders>
              <w:top w:val="nil"/>
              <w:left w:val="nil"/>
              <w:bottom w:val="nil"/>
              <w:right w:val="single" w:sz="4" w:space="0" w:color="000000"/>
            </w:tcBorders>
            <w:shd w:val="clear" w:color="000000" w:fill="FFFFFF"/>
            <w:hideMark/>
          </w:tcPr>
          <w:p w14:paraId="075880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los candidatos hayan participado en la consulta de un partido, movimiento político o coalición, distinto al que los inscribe.</w:t>
            </w:r>
          </w:p>
        </w:tc>
        <w:tc>
          <w:tcPr>
            <w:tcW w:w="3798" w:type="dxa"/>
            <w:tcBorders>
              <w:top w:val="nil"/>
              <w:left w:val="nil"/>
              <w:bottom w:val="nil"/>
              <w:right w:val="single" w:sz="4" w:space="0" w:color="000000"/>
            </w:tcBorders>
            <w:shd w:val="clear" w:color="000000" w:fill="FFFFFF"/>
            <w:hideMark/>
          </w:tcPr>
          <w:p w14:paraId="6943B3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los candidatos hayan participado en la consulta de un partido, movimiento político o coalición, distinto al que los inscribe.</w:t>
            </w:r>
          </w:p>
        </w:tc>
        <w:tc>
          <w:tcPr>
            <w:tcW w:w="1480" w:type="dxa"/>
            <w:tcBorders>
              <w:top w:val="nil"/>
              <w:left w:val="nil"/>
              <w:bottom w:val="nil"/>
              <w:right w:val="single" w:sz="4" w:space="0" w:color="000000"/>
            </w:tcBorders>
            <w:shd w:val="clear" w:color="000000" w:fill="FFFFFF"/>
            <w:hideMark/>
          </w:tcPr>
          <w:p w14:paraId="655205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21821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ADD04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Cuando se dé la inscripción de candidato distinto al seleccionado mediante consulta popular o interna.  </w:t>
            </w:r>
          </w:p>
        </w:tc>
        <w:tc>
          <w:tcPr>
            <w:tcW w:w="3798" w:type="dxa"/>
            <w:tcBorders>
              <w:top w:val="nil"/>
              <w:left w:val="nil"/>
              <w:bottom w:val="nil"/>
              <w:right w:val="single" w:sz="4" w:space="0" w:color="000000"/>
            </w:tcBorders>
            <w:shd w:val="clear" w:color="000000" w:fill="FFFFFF"/>
            <w:hideMark/>
          </w:tcPr>
          <w:p w14:paraId="6BFC8D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Cuando se dé la inscripción de candidato distinto al seleccionado mediante consulta popular o mediante los mecanismos de democracia interna </w:t>
            </w:r>
            <w:r w:rsidRPr="00222F34">
              <w:rPr>
                <w:rFonts w:ascii="Calibri" w:eastAsia="Times New Roman" w:hAnsi="Calibri" w:cs="Calibri"/>
                <w:color w:val="000000"/>
                <w:lang w:val="es-CO" w:eastAsia="es-CO" w:bidi="ar-SA"/>
              </w:rPr>
              <w:lastRenderedPageBreak/>
              <w:t>definidos por las organizaciones políticas.</w:t>
            </w:r>
          </w:p>
        </w:tc>
        <w:tc>
          <w:tcPr>
            <w:tcW w:w="3798" w:type="dxa"/>
            <w:tcBorders>
              <w:top w:val="nil"/>
              <w:left w:val="nil"/>
              <w:bottom w:val="nil"/>
              <w:right w:val="single" w:sz="4" w:space="0" w:color="000000"/>
            </w:tcBorders>
            <w:shd w:val="clear" w:color="000000" w:fill="FFFFFF"/>
            <w:hideMark/>
          </w:tcPr>
          <w:p w14:paraId="52C085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Cuando se dé la inscripción de candidato distinto al seleccionado mediante consulta popular o mediante los mecanismos de democracia interna </w:t>
            </w:r>
            <w:r w:rsidRPr="00222F34">
              <w:rPr>
                <w:rFonts w:ascii="Calibri" w:eastAsia="Times New Roman" w:hAnsi="Calibri" w:cs="Calibri"/>
                <w:color w:val="000000"/>
                <w:lang w:val="es-CO" w:eastAsia="es-CO" w:bidi="ar-SA"/>
              </w:rPr>
              <w:lastRenderedPageBreak/>
              <w:t>definidos por las organizaciones políticas.</w:t>
            </w:r>
          </w:p>
        </w:tc>
        <w:tc>
          <w:tcPr>
            <w:tcW w:w="1480" w:type="dxa"/>
            <w:tcBorders>
              <w:top w:val="nil"/>
              <w:left w:val="nil"/>
              <w:bottom w:val="nil"/>
              <w:right w:val="single" w:sz="4" w:space="0" w:color="000000"/>
            </w:tcBorders>
            <w:shd w:val="clear" w:color="000000" w:fill="FFFFFF"/>
            <w:hideMark/>
          </w:tcPr>
          <w:p w14:paraId="3EC8F3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D6C505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6882E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8. Inscripción de un candidato previamente inscrito por otro partido, movimiento político o comité inscriptor del grupo significativo de ciudadanos para las mismas elecciones.</w:t>
            </w:r>
          </w:p>
        </w:tc>
        <w:tc>
          <w:tcPr>
            <w:tcW w:w="3798" w:type="dxa"/>
            <w:tcBorders>
              <w:top w:val="nil"/>
              <w:left w:val="nil"/>
              <w:bottom w:val="nil"/>
              <w:right w:val="single" w:sz="4" w:space="0" w:color="000000"/>
            </w:tcBorders>
            <w:shd w:val="clear" w:color="000000" w:fill="FFFFFF"/>
            <w:hideMark/>
          </w:tcPr>
          <w:p w14:paraId="516255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Inscripción de un candidato previamente inscrito por otro partido, movimiento político o comité inscriptor del grupo significativo de ciudadanos para las mismas elecciones.</w:t>
            </w:r>
          </w:p>
        </w:tc>
        <w:tc>
          <w:tcPr>
            <w:tcW w:w="3798" w:type="dxa"/>
            <w:tcBorders>
              <w:top w:val="nil"/>
              <w:left w:val="nil"/>
              <w:bottom w:val="nil"/>
              <w:right w:val="single" w:sz="4" w:space="0" w:color="000000"/>
            </w:tcBorders>
            <w:shd w:val="clear" w:color="000000" w:fill="FFFFFF"/>
            <w:hideMark/>
          </w:tcPr>
          <w:p w14:paraId="447D38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Inscripción de un candidato previamente inscrito por otro partido, movimiento político o comité inscriptor del grupo significativo de ciudadanos para las mismas elecciones.</w:t>
            </w:r>
          </w:p>
        </w:tc>
        <w:tc>
          <w:tcPr>
            <w:tcW w:w="1480" w:type="dxa"/>
            <w:tcBorders>
              <w:top w:val="nil"/>
              <w:left w:val="nil"/>
              <w:bottom w:val="nil"/>
              <w:right w:val="single" w:sz="4" w:space="0" w:color="000000"/>
            </w:tcBorders>
            <w:shd w:val="clear" w:color="000000" w:fill="FFFFFF"/>
            <w:hideMark/>
          </w:tcPr>
          <w:p w14:paraId="12ED1C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82594B3"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2F5215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7B018D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Cuando el partido político y/o movimiento político otorgue el aval sin aplicación de los procedimientos democráticos internos estatutarios.</w:t>
            </w:r>
          </w:p>
        </w:tc>
        <w:tc>
          <w:tcPr>
            <w:tcW w:w="3798" w:type="dxa"/>
            <w:tcBorders>
              <w:top w:val="nil"/>
              <w:left w:val="nil"/>
              <w:bottom w:val="nil"/>
              <w:right w:val="single" w:sz="4" w:space="0" w:color="000000"/>
            </w:tcBorders>
            <w:shd w:val="clear" w:color="000000" w:fill="FFFFFF"/>
            <w:hideMark/>
          </w:tcPr>
          <w:p w14:paraId="05A999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Cuando el partido político y/o movimiento político otorgue el aval sin aplicación de los procedimientos democráticos internos estatutarios.</w:t>
            </w:r>
          </w:p>
        </w:tc>
        <w:tc>
          <w:tcPr>
            <w:tcW w:w="1480" w:type="dxa"/>
            <w:tcBorders>
              <w:top w:val="nil"/>
              <w:left w:val="nil"/>
              <w:bottom w:val="nil"/>
              <w:right w:val="single" w:sz="4" w:space="0" w:color="000000"/>
            </w:tcBorders>
            <w:shd w:val="clear" w:color="000000" w:fill="FFFFFF"/>
            <w:hideMark/>
          </w:tcPr>
          <w:p w14:paraId="567D83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54B8D1B"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44C671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0C0D04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Inscripción de candidato o lista por un partido político, movimiento político o grupo significativo de ciudadanos diferente al grupo significativo de ciudadanos que inicialmente era candidato y obtuvo certificado de suficiencia y validez, o de aquel a nombre del cual inicio el proceso de recolección de apoyos.</w:t>
            </w:r>
          </w:p>
        </w:tc>
        <w:tc>
          <w:tcPr>
            <w:tcW w:w="3798" w:type="dxa"/>
            <w:tcBorders>
              <w:top w:val="nil"/>
              <w:left w:val="nil"/>
              <w:bottom w:val="nil"/>
              <w:right w:val="single" w:sz="4" w:space="0" w:color="000000"/>
            </w:tcBorders>
            <w:shd w:val="clear" w:color="000000" w:fill="FFFFFF"/>
            <w:hideMark/>
          </w:tcPr>
          <w:p w14:paraId="6A72DB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36142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166FBA"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4E71233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6560F0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Otorgamiento de avales sin aplicación de los procedimientos democráticos internos establecidos en los estatutos de los partidos y movimientos políticos con personería jurídica o si incurre en las prohibiciones contempladas en este código.</w:t>
            </w:r>
          </w:p>
        </w:tc>
        <w:tc>
          <w:tcPr>
            <w:tcW w:w="3798" w:type="dxa"/>
            <w:tcBorders>
              <w:top w:val="nil"/>
              <w:left w:val="nil"/>
              <w:bottom w:val="nil"/>
              <w:right w:val="single" w:sz="4" w:space="0" w:color="000000"/>
            </w:tcBorders>
            <w:shd w:val="clear" w:color="000000" w:fill="FFFFFF"/>
            <w:hideMark/>
          </w:tcPr>
          <w:p w14:paraId="52E766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1255A1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DAE501"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49C92DF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nil"/>
              <w:right w:val="single" w:sz="4" w:space="0" w:color="000000"/>
            </w:tcBorders>
            <w:shd w:val="clear" w:color="000000" w:fill="FFFFFF"/>
            <w:hideMark/>
          </w:tcPr>
          <w:p w14:paraId="45F5AF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Cuando los partidos y movimientos políticos con personería jurídica inscriban candidatos, en circunscripciones donde este suspendida dicha facultad por sanción del Consejo Nacional Electoral.</w:t>
            </w:r>
          </w:p>
        </w:tc>
        <w:tc>
          <w:tcPr>
            <w:tcW w:w="3798" w:type="dxa"/>
            <w:tcBorders>
              <w:top w:val="nil"/>
              <w:left w:val="nil"/>
              <w:bottom w:val="nil"/>
              <w:right w:val="single" w:sz="4" w:space="0" w:color="000000"/>
            </w:tcBorders>
            <w:shd w:val="clear" w:color="000000" w:fill="FFFFFF"/>
            <w:hideMark/>
          </w:tcPr>
          <w:p w14:paraId="7D6BFF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strike/>
                <w:color w:val="000000"/>
                <w:lang w:val="es-CO" w:eastAsia="es-CO" w:bidi="ar-SA"/>
              </w:rPr>
              <w:t>12</w:t>
            </w:r>
            <w:r w:rsidRPr="00222F34">
              <w:rPr>
                <w:rFonts w:ascii="Calibri" w:eastAsia="Times New Roman" w:hAnsi="Calibri" w:cs="Calibri"/>
                <w:b/>
                <w:bCs/>
                <w:color w:val="000000"/>
                <w:u w:val="single"/>
                <w:lang w:val="es-CO" w:eastAsia="es-CO" w:bidi="ar-SA"/>
              </w:rPr>
              <w:t>10</w:t>
            </w:r>
            <w:r w:rsidRPr="00222F34">
              <w:rPr>
                <w:rFonts w:ascii="Calibri" w:eastAsia="Times New Roman" w:hAnsi="Calibri" w:cs="Calibri"/>
                <w:color w:val="000000"/>
                <w:lang w:val="es-CO" w:eastAsia="es-CO" w:bidi="ar-SA"/>
              </w:rPr>
              <w:t>. Cuando los partidos y movimientos políticos con personería jurídica inscriban candidatos, en circunscripciones donde este suspendida dicha facultad por sanción del Consejo Nacional Electoral.</w:t>
            </w:r>
          </w:p>
        </w:tc>
        <w:tc>
          <w:tcPr>
            <w:tcW w:w="1480" w:type="dxa"/>
            <w:tcBorders>
              <w:top w:val="nil"/>
              <w:left w:val="nil"/>
              <w:bottom w:val="nil"/>
              <w:right w:val="single" w:sz="4" w:space="0" w:color="000000"/>
            </w:tcBorders>
            <w:shd w:val="clear" w:color="000000" w:fill="FFFFFF"/>
            <w:hideMark/>
          </w:tcPr>
          <w:p w14:paraId="332A46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E59795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3905B8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Para los numerales 7 y 8 procederá si el funcionario electoral competente no hubiera efectuado el rechazo de la inscripción por estas causales.</w:t>
            </w:r>
          </w:p>
        </w:tc>
        <w:tc>
          <w:tcPr>
            <w:tcW w:w="3798" w:type="dxa"/>
            <w:tcBorders>
              <w:top w:val="nil"/>
              <w:left w:val="nil"/>
              <w:bottom w:val="nil"/>
              <w:right w:val="single" w:sz="4" w:space="0" w:color="000000"/>
            </w:tcBorders>
            <w:shd w:val="clear" w:color="000000" w:fill="FFFFFF"/>
            <w:hideMark/>
          </w:tcPr>
          <w:p w14:paraId="741480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1. Para los numerales 7 y 8 procederá si el funcionario electoral competente no hubiera efectuado el rechazo de la inscripción por estas causales.</w:t>
            </w:r>
          </w:p>
        </w:tc>
        <w:tc>
          <w:tcPr>
            <w:tcW w:w="3798" w:type="dxa"/>
            <w:tcBorders>
              <w:top w:val="nil"/>
              <w:left w:val="nil"/>
              <w:bottom w:val="nil"/>
              <w:right w:val="single" w:sz="4" w:space="0" w:color="000000"/>
            </w:tcBorders>
            <w:shd w:val="clear" w:color="000000" w:fill="FFFFFF"/>
            <w:hideMark/>
          </w:tcPr>
          <w:p w14:paraId="519246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los numerales 7 y 8 procederá si el funcionario electoral competente no hubiera efectuado el rechazo de la inscripción por estas causales.</w:t>
            </w:r>
          </w:p>
        </w:tc>
        <w:tc>
          <w:tcPr>
            <w:tcW w:w="1480" w:type="dxa"/>
            <w:tcBorders>
              <w:top w:val="nil"/>
              <w:left w:val="nil"/>
              <w:bottom w:val="nil"/>
              <w:right w:val="single" w:sz="4" w:space="0" w:color="000000"/>
            </w:tcBorders>
            <w:shd w:val="clear" w:color="000000" w:fill="FFFFFF"/>
            <w:hideMark/>
          </w:tcPr>
          <w:p w14:paraId="73B7D4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A144CAF"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7992303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Consejo Nacional Electoral no podrá revocar la inscripción de la candidatura por sanciones de carácter administrativo y disciplinarias impuestas a funcionarios elegidos por voto popular.</w:t>
            </w:r>
          </w:p>
        </w:tc>
        <w:tc>
          <w:tcPr>
            <w:tcW w:w="3798" w:type="dxa"/>
            <w:tcBorders>
              <w:top w:val="nil"/>
              <w:left w:val="nil"/>
              <w:bottom w:val="nil"/>
              <w:right w:val="single" w:sz="4" w:space="0" w:color="000000"/>
            </w:tcBorders>
            <w:shd w:val="clear" w:color="000000" w:fill="FFFFFF"/>
            <w:hideMark/>
          </w:tcPr>
          <w:p w14:paraId="78508D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2. El Consejo Nacional Electoral no podrá revocar la inscripción de la candidatura por sanciones de carácter administrativo y disciplinarias impuestas a funcionarios elegidos por voto popular.</w:t>
            </w:r>
          </w:p>
        </w:tc>
        <w:tc>
          <w:tcPr>
            <w:tcW w:w="3798" w:type="dxa"/>
            <w:tcBorders>
              <w:top w:val="nil"/>
              <w:left w:val="nil"/>
              <w:bottom w:val="nil"/>
              <w:right w:val="single" w:sz="4" w:space="0" w:color="000000"/>
            </w:tcBorders>
            <w:shd w:val="clear" w:color="000000" w:fill="FFFFFF"/>
            <w:hideMark/>
          </w:tcPr>
          <w:p w14:paraId="455D4A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Consejo Nacional Electoral no podrá revocar la inscripción de la candidatura por sanciones de carácter administrativo y disciplinarias impuestas a funcionarios elegidos por voto popular.</w:t>
            </w:r>
          </w:p>
        </w:tc>
        <w:tc>
          <w:tcPr>
            <w:tcW w:w="1480" w:type="dxa"/>
            <w:tcBorders>
              <w:top w:val="nil"/>
              <w:left w:val="nil"/>
              <w:bottom w:val="single" w:sz="4" w:space="0" w:color="000000"/>
              <w:right w:val="single" w:sz="4" w:space="0" w:color="000000"/>
            </w:tcBorders>
            <w:shd w:val="clear" w:color="000000" w:fill="FFFFFF"/>
            <w:hideMark/>
          </w:tcPr>
          <w:p w14:paraId="270731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779C67"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7CEB6C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87.- Causales de inhabilidad para ocupar cargos de elección popular en el nivel territorial.</w:t>
            </w:r>
            <w:r w:rsidRPr="00222F34">
              <w:rPr>
                <w:rFonts w:ascii="Calibri" w:eastAsia="Times New Roman" w:hAnsi="Calibri" w:cs="Calibri"/>
                <w:color w:val="000000"/>
                <w:lang w:val="es-CO" w:eastAsia="es-CO" w:bidi="ar-SA"/>
              </w:rPr>
              <w:t xml:space="preserve"> Además de las previstas en la Constitución Política y la ley, no podrán ser inscritos ni declarados elegidos ni designados como gobernadores, diputados, alcaldes y concejales los ciudadanos que hayan incurrido en las situaciones que se describen a continuación: </w:t>
            </w:r>
          </w:p>
        </w:tc>
        <w:tc>
          <w:tcPr>
            <w:tcW w:w="3798" w:type="dxa"/>
            <w:tcBorders>
              <w:top w:val="single" w:sz="4" w:space="0" w:color="000000"/>
              <w:left w:val="nil"/>
              <w:bottom w:val="nil"/>
              <w:right w:val="single" w:sz="4" w:space="0" w:color="000000"/>
            </w:tcBorders>
            <w:shd w:val="clear" w:color="00FF00" w:fill="FFFFFF"/>
            <w:hideMark/>
          </w:tcPr>
          <w:p w14:paraId="3045FA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91.</w:t>
            </w:r>
            <w:r w:rsidRPr="00222F34">
              <w:rPr>
                <w:rFonts w:ascii="Calibri" w:eastAsia="Times New Roman" w:hAnsi="Calibri" w:cs="Calibri"/>
                <w:color w:val="000000"/>
                <w:lang w:val="es-CO" w:eastAsia="es-CO" w:bidi="ar-SA"/>
              </w:rPr>
              <w:t xml:space="preserve"> </w:t>
            </w:r>
            <w:r w:rsidRPr="00222F34">
              <w:rPr>
                <w:rFonts w:ascii="Calibri" w:eastAsia="Times New Roman" w:hAnsi="Calibri" w:cs="Calibri"/>
                <w:b/>
                <w:bCs/>
                <w:color w:val="000000"/>
                <w:lang w:val="es-CO" w:eastAsia="es-CO" w:bidi="ar-SA"/>
              </w:rPr>
              <w:t>Causales de inhabilidad para ocupar cargos de elección popular en el nivel territorial.</w:t>
            </w:r>
            <w:r w:rsidRPr="00222F34">
              <w:rPr>
                <w:rFonts w:ascii="Calibri" w:eastAsia="Times New Roman" w:hAnsi="Calibri" w:cs="Calibri"/>
                <w:color w:val="000000"/>
                <w:lang w:val="es-CO" w:eastAsia="es-CO" w:bidi="ar-SA"/>
              </w:rPr>
              <w:t xml:space="preserve"> Además de las previstas en la Constitución Política y la ley, no podrán ser inscritos ni declarados elegidos ni designados como gobernadores, diputados, alcaldes y concejales los ciudadanos que hayan incurrido en las situaciones que se describen a continuación:</w:t>
            </w:r>
          </w:p>
        </w:tc>
        <w:tc>
          <w:tcPr>
            <w:tcW w:w="3798" w:type="dxa"/>
            <w:tcBorders>
              <w:top w:val="single" w:sz="4" w:space="0" w:color="000000"/>
              <w:left w:val="nil"/>
              <w:bottom w:val="nil"/>
              <w:right w:val="single" w:sz="4" w:space="0" w:color="000000"/>
            </w:tcBorders>
            <w:shd w:val="clear" w:color="000000" w:fill="FFFFFF"/>
            <w:hideMark/>
          </w:tcPr>
          <w:p w14:paraId="07A8126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91.- Causales de inhabilidad para ocupar cargos de elección popular en el nivel territorial.</w:t>
            </w:r>
            <w:r w:rsidRPr="00222F34">
              <w:rPr>
                <w:rFonts w:ascii="Calibri" w:eastAsia="Times New Roman" w:hAnsi="Calibri" w:cs="Calibri"/>
                <w:color w:val="000000"/>
                <w:lang w:val="es-CO" w:eastAsia="es-CO" w:bidi="ar-SA"/>
              </w:rPr>
              <w:t xml:space="preserve"> Además de las previstas en la Constitución Política y la ley, no podrán ser inscritos ni declarados elegidos ni designados como gobernadores, diputados, alcaldes y concejales los ciudadanos que hayan incurrido en las situaciones que se describen a continuación: </w:t>
            </w:r>
          </w:p>
        </w:tc>
        <w:tc>
          <w:tcPr>
            <w:tcW w:w="1480" w:type="dxa"/>
            <w:tcBorders>
              <w:top w:val="nil"/>
              <w:left w:val="nil"/>
              <w:bottom w:val="nil"/>
              <w:right w:val="single" w:sz="4" w:space="0" w:color="000000"/>
            </w:tcBorders>
            <w:shd w:val="clear" w:color="000000" w:fill="FFFFFF"/>
            <w:hideMark/>
          </w:tcPr>
          <w:p w14:paraId="55D62C8A" w14:textId="3E502D6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363320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BB7CE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En razón a situaciones ocurridas en cualquier tiempo: </w:t>
            </w:r>
          </w:p>
        </w:tc>
        <w:tc>
          <w:tcPr>
            <w:tcW w:w="3798" w:type="dxa"/>
            <w:tcBorders>
              <w:top w:val="nil"/>
              <w:left w:val="nil"/>
              <w:bottom w:val="nil"/>
              <w:right w:val="single" w:sz="4" w:space="0" w:color="000000"/>
            </w:tcBorders>
            <w:shd w:val="clear" w:color="00FF00" w:fill="FFFFFF"/>
            <w:hideMark/>
          </w:tcPr>
          <w:p w14:paraId="658BD8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En razón a situaciones ocurridas en cualquier tiempo:</w:t>
            </w:r>
          </w:p>
        </w:tc>
        <w:tc>
          <w:tcPr>
            <w:tcW w:w="3798" w:type="dxa"/>
            <w:tcBorders>
              <w:top w:val="nil"/>
              <w:left w:val="nil"/>
              <w:bottom w:val="nil"/>
              <w:right w:val="single" w:sz="4" w:space="0" w:color="000000"/>
            </w:tcBorders>
            <w:shd w:val="clear" w:color="000000" w:fill="FFFFFF"/>
            <w:hideMark/>
          </w:tcPr>
          <w:p w14:paraId="410679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En razón a situaciones ocurridas en cualquier tiempo: </w:t>
            </w:r>
          </w:p>
        </w:tc>
        <w:tc>
          <w:tcPr>
            <w:tcW w:w="1480" w:type="dxa"/>
            <w:tcBorders>
              <w:top w:val="nil"/>
              <w:left w:val="nil"/>
              <w:bottom w:val="nil"/>
              <w:right w:val="single" w:sz="4" w:space="0" w:color="000000"/>
            </w:tcBorders>
            <w:shd w:val="clear" w:color="000000" w:fill="FFFFFF"/>
            <w:hideMark/>
          </w:tcPr>
          <w:p w14:paraId="30727E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B5F2B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F82ED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 Condena por sentencia judicial a pena privativa de la libertad, excepto por delitos políticos o culposos. </w:t>
            </w:r>
          </w:p>
        </w:tc>
        <w:tc>
          <w:tcPr>
            <w:tcW w:w="3798" w:type="dxa"/>
            <w:tcBorders>
              <w:top w:val="nil"/>
              <w:left w:val="nil"/>
              <w:bottom w:val="nil"/>
              <w:right w:val="single" w:sz="4" w:space="0" w:color="000000"/>
            </w:tcBorders>
            <w:shd w:val="clear" w:color="00FF00" w:fill="FFFFFF"/>
            <w:hideMark/>
          </w:tcPr>
          <w:p w14:paraId="5CEE0C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Condena por sentencia judicial a pena privativa de la libertad, excepto por delitos políticos o culposos.</w:t>
            </w:r>
          </w:p>
        </w:tc>
        <w:tc>
          <w:tcPr>
            <w:tcW w:w="3798" w:type="dxa"/>
            <w:tcBorders>
              <w:top w:val="nil"/>
              <w:left w:val="nil"/>
              <w:bottom w:val="nil"/>
              <w:right w:val="single" w:sz="4" w:space="0" w:color="000000"/>
            </w:tcBorders>
            <w:shd w:val="clear" w:color="000000" w:fill="FFFFFF"/>
            <w:hideMark/>
          </w:tcPr>
          <w:p w14:paraId="336C7E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Condena por sentencia judicial a pena privativa de la libertad, excepto por delitos políticos o culposos. </w:t>
            </w:r>
          </w:p>
        </w:tc>
        <w:tc>
          <w:tcPr>
            <w:tcW w:w="1480" w:type="dxa"/>
            <w:tcBorders>
              <w:top w:val="nil"/>
              <w:left w:val="nil"/>
              <w:bottom w:val="nil"/>
              <w:right w:val="single" w:sz="4" w:space="0" w:color="000000"/>
            </w:tcBorders>
            <w:shd w:val="clear" w:color="000000" w:fill="FFFFFF"/>
            <w:hideMark/>
          </w:tcPr>
          <w:p w14:paraId="6434BF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B973A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D2E7F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Pérdida de la investidura de congresista, diputado, concejal o edil. </w:t>
            </w:r>
          </w:p>
        </w:tc>
        <w:tc>
          <w:tcPr>
            <w:tcW w:w="3798" w:type="dxa"/>
            <w:tcBorders>
              <w:top w:val="nil"/>
              <w:left w:val="nil"/>
              <w:bottom w:val="nil"/>
              <w:right w:val="single" w:sz="4" w:space="0" w:color="000000"/>
            </w:tcBorders>
            <w:shd w:val="clear" w:color="00FF00" w:fill="FFFFFF"/>
            <w:hideMark/>
          </w:tcPr>
          <w:p w14:paraId="1BD1A9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Pérdida de la investidura de congresista, diputado, concejal o edil.</w:t>
            </w:r>
          </w:p>
        </w:tc>
        <w:tc>
          <w:tcPr>
            <w:tcW w:w="3798" w:type="dxa"/>
            <w:tcBorders>
              <w:top w:val="nil"/>
              <w:left w:val="nil"/>
              <w:bottom w:val="nil"/>
              <w:right w:val="single" w:sz="4" w:space="0" w:color="000000"/>
            </w:tcBorders>
            <w:shd w:val="clear" w:color="000000" w:fill="FFFFFF"/>
            <w:hideMark/>
          </w:tcPr>
          <w:p w14:paraId="556090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Pérdida de la investidura de congresista, diputado, concejal o edil. </w:t>
            </w:r>
          </w:p>
        </w:tc>
        <w:tc>
          <w:tcPr>
            <w:tcW w:w="1480" w:type="dxa"/>
            <w:tcBorders>
              <w:top w:val="nil"/>
              <w:left w:val="nil"/>
              <w:bottom w:val="nil"/>
              <w:right w:val="single" w:sz="4" w:space="0" w:color="000000"/>
            </w:tcBorders>
            <w:shd w:val="clear" w:color="000000" w:fill="FFFFFF"/>
            <w:hideMark/>
          </w:tcPr>
          <w:p w14:paraId="749957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EE255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A97E5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Inhabilitación para el ejercicio de derechos y de funciones públicas impuesta en sentencia judicial, durante el tiempo señalado en la respectiva decisión. </w:t>
            </w:r>
          </w:p>
        </w:tc>
        <w:tc>
          <w:tcPr>
            <w:tcW w:w="3798" w:type="dxa"/>
            <w:tcBorders>
              <w:top w:val="nil"/>
              <w:left w:val="nil"/>
              <w:bottom w:val="nil"/>
              <w:right w:val="single" w:sz="4" w:space="0" w:color="000000"/>
            </w:tcBorders>
            <w:shd w:val="clear" w:color="00FF00" w:fill="FFFFFF"/>
            <w:hideMark/>
          </w:tcPr>
          <w:p w14:paraId="5057D2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Inhabilitación para el ejercicio de derechos y de funciones públicas impuesta en sentencia judicial, durante el tiempo señalado en la respectiva decisión.</w:t>
            </w:r>
          </w:p>
        </w:tc>
        <w:tc>
          <w:tcPr>
            <w:tcW w:w="3798" w:type="dxa"/>
            <w:tcBorders>
              <w:top w:val="nil"/>
              <w:left w:val="nil"/>
              <w:bottom w:val="nil"/>
              <w:right w:val="single" w:sz="4" w:space="0" w:color="000000"/>
            </w:tcBorders>
            <w:shd w:val="clear" w:color="000000" w:fill="FFFFFF"/>
            <w:hideMark/>
          </w:tcPr>
          <w:p w14:paraId="54342B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Inhabilitación para el ejercicio de derechos y de funciones públicas impuesta en sentencia judicial, durante el tiempo señalado en la respectiva decisión. </w:t>
            </w:r>
          </w:p>
        </w:tc>
        <w:tc>
          <w:tcPr>
            <w:tcW w:w="1480" w:type="dxa"/>
            <w:tcBorders>
              <w:top w:val="nil"/>
              <w:left w:val="nil"/>
              <w:bottom w:val="nil"/>
              <w:right w:val="single" w:sz="4" w:space="0" w:color="000000"/>
            </w:tcBorders>
            <w:shd w:val="clear" w:color="000000" w:fill="FFFFFF"/>
            <w:hideMark/>
          </w:tcPr>
          <w:p w14:paraId="7074EE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1232A1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B1ABA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Pérdida del cargo por violación de topes de campaña declarada por la Jurisdicción de lo Contencioso Administrativo. </w:t>
            </w:r>
          </w:p>
        </w:tc>
        <w:tc>
          <w:tcPr>
            <w:tcW w:w="3798" w:type="dxa"/>
            <w:tcBorders>
              <w:top w:val="nil"/>
              <w:left w:val="nil"/>
              <w:bottom w:val="nil"/>
              <w:right w:val="single" w:sz="4" w:space="0" w:color="000000"/>
            </w:tcBorders>
            <w:shd w:val="clear" w:color="00FF00" w:fill="FFFFFF"/>
            <w:hideMark/>
          </w:tcPr>
          <w:p w14:paraId="2B8473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Pérdida del cargo por violación de topes de campaña declarada por la Jurisdicción de lo Contencioso Administrativo.</w:t>
            </w:r>
          </w:p>
        </w:tc>
        <w:tc>
          <w:tcPr>
            <w:tcW w:w="3798" w:type="dxa"/>
            <w:tcBorders>
              <w:top w:val="nil"/>
              <w:left w:val="nil"/>
              <w:bottom w:val="nil"/>
              <w:right w:val="single" w:sz="4" w:space="0" w:color="000000"/>
            </w:tcBorders>
            <w:shd w:val="clear" w:color="000000" w:fill="FFFFFF"/>
            <w:hideMark/>
          </w:tcPr>
          <w:p w14:paraId="1360E4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Pérdida del cargo por violación de topes de campaña declarada por la Jurisdicción de lo Contencioso Administrativo. </w:t>
            </w:r>
          </w:p>
        </w:tc>
        <w:tc>
          <w:tcPr>
            <w:tcW w:w="1480" w:type="dxa"/>
            <w:tcBorders>
              <w:top w:val="nil"/>
              <w:left w:val="nil"/>
              <w:bottom w:val="nil"/>
              <w:right w:val="single" w:sz="4" w:space="0" w:color="000000"/>
            </w:tcBorders>
            <w:shd w:val="clear" w:color="000000" w:fill="FFFFFF"/>
            <w:hideMark/>
          </w:tcPr>
          <w:p w14:paraId="072352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37B7CF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D119A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En razón a situaciones ocurridas dentro del año anterior a la fecha de las votaciones, en la respectiva circunscripción electoral: </w:t>
            </w:r>
          </w:p>
        </w:tc>
        <w:tc>
          <w:tcPr>
            <w:tcW w:w="3798" w:type="dxa"/>
            <w:tcBorders>
              <w:top w:val="nil"/>
              <w:left w:val="nil"/>
              <w:bottom w:val="nil"/>
              <w:right w:val="single" w:sz="4" w:space="0" w:color="000000"/>
            </w:tcBorders>
            <w:shd w:val="clear" w:color="00FF00" w:fill="FFFFFF"/>
            <w:hideMark/>
          </w:tcPr>
          <w:p w14:paraId="5753AB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En razón a situaciones ocurridas dentro del año anterior a la fecha de las votaciones, en la respectiva circunscripción electoral:</w:t>
            </w:r>
          </w:p>
        </w:tc>
        <w:tc>
          <w:tcPr>
            <w:tcW w:w="3798" w:type="dxa"/>
            <w:tcBorders>
              <w:top w:val="nil"/>
              <w:left w:val="nil"/>
              <w:bottom w:val="nil"/>
              <w:right w:val="single" w:sz="4" w:space="0" w:color="000000"/>
            </w:tcBorders>
            <w:shd w:val="clear" w:color="000000" w:fill="FFFFFF"/>
            <w:hideMark/>
          </w:tcPr>
          <w:p w14:paraId="3FDBA6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En razón a situaciones ocurridas dentro del año anterior a la fecha de las votaciones, en la respectiva circunscripción electoral: </w:t>
            </w:r>
          </w:p>
        </w:tc>
        <w:tc>
          <w:tcPr>
            <w:tcW w:w="1480" w:type="dxa"/>
            <w:tcBorders>
              <w:top w:val="nil"/>
              <w:left w:val="nil"/>
              <w:bottom w:val="nil"/>
              <w:right w:val="single" w:sz="4" w:space="0" w:color="000000"/>
            </w:tcBorders>
            <w:shd w:val="clear" w:color="000000" w:fill="FFFFFF"/>
            <w:hideMark/>
          </w:tcPr>
          <w:p w14:paraId="687E61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9E733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37715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Ejercicio de los cargos de fiscal, magistrado o juez de la República. </w:t>
            </w:r>
          </w:p>
        </w:tc>
        <w:tc>
          <w:tcPr>
            <w:tcW w:w="3798" w:type="dxa"/>
            <w:tcBorders>
              <w:top w:val="nil"/>
              <w:left w:val="nil"/>
              <w:bottom w:val="nil"/>
              <w:right w:val="single" w:sz="4" w:space="0" w:color="000000"/>
            </w:tcBorders>
            <w:shd w:val="clear" w:color="00FF00" w:fill="FFFFFF"/>
            <w:hideMark/>
          </w:tcPr>
          <w:p w14:paraId="4A9231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Ejercicio de los cargos de fiscal, magistrado o juez de la República.</w:t>
            </w:r>
          </w:p>
        </w:tc>
        <w:tc>
          <w:tcPr>
            <w:tcW w:w="3798" w:type="dxa"/>
            <w:tcBorders>
              <w:top w:val="nil"/>
              <w:left w:val="nil"/>
              <w:bottom w:val="nil"/>
              <w:right w:val="single" w:sz="4" w:space="0" w:color="000000"/>
            </w:tcBorders>
            <w:shd w:val="clear" w:color="000000" w:fill="FFFFFF"/>
            <w:hideMark/>
          </w:tcPr>
          <w:p w14:paraId="6577FE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Ejercicio de los cargos de fiscal, magistrado o juez de la República. </w:t>
            </w:r>
          </w:p>
        </w:tc>
        <w:tc>
          <w:tcPr>
            <w:tcW w:w="1480" w:type="dxa"/>
            <w:tcBorders>
              <w:top w:val="nil"/>
              <w:left w:val="nil"/>
              <w:bottom w:val="nil"/>
              <w:right w:val="single" w:sz="4" w:space="0" w:color="000000"/>
            </w:tcBorders>
            <w:shd w:val="clear" w:color="000000" w:fill="FFFFFF"/>
            <w:hideMark/>
          </w:tcPr>
          <w:p w14:paraId="475ED8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3B2EE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5B62D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Ejercicio de cargo público como autoridad política, civil, administrativa o militar, conforme a las funciones previstas en la Constitución Política, la ley o reglamento para el respectivo cargo.  </w:t>
            </w:r>
          </w:p>
        </w:tc>
        <w:tc>
          <w:tcPr>
            <w:tcW w:w="3798" w:type="dxa"/>
            <w:tcBorders>
              <w:top w:val="nil"/>
              <w:left w:val="nil"/>
              <w:bottom w:val="nil"/>
              <w:right w:val="single" w:sz="4" w:space="0" w:color="000000"/>
            </w:tcBorders>
            <w:shd w:val="clear" w:color="00FF00" w:fill="FFFFFF"/>
            <w:hideMark/>
          </w:tcPr>
          <w:p w14:paraId="38ECA2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Ejercicio de cargo público como autoridad política, civil, administrativa o militar, conforme a las funciones previstas en la Constitución Política, la ley o reglamento para el respectivo cargo.</w:t>
            </w:r>
          </w:p>
        </w:tc>
        <w:tc>
          <w:tcPr>
            <w:tcW w:w="3798" w:type="dxa"/>
            <w:tcBorders>
              <w:top w:val="nil"/>
              <w:left w:val="nil"/>
              <w:bottom w:val="nil"/>
              <w:right w:val="single" w:sz="4" w:space="0" w:color="000000"/>
            </w:tcBorders>
            <w:shd w:val="clear" w:color="000000" w:fill="FFFFFF"/>
            <w:hideMark/>
          </w:tcPr>
          <w:p w14:paraId="692B65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Ejercicio de cargo público como autoridad política, civil, administrativa o militar, conforme a las funciones previstas en la Constitución Política, la ley o reglamento para el respectivo cargo.  </w:t>
            </w:r>
          </w:p>
        </w:tc>
        <w:tc>
          <w:tcPr>
            <w:tcW w:w="1480" w:type="dxa"/>
            <w:tcBorders>
              <w:top w:val="nil"/>
              <w:left w:val="nil"/>
              <w:bottom w:val="nil"/>
              <w:right w:val="single" w:sz="4" w:space="0" w:color="000000"/>
            </w:tcBorders>
            <w:shd w:val="clear" w:color="000000" w:fill="FFFFFF"/>
            <w:hideMark/>
          </w:tcPr>
          <w:p w14:paraId="40D284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A9398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48287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Desempeño del cargo de contralor, personero, procurador o defensor del pueblo. </w:t>
            </w:r>
          </w:p>
        </w:tc>
        <w:tc>
          <w:tcPr>
            <w:tcW w:w="3798" w:type="dxa"/>
            <w:tcBorders>
              <w:top w:val="nil"/>
              <w:left w:val="nil"/>
              <w:bottom w:val="nil"/>
              <w:right w:val="single" w:sz="4" w:space="0" w:color="000000"/>
            </w:tcBorders>
            <w:shd w:val="clear" w:color="00FF00" w:fill="FFFFFF"/>
            <w:hideMark/>
          </w:tcPr>
          <w:p w14:paraId="7E8EFC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Desempeño del cargo de contralor, personero, procurador o defensor del pueblo.</w:t>
            </w:r>
          </w:p>
        </w:tc>
        <w:tc>
          <w:tcPr>
            <w:tcW w:w="3798" w:type="dxa"/>
            <w:tcBorders>
              <w:top w:val="nil"/>
              <w:left w:val="nil"/>
              <w:bottom w:val="nil"/>
              <w:right w:val="single" w:sz="4" w:space="0" w:color="000000"/>
            </w:tcBorders>
            <w:shd w:val="clear" w:color="000000" w:fill="FFFFFF"/>
            <w:hideMark/>
          </w:tcPr>
          <w:p w14:paraId="4E7505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Desempeño del cargo de contralor, personero, procurador o defensor del pueblo. </w:t>
            </w:r>
          </w:p>
        </w:tc>
        <w:tc>
          <w:tcPr>
            <w:tcW w:w="1480" w:type="dxa"/>
            <w:tcBorders>
              <w:top w:val="nil"/>
              <w:left w:val="nil"/>
              <w:bottom w:val="nil"/>
              <w:right w:val="single" w:sz="4" w:space="0" w:color="000000"/>
            </w:tcBorders>
            <w:shd w:val="clear" w:color="000000" w:fill="FFFFFF"/>
            <w:hideMark/>
          </w:tcPr>
          <w:p w14:paraId="7A4EDE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00E630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D1152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 Gestión de negocios o suscripción de contrato estatal con entidades de cualquier nivel que deba ejecutarse en el respectivo departamento o municipio. </w:t>
            </w:r>
          </w:p>
        </w:tc>
        <w:tc>
          <w:tcPr>
            <w:tcW w:w="3798" w:type="dxa"/>
            <w:tcBorders>
              <w:top w:val="nil"/>
              <w:left w:val="nil"/>
              <w:bottom w:val="nil"/>
              <w:right w:val="single" w:sz="4" w:space="0" w:color="000000"/>
            </w:tcBorders>
            <w:shd w:val="clear" w:color="00FF00" w:fill="FFFFFF"/>
            <w:hideMark/>
          </w:tcPr>
          <w:p w14:paraId="1C98C8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Gestión de negocios o suscripción de contrato estatal con entidades de cualquier nivel que deba ejecutarse en el respectivo departamento o municipio, exceptuando los contratos por prestación de servicios profesionales que no se celebren con el respectivo municipio o departamento.</w:t>
            </w:r>
          </w:p>
        </w:tc>
        <w:tc>
          <w:tcPr>
            <w:tcW w:w="3798" w:type="dxa"/>
            <w:tcBorders>
              <w:top w:val="nil"/>
              <w:left w:val="nil"/>
              <w:bottom w:val="nil"/>
              <w:right w:val="single" w:sz="4" w:space="0" w:color="000000"/>
            </w:tcBorders>
            <w:shd w:val="clear" w:color="000000" w:fill="FFFFFF"/>
            <w:hideMark/>
          </w:tcPr>
          <w:p w14:paraId="2C5F62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Gestión de negocios o suscripción de contrato estatal con entidades de cualquier nivel que deba ejecutarse en el respectivo departamento o municipio. </w:t>
            </w:r>
          </w:p>
        </w:tc>
        <w:tc>
          <w:tcPr>
            <w:tcW w:w="1480" w:type="dxa"/>
            <w:tcBorders>
              <w:top w:val="nil"/>
              <w:left w:val="nil"/>
              <w:bottom w:val="nil"/>
              <w:right w:val="single" w:sz="4" w:space="0" w:color="000000"/>
            </w:tcBorders>
            <w:shd w:val="clear" w:color="000000" w:fill="FFFFFF"/>
            <w:hideMark/>
          </w:tcPr>
          <w:p w14:paraId="6240EE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1DBD5E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2FA28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Representación legal de personas jurídicas que administren tributos, tasas o contribuciones. </w:t>
            </w:r>
          </w:p>
        </w:tc>
        <w:tc>
          <w:tcPr>
            <w:tcW w:w="3798" w:type="dxa"/>
            <w:tcBorders>
              <w:top w:val="nil"/>
              <w:left w:val="nil"/>
              <w:bottom w:val="nil"/>
              <w:right w:val="single" w:sz="4" w:space="0" w:color="000000"/>
            </w:tcBorders>
            <w:shd w:val="clear" w:color="00FF00" w:fill="FFFFFF"/>
            <w:hideMark/>
          </w:tcPr>
          <w:p w14:paraId="020327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Representación legal de personas jurídicas que administren tributos, tasas o contribuciones.</w:t>
            </w:r>
          </w:p>
        </w:tc>
        <w:tc>
          <w:tcPr>
            <w:tcW w:w="3798" w:type="dxa"/>
            <w:tcBorders>
              <w:top w:val="nil"/>
              <w:left w:val="nil"/>
              <w:bottom w:val="nil"/>
              <w:right w:val="single" w:sz="4" w:space="0" w:color="000000"/>
            </w:tcBorders>
            <w:shd w:val="clear" w:color="000000" w:fill="FFFFFF"/>
            <w:hideMark/>
          </w:tcPr>
          <w:p w14:paraId="4E1A14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Representación legal de personas jurídicas que administren tributos, tasas o contribuciones. </w:t>
            </w:r>
          </w:p>
        </w:tc>
        <w:tc>
          <w:tcPr>
            <w:tcW w:w="1480" w:type="dxa"/>
            <w:tcBorders>
              <w:top w:val="nil"/>
              <w:left w:val="nil"/>
              <w:bottom w:val="nil"/>
              <w:right w:val="single" w:sz="4" w:space="0" w:color="000000"/>
            </w:tcBorders>
            <w:shd w:val="clear" w:color="000000" w:fill="FFFFFF"/>
            <w:hideMark/>
          </w:tcPr>
          <w:p w14:paraId="59941A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F4A726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9AA5D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Representación legal de entidades prestadoras de servicios públicos domiciliarios o de seguridad social en el régimen subsidiado. </w:t>
            </w:r>
          </w:p>
        </w:tc>
        <w:tc>
          <w:tcPr>
            <w:tcW w:w="3798" w:type="dxa"/>
            <w:tcBorders>
              <w:top w:val="nil"/>
              <w:left w:val="nil"/>
              <w:bottom w:val="nil"/>
              <w:right w:val="single" w:sz="4" w:space="0" w:color="000000"/>
            </w:tcBorders>
            <w:shd w:val="clear" w:color="00FF00" w:fill="FFFFFF"/>
            <w:hideMark/>
          </w:tcPr>
          <w:p w14:paraId="67DE76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Representación legal de entidades prestadoras de servicios públicos domiciliarios o de seguridad social en el régimen subsidiado.</w:t>
            </w:r>
          </w:p>
        </w:tc>
        <w:tc>
          <w:tcPr>
            <w:tcW w:w="3798" w:type="dxa"/>
            <w:tcBorders>
              <w:top w:val="nil"/>
              <w:left w:val="nil"/>
              <w:bottom w:val="nil"/>
              <w:right w:val="single" w:sz="4" w:space="0" w:color="000000"/>
            </w:tcBorders>
            <w:shd w:val="clear" w:color="000000" w:fill="FFFFFF"/>
            <w:hideMark/>
          </w:tcPr>
          <w:p w14:paraId="5C7395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Representación legal de entidades prestadoras de servicios públicos domiciliarios o de seguridad social en el régimen subsidiado. </w:t>
            </w:r>
          </w:p>
        </w:tc>
        <w:tc>
          <w:tcPr>
            <w:tcW w:w="1480" w:type="dxa"/>
            <w:tcBorders>
              <w:top w:val="nil"/>
              <w:left w:val="nil"/>
              <w:bottom w:val="nil"/>
              <w:right w:val="single" w:sz="4" w:space="0" w:color="000000"/>
            </w:tcBorders>
            <w:shd w:val="clear" w:color="000000" w:fill="FFFFFF"/>
            <w:hideMark/>
          </w:tcPr>
          <w:p w14:paraId="59286F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E098824"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61442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Vínculo de matrimonio o unión marital de hecho, parentesco hasta el tercer grado de 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 especial. </w:t>
            </w:r>
          </w:p>
        </w:tc>
        <w:tc>
          <w:tcPr>
            <w:tcW w:w="3798" w:type="dxa"/>
            <w:tcBorders>
              <w:top w:val="nil"/>
              <w:left w:val="nil"/>
              <w:bottom w:val="nil"/>
              <w:right w:val="single" w:sz="4" w:space="0" w:color="000000"/>
            </w:tcBorders>
            <w:shd w:val="clear" w:color="00FF00" w:fill="FFFFFF"/>
            <w:hideMark/>
          </w:tcPr>
          <w:p w14:paraId="3245E5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Vínculo de matrimonio o unión marital de hecho, parentesco hasta el tercer grado de 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 especial.</w:t>
            </w:r>
          </w:p>
        </w:tc>
        <w:tc>
          <w:tcPr>
            <w:tcW w:w="3798" w:type="dxa"/>
            <w:tcBorders>
              <w:top w:val="nil"/>
              <w:left w:val="nil"/>
              <w:bottom w:val="nil"/>
              <w:right w:val="single" w:sz="4" w:space="0" w:color="000000"/>
            </w:tcBorders>
            <w:shd w:val="clear" w:color="000000" w:fill="FFFFFF"/>
            <w:hideMark/>
          </w:tcPr>
          <w:p w14:paraId="3E883A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Vínculo de matrimonio o unión marital de hecho, parentesco hasta el tercer grado de 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 especial. </w:t>
            </w:r>
          </w:p>
        </w:tc>
        <w:tc>
          <w:tcPr>
            <w:tcW w:w="1480" w:type="dxa"/>
            <w:tcBorders>
              <w:top w:val="nil"/>
              <w:left w:val="nil"/>
              <w:bottom w:val="nil"/>
              <w:right w:val="single" w:sz="4" w:space="0" w:color="000000"/>
            </w:tcBorders>
            <w:shd w:val="clear" w:color="000000" w:fill="FFFFFF"/>
            <w:hideMark/>
          </w:tcPr>
          <w:p w14:paraId="0B38D3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A8C0BC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EB882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Vínculo de matrimonio o unión marital de hecho, parentesco hasta el tercer grado de consanguinidad, primero de afinidad y primero civil con personas que ejerzan o hayan ejercido la </w:t>
            </w:r>
            <w:r w:rsidRPr="00222F34">
              <w:rPr>
                <w:rFonts w:ascii="Calibri" w:eastAsia="Times New Roman" w:hAnsi="Calibri" w:cs="Calibri"/>
                <w:color w:val="000000"/>
                <w:lang w:val="es-CO" w:eastAsia="es-CO" w:bidi="ar-SA"/>
              </w:rPr>
              <w:lastRenderedPageBreak/>
              <w:t xml:space="preserve">representación legal de entidades que administren tributos, tasas o contribuciones. </w:t>
            </w:r>
          </w:p>
        </w:tc>
        <w:tc>
          <w:tcPr>
            <w:tcW w:w="3798" w:type="dxa"/>
            <w:tcBorders>
              <w:top w:val="nil"/>
              <w:left w:val="nil"/>
              <w:bottom w:val="nil"/>
              <w:right w:val="single" w:sz="4" w:space="0" w:color="000000"/>
            </w:tcBorders>
            <w:shd w:val="clear" w:color="00FF00" w:fill="FFFFFF"/>
            <w:hideMark/>
          </w:tcPr>
          <w:p w14:paraId="376216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h) Vínculo de matrimonio o unión marital de hecho, parentesco hasta el tercer grado de consanguinidad, primero de afinidad y primero civil con personas que ejerzan o hayan ejercido la </w:t>
            </w:r>
            <w:r w:rsidRPr="00222F34">
              <w:rPr>
                <w:rFonts w:ascii="Calibri" w:eastAsia="Times New Roman" w:hAnsi="Calibri" w:cs="Calibri"/>
                <w:color w:val="000000"/>
                <w:lang w:val="es-CO" w:eastAsia="es-CO" w:bidi="ar-SA"/>
              </w:rPr>
              <w:lastRenderedPageBreak/>
              <w:t>representación legal de entidades que administren tributos, tasas o contribuciones.</w:t>
            </w:r>
          </w:p>
        </w:tc>
        <w:tc>
          <w:tcPr>
            <w:tcW w:w="3798" w:type="dxa"/>
            <w:tcBorders>
              <w:top w:val="nil"/>
              <w:left w:val="nil"/>
              <w:bottom w:val="nil"/>
              <w:right w:val="single" w:sz="4" w:space="0" w:color="000000"/>
            </w:tcBorders>
            <w:shd w:val="clear" w:color="000000" w:fill="FFFFFF"/>
            <w:hideMark/>
          </w:tcPr>
          <w:p w14:paraId="490C98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h) Vínculo de matrimonio o unión marital de hecho, parentesco hasta el tercer grado de consanguinidad, primero de afinidad y primero civil con personas que ejerzan o hayan ejercido la </w:t>
            </w:r>
            <w:r w:rsidRPr="00222F34">
              <w:rPr>
                <w:rFonts w:ascii="Calibri" w:eastAsia="Times New Roman" w:hAnsi="Calibri" w:cs="Calibri"/>
                <w:color w:val="000000"/>
                <w:lang w:val="es-CO" w:eastAsia="es-CO" w:bidi="ar-SA"/>
              </w:rPr>
              <w:lastRenderedPageBreak/>
              <w:t xml:space="preserve">representación legal de entidades que administren tributos, tasas o contribuciones. </w:t>
            </w:r>
          </w:p>
        </w:tc>
        <w:tc>
          <w:tcPr>
            <w:tcW w:w="1480" w:type="dxa"/>
            <w:tcBorders>
              <w:top w:val="nil"/>
              <w:left w:val="nil"/>
              <w:bottom w:val="nil"/>
              <w:right w:val="single" w:sz="4" w:space="0" w:color="000000"/>
            </w:tcBorders>
            <w:shd w:val="clear" w:color="000000" w:fill="FFFFFF"/>
            <w:hideMark/>
          </w:tcPr>
          <w:p w14:paraId="033CB2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D7FCAD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9AD1B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i) 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 </w:t>
            </w:r>
          </w:p>
        </w:tc>
        <w:tc>
          <w:tcPr>
            <w:tcW w:w="3798" w:type="dxa"/>
            <w:tcBorders>
              <w:top w:val="nil"/>
              <w:left w:val="nil"/>
              <w:bottom w:val="nil"/>
              <w:right w:val="single" w:sz="4" w:space="0" w:color="000000"/>
            </w:tcBorders>
            <w:shd w:val="clear" w:color="00FF00" w:fill="FFFFFF"/>
            <w:hideMark/>
          </w:tcPr>
          <w:p w14:paraId="00F1BE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w:t>
            </w:r>
          </w:p>
        </w:tc>
        <w:tc>
          <w:tcPr>
            <w:tcW w:w="3798" w:type="dxa"/>
            <w:tcBorders>
              <w:top w:val="nil"/>
              <w:left w:val="nil"/>
              <w:bottom w:val="nil"/>
              <w:right w:val="single" w:sz="4" w:space="0" w:color="000000"/>
            </w:tcBorders>
            <w:shd w:val="clear" w:color="000000" w:fill="FFFFFF"/>
            <w:hideMark/>
          </w:tcPr>
          <w:p w14:paraId="55370B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 </w:t>
            </w:r>
          </w:p>
        </w:tc>
        <w:tc>
          <w:tcPr>
            <w:tcW w:w="1480" w:type="dxa"/>
            <w:tcBorders>
              <w:top w:val="nil"/>
              <w:left w:val="nil"/>
              <w:bottom w:val="nil"/>
              <w:right w:val="single" w:sz="4" w:space="0" w:color="000000"/>
            </w:tcBorders>
            <w:shd w:val="clear" w:color="000000" w:fill="FFFFFF"/>
            <w:hideMark/>
          </w:tcPr>
          <w:p w14:paraId="3BCB9E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687606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A9641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Otras inhabilidades: </w:t>
            </w:r>
          </w:p>
        </w:tc>
        <w:tc>
          <w:tcPr>
            <w:tcW w:w="3798" w:type="dxa"/>
            <w:tcBorders>
              <w:top w:val="nil"/>
              <w:left w:val="nil"/>
              <w:bottom w:val="nil"/>
              <w:right w:val="single" w:sz="4" w:space="0" w:color="000000"/>
            </w:tcBorders>
            <w:shd w:val="clear" w:color="00FF00" w:fill="FFFFFF"/>
            <w:hideMark/>
          </w:tcPr>
          <w:p w14:paraId="716339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Otras inhabilidades:</w:t>
            </w:r>
          </w:p>
        </w:tc>
        <w:tc>
          <w:tcPr>
            <w:tcW w:w="3798" w:type="dxa"/>
            <w:tcBorders>
              <w:top w:val="nil"/>
              <w:left w:val="nil"/>
              <w:bottom w:val="nil"/>
              <w:right w:val="single" w:sz="4" w:space="0" w:color="000000"/>
            </w:tcBorders>
            <w:shd w:val="clear" w:color="000000" w:fill="FFFFFF"/>
            <w:hideMark/>
          </w:tcPr>
          <w:p w14:paraId="06A017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Otras inhabilidades: </w:t>
            </w:r>
          </w:p>
        </w:tc>
        <w:tc>
          <w:tcPr>
            <w:tcW w:w="1480" w:type="dxa"/>
            <w:tcBorders>
              <w:top w:val="nil"/>
              <w:left w:val="nil"/>
              <w:bottom w:val="nil"/>
              <w:right w:val="single" w:sz="4" w:space="0" w:color="000000"/>
            </w:tcBorders>
            <w:shd w:val="clear" w:color="000000" w:fill="FFFFFF"/>
            <w:hideMark/>
          </w:tcPr>
          <w:p w14:paraId="46B7DC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799B39F" w14:textId="77777777" w:rsidTr="00222F34">
        <w:trPr>
          <w:trHeight w:val="1245"/>
        </w:trPr>
        <w:tc>
          <w:tcPr>
            <w:tcW w:w="3798" w:type="dxa"/>
            <w:tcBorders>
              <w:top w:val="nil"/>
              <w:left w:val="single" w:sz="4" w:space="0" w:color="000000"/>
              <w:bottom w:val="nil"/>
              <w:right w:val="single" w:sz="4" w:space="0" w:color="000000"/>
            </w:tcBorders>
            <w:shd w:val="clear" w:color="000000" w:fill="FFFFFF"/>
            <w:hideMark/>
          </w:tcPr>
          <w:p w14:paraId="628A1B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Inscribirse por el mismo partido, movimiento político con personería jurídica o grupo significativo de ciudadanos para elecciones populares que deban realizarse en el mismo municipio o distrito y en la misma fecha, con el cónyuge, compañero permanente, pariente hasta el tercer grado de consanguinidad, primero de afinidad o primero civil. </w:t>
            </w:r>
          </w:p>
        </w:tc>
        <w:tc>
          <w:tcPr>
            <w:tcW w:w="3798" w:type="dxa"/>
            <w:tcBorders>
              <w:top w:val="nil"/>
              <w:left w:val="nil"/>
              <w:bottom w:val="nil"/>
              <w:right w:val="single" w:sz="4" w:space="0" w:color="000000"/>
            </w:tcBorders>
            <w:shd w:val="clear" w:color="00FF00" w:fill="FFFFFF"/>
            <w:hideMark/>
          </w:tcPr>
          <w:p w14:paraId="673B73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Inscribirse por el mismo partido, movimiento político con personería jurídica o grupo significativo de ciudadanos para elecciones populares que deban realizarse en el mismo municipio o distrito y en la misma fecha, con el cónyuge, compañero permanente, pariente hasta el tercer grado de consanguinidad, primero de afinidad o primero civil.</w:t>
            </w:r>
          </w:p>
        </w:tc>
        <w:tc>
          <w:tcPr>
            <w:tcW w:w="3798" w:type="dxa"/>
            <w:tcBorders>
              <w:top w:val="nil"/>
              <w:left w:val="nil"/>
              <w:bottom w:val="nil"/>
              <w:right w:val="single" w:sz="4" w:space="0" w:color="000000"/>
            </w:tcBorders>
            <w:shd w:val="clear" w:color="000000" w:fill="FFFFFF"/>
            <w:hideMark/>
          </w:tcPr>
          <w:p w14:paraId="6EC014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Inscribirse por el mismo partido, movimiento político con personería jurídica o grupo significativo de ciudadanos para elecciones populares que deban realizarse en el mismo municipio o distrito y en la misma fecha, con el cónyuge, compañero permanente, pariente hasta el tercer grado de consanguinidad, primero de afinidad o primero civil. </w:t>
            </w:r>
          </w:p>
        </w:tc>
        <w:tc>
          <w:tcPr>
            <w:tcW w:w="1480" w:type="dxa"/>
            <w:tcBorders>
              <w:top w:val="nil"/>
              <w:left w:val="nil"/>
              <w:bottom w:val="nil"/>
              <w:right w:val="single" w:sz="4" w:space="0" w:color="000000"/>
            </w:tcBorders>
            <w:shd w:val="clear" w:color="000000" w:fill="FFFFFF"/>
            <w:hideMark/>
          </w:tcPr>
          <w:p w14:paraId="59DE13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146D6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E8CB6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Inscribirse para cualquier cargo de elección popular dentro del periodo para el cual el ciudadano fue elegido como gobernador o alcalde. </w:t>
            </w:r>
          </w:p>
        </w:tc>
        <w:tc>
          <w:tcPr>
            <w:tcW w:w="3798" w:type="dxa"/>
            <w:tcBorders>
              <w:top w:val="nil"/>
              <w:left w:val="nil"/>
              <w:bottom w:val="nil"/>
              <w:right w:val="single" w:sz="4" w:space="0" w:color="000000"/>
            </w:tcBorders>
            <w:shd w:val="clear" w:color="00FF00" w:fill="FFFFFF"/>
            <w:hideMark/>
          </w:tcPr>
          <w:p w14:paraId="1746E6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Inscribirse para cualquier cargo de elección popular dentro del periodo para el cual el ciudadano fue elegido como gobernador o alcalde.</w:t>
            </w:r>
          </w:p>
        </w:tc>
        <w:tc>
          <w:tcPr>
            <w:tcW w:w="3798" w:type="dxa"/>
            <w:tcBorders>
              <w:top w:val="nil"/>
              <w:left w:val="nil"/>
              <w:bottom w:val="nil"/>
              <w:right w:val="single" w:sz="4" w:space="0" w:color="000000"/>
            </w:tcBorders>
            <w:shd w:val="clear" w:color="000000" w:fill="FFFFFF"/>
            <w:hideMark/>
          </w:tcPr>
          <w:p w14:paraId="15F736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Inscribirse para cualquier cargo de elección popular dentro del periodo para el cual el ciudadano fue elegido como gobernador o alcalde. </w:t>
            </w:r>
          </w:p>
        </w:tc>
        <w:tc>
          <w:tcPr>
            <w:tcW w:w="1480" w:type="dxa"/>
            <w:tcBorders>
              <w:top w:val="nil"/>
              <w:left w:val="nil"/>
              <w:bottom w:val="nil"/>
              <w:right w:val="single" w:sz="4" w:space="0" w:color="000000"/>
            </w:tcBorders>
            <w:shd w:val="clear" w:color="000000" w:fill="FFFFFF"/>
            <w:hideMark/>
          </w:tcPr>
          <w:p w14:paraId="47FF88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C5A9035" w14:textId="77777777" w:rsidTr="00222F34">
        <w:trPr>
          <w:trHeight w:val="960"/>
        </w:trPr>
        <w:tc>
          <w:tcPr>
            <w:tcW w:w="3798" w:type="dxa"/>
            <w:tcBorders>
              <w:top w:val="nil"/>
              <w:left w:val="single" w:sz="4" w:space="0" w:color="000000"/>
              <w:bottom w:val="nil"/>
              <w:right w:val="single" w:sz="4" w:space="0" w:color="000000"/>
            </w:tcBorders>
            <w:shd w:val="clear" w:color="000000" w:fill="FFFFFF"/>
            <w:hideMark/>
          </w:tcPr>
          <w:p w14:paraId="77B54E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01800F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Para los fines de este artículo, se tendrá en cuenta la autoridad que se ejerce en todo o en parte de la respectiva circunscripción del cargo al que aspira el candidato, salvo para ser elegido Senador de la República.</w:t>
            </w:r>
          </w:p>
        </w:tc>
        <w:tc>
          <w:tcPr>
            <w:tcW w:w="3798" w:type="dxa"/>
            <w:tcBorders>
              <w:top w:val="nil"/>
              <w:left w:val="nil"/>
              <w:bottom w:val="nil"/>
              <w:right w:val="single" w:sz="4" w:space="0" w:color="000000"/>
            </w:tcBorders>
            <w:shd w:val="clear" w:color="000000" w:fill="FFFFFF"/>
            <w:hideMark/>
          </w:tcPr>
          <w:p w14:paraId="28DDC0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E4085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8F2A47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95B2B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699AFD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1. El Consejo Nacional Electoral podrá reglamentar la presentación de las solicitudes de revocatoria de inscripción por medios electrónicos y/o digitales. En todo procedimiento se deberán atender las reglas del respeto al debido proceso y el derecho de contradicción.</w:t>
            </w:r>
          </w:p>
        </w:tc>
        <w:tc>
          <w:tcPr>
            <w:tcW w:w="3798" w:type="dxa"/>
            <w:tcBorders>
              <w:top w:val="nil"/>
              <w:left w:val="nil"/>
              <w:bottom w:val="nil"/>
              <w:right w:val="single" w:sz="4" w:space="0" w:color="000000"/>
            </w:tcBorders>
            <w:shd w:val="clear" w:color="000000" w:fill="FFFFFF"/>
            <w:hideMark/>
          </w:tcPr>
          <w:p w14:paraId="79F54C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2977F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75253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F9B40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721178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2. Para efectos del trámite de los procesos de revocatoria de inscripción de candidatos la Sala Plena del Consejo Nacional Electoral podrá disponer que todos los días sean hábiles.</w:t>
            </w:r>
          </w:p>
        </w:tc>
        <w:tc>
          <w:tcPr>
            <w:tcW w:w="3798" w:type="dxa"/>
            <w:tcBorders>
              <w:top w:val="nil"/>
              <w:left w:val="nil"/>
              <w:bottom w:val="single" w:sz="4" w:space="0" w:color="000000"/>
              <w:right w:val="single" w:sz="4" w:space="0" w:color="000000"/>
            </w:tcBorders>
            <w:shd w:val="clear" w:color="000000" w:fill="FFFFFF"/>
            <w:hideMark/>
          </w:tcPr>
          <w:p w14:paraId="235BB2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0FEAB0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1F0A0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E2135F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88.- Causales de inhabilidad en las Juntas Administradoras Locales.</w:t>
            </w:r>
            <w:r w:rsidRPr="00222F34">
              <w:rPr>
                <w:rFonts w:ascii="Calibri" w:eastAsia="Times New Roman" w:hAnsi="Calibri" w:cs="Calibri"/>
                <w:color w:val="000000"/>
                <w:lang w:val="es-CO" w:eastAsia="es-CO" w:bidi="ar-SA"/>
              </w:rPr>
              <w:t xml:space="preserve"> Además de las previstas en la Constitución Política y la ley, no podrán ser inscritos ni elegidos para ediles de juntas administradoras locales, los ciudadanos que se encuentren incursos en las siguientes causales:</w:t>
            </w:r>
          </w:p>
        </w:tc>
        <w:tc>
          <w:tcPr>
            <w:tcW w:w="3798" w:type="dxa"/>
            <w:tcBorders>
              <w:top w:val="single" w:sz="4" w:space="0" w:color="000000"/>
              <w:left w:val="nil"/>
              <w:bottom w:val="nil"/>
              <w:right w:val="single" w:sz="4" w:space="0" w:color="000000"/>
            </w:tcBorders>
            <w:shd w:val="clear" w:color="000000" w:fill="FFFFFF"/>
            <w:hideMark/>
          </w:tcPr>
          <w:p w14:paraId="3B1F80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92.- Causales de inhabilidad en las Juntas Administradoras Locales. </w:t>
            </w:r>
            <w:r w:rsidRPr="00222F34">
              <w:rPr>
                <w:rFonts w:ascii="Calibri" w:eastAsia="Times New Roman" w:hAnsi="Calibri" w:cs="Calibri"/>
                <w:color w:val="000000"/>
                <w:lang w:val="es-CO" w:eastAsia="es-CO" w:bidi="ar-SA"/>
              </w:rPr>
              <w:t>Además de las previstas en la Constitución Política y la ley, no podrán ser inscritos ni elegidos para ediles de juntas administradoras locales, los ciudadanos que se encuentren incursos en las siguientes causales:</w:t>
            </w:r>
          </w:p>
        </w:tc>
        <w:tc>
          <w:tcPr>
            <w:tcW w:w="3798" w:type="dxa"/>
            <w:tcBorders>
              <w:top w:val="nil"/>
              <w:left w:val="nil"/>
              <w:bottom w:val="nil"/>
              <w:right w:val="single" w:sz="4" w:space="0" w:color="000000"/>
            </w:tcBorders>
            <w:shd w:val="clear" w:color="000000" w:fill="FFFFFF"/>
            <w:hideMark/>
          </w:tcPr>
          <w:p w14:paraId="42A488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92.- Causales de inhabilidad en las Juntas Administradoras Locales. </w:t>
            </w:r>
            <w:r w:rsidRPr="00222F34">
              <w:rPr>
                <w:rFonts w:ascii="Calibri" w:eastAsia="Times New Roman" w:hAnsi="Calibri" w:cs="Calibri"/>
                <w:color w:val="000000"/>
                <w:lang w:val="es-CO" w:eastAsia="es-CO" w:bidi="ar-SA"/>
              </w:rPr>
              <w:t>Además de las previstas en la Constitución Política y la ley, no podrán ser inscritos ni elegidos para ediles de juntas administradoras locales, los ciudadanos que se encuentren incursos en las siguientes causales:</w:t>
            </w:r>
          </w:p>
        </w:tc>
        <w:tc>
          <w:tcPr>
            <w:tcW w:w="1480" w:type="dxa"/>
            <w:tcBorders>
              <w:top w:val="nil"/>
              <w:left w:val="nil"/>
              <w:bottom w:val="nil"/>
              <w:right w:val="single" w:sz="4" w:space="0" w:color="000000"/>
            </w:tcBorders>
            <w:shd w:val="clear" w:color="000000" w:fill="FFFFFF"/>
            <w:hideMark/>
          </w:tcPr>
          <w:p w14:paraId="3D1C7771" w14:textId="48A91E3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62A76D6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9D0C8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Haber sido condenado a pena privativa de la libertad por sentencia judicial dentro de los diez (10) años </w:t>
            </w:r>
            <w:r w:rsidRPr="00222F34">
              <w:rPr>
                <w:rFonts w:ascii="Calibri" w:eastAsia="Times New Roman" w:hAnsi="Calibri" w:cs="Calibri"/>
                <w:color w:val="000000"/>
                <w:lang w:val="es-CO" w:eastAsia="es-CO" w:bidi="ar-SA"/>
              </w:rPr>
              <w:lastRenderedPageBreak/>
              <w:t xml:space="preserve">anteriores a la elección, salvo por delitos políticos o culposos. </w:t>
            </w:r>
          </w:p>
        </w:tc>
        <w:tc>
          <w:tcPr>
            <w:tcW w:w="3798" w:type="dxa"/>
            <w:tcBorders>
              <w:top w:val="nil"/>
              <w:left w:val="nil"/>
              <w:bottom w:val="nil"/>
              <w:right w:val="single" w:sz="4" w:space="0" w:color="000000"/>
            </w:tcBorders>
            <w:shd w:val="clear" w:color="000000" w:fill="FFFFFF"/>
            <w:hideMark/>
          </w:tcPr>
          <w:p w14:paraId="49B7D9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Haber sido condenado a pena privativa de la libertad por sentencia judicial dentro de los diez (10) años </w:t>
            </w:r>
            <w:r w:rsidRPr="00222F34">
              <w:rPr>
                <w:rFonts w:ascii="Calibri" w:eastAsia="Times New Roman" w:hAnsi="Calibri" w:cs="Calibri"/>
                <w:color w:val="000000"/>
                <w:lang w:val="es-CO" w:eastAsia="es-CO" w:bidi="ar-SA"/>
              </w:rPr>
              <w:lastRenderedPageBreak/>
              <w:t>anteriores a la elección, salvo por delitos políticos o culposos.</w:t>
            </w:r>
          </w:p>
        </w:tc>
        <w:tc>
          <w:tcPr>
            <w:tcW w:w="3798" w:type="dxa"/>
            <w:tcBorders>
              <w:top w:val="nil"/>
              <w:left w:val="nil"/>
              <w:bottom w:val="nil"/>
              <w:right w:val="single" w:sz="4" w:space="0" w:color="000000"/>
            </w:tcBorders>
            <w:shd w:val="clear" w:color="000000" w:fill="FFFFFF"/>
            <w:hideMark/>
          </w:tcPr>
          <w:p w14:paraId="2D301F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Haber sido condenado a pena privativa de la libertad por sentencia judicial dentro de los diez (10) años </w:t>
            </w:r>
            <w:r w:rsidRPr="00222F34">
              <w:rPr>
                <w:rFonts w:ascii="Calibri" w:eastAsia="Times New Roman" w:hAnsi="Calibri" w:cs="Calibri"/>
                <w:color w:val="000000"/>
                <w:lang w:val="es-CO" w:eastAsia="es-CO" w:bidi="ar-SA"/>
              </w:rPr>
              <w:lastRenderedPageBreak/>
              <w:t>anteriores a la elección, salvo por delitos políticos o culposos.</w:t>
            </w:r>
          </w:p>
        </w:tc>
        <w:tc>
          <w:tcPr>
            <w:tcW w:w="1480" w:type="dxa"/>
            <w:tcBorders>
              <w:top w:val="nil"/>
              <w:left w:val="nil"/>
              <w:bottom w:val="nil"/>
              <w:right w:val="single" w:sz="4" w:space="0" w:color="000000"/>
            </w:tcBorders>
            <w:shd w:val="clear" w:color="000000" w:fill="FFFFFF"/>
            <w:hideMark/>
          </w:tcPr>
          <w:p w14:paraId="2A3C34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BDFD1DA"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4C1D362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 </w:t>
            </w:r>
          </w:p>
        </w:tc>
        <w:tc>
          <w:tcPr>
            <w:tcW w:w="3798" w:type="dxa"/>
            <w:tcBorders>
              <w:top w:val="nil"/>
              <w:left w:val="nil"/>
              <w:bottom w:val="nil"/>
              <w:right w:val="single" w:sz="4" w:space="0" w:color="000000"/>
            </w:tcBorders>
            <w:shd w:val="clear" w:color="000000" w:fill="FFFFFF"/>
            <w:hideMark/>
          </w:tcPr>
          <w:p w14:paraId="17B43E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Haber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tc>
        <w:tc>
          <w:tcPr>
            <w:tcW w:w="3798" w:type="dxa"/>
            <w:tcBorders>
              <w:top w:val="nil"/>
              <w:left w:val="nil"/>
              <w:bottom w:val="nil"/>
              <w:right w:val="single" w:sz="4" w:space="0" w:color="000000"/>
            </w:tcBorders>
            <w:shd w:val="clear" w:color="000000" w:fill="FFFFFF"/>
            <w:hideMark/>
          </w:tcPr>
          <w:p w14:paraId="78DA32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Haber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tc>
        <w:tc>
          <w:tcPr>
            <w:tcW w:w="1480" w:type="dxa"/>
            <w:tcBorders>
              <w:top w:val="nil"/>
              <w:left w:val="nil"/>
              <w:bottom w:val="nil"/>
              <w:right w:val="single" w:sz="4" w:space="0" w:color="000000"/>
            </w:tcBorders>
            <w:shd w:val="clear" w:color="000000" w:fill="FFFFFF"/>
            <w:hideMark/>
          </w:tcPr>
          <w:p w14:paraId="65C619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31D33C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4829B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Haber perdido la investidura como miembro de alguna corporación de elección popular. </w:t>
            </w:r>
          </w:p>
        </w:tc>
        <w:tc>
          <w:tcPr>
            <w:tcW w:w="3798" w:type="dxa"/>
            <w:tcBorders>
              <w:top w:val="nil"/>
              <w:left w:val="nil"/>
              <w:bottom w:val="nil"/>
              <w:right w:val="single" w:sz="4" w:space="0" w:color="000000"/>
            </w:tcBorders>
            <w:shd w:val="clear" w:color="000000" w:fill="FFFFFF"/>
            <w:hideMark/>
          </w:tcPr>
          <w:p w14:paraId="318D6D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Haber perdido la investidura como miembro de alguna corporación de elección popular.</w:t>
            </w:r>
          </w:p>
        </w:tc>
        <w:tc>
          <w:tcPr>
            <w:tcW w:w="3798" w:type="dxa"/>
            <w:tcBorders>
              <w:top w:val="nil"/>
              <w:left w:val="nil"/>
              <w:bottom w:val="nil"/>
              <w:right w:val="single" w:sz="4" w:space="0" w:color="000000"/>
            </w:tcBorders>
            <w:shd w:val="clear" w:color="000000" w:fill="FFFFFF"/>
            <w:hideMark/>
          </w:tcPr>
          <w:p w14:paraId="19BB64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Haber perdido la investidura como miembro de alguna corporación de elección popular.</w:t>
            </w:r>
          </w:p>
        </w:tc>
        <w:tc>
          <w:tcPr>
            <w:tcW w:w="1480" w:type="dxa"/>
            <w:tcBorders>
              <w:top w:val="nil"/>
              <w:left w:val="nil"/>
              <w:bottom w:val="nil"/>
              <w:right w:val="single" w:sz="4" w:space="0" w:color="000000"/>
            </w:tcBorders>
            <w:shd w:val="clear" w:color="000000" w:fill="FFFFFF"/>
            <w:hideMark/>
          </w:tcPr>
          <w:p w14:paraId="4508F1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0E83D0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257D3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Haber sido excluido del ejercicio de una profesión o sancionado más de dos (2) veces por faltas a la ética profesional por autoridad competente. </w:t>
            </w:r>
          </w:p>
        </w:tc>
        <w:tc>
          <w:tcPr>
            <w:tcW w:w="3798" w:type="dxa"/>
            <w:tcBorders>
              <w:top w:val="nil"/>
              <w:left w:val="nil"/>
              <w:bottom w:val="nil"/>
              <w:right w:val="single" w:sz="4" w:space="0" w:color="000000"/>
            </w:tcBorders>
            <w:shd w:val="clear" w:color="000000" w:fill="FFFFFF"/>
            <w:hideMark/>
          </w:tcPr>
          <w:p w14:paraId="4E5A96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4.Haber sido excluido del ejercicio de una profesión o sancionado más de dos (2) veces por faltas a la ética profesional por autoridad competente.</w:t>
            </w:r>
          </w:p>
        </w:tc>
        <w:tc>
          <w:tcPr>
            <w:tcW w:w="3798" w:type="dxa"/>
            <w:tcBorders>
              <w:top w:val="nil"/>
              <w:left w:val="nil"/>
              <w:bottom w:val="nil"/>
              <w:right w:val="single" w:sz="4" w:space="0" w:color="000000"/>
            </w:tcBorders>
            <w:shd w:val="clear" w:color="000000" w:fill="FFFFFF"/>
            <w:hideMark/>
          </w:tcPr>
          <w:p w14:paraId="043B17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4.Haber sido excluido del ejercicio de una profesión o sancionado más de dos (2) veces por faltas a la ética profesional por autoridad competente.</w:t>
            </w:r>
          </w:p>
        </w:tc>
        <w:tc>
          <w:tcPr>
            <w:tcW w:w="1480" w:type="dxa"/>
            <w:tcBorders>
              <w:top w:val="nil"/>
              <w:left w:val="nil"/>
              <w:bottom w:val="nil"/>
              <w:right w:val="single" w:sz="4" w:space="0" w:color="000000"/>
            </w:tcBorders>
            <w:shd w:val="clear" w:color="000000" w:fill="FFFFFF"/>
            <w:hideMark/>
          </w:tcPr>
          <w:p w14:paraId="69F180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0AFD3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87AF5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Haber sido empleado público o trabajador oficial del respectivo distrito o municipio dentro de los tres (3) meses anteriores a la elección. </w:t>
            </w:r>
          </w:p>
        </w:tc>
        <w:tc>
          <w:tcPr>
            <w:tcW w:w="3798" w:type="dxa"/>
            <w:tcBorders>
              <w:top w:val="nil"/>
              <w:left w:val="nil"/>
              <w:bottom w:val="nil"/>
              <w:right w:val="single" w:sz="4" w:space="0" w:color="000000"/>
            </w:tcBorders>
            <w:shd w:val="clear" w:color="000000" w:fill="FFFFFF"/>
            <w:hideMark/>
          </w:tcPr>
          <w:p w14:paraId="401A27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Haber sido empleado público o trabajador oficial del respectivo distrito o municipio dentro de los tres (3) meses anteriores a la elección.</w:t>
            </w:r>
          </w:p>
        </w:tc>
        <w:tc>
          <w:tcPr>
            <w:tcW w:w="3798" w:type="dxa"/>
            <w:tcBorders>
              <w:top w:val="nil"/>
              <w:left w:val="nil"/>
              <w:bottom w:val="nil"/>
              <w:right w:val="single" w:sz="4" w:space="0" w:color="000000"/>
            </w:tcBorders>
            <w:shd w:val="clear" w:color="000000" w:fill="FFFFFF"/>
            <w:hideMark/>
          </w:tcPr>
          <w:p w14:paraId="46770F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Haber sido empleado público o trabajador oficial del respectivo distrito o municipio dentro de los tres (3) meses anteriores a la elección.</w:t>
            </w:r>
          </w:p>
        </w:tc>
        <w:tc>
          <w:tcPr>
            <w:tcW w:w="1480" w:type="dxa"/>
            <w:tcBorders>
              <w:top w:val="nil"/>
              <w:left w:val="nil"/>
              <w:bottom w:val="nil"/>
              <w:right w:val="single" w:sz="4" w:space="0" w:color="000000"/>
            </w:tcBorders>
            <w:shd w:val="clear" w:color="000000" w:fill="FFFFFF"/>
            <w:hideMark/>
          </w:tcPr>
          <w:p w14:paraId="609910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A8272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FA251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Haber celebrado contrato estatal con entidad pública de cualquier nivel que debiera ejecutarse en el respectivo distrito o municipio, dentro de los tres (3) meses anteriores a la elección. </w:t>
            </w:r>
          </w:p>
        </w:tc>
        <w:tc>
          <w:tcPr>
            <w:tcW w:w="3798" w:type="dxa"/>
            <w:tcBorders>
              <w:top w:val="nil"/>
              <w:left w:val="nil"/>
              <w:bottom w:val="nil"/>
              <w:right w:val="single" w:sz="4" w:space="0" w:color="000000"/>
            </w:tcBorders>
            <w:shd w:val="clear" w:color="000000" w:fill="FFFFFF"/>
            <w:hideMark/>
          </w:tcPr>
          <w:p w14:paraId="3113C5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Haber celebrado contrato estatal con entidad pública de cualquier nivel que debiera ejecutarse en el respectivo distrito o municipio, dentro de los tres (3) meses anteriores a la elección.</w:t>
            </w:r>
          </w:p>
        </w:tc>
        <w:tc>
          <w:tcPr>
            <w:tcW w:w="3798" w:type="dxa"/>
            <w:tcBorders>
              <w:top w:val="nil"/>
              <w:left w:val="nil"/>
              <w:bottom w:val="nil"/>
              <w:right w:val="single" w:sz="4" w:space="0" w:color="000000"/>
            </w:tcBorders>
            <w:shd w:val="clear" w:color="000000" w:fill="FFFFFF"/>
            <w:hideMark/>
          </w:tcPr>
          <w:p w14:paraId="5E8754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Haber celebrado contrato estatal con entidad pública de cualquier nivel que debiera ejecutarse en el respectivo distrito o municipio, dentro de los tres (3) meses anteriores a la elección.</w:t>
            </w:r>
          </w:p>
        </w:tc>
        <w:tc>
          <w:tcPr>
            <w:tcW w:w="1480" w:type="dxa"/>
            <w:tcBorders>
              <w:top w:val="nil"/>
              <w:left w:val="nil"/>
              <w:bottom w:val="nil"/>
              <w:right w:val="single" w:sz="4" w:space="0" w:color="000000"/>
            </w:tcBorders>
            <w:shd w:val="clear" w:color="000000" w:fill="FFFFFF"/>
            <w:hideMark/>
          </w:tcPr>
          <w:p w14:paraId="08C968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2B9F9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AF240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Haber sido miembro de consejo o junta directiva en entidades públicas </w:t>
            </w:r>
            <w:r w:rsidRPr="00222F34">
              <w:rPr>
                <w:rFonts w:ascii="Calibri" w:eastAsia="Times New Roman" w:hAnsi="Calibri" w:cs="Calibri"/>
                <w:color w:val="000000"/>
                <w:lang w:val="es-CO" w:eastAsia="es-CO" w:bidi="ar-SA"/>
              </w:rPr>
              <w:lastRenderedPageBreak/>
              <w:t xml:space="preserve">dentro de los tres (3) meses anteriores a la elección. </w:t>
            </w:r>
          </w:p>
        </w:tc>
        <w:tc>
          <w:tcPr>
            <w:tcW w:w="3798" w:type="dxa"/>
            <w:tcBorders>
              <w:top w:val="nil"/>
              <w:left w:val="nil"/>
              <w:bottom w:val="nil"/>
              <w:right w:val="single" w:sz="4" w:space="0" w:color="000000"/>
            </w:tcBorders>
            <w:shd w:val="clear" w:color="000000" w:fill="FFFFFF"/>
            <w:hideMark/>
          </w:tcPr>
          <w:p w14:paraId="5AA935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Haber sido miembro de consejo o junta directiva en entidades públicas </w:t>
            </w:r>
            <w:r w:rsidRPr="00222F34">
              <w:rPr>
                <w:rFonts w:ascii="Calibri" w:eastAsia="Times New Roman" w:hAnsi="Calibri" w:cs="Calibri"/>
                <w:color w:val="000000"/>
                <w:lang w:val="es-CO" w:eastAsia="es-CO" w:bidi="ar-SA"/>
              </w:rPr>
              <w:lastRenderedPageBreak/>
              <w:t>dentro de los tres (3) meses anteriores a la elección.</w:t>
            </w:r>
          </w:p>
        </w:tc>
        <w:tc>
          <w:tcPr>
            <w:tcW w:w="3798" w:type="dxa"/>
            <w:tcBorders>
              <w:top w:val="nil"/>
              <w:left w:val="nil"/>
              <w:bottom w:val="nil"/>
              <w:right w:val="single" w:sz="4" w:space="0" w:color="000000"/>
            </w:tcBorders>
            <w:shd w:val="clear" w:color="000000" w:fill="FFFFFF"/>
            <w:hideMark/>
          </w:tcPr>
          <w:p w14:paraId="2869B5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Haber sido miembro de consejo o junta directiva en entidades públicas </w:t>
            </w:r>
            <w:r w:rsidRPr="00222F34">
              <w:rPr>
                <w:rFonts w:ascii="Calibri" w:eastAsia="Times New Roman" w:hAnsi="Calibri" w:cs="Calibri"/>
                <w:color w:val="000000"/>
                <w:lang w:val="es-CO" w:eastAsia="es-CO" w:bidi="ar-SA"/>
              </w:rPr>
              <w:lastRenderedPageBreak/>
              <w:t>dentro de los tres (3) meses anteriores a la elección.</w:t>
            </w:r>
          </w:p>
        </w:tc>
        <w:tc>
          <w:tcPr>
            <w:tcW w:w="1480" w:type="dxa"/>
            <w:tcBorders>
              <w:top w:val="nil"/>
              <w:left w:val="nil"/>
              <w:bottom w:val="nil"/>
              <w:right w:val="single" w:sz="4" w:space="0" w:color="000000"/>
            </w:tcBorders>
            <w:shd w:val="clear" w:color="000000" w:fill="FFFFFF"/>
            <w:hideMark/>
          </w:tcPr>
          <w:p w14:paraId="7A6595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2201E5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296D9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Ser miembro de otra corporación de elección popular. </w:t>
            </w:r>
          </w:p>
        </w:tc>
        <w:tc>
          <w:tcPr>
            <w:tcW w:w="3798" w:type="dxa"/>
            <w:tcBorders>
              <w:top w:val="nil"/>
              <w:left w:val="nil"/>
              <w:bottom w:val="nil"/>
              <w:right w:val="single" w:sz="4" w:space="0" w:color="000000"/>
            </w:tcBorders>
            <w:shd w:val="clear" w:color="000000" w:fill="FFFFFF"/>
            <w:hideMark/>
          </w:tcPr>
          <w:p w14:paraId="20135B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Ser miembro de otra corporación de elección popular.</w:t>
            </w:r>
          </w:p>
        </w:tc>
        <w:tc>
          <w:tcPr>
            <w:tcW w:w="3798" w:type="dxa"/>
            <w:tcBorders>
              <w:top w:val="nil"/>
              <w:left w:val="nil"/>
              <w:bottom w:val="nil"/>
              <w:right w:val="single" w:sz="4" w:space="0" w:color="000000"/>
            </w:tcBorders>
            <w:shd w:val="clear" w:color="000000" w:fill="FFFFFF"/>
            <w:hideMark/>
          </w:tcPr>
          <w:p w14:paraId="219B48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Ser miembro de otra corporación de elección popular.</w:t>
            </w:r>
          </w:p>
        </w:tc>
        <w:tc>
          <w:tcPr>
            <w:tcW w:w="1480" w:type="dxa"/>
            <w:tcBorders>
              <w:top w:val="nil"/>
              <w:left w:val="nil"/>
              <w:bottom w:val="nil"/>
              <w:right w:val="single" w:sz="4" w:space="0" w:color="000000"/>
            </w:tcBorders>
            <w:shd w:val="clear" w:color="000000" w:fill="FFFFFF"/>
            <w:hideMark/>
          </w:tcPr>
          <w:p w14:paraId="5D4744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542005A"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7537D6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Ser cónyuge, compañero permanente, pariente dentro del segundo grado de consanguinidad, primero de afinidad o primero civil de concejales o funcionarios públicos que ejerzan autoridad civil o política en el respectivo distrito o municipio. </w:t>
            </w:r>
          </w:p>
        </w:tc>
        <w:tc>
          <w:tcPr>
            <w:tcW w:w="3798" w:type="dxa"/>
            <w:tcBorders>
              <w:top w:val="nil"/>
              <w:left w:val="nil"/>
              <w:bottom w:val="single" w:sz="4" w:space="0" w:color="000000"/>
              <w:right w:val="single" w:sz="4" w:space="0" w:color="000000"/>
            </w:tcBorders>
            <w:shd w:val="clear" w:color="000000" w:fill="FFFFFF"/>
            <w:hideMark/>
          </w:tcPr>
          <w:p w14:paraId="7A366E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Ser cónyuge, compañero permanente, pariente dentro del segundo grado de consanguinidad, primero de afinidad o primero civil de concejales o funcionarios públicos que ejerzan autoridad civil o política en el respectivo distrito o municipio.</w:t>
            </w:r>
          </w:p>
        </w:tc>
        <w:tc>
          <w:tcPr>
            <w:tcW w:w="3798" w:type="dxa"/>
            <w:tcBorders>
              <w:top w:val="nil"/>
              <w:left w:val="nil"/>
              <w:bottom w:val="single" w:sz="4" w:space="0" w:color="000000"/>
              <w:right w:val="single" w:sz="4" w:space="0" w:color="000000"/>
            </w:tcBorders>
            <w:shd w:val="clear" w:color="000000" w:fill="FFFFFF"/>
            <w:hideMark/>
          </w:tcPr>
          <w:p w14:paraId="154C1D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Ser cónyuge, compañero permanente, pariente dentro del segundo grado de consanguinidad, primero de afinidad o primero civil de concejales o funcionarios públicos que ejerzan autoridad civil o política en el respectivo distrito o municipio.</w:t>
            </w:r>
          </w:p>
        </w:tc>
        <w:tc>
          <w:tcPr>
            <w:tcW w:w="1480" w:type="dxa"/>
            <w:tcBorders>
              <w:top w:val="nil"/>
              <w:left w:val="nil"/>
              <w:bottom w:val="single" w:sz="4" w:space="0" w:color="000000"/>
              <w:right w:val="single" w:sz="4" w:space="0" w:color="000000"/>
            </w:tcBorders>
            <w:shd w:val="clear" w:color="000000" w:fill="FFFFFF"/>
            <w:hideMark/>
          </w:tcPr>
          <w:p w14:paraId="24185A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06B690"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0145FA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89.- Régimen de inhabilidades por aplicación del derecho personal establecido en el estatuto de oposición política.</w:t>
            </w:r>
            <w:r w:rsidRPr="00222F34">
              <w:rPr>
                <w:rFonts w:ascii="Calibri" w:eastAsia="Times New Roman" w:hAnsi="Calibri" w:cs="Calibri"/>
                <w:color w:val="000000"/>
                <w:lang w:val="es-CO" w:eastAsia="es-CO" w:bidi="ar-SA"/>
              </w:rPr>
              <w:t xml:space="preserve"> Las causales de inhabilidad aplicables a los candidatos que accedan a corporaciones públicas en virtud del derecho personal que les asista de acuerdo con los artículos 24 y 25 de la Ley 1909 de 2018 o norma que los modifique, sustituya o complemente, serán las propias del cargo para el cual se inscribieron. </w:t>
            </w:r>
          </w:p>
        </w:tc>
        <w:tc>
          <w:tcPr>
            <w:tcW w:w="3798" w:type="dxa"/>
            <w:tcBorders>
              <w:top w:val="nil"/>
              <w:left w:val="nil"/>
              <w:bottom w:val="single" w:sz="4" w:space="0" w:color="000000"/>
              <w:right w:val="single" w:sz="4" w:space="0" w:color="000000"/>
            </w:tcBorders>
            <w:shd w:val="clear" w:color="000000" w:fill="FFFFFF"/>
            <w:hideMark/>
          </w:tcPr>
          <w:p w14:paraId="08A747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93. Régimen de inhabilidades por aplicación del derecho personal establecido en el estatuto de oposición política.</w:t>
            </w:r>
            <w:r w:rsidRPr="00222F34">
              <w:rPr>
                <w:rFonts w:ascii="Calibri" w:eastAsia="Times New Roman" w:hAnsi="Calibri" w:cs="Calibri"/>
                <w:color w:val="000000"/>
                <w:lang w:val="es-CO" w:eastAsia="es-CO" w:bidi="ar-SA"/>
              </w:rPr>
              <w:t xml:space="preserve"> Las causales de inhabilidad aplicables a los candidatos que accedan a corporaciones públicas en virtud del derecho personal que les asista de acuerdo con los artículos 24 y 25 de la Ley 1909 de 2018 o norma que los modifique, sustituya o complemente, serán las propias del cargo para el cual se inscribieron.</w:t>
            </w:r>
          </w:p>
        </w:tc>
        <w:tc>
          <w:tcPr>
            <w:tcW w:w="3798" w:type="dxa"/>
            <w:tcBorders>
              <w:top w:val="nil"/>
              <w:left w:val="nil"/>
              <w:bottom w:val="single" w:sz="4" w:space="0" w:color="000000"/>
              <w:right w:val="single" w:sz="4" w:space="0" w:color="000000"/>
            </w:tcBorders>
            <w:shd w:val="clear" w:color="000000" w:fill="FFFFFF"/>
            <w:hideMark/>
          </w:tcPr>
          <w:p w14:paraId="14751A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93. Régimen de inhabilidades por aplicación del derecho personal establecido en el estatuto de oposición política.</w:t>
            </w:r>
            <w:r w:rsidRPr="00222F34">
              <w:rPr>
                <w:rFonts w:ascii="Calibri" w:eastAsia="Times New Roman" w:hAnsi="Calibri" w:cs="Calibri"/>
                <w:color w:val="000000"/>
                <w:lang w:val="es-CO" w:eastAsia="es-CO" w:bidi="ar-SA"/>
              </w:rPr>
              <w:t xml:space="preserve"> Las causales de inhabilidad aplicables a los candidatos que accedan a corporaciones públicas en virtud del derecho personal que les asista de acuerdo con los artículos 24 y 25 de la Ley 1909 de 2018 o norma que los modifique, sustituya o complemente, serán las propias del cargo para el cual se inscribieron.</w:t>
            </w:r>
          </w:p>
        </w:tc>
        <w:tc>
          <w:tcPr>
            <w:tcW w:w="1480" w:type="dxa"/>
            <w:tcBorders>
              <w:top w:val="nil"/>
              <w:left w:val="nil"/>
              <w:bottom w:val="nil"/>
              <w:right w:val="single" w:sz="4" w:space="0" w:color="000000"/>
            </w:tcBorders>
            <w:shd w:val="clear" w:color="000000" w:fill="FFFFFF"/>
            <w:hideMark/>
          </w:tcPr>
          <w:p w14:paraId="6B772D03" w14:textId="649FA28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871371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A96907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90.- Clases de autoridad.</w:t>
            </w:r>
            <w:r w:rsidRPr="00222F34">
              <w:rPr>
                <w:rFonts w:ascii="Calibri" w:eastAsia="Times New Roman" w:hAnsi="Calibri" w:cs="Calibri"/>
                <w:color w:val="000000"/>
                <w:lang w:val="es-CO" w:eastAsia="es-CO" w:bidi="ar-SA"/>
              </w:rPr>
              <w:t xml:space="preserve"> Para efectos de las causales de inhabilidad previstas en este código se entenderá por autoridad: </w:t>
            </w:r>
          </w:p>
        </w:tc>
        <w:tc>
          <w:tcPr>
            <w:tcW w:w="3798" w:type="dxa"/>
            <w:tcBorders>
              <w:top w:val="nil"/>
              <w:left w:val="nil"/>
              <w:bottom w:val="nil"/>
              <w:right w:val="single" w:sz="4" w:space="0" w:color="000000"/>
            </w:tcBorders>
            <w:shd w:val="clear" w:color="000000" w:fill="FFFFFF"/>
            <w:hideMark/>
          </w:tcPr>
          <w:p w14:paraId="5D323E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94. Clases de autoridad. </w:t>
            </w:r>
            <w:r w:rsidRPr="00222F34">
              <w:rPr>
                <w:rFonts w:ascii="Calibri" w:eastAsia="Times New Roman" w:hAnsi="Calibri" w:cs="Calibri"/>
                <w:color w:val="000000"/>
                <w:lang w:val="es-CO" w:eastAsia="es-CO" w:bidi="ar-SA"/>
              </w:rPr>
              <w:t>Para efectos de las causales de inhabilidad previstas en este código se entenderá por autoridad:</w:t>
            </w:r>
          </w:p>
        </w:tc>
        <w:tc>
          <w:tcPr>
            <w:tcW w:w="3798" w:type="dxa"/>
            <w:tcBorders>
              <w:top w:val="nil"/>
              <w:left w:val="nil"/>
              <w:bottom w:val="nil"/>
              <w:right w:val="single" w:sz="4" w:space="0" w:color="000000"/>
            </w:tcBorders>
            <w:shd w:val="clear" w:color="000000" w:fill="FFFFFF"/>
            <w:hideMark/>
          </w:tcPr>
          <w:p w14:paraId="6B8E60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94. Clases de autoridad. </w:t>
            </w:r>
            <w:r w:rsidRPr="00222F34">
              <w:rPr>
                <w:rFonts w:ascii="Calibri" w:eastAsia="Times New Roman" w:hAnsi="Calibri" w:cs="Calibri"/>
                <w:color w:val="000000"/>
                <w:lang w:val="es-CO" w:eastAsia="es-CO" w:bidi="ar-SA"/>
              </w:rPr>
              <w:t>Para efectos de las causales de inhabilidad previstas en este código se entenderá por autoridad:</w:t>
            </w:r>
          </w:p>
        </w:tc>
        <w:tc>
          <w:tcPr>
            <w:tcW w:w="1480" w:type="dxa"/>
            <w:tcBorders>
              <w:top w:val="single" w:sz="4" w:space="0" w:color="000000"/>
              <w:left w:val="nil"/>
              <w:bottom w:val="nil"/>
              <w:right w:val="single" w:sz="4" w:space="0" w:color="000000"/>
            </w:tcBorders>
            <w:shd w:val="clear" w:color="000000" w:fill="FFFFFF"/>
            <w:hideMark/>
          </w:tcPr>
          <w:p w14:paraId="500B9C1F" w14:textId="4025C41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F5DC51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A5B41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Autoridad civil. Es la manifestación de autoridad pública a través de actos de poder y mando dentro de una entidad territorial. Comprende la posibilidad de impartir órdenes a los servidores públicos y a los ciudadanos, y adoptar medidas correctivas para exigir su cumplimiento. </w:t>
            </w:r>
          </w:p>
        </w:tc>
        <w:tc>
          <w:tcPr>
            <w:tcW w:w="3798" w:type="dxa"/>
            <w:tcBorders>
              <w:top w:val="nil"/>
              <w:left w:val="nil"/>
              <w:bottom w:val="nil"/>
              <w:right w:val="single" w:sz="4" w:space="0" w:color="000000"/>
            </w:tcBorders>
            <w:shd w:val="clear" w:color="000000" w:fill="FFFFFF"/>
            <w:hideMark/>
          </w:tcPr>
          <w:p w14:paraId="79E9C4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Autoridad civil. Es la manifestación de autoridad pública a través de actos de poder y mando dentro de una entidad territorial. Comprende la posibilidad de impartir órdenes a los servidores públicos y a los ciudadanos, y adoptar medidas correctivas para exigir su cumplimiento.</w:t>
            </w:r>
          </w:p>
        </w:tc>
        <w:tc>
          <w:tcPr>
            <w:tcW w:w="3798" w:type="dxa"/>
            <w:tcBorders>
              <w:top w:val="nil"/>
              <w:left w:val="nil"/>
              <w:bottom w:val="nil"/>
              <w:right w:val="single" w:sz="4" w:space="0" w:color="000000"/>
            </w:tcBorders>
            <w:shd w:val="clear" w:color="000000" w:fill="FFFFFF"/>
            <w:hideMark/>
          </w:tcPr>
          <w:p w14:paraId="182F83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Autoridad civil. Es la manifestación de autoridad pública a través de actos de poder y mando dentro de una entidad territorial. Comprende la posibilidad de impartir órdenes a los servidores públicos y a los ciudadanos, y adoptar medidas correctivas para exigir su cumplimiento.</w:t>
            </w:r>
          </w:p>
        </w:tc>
        <w:tc>
          <w:tcPr>
            <w:tcW w:w="1480" w:type="dxa"/>
            <w:tcBorders>
              <w:top w:val="nil"/>
              <w:left w:val="nil"/>
              <w:bottom w:val="nil"/>
              <w:right w:val="single" w:sz="4" w:space="0" w:color="000000"/>
            </w:tcBorders>
            <w:shd w:val="clear" w:color="000000" w:fill="FFFFFF"/>
            <w:hideMark/>
          </w:tcPr>
          <w:p w14:paraId="71D68F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9C3D617"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B5F76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Autoridad administrativa. Ejerce autoridad administrativa el servidor público del nivel directivo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 </w:t>
            </w:r>
          </w:p>
        </w:tc>
        <w:tc>
          <w:tcPr>
            <w:tcW w:w="3798" w:type="dxa"/>
            <w:tcBorders>
              <w:top w:val="nil"/>
              <w:left w:val="nil"/>
              <w:bottom w:val="nil"/>
              <w:right w:val="single" w:sz="4" w:space="0" w:color="000000"/>
            </w:tcBorders>
            <w:shd w:val="clear" w:color="000000" w:fill="FFFFFF"/>
            <w:hideMark/>
          </w:tcPr>
          <w:p w14:paraId="78578F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Autoridad administrativa. Ejerce autoridad administrativa el servidor público del nivel directivo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w:t>
            </w:r>
          </w:p>
        </w:tc>
        <w:tc>
          <w:tcPr>
            <w:tcW w:w="3798" w:type="dxa"/>
            <w:tcBorders>
              <w:top w:val="nil"/>
              <w:left w:val="nil"/>
              <w:bottom w:val="nil"/>
              <w:right w:val="single" w:sz="4" w:space="0" w:color="000000"/>
            </w:tcBorders>
            <w:shd w:val="clear" w:color="000000" w:fill="FFFFFF"/>
            <w:hideMark/>
          </w:tcPr>
          <w:p w14:paraId="523B43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Autoridad administrativa. Ejerce autoridad administrativa el servidor público del nivel directivo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w:t>
            </w:r>
          </w:p>
        </w:tc>
        <w:tc>
          <w:tcPr>
            <w:tcW w:w="1480" w:type="dxa"/>
            <w:tcBorders>
              <w:top w:val="nil"/>
              <w:left w:val="nil"/>
              <w:bottom w:val="nil"/>
              <w:right w:val="single" w:sz="4" w:space="0" w:color="000000"/>
            </w:tcBorders>
            <w:shd w:val="clear" w:color="000000" w:fill="FFFFFF"/>
            <w:hideMark/>
          </w:tcPr>
          <w:p w14:paraId="468E3C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E493E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8F91E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Autoridad política. Es la que ejercen por razón del cargo el presidente de la República y los ministros, los gobernadores, alcaldes y secretarios de despacho. </w:t>
            </w:r>
          </w:p>
        </w:tc>
        <w:tc>
          <w:tcPr>
            <w:tcW w:w="3798" w:type="dxa"/>
            <w:tcBorders>
              <w:top w:val="nil"/>
              <w:left w:val="nil"/>
              <w:bottom w:val="nil"/>
              <w:right w:val="single" w:sz="4" w:space="0" w:color="000000"/>
            </w:tcBorders>
            <w:shd w:val="clear" w:color="000000" w:fill="FFFFFF"/>
            <w:hideMark/>
          </w:tcPr>
          <w:p w14:paraId="1816CE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Autoridad política. Es la que ejercen por razón del cargo el presidente de la República y los ministros, los gobernadores, alcaldes y secretarios de despacho.</w:t>
            </w:r>
          </w:p>
        </w:tc>
        <w:tc>
          <w:tcPr>
            <w:tcW w:w="3798" w:type="dxa"/>
            <w:tcBorders>
              <w:top w:val="nil"/>
              <w:left w:val="nil"/>
              <w:bottom w:val="nil"/>
              <w:right w:val="single" w:sz="4" w:space="0" w:color="000000"/>
            </w:tcBorders>
            <w:shd w:val="clear" w:color="000000" w:fill="FFFFFF"/>
            <w:hideMark/>
          </w:tcPr>
          <w:p w14:paraId="3E02FA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Autoridad política. Es la que ejercen por razón del cargo el presidente de la República y los ministros, los gobernadores, alcaldes y secretarios de despacho.</w:t>
            </w:r>
          </w:p>
        </w:tc>
        <w:tc>
          <w:tcPr>
            <w:tcW w:w="1480" w:type="dxa"/>
            <w:tcBorders>
              <w:top w:val="nil"/>
              <w:left w:val="nil"/>
              <w:bottom w:val="nil"/>
              <w:right w:val="single" w:sz="4" w:space="0" w:color="000000"/>
            </w:tcBorders>
            <w:shd w:val="clear" w:color="000000" w:fill="FFFFFF"/>
            <w:hideMark/>
          </w:tcPr>
          <w:p w14:paraId="134CB5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0A89AC"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C0A33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Autoridad militar. Es la que de acuerdo con la ley ostentan los oficiales en servicio activo de las Fuerzas Militares y los suboficiales con rango de comandantes. No ejercen autoridad militar, para efectos de las inhabilidades </w:t>
            </w:r>
            <w:r w:rsidRPr="00222F34">
              <w:rPr>
                <w:rFonts w:ascii="Calibri" w:eastAsia="Times New Roman" w:hAnsi="Calibri" w:cs="Calibri"/>
                <w:color w:val="000000"/>
                <w:lang w:val="es-CO" w:eastAsia="es-CO" w:bidi="ar-SA"/>
              </w:rPr>
              <w:lastRenderedPageBreak/>
              <w:t xml:space="preserve">aquí previstas, los miembros de la Policía Nacional. </w:t>
            </w:r>
          </w:p>
        </w:tc>
        <w:tc>
          <w:tcPr>
            <w:tcW w:w="3798" w:type="dxa"/>
            <w:tcBorders>
              <w:top w:val="nil"/>
              <w:left w:val="nil"/>
              <w:bottom w:val="nil"/>
              <w:right w:val="single" w:sz="4" w:space="0" w:color="000000"/>
            </w:tcBorders>
            <w:shd w:val="clear" w:color="000000" w:fill="FFFFFF"/>
            <w:hideMark/>
          </w:tcPr>
          <w:p w14:paraId="0E73D1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Autoridad militar. Es la que de acuerdo con la ley ostentan los oficiales en servicio activo de las Fuerzas Militares y los suboficiales con rango de comandantes. No ejercen autoridad militar, para efectos de las inhabilidades </w:t>
            </w:r>
            <w:r w:rsidRPr="00222F34">
              <w:rPr>
                <w:rFonts w:ascii="Calibri" w:eastAsia="Times New Roman" w:hAnsi="Calibri" w:cs="Calibri"/>
                <w:color w:val="000000"/>
                <w:lang w:val="es-CO" w:eastAsia="es-CO" w:bidi="ar-SA"/>
              </w:rPr>
              <w:lastRenderedPageBreak/>
              <w:t>aquí previstas, los miembros de la Policía Nacional.</w:t>
            </w:r>
          </w:p>
        </w:tc>
        <w:tc>
          <w:tcPr>
            <w:tcW w:w="3798" w:type="dxa"/>
            <w:tcBorders>
              <w:top w:val="nil"/>
              <w:left w:val="nil"/>
              <w:bottom w:val="nil"/>
              <w:right w:val="single" w:sz="4" w:space="0" w:color="000000"/>
            </w:tcBorders>
            <w:shd w:val="clear" w:color="000000" w:fill="FFFFFF"/>
            <w:hideMark/>
          </w:tcPr>
          <w:p w14:paraId="0C2B38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Autoridad militar. Es la que de acuerdo con la ley ostentan los oficiales en servicio activo de las Fuerzas Militares y los suboficiales con rango de comandantes. No ejercen autoridad militar, para efectos de las inhabilidades </w:t>
            </w:r>
            <w:r w:rsidRPr="00222F34">
              <w:rPr>
                <w:rFonts w:ascii="Calibri" w:eastAsia="Times New Roman" w:hAnsi="Calibri" w:cs="Calibri"/>
                <w:color w:val="000000"/>
                <w:lang w:val="es-CO" w:eastAsia="es-CO" w:bidi="ar-SA"/>
              </w:rPr>
              <w:lastRenderedPageBreak/>
              <w:t>aquí previstas, los miembros de la Policía Nacional.</w:t>
            </w:r>
          </w:p>
        </w:tc>
        <w:tc>
          <w:tcPr>
            <w:tcW w:w="1480" w:type="dxa"/>
            <w:tcBorders>
              <w:top w:val="nil"/>
              <w:left w:val="nil"/>
              <w:bottom w:val="nil"/>
              <w:right w:val="single" w:sz="4" w:space="0" w:color="000000"/>
            </w:tcBorders>
            <w:shd w:val="clear" w:color="000000" w:fill="FFFFFF"/>
            <w:hideMark/>
          </w:tcPr>
          <w:p w14:paraId="711253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4B149198"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A5070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Autoridad jurisdiccional. 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fiscales, de conformidad con las competencias y facultades previstas en la Constitución Política y la ley. </w:t>
            </w:r>
          </w:p>
        </w:tc>
        <w:tc>
          <w:tcPr>
            <w:tcW w:w="3798" w:type="dxa"/>
            <w:tcBorders>
              <w:top w:val="nil"/>
              <w:left w:val="nil"/>
              <w:bottom w:val="nil"/>
              <w:right w:val="single" w:sz="4" w:space="0" w:color="000000"/>
            </w:tcBorders>
            <w:shd w:val="clear" w:color="000000" w:fill="FFFFFF"/>
            <w:hideMark/>
          </w:tcPr>
          <w:p w14:paraId="1AE9E0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Autoridad jurisdiccional. 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fiscales, de conformidad con las competencias y facultades previstas en la Constitución Política y la ley.</w:t>
            </w:r>
          </w:p>
        </w:tc>
        <w:tc>
          <w:tcPr>
            <w:tcW w:w="3798" w:type="dxa"/>
            <w:tcBorders>
              <w:top w:val="nil"/>
              <w:left w:val="nil"/>
              <w:bottom w:val="nil"/>
              <w:right w:val="single" w:sz="4" w:space="0" w:color="000000"/>
            </w:tcBorders>
            <w:shd w:val="clear" w:color="000000" w:fill="FFFFFF"/>
            <w:hideMark/>
          </w:tcPr>
          <w:p w14:paraId="194AF2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Autoridad jurisdiccional. 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fiscales, de conformidad con las competencias y facultades previstas en la Constitución Política y la ley.</w:t>
            </w:r>
          </w:p>
        </w:tc>
        <w:tc>
          <w:tcPr>
            <w:tcW w:w="1480" w:type="dxa"/>
            <w:tcBorders>
              <w:top w:val="nil"/>
              <w:left w:val="nil"/>
              <w:bottom w:val="nil"/>
              <w:right w:val="single" w:sz="4" w:space="0" w:color="000000"/>
            </w:tcBorders>
            <w:shd w:val="clear" w:color="000000" w:fill="FFFFFF"/>
            <w:hideMark/>
          </w:tcPr>
          <w:p w14:paraId="6B3E2B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2AC5F7"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6F22597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los fines de este artículo, se tendrá en cuenta la autoridad que se ejerce en todo o en parte de la respectiva circunscripción del cargo al que aspira el candidato, salvo para ser elegido Senador de la República. </w:t>
            </w:r>
          </w:p>
        </w:tc>
        <w:tc>
          <w:tcPr>
            <w:tcW w:w="3798" w:type="dxa"/>
            <w:tcBorders>
              <w:top w:val="nil"/>
              <w:left w:val="nil"/>
              <w:bottom w:val="single" w:sz="4" w:space="0" w:color="000000"/>
              <w:right w:val="single" w:sz="4" w:space="0" w:color="000000"/>
            </w:tcBorders>
            <w:shd w:val="clear" w:color="000000" w:fill="FFFFFF"/>
            <w:hideMark/>
          </w:tcPr>
          <w:p w14:paraId="13CE53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los fines de este artículo, se tendrá en cuenta la autoridad que se ejerce en todo o en parte de la respectiva circunscripción del cargo al que aspira el candidato, salvo para ser elegido Senador de la República.</w:t>
            </w:r>
          </w:p>
        </w:tc>
        <w:tc>
          <w:tcPr>
            <w:tcW w:w="3798" w:type="dxa"/>
            <w:tcBorders>
              <w:top w:val="nil"/>
              <w:left w:val="nil"/>
              <w:bottom w:val="single" w:sz="4" w:space="0" w:color="000000"/>
              <w:right w:val="single" w:sz="4" w:space="0" w:color="000000"/>
            </w:tcBorders>
            <w:shd w:val="clear" w:color="000000" w:fill="FFFFFF"/>
            <w:hideMark/>
          </w:tcPr>
          <w:p w14:paraId="6D64C9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los fines de este artículo, se tendrá en cuenta la autoridad que se ejerce en todo o en parte de la respectiva circunscripción del cargo al que aspira el candidato, salvo para ser elegido Senador de la República.</w:t>
            </w:r>
          </w:p>
        </w:tc>
        <w:tc>
          <w:tcPr>
            <w:tcW w:w="1480" w:type="dxa"/>
            <w:tcBorders>
              <w:top w:val="nil"/>
              <w:left w:val="nil"/>
              <w:bottom w:val="single" w:sz="4" w:space="0" w:color="000000"/>
              <w:right w:val="single" w:sz="4" w:space="0" w:color="000000"/>
            </w:tcBorders>
            <w:shd w:val="clear" w:color="000000" w:fill="FFFFFF"/>
            <w:hideMark/>
          </w:tcPr>
          <w:p w14:paraId="4E86D8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E89A1E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1F956D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91.- Presentación de la solicitud.</w:t>
            </w:r>
            <w:r w:rsidRPr="00222F34">
              <w:rPr>
                <w:rFonts w:ascii="Calibri" w:eastAsia="Times New Roman" w:hAnsi="Calibri" w:cs="Calibri"/>
                <w:color w:val="000000"/>
                <w:lang w:val="es-CO" w:eastAsia="es-CO" w:bidi="ar-SA"/>
              </w:rPr>
              <w:t xml:space="preserve"> Sin perjuicio de la facultad oficiosa, cualquier ciudadano u organización política podrá solicitar ante el Consejo Nacional Electoral la revocatoria de la inscripción de un candidato, la cual se deberá presentar </w:t>
            </w:r>
            <w:r w:rsidRPr="00222F34">
              <w:rPr>
                <w:rFonts w:ascii="Calibri" w:eastAsia="Times New Roman" w:hAnsi="Calibri" w:cs="Calibri"/>
                <w:color w:val="000000"/>
                <w:lang w:val="es-CO" w:eastAsia="es-CO" w:bidi="ar-SA"/>
              </w:rPr>
              <w:lastRenderedPageBreak/>
              <w:t xml:space="preserve">dentro de los diez (10) días calendario siguientes a la publicación de la lista consolidada de candidatos inscritos de que trata este código.  </w:t>
            </w:r>
          </w:p>
        </w:tc>
        <w:tc>
          <w:tcPr>
            <w:tcW w:w="3798" w:type="dxa"/>
            <w:tcBorders>
              <w:top w:val="nil"/>
              <w:left w:val="nil"/>
              <w:bottom w:val="nil"/>
              <w:right w:val="single" w:sz="4" w:space="0" w:color="000000"/>
            </w:tcBorders>
            <w:shd w:val="clear" w:color="000000" w:fill="FFFFFF"/>
            <w:hideMark/>
          </w:tcPr>
          <w:p w14:paraId="658471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95. Presentación de la solicitud.</w:t>
            </w:r>
            <w:r w:rsidRPr="00222F34">
              <w:rPr>
                <w:rFonts w:ascii="Calibri" w:eastAsia="Times New Roman" w:hAnsi="Calibri" w:cs="Calibri"/>
                <w:color w:val="000000"/>
                <w:lang w:val="es-CO" w:eastAsia="es-CO" w:bidi="ar-SA"/>
              </w:rPr>
              <w:t xml:space="preserve"> Sin perjuicio de la facultad oficiosa, cualquier ciudadano u organización política podrá solicitar ante el Consejo Nacional Electoral la revocatoria de la inscripción de un candidato, la cual se deberá presentar </w:t>
            </w:r>
            <w:r w:rsidRPr="00222F34">
              <w:rPr>
                <w:rFonts w:ascii="Calibri" w:eastAsia="Times New Roman" w:hAnsi="Calibri" w:cs="Calibri"/>
                <w:color w:val="000000"/>
                <w:lang w:val="es-CO" w:eastAsia="es-CO" w:bidi="ar-SA"/>
              </w:rPr>
              <w:lastRenderedPageBreak/>
              <w:t>dentro de los diez (10) días calendario siguientes a la publicación de la lista consolidada de candidatos inscritos de que trata este código.</w:t>
            </w:r>
          </w:p>
        </w:tc>
        <w:tc>
          <w:tcPr>
            <w:tcW w:w="3798" w:type="dxa"/>
            <w:tcBorders>
              <w:top w:val="nil"/>
              <w:left w:val="nil"/>
              <w:bottom w:val="nil"/>
              <w:right w:val="single" w:sz="4" w:space="0" w:color="000000"/>
            </w:tcBorders>
            <w:shd w:val="clear" w:color="000000" w:fill="FFFFFF"/>
            <w:hideMark/>
          </w:tcPr>
          <w:p w14:paraId="250B08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95. Presentación de la solicitud.</w:t>
            </w:r>
            <w:r w:rsidRPr="00222F34">
              <w:rPr>
                <w:rFonts w:ascii="Calibri" w:eastAsia="Times New Roman" w:hAnsi="Calibri" w:cs="Calibri"/>
                <w:color w:val="000000"/>
                <w:lang w:val="es-CO" w:eastAsia="es-CO" w:bidi="ar-SA"/>
              </w:rPr>
              <w:t xml:space="preserve"> Sin perjuicio de la facultad oficiosa, cualquier ciudadano u organización política podrá solicitar ante el Consejo Nacional Electoral la revocatoria de la inscripción de un candidato, la cual se deberá presentar </w:t>
            </w:r>
            <w:r w:rsidRPr="00222F34">
              <w:rPr>
                <w:rFonts w:ascii="Calibri" w:eastAsia="Times New Roman" w:hAnsi="Calibri" w:cs="Calibri"/>
                <w:color w:val="000000"/>
                <w:lang w:val="es-CO" w:eastAsia="es-CO" w:bidi="ar-SA"/>
              </w:rPr>
              <w:lastRenderedPageBreak/>
              <w:t>dentro de los diez (10) días calendario siguientes a la publicación de la lista consolidada de candidatos inscritos de que trata este código.</w:t>
            </w:r>
          </w:p>
        </w:tc>
        <w:tc>
          <w:tcPr>
            <w:tcW w:w="1480" w:type="dxa"/>
            <w:tcBorders>
              <w:top w:val="nil"/>
              <w:left w:val="nil"/>
              <w:bottom w:val="nil"/>
              <w:right w:val="single" w:sz="4" w:space="0" w:color="000000"/>
            </w:tcBorders>
            <w:shd w:val="clear" w:color="000000" w:fill="FFFFFF"/>
            <w:hideMark/>
          </w:tcPr>
          <w:p w14:paraId="3345242D" w14:textId="7067C70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1C2DEBA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115B0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solicitud deberá ser presentada por el interesado ante la Secretaría del Consejo Nacional Electoral, o ante el funcionario electoral que realizó la correspondiente inscripción del candidato, o remitida por medio físico, electrónico o cualquier canal habilitado por el Consejo Nacional Electoral. </w:t>
            </w:r>
          </w:p>
        </w:tc>
        <w:tc>
          <w:tcPr>
            <w:tcW w:w="3798" w:type="dxa"/>
            <w:tcBorders>
              <w:top w:val="nil"/>
              <w:left w:val="nil"/>
              <w:bottom w:val="nil"/>
              <w:right w:val="single" w:sz="4" w:space="0" w:color="000000"/>
            </w:tcBorders>
            <w:shd w:val="clear" w:color="000000" w:fill="FFFFFF"/>
            <w:hideMark/>
          </w:tcPr>
          <w:p w14:paraId="382D83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solicitud deberá ser presentada por el interesado ante la Secretaría del Consejo Nacional Electoral, o ante el funcionario electoral que realizó la correspondiente inscripción del candidato, o remitida por medio físico, electrónico o cualquier canal habilitado por el Consejo Nacional Electoral.</w:t>
            </w:r>
          </w:p>
        </w:tc>
        <w:tc>
          <w:tcPr>
            <w:tcW w:w="3798" w:type="dxa"/>
            <w:tcBorders>
              <w:top w:val="nil"/>
              <w:left w:val="nil"/>
              <w:bottom w:val="nil"/>
              <w:right w:val="single" w:sz="4" w:space="0" w:color="000000"/>
            </w:tcBorders>
            <w:shd w:val="clear" w:color="000000" w:fill="FFFFFF"/>
            <w:hideMark/>
          </w:tcPr>
          <w:p w14:paraId="451F0C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solicitud deberá ser presentada por el interesado ante la Secretaría del Consejo Nacional Electoral, o ante el funcionario electoral que realizó la correspondiente inscripción del candidato, o remitida por medio físico, electrónico o cualquier canal habilitado por el Consejo Nacional Electoral.</w:t>
            </w:r>
          </w:p>
        </w:tc>
        <w:tc>
          <w:tcPr>
            <w:tcW w:w="1480" w:type="dxa"/>
            <w:tcBorders>
              <w:top w:val="nil"/>
              <w:left w:val="nil"/>
              <w:bottom w:val="nil"/>
              <w:right w:val="single" w:sz="4" w:space="0" w:color="000000"/>
            </w:tcBorders>
            <w:shd w:val="clear" w:color="000000" w:fill="FFFFFF"/>
            <w:hideMark/>
          </w:tcPr>
          <w:p w14:paraId="533465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55961D"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8B724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 </w:t>
            </w:r>
          </w:p>
        </w:tc>
        <w:tc>
          <w:tcPr>
            <w:tcW w:w="3798" w:type="dxa"/>
            <w:tcBorders>
              <w:top w:val="nil"/>
              <w:left w:val="nil"/>
              <w:bottom w:val="nil"/>
              <w:right w:val="single" w:sz="4" w:space="0" w:color="000000"/>
            </w:tcBorders>
            <w:shd w:val="clear" w:color="000000" w:fill="FFFFFF"/>
            <w:hideMark/>
          </w:tcPr>
          <w:p w14:paraId="14FCC4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w:t>
            </w:r>
          </w:p>
        </w:tc>
        <w:tc>
          <w:tcPr>
            <w:tcW w:w="3798" w:type="dxa"/>
            <w:tcBorders>
              <w:top w:val="nil"/>
              <w:left w:val="nil"/>
              <w:bottom w:val="nil"/>
              <w:right w:val="single" w:sz="4" w:space="0" w:color="000000"/>
            </w:tcBorders>
            <w:shd w:val="clear" w:color="000000" w:fill="FFFFFF"/>
            <w:hideMark/>
          </w:tcPr>
          <w:p w14:paraId="40170B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w:t>
            </w:r>
          </w:p>
        </w:tc>
        <w:tc>
          <w:tcPr>
            <w:tcW w:w="1480" w:type="dxa"/>
            <w:tcBorders>
              <w:top w:val="nil"/>
              <w:left w:val="nil"/>
              <w:bottom w:val="nil"/>
              <w:right w:val="single" w:sz="4" w:space="0" w:color="000000"/>
            </w:tcBorders>
            <w:shd w:val="clear" w:color="000000" w:fill="FFFFFF"/>
            <w:hideMark/>
          </w:tcPr>
          <w:p w14:paraId="4F3124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EE3A78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D6CA7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Secretaría del Consejo Nacional Electoral someterá a reparto las solicitudes de revocatoria de inscripción de candidatos a más tardar al día siguiente de su recepción en la entidad. </w:t>
            </w:r>
          </w:p>
        </w:tc>
        <w:tc>
          <w:tcPr>
            <w:tcW w:w="3798" w:type="dxa"/>
            <w:tcBorders>
              <w:top w:val="nil"/>
              <w:left w:val="nil"/>
              <w:bottom w:val="nil"/>
              <w:right w:val="single" w:sz="4" w:space="0" w:color="000000"/>
            </w:tcBorders>
            <w:shd w:val="clear" w:color="000000" w:fill="FFFFFF"/>
            <w:hideMark/>
          </w:tcPr>
          <w:p w14:paraId="1C63F3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Secretaría del Consejo Nacional Electoral someterá a reparto las solicitudes de revocatoria de inscripción de candidatos a más tardar al día siguiente de su recepción en la entidad.</w:t>
            </w:r>
          </w:p>
        </w:tc>
        <w:tc>
          <w:tcPr>
            <w:tcW w:w="3798" w:type="dxa"/>
            <w:tcBorders>
              <w:top w:val="nil"/>
              <w:left w:val="nil"/>
              <w:bottom w:val="nil"/>
              <w:right w:val="single" w:sz="4" w:space="0" w:color="000000"/>
            </w:tcBorders>
            <w:shd w:val="clear" w:color="000000" w:fill="FFFFFF"/>
            <w:hideMark/>
          </w:tcPr>
          <w:p w14:paraId="418D19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Secretaría del Consejo Nacional Electoral someterá a reparto las solicitudes de revocatoria de inscripción de candidatos a más tardar al día siguiente de su recepción en la entidad.</w:t>
            </w:r>
          </w:p>
        </w:tc>
        <w:tc>
          <w:tcPr>
            <w:tcW w:w="1480" w:type="dxa"/>
            <w:tcBorders>
              <w:top w:val="nil"/>
              <w:left w:val="nil"/>
              <w:bottom w:val="nil"/>
              <w:right w:val="single" w:sz="4" w:space="0" w:color="000000"/>
            </w:tcBorders>
            <w:shd w:val="clear" w:color="000000" w:fill="FFFFFF"/>
            <w:hideMark/>
          </w:tcPr>
          <w:p w14:paraId="5D0AB5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FF9D7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E9EE6E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El Consejo Nacional Electoral podrá reglamentar la presentación de las solicitudes de revocatoria de inscripción por medios electrónicos y/o digitales. En todo procedimiento se deberán atender las reglas del respeto al debido proceso y el derecho de contradicción. </w:t>
            </w:r>
          </w:p>
        </w:tc>
        <w:tc>
          <w:tcPr>
            <w:tcW w:w="3798" w:type="dxa"/>
            <w:tcBorders>
              <w:top w:val="nil"/>
              <w:left w:val="nil"/>
              <w:bottom w:val="nil"/>
              <w:right w:val="single" w:sz="4" w:space="0" w:color="000000"/>
            </w:tcBorders>
            <w:shd w:val="clear" w:color="000000" w:fill="FFFFFF"/>
            <w:hideMark/>
          </w:tcPr>
          <w:p w14:paraId="310DAF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Consejo Nacional Electoral podrá reglamentar la presentación de las solicitudes de revocatoria de inscripción por medios electrónicos y/o digitales. En todo procedimiento se deberán atender las reglas del respeto al debido proceso y el derecho de contradicción.</w:t>
            </w:r>
          </w:p>
        </w:tc>
        <w:tc>
          <w:tcPr>
            <w:tcW w:w="3798" w:type="dxa"/>
            <w:tcBorders>
              <w:top w:val="nil"/>
              <w:left w:val="nil"/>
              <w:bottom w:val="nil"/>
              <w:right w:val="single" w:sz="4" w:space="0" w:color="000000"/>
            </w:tcBorders>
            <w:shd w:val="clear" w:color="000000" w:fill="FFFFFF"/>
            <w:hideMark/>
          </w:tcPr>
          <w:p w14:paraId="750E90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Consejo Nacional Electoral podrá reglamentar la presentación de las solicitudes de revocatoria de inscripción por medios electrónicos y/o digitales. En todo procedimiento se deberán atender las reglas del respeto al debido proceso y el derecho de contradicción.</w:t>
            </w:r>
          </w:p>
        </w:tc>
        <w:tc>
          <w:tcPr>
            <w:tcW w:w="1480" w:type="dxa"/>
            <w:tcBorders>
              <w:top w:val="nil"/>
              <w:left w:val="nil"/>
              <w:bottom w:val="nil"/>
              <w:right w:val="single" w:sz="4" w:space="0" w:color="000000"/>
            </w:tcBorders>
            <w:shd w:val="clear" w:color="000000" w:fill="FFFFFF"/>
            <w:hideMark/>
          </w:tcPr>
          <w:p w14:paraId="4AC7A4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3F58C8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5449CB6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efectos del trámite de los procesos de revocatoria de inscripción de candidatos la Sala Plena del Consejo Nacional Electoral podrá disponer que todos los días sean hábiles. </w:t>
            </w:r>
          </w:p>
        </w:tc>
        <w:tc>
          <w:tcPr>
            <w:tcW w:w="3798" w:type="dxa"/>
            <w:tcBorders>
              <w:top w:val="nil"/>
              <w:left w:val="nil"/>
              <w:bottom w:val="nil"/>
              <w:right w:val="single" w:sz="4" w:space="0" w:color="000000"/>
            </w:tcBorders>
            <w:shd w:val="clear" w:color="000000" w:fill="FFFFFF"/>
            <w:hideMark/>
          </w:tcPr>
          <w:p w14:paraId="2E0E20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efectos del trámite de los procesos de revocatoria de inscripción de candidatos la Sala Plena del Consejo Nacional Electoral podrá disponer que todos los días sean hábiles.</w:t>
            </w:r>
          </w:p>
        </w:tc>
        <w:tc>
          <w:tcPr>
            <w:tcW w:w="3798" w:type="dxa"/>
            <w:tcBorders>
              <w:top w:val="nil"/>
              <w:left w:val="nil"/>
              <w:bottom w:val="nil"/>
              <w:right w:val="single" w:sz="4" w:space="0" w:color="000000"/>
            </w:tcBorders>
            <w:shd w:val="clear" w:color="000000" w:fill="FFFFFF"/>
            <w:hideMark/>
          </w:tcPr>
          <w:p w14:paraId="6F1279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efectos del trámite de los procesos de revocatoria de inscripción de candidatos la Sala Plena del Consejo Nacional Electoral podrá disponer que todos los días sean hábiles.</w:t>
            </w:r>
          </w:p>
        </w:tc>
        <w:tc>
          <w:tcPr>
            <w:tcW w:w="1480" w:type="dxa"/>
            <w:tcBorders>
              <w:top w:val="nil"/>
              <w:left w:val="nil"/>
              <w:bottom w:val="single" w:sz="4" w:space="0" w:color="000000"/>
              <w:right w:val="single" w:sz="4" w:space="0" w:color="000000"/>
            </w:tcBorders>
            <w:shd w:val="clear" w:color="000000" w:fill="FFFFFF"/>
            <w:hideMark/>
          </w:tcPr>
          <w:p w14:paraId="32C03D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7E77F8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E1CEEB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92.- Requisitos de la solicitud.</w:t>
            </w:r>
            <w:r w:rsidRPr="00222F34">
              <w:rPr>
                <w:rFonts w:ascii="Calibri" w:eastAsia="Times New Roman" w:hAnsi="Calibri" w:cs="Calibri"/>
                <w:color w:val="000000"/>
                <w:lang w:val="es-CO" w:eastAsia="es-CO" w:bidi="ar-SA"/>
              </w:rPr>
              <w:t xml:space="preserve"> La solicitud de revocatoria de inscripción deberá reunir los siguientes requisitos: </w:t>
            </w:r>
          </w:p>
        </w:tc>
        <w:tc>
          <w:tcPr>
            <w:tcW w:w="3798" w:type="dxa"/>
            <w:tcBorders>
              <w:top w:val="single" w:sz="4" w:space="0" w:color="000000"/>
              <w:left w:val="nil"/>
              <w:bottom w:val="nil"/>
              <w:right w:val="single" w:sz="4" w:space="0" w:color="000000"/>
            </w:tcBorders>
            <w:shd w:val="clear" w:color="00FF00" w:fill="FFFFFF"/>
            <w:hideMark/>
          </w:tcPr>
          <w:p w14:paraId="46FE83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96. Requisitos de la solicitud</w:t>
            </w:r>
            <w:r w:rsidRPr="00222F34">
              <w:rPr>
                <w:rFonts w:ascii="Calibri" w:eastAsia="Times New Roman" w:hAnsi="Calibri" w:cs="Calibri"/>
                <w:color w:val="000000"/>
                <w:lang w:val="es-CO" w:eastAsia="es-CO" w:bidi="ar-SA"/>
              </w:rPr>
              <w:t>. La solicitud de revocatoria de inscripción deberá reunir los siguientes requisitos:</w:t>
            </w:r>
          </w:p>
        </w:tc>
        <w:tc>
          <w:tcPr>
            <w:tcW w:w="3798" w:type="dxa"/>
            <w:tcBorders>
              <w:top w:val="single" w:sz="4" w:space="0" w:color="000000"/>
              <w:left w:val="nil"/>
              <w:bottom w:val="nil"/>
              <w:right w:val="single" w:sz="4" w:space="0" w:color="000000"/>
            </w:tcBorders>
            <w:shd w:val="clear" w:color="00FF00" w:fill="FFFFFF"/>
            <w:hideMark/>
          </w:tcPr>
          <w:p w14:paraId="2D0889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96. Requisitos de la solicitud</w:t>
            </w:r>
            <w:r w:rsidRPr="00222F34">
              <w:rPr>
                <w:rFonts w:ascii="Calibri" w:eastAsia="Times New Roman" w:hAnsi="Calibri" w:cs="Calibri"/>
                <w:color w:val="000000"/>
                <w:lang w:val="es-CO" w:eastAsia="es-CO" w:bidi="ar-SA"/>
              </w:rPr>
              <w:t>. La solicitud de revocatoria de inscripción deberá reunir los siguientes requisitos:</w:t>
            </w:r>
          </w:p>
        </w:tc>
        <w:tc>
          <w:tcPr>
            <w:tcW w:w="1480" w:type="dxa"/>
            <w:tcBorders>
              <w:top w:val="nil"/>
              <w:left w:val="nil"/>
              <w:bottom w:val="nil"/>
              <w:right w:val="single" w:sz="4" w:space="0" w:color="000000"/>
            </w:tcBorders>
            <w:shd w:val="clear" w:color="000000" w:fill="FFFFFF"/>
            <w:hideMark/>
          </w:tcPr>
          <w:p w14:paraId="3B8F6A22" w14:textId="6577938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4695F93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71359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Nombres, apellidos, número de cédula de ciudadanía, firma, dirección de correspondencia o de residencia y/o medio electrónico del solicitante para surtir el proceso de notificación. Con el suministro del medio electrónico el solicitante autoriza y facilita a través de este, la comunicación y notificación, según el caso, de las decisiones que se adopten durante el proceso. </w:t>
            </w:r>
          </w:p>
        </w:tc>
        <w:tc>
          <w:tcPr>
            <w:tcW w:w="3798" w:type="dxa"/>
            <w:tcBorders>
              <w:top w:val="nil"/>
              <w:left w:val="nil"/>
              <w:bottom w:val="nil"/>
              <w:right w:val="single" w:sz="4" w:space="0" w:color="000000"/>
            </w:tcBorders>
            <w:shd w:val="clear" w:color="00FF00" w:fill="FFFFFF"/>
            <w:hideMark/>
          </w:tcPr>
          <w:p w14:paraId="1C6E69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Nombres, apellidos, número de cédula de ciudadanía, firma, dirección de correspondencia o de residencia y/o medio electrónico del solicitante para surtir el proceso de notificación. Con el suministro del medio electrónico el solicitante autoriza y facilita a través de este, la comunicación y notificación, según el caso, de las decisiones que se adopten durante el proceso.</w:t>
            </w:r>
          </w:p>
        </w:tc>
        <w:tc>
          <w:tcPr>
            <w:tcW w:w="3798" w:type="dxa"/>
            <w:tcBorders>
              <w:top w:val="nil"/>
              <w:left w:val="nil"/>
              <w:bottom w:val="nil"/>
              <w:right w:val="single" w:sz="4" w:space="0" w:color="000000"/>
            </w:tcBorders>
            <w:shd w:val="clear" w:color="00FF00" w:fill="FFFFFF"/>
            <w:hideMark/>
          </w:tcPr>
          <w:p w14:paraId="52DF17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Nombres, apellidos, número de cédula de ciudadanía, firma, dirección de correspondencia o de residencia y/o medio electrónico del solicitante para surtir el proceso de notificación. Con el suministro del medio electrónico el solicitante autoriza y facilita a través de este, la comunicación y notificación, según el caso, de las decisiones que se adopten durante el proceso.</w:t>
            </w:r>
          </w:p>
        </w:tc>
        <w:tc>
          <w:tcPr>
            <w:tcW w:w="1480" w:type="dxa"/>
            <w:tcBorders>
              <w:top w:val="nil"/>
              <w:left w:val="nil"/>
              <w:bottom w:val="nil"/>
              <w:right w:val="single" w:sz="4" w:space="0" w:color="000000"/>
            </w:tcBorders>
            <w:shd w:val="clear" w:color="000000" w:fill="FFFFFF"/>
            <w:hideMark/>
          </w:tcPr>
          <w:p w14:paraId="5388EA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B06E2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28788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Nombres y apellidos del candidato, dirección física o electrónica, si la conociere, objeto de la solicitud, cargo al que aspira, con indicación de la </w:t>
            </w:r>
            <w:r w:rsidRPr="00222F34">
              <w:rPr>
                <w:rFonts w:ascii="Calibri" w:eastAsia="Times New Roman" w:hAnsi="Calibri" w:cs="Calibri"/>
                <w:color w:val="000000"/>
                <w:lang w:val="es-CO" w:eastAsia="es-CO" w:bidi="ar-SA"/>
              </w:rPr>
              <w:lastRenderedPageBreak/>
              <w:t xml:space="preserve">correspondiente circunscripción electoral, y organización política que lo inscribió. </w:t>
            </w:r>
          </w:p>
        </w:tc>
        <w:tc>
          <w:tcPr>
            <w:tcW w:w="3798" w:type="dxa"/>
            <w:tcBorders>
              <w:top w:val="nil"/>
              <w:left w:val="nil"/>
              <w:bottom w:val="nil"/>
              <w:right w:val="single" w:sz="4" w:space="0" w:color="000000"/>
            </w:tcBorders>
            <w:shd w:val="clear" w:color="00FF00" w:fill="FFFFFF"/>
            <w:hideMark/>
          </w:tcPr>
          <w:p w14:paraId="2486D3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Nombres y apellidos del candidato, dirección física o electrónica, si la conociere, objeto de la solicitud, cargo al que aspira, con indicación de la </w:t>
            </w:r>
            <w:r w:rsidRPr="00222F34">
              <w:rPr>
                <w:rFonts w:ascii="Calibri" w:eastAsia="Times New Roman" w:hAnsi="Calibri" w:cs="Calibri"/>
                <w:color w:val="000000"/>
                <w:lang w:val="es-CO" w:eastAsia="es-CO" w:bidi="ar-SA"/>
              </w:rPr>
              <w:lastRenderedPageBreak/>
              <w:t>correspondiente circunscripción electoral, y organización política que lo inscribió.</w:t>
            </w:r>
          </w:p>
        </w:tc>
        <w:tc>
          <w:tcPr>
            <w:tcW w:w="3798" w:type="dxa"/>
            <w:tcBorders>
              <w:top w:val="nil"/>
              <w:left w:val="nil"/>
              <w:bottom w:val="nil"/>
              <w:right w:val="single" w:sz="4" w:space="0" w:color="000000"/>
            </w:tcBorders>
            <w:shd w:val="clear" w:color="00FF00" w:fill="FFFFFF"/>
            <w:hideMark/>
          </w:tcPr>
          <w:p w14:paraId="6378BA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Nombres y apellidos del candidato, dirección física o electrónica, si la conociere, objeto de la solicitud, cargo al que aspira, con indicación de la </w:t>
            </w:r>
            <w:r w:rsidRPr="00222F34">
              <w:rPr>
                <w:rFonts w:ascii="Calibri" w:eastAsia="Times New Roman" w:hAnsi="Calibri" w:cs="Calibri"/>
                <w:color w:val="000000"/>
                <w:lang w:val="es-CO" w:eastAsia="es-CO" w:bidi="ar-SA"/>
              </w:rPr>
              <w:lastRenderedPageBreak/>
              <w:t>correspondiente circunscripción electoral, y organización política que lo inscribió.</w:t>
            </w:r>
          </w:p>
        </w:tc>
        <w:tc>
          <w:tcPr>
            <w:tcW w:w="1480" w:type="dxa"/>
            <w:tcBorders>
              <w:top w:val="nil"/>
              <w:left w:val="nil"/>
              <w:bottom w:val="nil"/>
              <w:right w:val="single" w:sz="4" w:space="0" w:color="000000"/>
            </w:tcBorders>
            <w:shd w:val="clear" w:color="000000" w:fill="FFFFFF"/>
            <w:hideMark/>
          </w:tcPr>
          <w:p w14:paraId="299FDB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3B72EF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F7EE4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Una relación clara y sucinta de los hechos que motivan la solicitud. </w:t>
            </w:r>
          </w:p>
        </w:tc>
        <w:tc>
          <w:tcPr>
            <w:tcW w:w="3798" w:type="dxa"/>
            <w:tcBorders>
              <w:top w:val="nil"/>
              <w:left w:val="nil"/>
              <w:bottom w:val="nil"/>
              <w:right w:val="single" w:sz="4" w:space="0" w:color="000000"/>
            </w:tcBorders>
            <w:shd w:val="clear" w:color="00FF00" w:fill="FFFFFF"/>
            <w:hideMark/>
          </w:tcPr>
          <w:p w14:paraId="321B5D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Una relación clara y sucinta de los hechos que motivan la solicitud.</w:t>
            </w:r>
          </w:p>
        </w:tc>
        <w:tc>
          <w:tcPr>
            <w:tcW w:w="3798" w:type="dxa"/>
            <w:tcBorders>
              <w:top w:val="nil"/>
              <w:left w:val="nil"/>
              <w:bottom w:val="nil"/>
              <w:right w:val="single" w:sz="4" w:space="0" w:color="000000"/>
            </w:tcBorders>
            <w:shd w:val="clear" w:color="00FF00" w:fill="FFFFFF"/>
            <w:hideMark/>
          </w:tcPr>
          <w:p w14:paraId="5EE525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Una relación clara y sucinta de los hechos que motivan la solicitud.</w:t>
            </w:r>
          </w:p>
        </w:tc>
        <w:tc>
          <w:tcPr>
            <w:tcW w:w="1480" w:type="dxa"/>
            <w:tcBorders>
              <w:top w:val="nil"/>
              <w:left w:val="nil"/>
              <w:bottom w:val="nil"/>
              <w:right w:val="single" w:sz="4" w:space="0" w:color="000000"/>
            </w:tcBorders>
            <w:shd w:val="clear" w:color="000000" w:fill="FFFFFF"/>
            <w:hideMark/>
          </w:tcPr>
          <w:p w14:paraId="17DCFB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4E4F29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5929A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Invocar la causal alegada y su sustentación.  </w:t>
            </w:r>
          </w:p>
        </w:tc>
        <w:tc>
          <w:tcPr>
            <w:tcW w:w="3798" w:type="dxa"/>
            <w:tcBorders>
              <w:top w:val="nil"/>
              <w:left w:val="nil"/>
              <w:bottom w:val="nil"/>
              <w:right w:val="single" w:sz="4" w:space="0" w:color="000000"/>
            </w:tcBorders>
            <w:shd w:val="clear" w:color="00FF00" w:fill="FFFFFF"/>
            <w:hideMark/>
          </w:tcPr>
          <w:p w14:paraId="144653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Invocar la causal alegada y su sustentación.</w:t>
            </w:r>
          </w:p>
        </w:tc>
        <w:tc>
          <w:tcPr>
            <w:tcW w:w="3798" w:type="dxa"/>
            <w:tcBorders>
              <w:top w:val="nil"/>
              <w:left w:val="nil"/>
              <w:bottom w:val="nil"/>
              <w:right w:val="single" w:sz="4" w:space="0" w:color="000000"/>
            </w:tcBorders>
            <w:shd w:val="clear" w:color="00FF00" w:fill="FFFFFF"/>
            <w:hideMark/>
          </w:tcPr>
          <w:p w14:paraId="68FEE4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Invocar la causal alegada y su sustentación.</w:t>
            </w:r>
          </w:p>
        </w:tc>
        <w:tc>
          <w:tcPr>
            <w:tcW w:w="1480" w:type="dxa"/>
            <w:tcBorders>
              <w:top w:val="nil"/>
              <w:left w:val="nil"/>
              <w:bottom w:val="nil"/>
              <w:right w:val="single" w:sz="4" w:space="0" w:color="000000"/>
            </w:tcBorders>
            <w:shd w:val="clear" w:color="000000" w:fill="FFFFFF"/>
            <w:hideMark/>
          </w:tcPr>
          <w:p w14:paraId="159735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2149275"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E3B4A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Aportar los medios de prueba que pretenden hacer valer y relacionar las pruebas que solicita decretar por parte del Consejo Nacional Electoral, con indicación de la entidad o persona que deba aportarlas. Sin perjuicio de las demás que el Consejo Nacional Electoral considere pertinente ordenar. </w:t>
            </w:r>
          </w:p>
        </w:tc>
        <w:tc>
          <w:tcPr>
            <w:tcW w:w="3798" w:type="dxa"/>
            <w:tcBorders>
              <w:top w:val="nil"/>
              <w:left w:val="nil"/>
              <w:bottom w:val="single" w:sz="4" w:space="0" w:color="000000"/>
              <w:right w:val="single" w:sz="4" w:space="0" w:color="000000"/>
            </w:tcBorders>
            <w:shd w:val="clear" w:color="00FF00" w:fill="FFFFFF"/>
            <w:hideMark/>
          </w:tcPr>
          <w:p w14:paraId="03B8DE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Aportar los medios de prueba que pretenden hacer valer y relacionar las pruebas que solicita decretar por parte del Consejo Nacional Electoral. Sin perjuicio de las demás que el Consejo Nacional Electoral considere pertinente ordenar.</w:t>
            </w:r>
          </w:p>
        </w:tc>
        <w:tc>
          <w:tcPr>
            <w:tcW w:w="3798" w:type="dxa"/>
            <w:tcBorders>
              <w:top w:val="nil"/>
              <w:left w:val="nil"/>
              <w:bottom w:val="single" w:sz="4" w:space="0" w:color="000000"/>
              <w:right w:val="single" w:sz="4" w:space="0" w:color="000000"/>
            </w:tcBorders>
            <w:shd w:val="clear" w:color="00FF00" w:fill="FFFFFF"/>
            <w:hideMark/>
          </w:tcPr>
          <w:p w14:paraId="664426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Aportar los medios de prueba que pretenden hacer valer y relacionar las pruebas que solicita decretar por parte del Consejo Nacional Electoral. Sin perjuicio de las demás que el Consejo Nacional Electoral considere pertinente ordenar.</w:t>
            </w:r>
          </w:p>
        </w:tc>
        <w:tc>
          <w:tcPr>
            <w:tcW w:w="1480" w:type="dxa"/>
            <w:tcBorders>
              <w:top w:val="nil"/>
              <w:left w:val="nil"/>
              <w:bottom w:val="single" w:sz="4" w:space="0" w:color="000000"/>
              <w:right w:val="single" w:sz="4" w:space="0" w:color="000000"/>
            </w:tcBorders>
            <w:shd w:val="clear" w:color="000000" w:fill="FFFFFF"/>
            <w:hideMark/>
          </w:tcPr>
          <w:p w14:paraId="5F77CD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48F3886" w14:textId="77777777" w:rsidTr="00222F34">
        <w:trPr>
          <w:trHeight w:val="2400"/>
        </w:trPr>
        <w:tc>
          <w:tcPr>
            <w:tcW w:w="3798" w:type="dxa"/>
            <w:tcBorders>
              <w:top w:val="nil"/>
              <w:left w:val="single" w:sz="4" w:space="0" w:color="000000"/>
              <w:bottom w:val="single" w:sz="4" w:space="0" w:color="000000"/>
              <w:right w:val="single" w:sz="4" w:space="0" w:color="000000"/>
            </w:tcBorders>
            <w:shd w:val="clear" w:color="000000" w:fill="FFFFFF"/>
            <w:hideMark/>
          </w:tcPr>
          <w:p w14:paraId="3A4340E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93.- Verificación de requisitos.</w:t>
            </w:r>
            <w:r w:rsidRPr="00222F34">
              <w:rPr>
                <w:rFonts w:ascii="Calibri" w:eastAsia="Times New Roman" w:hAnsi="Calibri" w:cs="Calibri"/>
                <w:color w:val="000000"/>
                <w:lang w:val="es-CO" w:eastAsia="es-CO" w:bidi="ar-SA"/>
              </w:rPr>
              <w:t xml:space="preserve"> 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w:t>
            </w:r>
            <w:r w:rsidRPr="00222F34">
              <w:rPr>
                <w:rFonts w:ascii="Calibri" w:eastAsia="Times New Roman" w:hAnsi="Calibri" w:cs="Calibri"/>
                <w:color w:val="000000"/>
                <w:lang w:val="es-CO" w:eastAsia="es-CO" w:bidi="ar-SA"/>
              </w:rPr>
              <w:lastRenderedPageBreak/>
              <w:t xml:space="preserve">mediante auto contra el que no procede recurso. </w:t>
            </w:r>
          </w:p>
        </w:tc>
        <w:tc>
          <w:tcPr>
            <w:tcW w:w="3798" w:type="dxa"/>
            <w:tcBorders>
              <w:top w:val="nil"/>
              <w:left w:val="nil"/>
              <w:bottom w:val="single" w:sz="4" w:space="0" w:color="000000"/>
              <w:right w:val="single" w:sz="4" w:space="0" w:color="000000"/>
            </w:tcBorders>
            <w:shd w:val="clear" w:color="000000" w:fill="FFFFFF"/>
            <w:hideMark/>
          </w:tcPr>
          <w:p w14:paraId="411D08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97. Verificación de requisitos.</w:t>
            </w:r>
            <w:r w:rsidRPr="00222F34">
              <w:rPr>
                <w:rFonts w:ascii="Calibri" w:eastAsia="Times New Roman" w:hAnsi="Calibri" w:cs="Calibri"/>
                <w:color w:val="000000"/>
                <w:lang w:val="es-CO" w:eastAsia="es-CO" w:bidi="ar-SA"/>
              </w:rPr>
              <w:t xml:space="preserve"> 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w:t>
            </w:r>
            <w:r w:rsidRPr="00222F34">
              <w:rPr>
                <w:rFonts w:ascii="Calibri" w:eastAsia="Times New Roman" w:hAnsi="Calibri" w:cs="Calibri"/>
                <w:color w:val="000000"/>
                <w:lang w:val="es-CO" w:eastAsia="es-CO" w:bidi="ar-SA"/>
              </w:rPr>
              <w:lastRenderedPageBreak/>
              <w:t>mediante auto contra el que no procede recurso.</w:t>
            </w:r>
          </w:p>
        </w:tc>
        <w:tc>
          <w:tcPr>
            <w:tcW w:w="3798" w:type="dxa"/>
            <w:tcBorders>
              <w:top w:val="nil"/>
              <w:left w:val="nil"/>
              <w:bottom w:val="single" w:sz="4" w:space="0" w:color="000000"/>
              <w:right w:val="single" w:sz="4" w:space="0" w:color="000000"/>
            </w:tcBorders>
            <w:shd w:val="clear" w:color="000000" w:fill="FFFFFF"/>
            <w:hideMark/>
          </w:tcPr>
          <w:p w14:paraId="11E1AD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97. Verificación de requisitos.</w:t>
            </w:r>
            <w:r w:rsidRPr="00222F34">
              <w:rPr>
                <w:rFonts w:ascii="Calibri" w:eastAsia="Times New Roman" w:hAnsi="Calibri" w:cs="Calibri"/>
                <w:color w:val="000000"/>
                <w:lang w:val="es-CO" w:eastAsia="es-CO" w:bidi="ar-SA"/>
              </w:rPr>
              <w:t xml:space="preserve"> 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w:t>
            </w:r>
            <w:r w:rsidRPr="00222F34">
              <w:rPr>
                <w:rFonts w:ascii="Calibri" w:eastAsia="Times New Roman" w:hAnsi="Calibri" w:cs="Calibri"/>
                <w:color w:val="000000"/>
                <w:lang w:val="es-CO" w:eastAsia="es-CO" w:bidi="ar-SA"/>
              </w:rPr>
              <w:lastRenderedPageBreak/>
              <w:t>mediante auto contra el que no procede recurso.</w:t>
            </w:r>
          </w:p>
        </w:tc>
        <w:tc>
          <w:tcPr>
            <w:tcW w:w="1480" w:type="dxa"/>
            <w:tcBorders>
              <w:top w:val="nil"/>
              <w:left w:val="nil"/>
              <w:bottom w:val="nil"/>
              <w:right w:val="single" w:sz="4" w:space="0" w:color="000000"/>
            </w:tcBorders>
            <w:shd w:val="clear" w:color="000000" w:fill="FFFFFF"/>
            <w:hideMark/>
          </w:tcPr>
          <w:p w14:paraId="19C563B8" w14:textId="600FCDE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6D2B37E7"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45784CB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94.- Procedimiento breve y sumario para revocatoria de inscripción de candidaturas.</w:t>
            </w:r>
            <w:r w:rsidRPr="00222F34">
              <w:rPr>
                <w:rFonts w:ascii="Calibri" w:eastAsia="Times New Roman" w:hAnsi="Calibri" w:cs="Calibri"/>
                <w:color w:val="000000"/>
                <w:lang w:val="es-CO" w:eastAsia="es-CO" w:bidi="ar-SA"/>
              </w:rPr>
              <w:t xml:space="preserve"> El auto admisorio de la solicitud deberá contener expresamente la causal de revocatoria de inscripción de la que se acusa al candidato y se comunicará a través de correo electrónico o del medio más expedito a la organización política que otorga el aval,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 </w:t>
            </w:r>
          </w:p>
        </w:tc>
        <w:tc>
          <w:tcPr>
            <w:tcW w:w="3798" w:type="dxa"/>
            <w:tcBorders>
              <w:top w:val="nil"/>
              <w:left w:val="nil"/>
              <w:bottom w:val="nil"/>
              <w:right w:val="single" w:sz="4" w:space="0" w:color="000000"/>
            </w:tcBorders>
            <w:shd w:val="clear" w:color="000000" w:fill="FFFFFF"/>
            <w:hideMark/>
          </w:tcPr>
          <w:p w14:paraId="3324C3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98. Procedimiento breve y sumario para revocatoria de inscripción de candidaturas.</w:t>
            </w:r>
            <w:r w:rsidRPr="00222F34">
              <w:rPr>
                <w:rFonts w:ascii="Calibri" w:eastAsia="Times New Roman" w:hAnsi="Calibri" w:cs="Calibri"/>
                <w:color w:val="000000"/>
                <w:lang w:val="es-CO" w:eastAsia="es-CO" w:bidi="ar-SA"/>
              </w:rPr>
              <w:t xml:space="preserve"> El auto admisorio de la solicitud deberá contener expresamente la causal de revocatoria de inscripción de la que se acusa al candidato y se comunicará a través de correo electrónico o del medio más expedito a la organización política que otorga el aval,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w:t>
            </w:r>
          </w:p>
        </w:tc>
        <w:tc>
          <w:tcPr>
            <w:tcW w:w="3798" w:type="dxa"/>
            <w:tcBorders>
              <w:top w:val="nil"/>
              <w:left w:val="nil"/>
              <w:bottom w:val="nil"/>
              <w:right w:val="single" w:sz="4" w:space="0" w:color="000000"/>
            </w:tcBorders>
            <w:shd w:val="clear" w:color="000000" w:fill="FFFFFF"/>
            <w:hideMark/>
          </w:tcPr>
          <w:p w14:paraId="246371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98. Procedimiento breve y sumario para revocatoria de inscripción de candidaturas.</w:t>
            </w:r>
            <w:r w:rsidRPr="00222F34">
              <w:rPr>
                <w:rFonts w:ascii="Calibri" w:eastAsia="Times New Roman" w:hAnsi="Calibri" w:cs="Calibri"/>
                <w:color w:val="000000"/>
                <w:lang w:val="es-CO" w:eastAsia="es-CO" w:bidi="ar-SA"/>
              </w:rPr>
              <w:t xml:space="preserve"> El auto admisorio de la solicitud deberá contener expresamente la causal de revocatoria de inscripción de la que se acusa al candidato y se comunicará a través de correo electrónico o del medio más expedito a la organización política que otorga el aval,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w:t>
            </w:r>
          </w:p>
        </w:tc>
        <w:tc>
          <w:tcPr>
            <w:tcW w:w="1480" w:type="dxa"/>
            <w:tcBorders>
              <w:top w:val="single" w:sz="4" w:space="0" w:color="000000"/>
              <w:left w:val="nil"/>
              <w:bottom w:val="nil"/>
              <w:right w:val="single" w:sz="4" w:space="0" w:color="000000"/>
            </w:tcBorders>
            <w:shd w:val="clear" w:color="000000" w:fill="FFFFFF"/>
            <w:hideMark/>
          </w:tcPr>
          <w:p w14:paraId="15FB8508" w14:textId="3315299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FBE5748"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2E0C9B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 </w:t>
            </w:r>
          </w:p>
        </w:tc>
        <w:tc>
          <w:tcPr>
            <w:tcW w:w="3798" w:type="dxa"/>
            <w:tcBorders>
              <w:top w:val="nil"/>
              <w:left w:val="nil"/>
              <w:bottom w:val="nil"/>
              <w:right w:val="single" w:sz="4" w:space="0" w:color="000000"/>
            </w:tcBorders>
            <w:shd w:val="clear" w:color="000000" w:fill="FFFFFF"/>
            <w:hideMark/>
          </w:tcPr>
          <w:p w14:paraId="34B148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w:t>
            </w:r>
          </w:p>
        </w:tc>
        <w:tc>
          <w:tcPr>
            <w:tcW w:w="3798" w:type="dxa"/>
            <w:tcBorders>
              <w:top w:val="nil"/>
              <w:left w:val="nil"/>
              <w:bottom w:val="nil"/>
              <w:right w:val="single" w:sz="4" w:space="0" w:color="000000"/>
            </w:tcBorders>
            <w:shd w:val="clear" w:color="000000" w:fill="FFFFFF"/>
            <w:hideMark/>
          </w:tcPr>
          <w:p w14:paraId="1028F1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w:t>
            </w:r>
          </w:p>
        </w:tc>
        <w:tc>
          <w:tcPr>
            <w:tcW w:w="1480" w:type="dxa"/>
            <w:tcBorders>
              <w:top w:val="nil"/>
              <w:left w:val="nil"/>
              <w:bottom w:val="nil"/>
              <w:right w:val="single" w:sz="4" w:space="0" w:color="000000"/>
            </w:tcBorders>
            <w:shd w:val="clear" w:color="000000" w:fill="FFFFFF"/>
            <w:hideMark/>
          </w:tcPr>
          <w:p w14:paraId="0DD141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3E35CD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42729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 igual manera, convocará a audiencia pública para alegar de conclusión o correrá traslado a las partes por un término de dos (2) días para tal fin. </w:t>
            </w:r>
          </w:p>
        </w:tc>
        <w:tc>
          <w:tcPr>
            <w:tcW w:w="3798" w:type="dxa"/>
            <w:tcBorders>
              <w:top w:val="nil"/>
              <w:left w:val="nil"/>
              <w:bottom w:val="nil"/>
              <w:right w:val="single" w:sz="4" w:space="0" w:color="000000"/>
            </w:tcBorders>
            <w:shd w:val="clear" w:color="000000" w:fill="FFFFFF"/>
            <w:hideMark/>
          </w:tcPr>
          <w:p w14:paraId="5D66F3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igual manera, convocará a audiencia pública para alegar de conclusión o correrá traslado a las partes por un término de dos (2) días para tal fin.</w:t>
            </w:r>
          </w:p>
        </w:tc>
        <w:tc>
          <w:tcPr>
            <w:tcW w:w="3798" w:type="dxa"/>
            <w:tcBorders>
              <w:top w:val="nil"/>
              <w:left w:val="nil"/>
              <w:bottom w:val="nil"/>
              <w:right w:val="single" w:sz="4" w:space="0" w:color="000000"/>
            </w:tcBorders>
            <w:shd w:val="clear" w:color="000000" w:fill="FFFFFF"/>
            <w:hideMark/>
          </w:tcPr>
          <w:p w14:paraId="51A451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igual manera, convocará a audiencia pública para alegar de conclusión o correrá traslado a las partes por un término de dos (2) días para tal fin.</w:t>
            </w:r>
          </w:p>
        </w:tc>
        <w:tc>
          <w:tcPr>
            <w:tcW w:w="1480" w:type="dxa"/>
            <w:tcBorders>
              <w:top w:val="nil"/>
              <w:left w:val="nil"/>
              <w:bottom w:val="nil"/>
              <w:right w:val="single" w:sz="4" w:space="0" w:color="000000"/>
            </w:tcBorders>
            <w:shd w:val="clear" w:color="000000" w:fill="FFFFFF"/>
            <w:hideMark/>
          </w:tcPr>
          <w:p w14:paraId="27E2D3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E6DD5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46EC0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Suspendida la audiencia, la Sala Plena en sesión privada adoptará la decisión que corresponda, la cual se notificará en estrados, en audiencia de lectura de decisión e interposición de recurso.  </w:t>
            </w:r>
          </w:p>
        </w:tc>
        <w:tc>
          <w:tcPr>
            <w:tcW w:w="3798" w:type="dxa"/>
            <w:tcBorders>
              <w:top w:val="nil"/>
              <w:left w:val="nil"/>
              <w:bottom w:val="nil"/>
              <w:right w:val="single" w:sz="4" w:space="0" w:color="000000"/>
            </w:tcBorders>
            <w:shd w:val="clear" w:color="000000" w:fill="FFFFFF"/>
            <w:hideMark/>
          </w:tcPr>
          <w:p w14:paraId="27D0B2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Suspendida la audiencia, la Sala Plena en sesión privada adoptará la decisión que corresponda, la cual se notificará en estrados, en audiencia de lectura de decisión e interposición de recurso.</w:t>
            </w:r>
          </w:p>
        </w:tc>
        <w:tc>
          <w:tcPr>
            <w:tcW w:w="3798" w:type="dxa"/>
            <w:tcBorders>
              <w:top w:val="nil"/>
              <w:left w:val="nil"/>
              <w:bottom w:val="nil"/>
              <w:right w:val="single" w:sz="4" w:space="0" w:color="000000"/>
            </w:tcBorders>
            <w:shd w:val="clear" w:color="000000" w:fill="FFFFFF"/>
            <w:hideMark/>
          </w:tcPr>
          <w:p w14:paraId="0C5725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Suspendida la audiencia, la Sala Plena en sesión privada adoptará la decisión que corresponda, la cual se notificará en estrados, en audiencia de lectura de decisión e interposición de recurso.</w:t>
            </w:r>
          </w:p>
        </w:tc>
        <w:tc>
          <w:tcPr>
            <w:tcW w:w="1480" w:type="dxa"/>
            <w:tcBorders>
              <w:top w:val="nil"/>
              <w:left w:val="nil"/>
              <w:bottom w:val="nil"/>
              <w:right w:val="single" w:sz="4" w:space="0" w:color="000000"/>
            </w:tcBorders>
            <w:shd w:val="clear" w:color="000000" w:fill="FFFFFF"/>
            <w:hideMark/>
          </w:tcPr>
          <w:p w14:paraId="064B39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0CDC9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9C55A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 </w:t>
            </w:r>
          </w:p>
        </w:tc>
        <w:tc>
          <w:tcPr>
            <w:tcW w:w="3798" w:type="dxa"/>
            <w:tcBorders>
              <w:top w:val="nil"/>
              <w:left w:val="nil"/>
              <w:bottom w:val="nil"/>
              <w:right w:val="single" w:sz="4" w:space="0" w:color="000000"/>
            </w:tcBorders>
            <w:shd w:val="clear" w:color="000000" w:fill="FFFFFF"/>
            <w:hideMark/>
          </w:tcPr>
          <w:p w14:paraId="33334D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w:t>
            </w:r>
          </w:p>
        </w:tc>
        <w:tc>
          <w:tcPr>
            <w:tcW w:w="3798" w:type="dxa"/>
            <w:tcBorders>
              <w:top w:val="nil"/>
              <w:left w:val="nil"/>
              <w:bottom w:val="nil"/>
              <w:right w:val="single" w:sz="4" w:space="0" w:color="000000"/>
            </w:tcBorders>
            <w:shd w:val="clear" w:color="000000" w:fill="FFFFFF"/>
            <w:hideMark/>
          </w:tcPr>
          <w:p w14:paraId="52256E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w:t>
            </w:r>
          </w:p>
        </w:tc>
        <w:tc>
          <w:tcPr>
            <w:tcW w:w="1480" w:type="dxa"/>
            <w:tcBorders>
              <w:top w:val="nil"/>
              <w:left w:val="nil"/>
              <w:bottom w:val="nil"/>
              <w:right w:val="single" w:sz="4" w:space="0" w:color="000000"/>
            </w:tcBorders>
            <w:shd w:val="clear" w:color="000000" w:fill="FFFFFF"/>
            <w:hideMark/>
          </w:tcPr>
          <w:p w14:paraId="010DF2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A4AFB2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B77088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oportunidad para solicitar la revocatoria de inscripción prevista en este código, no limita la facultad oficiosa en cabeza del Consejo Nacional Electoral para el cumplimiento de lo consagrado en el numeral 12 del artículo 265 de la Constitución Política. </w:t>
            </w:r>
          </w:p>
        </w:tc>
        <w:tc>
          <w:tcPr>
            <w:tcW w:w="3798" w:type="dxa"/>
            <w:tcBorders>
              <w:top w:val="nil"/>
              <w:left w:val="nil"/>
              <w:bottom w:val="nil"/>
              <w:right w:val="single" w:sz="4" w:space="0" w:color="000000"/>
            </w:tcBorders>
            <w:shd w:val="clear" w:color="000000" w:fill="FFFFFF"/>
            <w:hideMark/>
          </w:tcPr>
          <w:p w14:paraId="208E5A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oportunidad para solicitar la revocatoria de inscripción prevista en este código, no limita la facultad oficiosa en cabeza del Consejo Nacional Electoral para el cumplimiento de lo consagrado en el numeral 12 del artículo 265 de la Constitución Política.</w:t>
            </w:r>
          </w:p>
        </w:tc>
        <w:tc>
          <w:tcPr>
            <w:tcW w:w="3798" w:type="dxa"/>
            <w:tcBorders>
              <w:top w:val="nil"/>
              <w:left w:val="nil"/>
              <w:bottom w:val="nil"/>
              <w:right w:val="single" w:sz="4" w:space="0" w:color="000000"/>
            </w:tcBorders>
            <w:shd w:val="clear" w:color="000000" w:fill="FFFFFF"/>
            <w:hideMark/>
          </w:tcPr>
          <w:p w14:paraId="102EE4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oportunidad para solicitar la revocatoria de inscripción prevista en este código, no limita la facultad oficiosa en cabeza del Consejo Nacional Electoral para el cumplimiento de lo consagrado en el numeral 12 del artículo 265 de la Constitución Política.</w:t>
            </w:r>
          </w:p>
        </w:tc>
        <w:tc>
          <w:tcPr>
            <w:tcW w:w="1480" w:type="dxa"/>
            <w:tcBorders>
              <w:top w:val="nil"/>
              <w:left w:val="nil"/>
              <w:bottom w:val="nil"/>
              <w:right w:val="single" w:sz="4" w:space="0" w:color="000000"/>
            </w:tcBorders>
            <w:shd w:val="clear" w:color="000000" w:fill="FFFFFF"/>
            <w:hideMark/>
          </w:tcPr>
          <w:p w14:paraId="71FA4C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384CB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991D5E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 </w:t>
            </w:r>
          </w:p>
        </w:tc>
        <w:tc>
          <w:tcPr>
            <w:tcW w:w="3798" w:type="dxa"/>
            <w:tcBorders>
              <w:top w:val="nil"/>
              <w:left w:val="nil"/>
              <w:bottom w:val="nil"/>
              <w:right w:val="single" w:sz="4" w:space="0" w:color="000000"/>
            </w:tcBorders>
            <w:shd w:val="clear" w:color="000000" w:fill="FFFFFF"/>
            <w:hideMark/>
          </w:tcPr>
          <w:p w14:paraId="0AC86E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w:t>
            </w:r>
          </w:p>
        </w:tc>
        <w:tc>
          <w:tcPr>
            <w:tcW w:w="3798" w:type="dxa"/>
            <w:tcBorders>
              <w:top w:val="nil"/>
              <w:left w:val="nil"/>
              <w:bottom w:val="nil"/>
              <w:right w:val="single" w:sz="4" w:space="0" w:color="000000"/>
            </w:tcBorders>
            <w:shd w:val="clear" w:color="000000" w:fill="FFFFFF"/>
            <w:hideMark/>
          </w:tcPr>
          <w:p w14:paraId="464579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w:t>
            </w:r>
          </w:p>
        </w:tc>
        <w:tc>
          <w:tcPr>
            <w:tcW w:w="1480" w:type="dxa"/>
            <w:tcBorders>
              <w:top w:val="nil"/>
              <w:left w:val="nil"/>
              <w:bottom w:val="nil"/>
              <w:right w:val="single" w:sz="4" w:space="0" w:color="000000"/>
            </w:tcBorders>
            <w:shd w:val="clear" w:color="000000" w:fill="FFFFFF"/>
            <w:hideMark/>
          </w:tcPr>
          <w:p w14:paraId="7257D2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1703A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0E40DC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procedimiento previsto en este artículo deberá garantizar que las decisiones sean adoptadas y queden en firme treinta (30) días calendario antes de la fecha de la elección. </w:t>
            </w:r>
          </w:p>
        </w:tc>
        <w:tc>
          <w:tcPr>
            <w:tcW w:w="3798" w:type="dxa"/>
            <w:tcBorders>
              <w:top w:val="nil"/>
              <w:left w:val="nil"/>
              <w:bottom w:val="single" w:sz="4" w:space="0" w:color="000000"/>
              <w:right w:val="single" w:sz="4" w:space="0" w:color="000000"/>
            </w:tcBorders>
            <w:shd w:val="clear" w:color="000000" w:fill="FFFFFF"/>
            <w:hideMark/>
          </w:tcPr>
          <w:p w14:paraId="07F16A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procedimiento previsto en este artículo deberá garantizar que las decisiones sean adoptadas y queden en firme treinta (30) días calendario antes de la fecha de la elección.</w:t>
            </w:r>
          </w:p>
        </w:tc>
        <w:tc>
          <w:tcPr>
            <w:tcW w:w="3798" w:type="dxa"/>
            <w:tcBorders>
              <w:top w:val="nil"/>
              <w:left w:val="nil"/>
              <w:bottom w:val="single" w:sz="4" w:space="0" w:color="000000"/>
              <w:right w:val="single" w:sz="4" w:space="0" w:color="000000"/>
            </w:tcBorders>
            <w:shd w:val="clear" w:color="000000" w:fill="FFFFFF"/>
            <w:hideMark/>
          </w:tcPr>
          <w:p w14:paraId="538DB1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procedimiento previsto en este artículo deberá garantizar que las decisiones sean adoptadas y queden en firme treinta (30) días calendario antes de la fecha de la elección.</w:t>
            </w:r>
          </w:p>
        </w:tc>
        <w:tc>
          <w:tcPr>
            <w:tcW w:w="1480" w:type="dxa"/>
            <w:tcBorders>
              <w:top w:val="nil"/>
              <w:left w:val="nil"/>
              <w:bottom w:val="single" w:sz="4" w:space="0" w:color="000000"/>
              <w:right w:val="single" w:sz="4" w:space="0" w:color="000000"/>
            </w:tcBorders>
            <w:shd w:val="clear" w:color="000000" w:fill="FFFFFF"/>
            <w:hideMark/>
          </w:tcPr>
          <w:p w14:paraId="7DEC6C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FC3BC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7F448B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IV</w:t>
            </w:r>
          </w:p>
        </w:tc>
        <w:tc>
          <w:tcPr>
            <w:tcW w:w="3798" w:type="dxa"/>
            <w:tcBorders>
              <w:top w:val="nil"/>
              <w:left w:val="nil"/>
              <w:bottom w:val="nil"/>
              <w:right w:val="single" w:sz="4" w:space="0" w:color="000000"/>
            </w:tcBorders>
            <w:shd w:val="clear" w:color="000000" w:fill="FFFFFF"/>
            <w:hideMark/>
          </w:tcPr>
          <w:p w14:paraId="7196FBC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IV</w:t>
            </w:r>
          </w:p>
        </w:tc>
        <w:tc>
          <w:tcPr>
            <w:tcW w:w="3798" w:type="dxa"/>
            <w:tcBorders>
              <w:top w:val="nil"/>
              <w:left w:val="nil"/>
              <w:bottom w:val="nil"/>
              <w:right w:val="single" w:sz="4" w:space="0" w:color="000000"/>
            </w:tcBorders>
            <w:shd w:val="clear" w:color="000000" w:fill="FFFFFF"/>
            <w:hideMark/>
          </w:tcPr>
          <w:p w14:paraId="48461D5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IV</w:t>
            </w:r>
          </w:p>
        </w:tc>
        <w:tc>
          <w:tcPr>
            <w:tcW w:w="1480" w:type="dxa"/>
            <w:tcBorders>
              <w:top w:val="nil"/>
              <w:left w:val="nil"/>
              <w:bottom w:val="nil"/>
              <w:right w:val="single" w:sz="4" w:space="0" w:color="000000"/>
            </w:tcBorders>
            <w:shd w:val="clear" w:color="000000" w:fill="FFFFFF"/>
            <w:hideMark/>
          </w:tcPr>
          <w:p w14:paraId="44E186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808560"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598E706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DEL RÉGIMEN DE PROPAGANDA ELECTORAL, ENCUESTAS Y SONDEOS DE CARÁCTER ELECTORAL</w:t>
            </w:r>
          </w:p>
        </w:tc>
        <w:tc>
          <w:tcPr>
            <w:tcW w:w="3798" w:type="dxa"/>
            <w:tcBorders>
              <w:top w:val="nil"/>
              <w:left w:val="nil"/>
              <w:bottom w:val="single" w:sz="4" w:space="0" w:color="000000"/>
              <w:right w:val="single" w:sz="4" w:space="0" w:color="000000"/>
            </w:tcBorders>
            <w:shd w:val="clear" w:color="000000" w:fill="FFFFFF"/>
            <w:hideMark/>
          </w:tcPr>
          <w:p w14:paraId="487AE5D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RÉGIMEN DE PROPAGANDA ELECTORAL, ENCUESTAS Y SONDEOS DE CARÁCTER ELECTORAL</w:t>
            </w:r>
          </w:p>
        </w:tc>
        <w:tc>
          <w:tcPr>
            <w:tcW w:w="3798" w:type="dxa"/>
            <w:tcBorders>
              <w:top w:val="nil"/>
              <w:left w:val="nil"/>
              <w:bottom w:val="single" w:sz="4" w:space="0" w:color="000000"/>
              <w:right w:val="single" w:sz="4" w:space="0" w:color="000000"/>
            </w:tcBorders>
            <w:shd w:val="clear" w:color="000000" w:fill="FFFFFF"/>
            <w:hideMark/>
          </w:tcPr>
          <w:p w14:paraId="2DD0AC2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RÉGIMEN DE PROPAGANDA ELECTORAL, ENCUESTAS Y SONDEOS DE CARÁCTER ELECTORAL</w:t>
            </w:r>
          </w:p>
        </w:tc>
        <w:tc>
          <w:tcPr>
            <w:tcW w:w="1480" w:type="dxa"/>
            <w:tcBorders>
              <w:top w:val="nil"/>
              <w:left w:val="nil"/>
              <w:bottom w:val="single" w:sz="4" w:space="0" w:color="000000"/>
              <w:right w:val="single" w:sz="4" w:space="0" w:color="000000"/>
            </w:tcBorders>
            <w:shd w:val="clear" w:color="000000" w:fill="FFFFFF"/>
            <w:hideMark/>
          </w:tcPr>
          <w:p w14:paraId="3968DA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A6B94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B897704"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33A77E5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3BA697B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01160A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FF1A02"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81F5AC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propaganda electoral</w:t>
            </w:r>
          </w:p>
        </w:tc>
        <w:tc>
          <w:tcPr>
            <w:tcW w:w="3798" w:type="dxa"/>
            <w:tcBorders>
              <w:top w:val="nil"/>
              <w:left w:val="nil"/>
              <w:bottom w:val="single" w:sz="4" w:space="0" w:color="000000"/>
              <w:right w:val="single" w:sz="4" w:space="0" w:color="000000"/>
            </w:tcBorders>
            <w:shd w:val="clear" w:color="000000" w:fill="FFFFFF"/>
            <w:hideMark/>
          </w:tcPr>
          <w:p w14:paraId="55EA2BC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propaganda electoral</w:t>
            </w:r>
          </w:p>
        </w:tc>
        <w:tc>
          <w:tcPr>
            <w:tcW w:w="3798" w:type="dxa"/>
            <w:tcBorders>
              <w:top w:val="nil"/>
              <w:left w:val="nil"/>
              <w:bottom w:val="single" w:sz="4" w:space="0" w:color="000000"/>
              <w:right w:val="single" w:sz="4" w:space="0" w:color="000000"/>
            </w:tcBorders>
            <w:shd w:val="clear" w:color="000000" w:fill="FFFFFF"/>
            <w:hideMark/>
          </w:tcPr>
          <w:p w14:paraId="139E66E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propaganda electoral</w:t>
            </w:r>
          </w:p>
        </w:tc>
        <w:tc>
          <w:tcPr>
            <w:tcW w:w="1480" w:type="dxa"/>
            <w:tcBorders>
              <w:top w:val="nil"/>
              <w:left w:val="nil"/>
              <w:bottom w:val="single" w:sz="4" w:space="0" w:color="000000"/>
              <w:right w:val="single" w:sz="4" w:space="0" w:color="000000"/>
            </w:tcBorders>
            <w:shd w:val="clear" w:color="000000" w:fill="FFFFFF"/>
            <w:hideMark/>
          </w:tcPr>
          <w:p w14:paraId="3EDF99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9D36FA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F957E7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95.- De la propaganda electoral.</w:t>
            </w:r>
            <w:r w:rsidRPr="00222F34">
              <w:rPr>
                <w:rFonts w:ascii="Calibri" w:eastAsia="Times New Roman" w:hAnsi="Calibri" w:cs="Calibri"/>
                <w:color w:val="000000"/>
                <w:lang w:val="es-CO" w:eastAsia="es-CO" w:bidi="ar-SA"/>
              </w:rPr>
              <w:t xml:space="preserve"> Entiéndase por propaganda electoral toda forma de publicidad realizada en cualquier medio de divulgación, o en manifestaciones y actos de carácter proselitista en lugares públicos, con el fin tácito o expreso de obtener el voto de los ciudadanos a favor de partidos o movimientos políticos, listas o candidatos a cargos o corporaciones públicas de elección popular, del voto en blanco, o de una opción en los mecanismos de participación ciudadana.  </w:t>
            </w:r>
          </w:p>
        </w:tc>
        <w:tc>
          <w:tcPr>
            <w:tcW w:w="3798" w:type="dxa"/>
            <w:tcBorders>
              <w:top w:val="nil"/>
              <w:left w:val="nil"/>
              <w:bottom w:val="nil"/>
              <w:right w:val="single" w:sz="4" w:space="0" w:color="000000"/>
            </w:tcBorders>
            <w:shd w:val="clear" w:color="00FF00" w:fill="FFFFFF"/>
            <w:hideMark/>
          </w:tcPr>
          <w:p w14:paraId="152271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99. De la propaganda electoral.</w:t>
            </w:r>
            <w:r w:rsidRPr="00222F34">
              <w:rPr>
                <w:rFonts w:ascii="Calibri" w:eastAsia="Times New Roman" w:hAnsi="Calibri" w:cs="Calibri"/>
                <w:color w:val="000000"/>
                <w:lang w:val="es-CO" w:eastAsia="es-CO" w:bidi="ar-SA"/>
              </w:rPr>
              <w:t xml:space="preserve"> Entiéndase por propaganda electoral toda forma de publicidad realizada en cualquier medio de divulgación o en manifestaciones y actos de carácter proselitistas en espacios públicos con el fin tácito o expreso de obtener el voto de los ciudadanos a favor de partidos o movimientos políticos, listas o candidatos a cargos o corporaciones públicas de elección popular, del voto en blanco, o de una opción en los mecanismos de participación ciudadana.</w:t>
            </w:r>
          </w:p>
        </w:tc>
        <w:tc>
          <w:tcPr>
            <w:tcW w:w="3798" w:type="dxa"/>
            <w:tcBorders>
              <w:top w:val="nil"/>
              <w:left w:val="nil"/>
              <w:bottom w:val="nil"/>
              <w:right w:val="single" w:sz="4" w:space="0" w:color="000000"/>
            </w:tcBorders>
            <w:shd w:val="clear" w:color="00FF00" w:fill="FFFFFF"/>
            <w:hideMark/>
          </w:tcPr>
          <w:p w14:paraId="656371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99. De la propaganda electoral.</w:t>
            </w:r>
            <w:r w:rsidRPr="00222F34">
              <w:rPr>
                <w:rFonts w:ascii="Calibri" w:eastAsia="Times New Roman" w:hAnsi="Calibri" w:cs="Calibri"/>
                <w:color w:val="000000"/>
                <w:lang w:val="es-CO" w:eastAsia="es-CO" w:bidi="ar-SA"/>
              </w:rPr>
              <w:t xml:space="preserve"> Entiéndase por propaganda electoral toda forma de publicidad realizada en cualquier medio de divulgación o en manifestaciones y actos de carácter proselitistas en espacios públicos con el fin tácito o expreso de obtener el voto de los ciudadanos a favor de partidos o movimientos políticos, listas o candidatos a cargos o corporaciones públicas de elección popular, del voto en blanco, o de una opción en los mecanismos de participación ciudadana.</w:t>
            </w:r>
          </w:p>
        </w:tc>
        <w:tc>
          <w:tcPr>
            <w:tcW w:w="1480" w:type="dxa"/>
            <w:tcBorders>
              <w:top w:val="nil"/>
              <w:left w:val="nil"/>
              <w:bottom w:val="nil"/>
              <w:right w:val="single" w:sz="4" w:space="0" w:color="000000"/>
            </w:tcBorders>
            <w:shd w:val="clear" w:color="000000" w:fill="FFFFFF"/>
            <w:hideMark/>
          </w:tcPr>
          <w:p w14:paraId="331077DF" w14:textId="716B7657"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41F0F609"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F6FBB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No se considerará como propaganda electoral el contenido de apoyo difundido, de manera espontánea, sobre candidatos o partidos por parte de personas naturales a través de sus redes sociales. </w:t>
            </w:r>
          </w:p>
        </w:tc>
        <w:tc>
          <w:tcPr>
            <w:tcW w:w="3798" w:type="dxa"/>
            <w:tcBorders>
              <w:top w:val="nil"/>
              <w:left w:val="nil"/>
              <w:bottom w:val="nil"/>
              <w:right w:val="single" w:sz="4" w:space="0" w:color="000000"/>
            </w:tcBorders>
            <w:shd w:val="clear" w:color="00FF00" w:fill="FFFFFF"/>
            <w:hideMark/>
          </w:tcPr>
          <w:p w14:paraId="5C8488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No se considerará como propaganda electoral el contenido de apoyo difundido, de manera espontánea, sobre candidatos o partidos por parte de personas naturales a través de sus redes sociales, excepto que se trate de personas que ejerzan jurisdicción o autoridad política, civil, administrativa o militar. Siempre que ésta no se convierta en una práctica sistemática haciendo </w:t>
            </w:r>
            <w:r w:rsidRPr="00222F34">
              <w:rPr>
                <w:rFonts w:ascii="Calibri" w:eastAsia="Times New Roman" w:hAnsi="Calibri" w:cs="Calibri"/>
                <w:color w:val="000000"/>
                <w:lang w:val="es-CO" w:eastAsia="es-CO" w:bidi="ar-SA"/>
              </w:rPr>
              <w:lastRenderedPageBreak/>
              <w:t>uso de los elementos constitutivos de la campaña del candidato.</w:t>
            </w:r>
          </w:p>
        </w:tc>
        <w:tc>
          <w:tcPr>
            <w:tcW w:w="3798" w:type="dxa"/>
            <w:tcBorders>
              <w:top w:val="nil"/>
              <w:left w:val="nil"/>
              <w:bottom w:val="nil"/>
              <w:right w:val="single" w:sz="4" w:space="0" w:color="000000"/>
            </w:tcBorders>
            <w:shd w:val="clear" w:color="00FF00" w:fill="FFFFFF"/>
            <w:hideMark/>
          </w:tcPr>
          <w:p w14:paraId="637B5F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No se considerará como propaganda electoral el contenido de apoyo difundido, de manera espontánea, sobre candidatos o partidos por parte de personas naturales a través de sus redes sociales, excepto que se trate de personas que ejerzan jurisdicción o autoridad política, civil, administrativa o militar. Siempre que ésta no se convierta en una práctica sistemática haciendo </w:t>
            </w:r>
            <w:r w:rsidRPr="00222F34">
              <w:rPr>
                <w:rFonts w:ascii="Calibri" w:eastAsia="Times New Roman" w:hAnsi="Calibri" w:cs="Calibri"/>
                <w:color w:val="000000"/>
                <w:lang w:val="es-CO" w:eastAsia="es-CO" w:bidi="ar-SA"/>
              </w:rPr>
              <w:lastRenderedPageBreak/>
              <w:t>uso de los elementos constitutivos de la campaña del candidato.</w:t>
            </w:r>
          </w:p>
        </w:tc>
        <w:tc>
          <w:tcPr>
            <w:tcW w:w="1480" w:type="dxa"/>
            <w:tcBorders>
              <w:top w:val="nil"/>
              <w:left w:val="nil"/>
              <w:bottom w:val="nil"/>
              <w:right w:val="single" w:sz="4" w:space="0" w:color="000000"/>
            </w:tcBorders>
            <w:shd w:val="clear" w:color="000000" w:fill="FFFFFF"/>
            <w:hideMark/>
          </w:tcPr>
          <w:p w14:paraId="0EFAAD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2DB8FEC"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41B83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 </w:t>
            </w:r>
          </w:p>
        </w:tc>
        <w:tc>
          <w:tcPr>
            <w:tcW w:w="3798" w:type="dxa"/>
            <w:tcBorders>
              <w:top w:val="nil"/>
              <w:left w:val="nil"/>
              <w:bottom w:val="nil"/>
              <w:right w:val="single" w:sz="4" w:space="0" w:color="000000"/>
            </w:tcBorders>
            <w:shd w:val="clear" w:color="00FF00" w:fill="FFFFFF"/>
            <w:hideMark/>
          </w:tcPr>
          <w:p w14:paraId="3E8408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 propaganda electoral sólo podrán utilizarse los símbolos, emblemas o logotipos  o éstos acompañados de elementos del marketing publicitario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w:t>
            </w:r>
          </w:p>
        </w:tc>
        <w:tc>
          <w:tcPr>
            <w:tcW w:w="3798" w:type="dxa"/>
            <w:tcBorders>
              <w:top w:val="nil"/>
              <w:left w:val="nil"/>
              <w:bottom w:val="nil"/>
              <w:right w:val="single" w:sz="4" w:space="0" w:color="000000"/>
            </w:tcBorders>
            <w:shd w:val="clear" w:color="00FF00" w:fill="FFFFFF"/>
            <w:hideMark/>
          </w:tcPr>
          <w:p w14:paraId="6A5638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 propaganda electoral sólo podrán utilizarse los símbolos, emblemas o logotipos  o éstos acompañados de elementos del marketing publicitario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w:t>
            </w:r>
          </w:p>
        </w:tc>
        <w:tc>
          <w:tcPr>
            <w:tcW w:w="1480" w:type="dxa"/>
            <w:tcBorders>
              <w:top w:val="nil"/>
              <w:left w:val="nil"/>
              <w:bottom w:val="nil"/>
              <w:right w:val="single" w:sz="4" w:space="0" w:color="000000"/>
            </w:tcBorders>
            <w:shd w:val="clear" w:color="000000" w:fill="FFFFFF"/>
            <w:hideMark/>
          </w:tcPr>
          <w:p w14:paraId="08B6AB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3E3EE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C2D3F5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candidatos, partidos, movimientos políticos y grupos significativos de ciudadanos deberán reportar ante el Consejo Nacional Electoral todos los recursos destinados a las campañas electorales de conformidad con la Ley 1475 de 2011 o norma que la modifique, sustituya o adicione. Entre estos se incluirá la </w:t>
            </w:r>
            <w:r w:rsidRPr="00222F34">
              <w:rPr>
                <w:rFonts w:ascii="Calibri" w:eastAsia="Times New Roman" w:hAnsi="Calibri" w:cs="Calibri"/>
                <w:color w:val="000000"/>
                <w:lang w:val="es-CO" w:eastAsia="es-CO" w:bidi="ar-SA"/>
              </w:rPr>
              <w:lastRenderedPageBreak/>
              <w:t xml:space="preserve">propaganda contratada para difusión en las redes sociales y plataformas digitales. </w:t>
            </w:r>
          </w:p>
        </w:tc>
        <w:tc>
          <w:tcPr>
            <w:tcW w:w="3798" w:type="dxa"/>
            <w:tcBorders>
              <w:top w:val="nil"/>
              <w:left w:val="nil"/>
              <w:bottom w:val="nil"/>
              <w:right w:val="single" w:sz="4" w:space="0" w:color="000000"/>
            </w:tcBorders>
            <w:shd w:val="clear" w:color="00FF00" w:fill="FFFFFF"/>
            <w:hideMark/>
          </w:tcPr>
          <w:p w14:paraId="0EE357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Los candidatos, partidos, movimientos políticos y grupos significativos de ciudadanos deberán reportar ante el Consejo Nacional Electoral todos los recursos o donaciones en especie destinados a las campañas electorales de conformidad con la Ley 1475 de 2011 o norma que la modifique, sustituya o adicione. Entre </w:t>
            </w:r>
            <w:r w:rsidRPr="00222F34">
              <w:rPr>
                <w:rFonts w:ascii="Calibri" w:eastAsia="Times New Roman" w:hAnsi="Calibri" w:cs="Calibri"/>
                <w:color w:val="000000"/>
                <w:lang w:val="es-CO" w:eastAsia="es-CO" w:bidi="ar-SA"/>
              </w:rPr>
              <w:lastRenderedPageBreak/>
              <w:t>estos se incluirá la propaganda contratada para difusión en las redes sociales y plataformas digitales.</w:t>
            </w:r>
          </w:p>
        </w:tc>
        <w:tc>
          <w:tcPr>
            <w:tcW w:w="3798" w:type="dxa"/>
            <w:tcBorders>
              <w:top w:val="nil"/>
              <w:left w:val="nil"/>
              <w:bottom w:val="nil"/>
              <w:right w:val="single" w:sz="4" w:space="0" w:color="000000"/>
            </w:tcBorders>
            <w:shd w:val="clear" w:color="00FF00" w:fill="FFFFFF"/>
            <w:hideMark/>
          </w:tcPr>
          <w:p w14:paraId="429715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Los candidatos, partidos, movimientos políticos y grupos significativos de ciudadanos deberán reportar ante el Consejo Nacional Electoral todos los recursos o donaciones en especie destinados a las campañas electorales de conformidad con la Ley 1475 de 2011 o norma que la modifique, sustituya o adicione. Entre </w:t>
            </w:r>
            <w:r w:rsidRPr="00222F34">
              <w:rPr>
                <w:rFonts w:ascii="Calibri" w:eastAsia="Times New Roman" w:hAnsi="Calibri" w:cs="Calibri"/>
                <w:color w:val="000000"/>
                <w:lang w:val="es-CO" w:eastAsia="es-CO" w:bidi="ar-SA"/>
              </w:rPr>
              <w:lastRenderedPageBreak/>
              <w:t>estos se incluirá la propaganda contratada para difusión en las redes sociales y plataformas digitales.</w:t>
            </w:r>
          </w:p>
        </w:tc>
        <w:tc>
          <w:tcPr>
            <w:tcW w:w="1480" w:type="dxa"/>
            <w:tcBorders>
              <w:top w:val="nil"/>
              <w:left w:val="nil"/>
              <w:bottom w:val="nil"/>
              <w:right w:val="single" w:sz="4" w:space="0" w:color="000000"/>
            </w:tcBorders>
            <w:shd w:val="clear" w:color="000000" w:fill="FFFFFF"/>
            <w:hideMark/>
          </w:tcPr>
          <w:p w14:paraId="390DB0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BD8A625"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3800B82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 </w:t>
            </w:r>
          </w:p>
        </w:tc>
        <w:tc>
          <w:tcPr>
            <w:tcW w:w="3798" w:type="dxa"/>
            <w:tcBorders>
              <w:top w:val="nil"/>
              <w:left w:val="nil"/>
              <w:bottom w:val="nil"/>
              <w:right w:val="single" w:sz="4" w:space="0" w:color="000000"/>
            </w:tcBorders>
            <w:shd w:val="clear" w:color="00FF00" w:fill="FFFFFF"/>
            <w:hideMark/>
          </w:tcPr>
          <w:p w14:paraId="0EA68B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medios masivos de comunicaciones también estarán obligados a reportar la publicidad política pagada ante el Consejo Nacional Electoral, de quienes hayan contratado los servicios y el beneficiario de éstos.</w:t>
            </w:r>
          </w:p>
        </w:tc>
        <w:tc>
          <w:tcPr>
            <w:tcW w:w="3798" w:type="dxa"/>
            <w:tcBorders>
              <w:top w:val="nil"/>
              <w:left w:val="nil"/>
              <w:bottom w:val="nil"/>
              <w:right w:val="single" w:sz="4" w:space="0" w:color="000000"/>
            </w:tcBorders>
            <w:shd w:val="clear" w:color="00FF00" w:fill="FFFFFF"/>
            <w:hideMark/>
          </w:tcPr>
          <w:p w14:paraId="263E24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medios masivos de comunicaciones también estarán obligados a reportar la publicidad política pagada ante el Consejo Nacional Electoral, de quienes hayan contratado los servicios y el beneficiario de éstos.</w:t>
            </w:r>
          </w:p>
        </w:tc>
        <w:tc>
          <w:tcPr>
            <w:tcW w:w="1480" w:type="dxa"/>
            <w:tcBorders>
              <w:top w:val="nil"/>
              <w:left w:val="nil"/>
              <w:bottom w:val="nil"/>
              <w:right w:val="single" w:sz="4" w:space="0" w:color="000000"/>
            </w:tcBorders>
            <w:shd w:val="clear" w:color="000000" w:fill="FFFFFF"/>
            <w:hideMark/>
          </w:tcPr>
          <w:p w14:paraId="38FE38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FC9AB39"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116A98D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Consejo Nacional Electoral, a través de los Tribunales de Vigilancia y Garantías Electorales, se encargará de ejercer inspección, control y vigilancia en tiempo real sobre el cumplimiento de las reglas de publicidad y propaganda electoral previstas en este Código. </w:t>
            </w:r>
          </w:p>
        </w:tc>
        <w:tc>
          <w:tcPr>
            <w:tcW w:w="3798" w:type="dxa"/>
            <w:tcBorders>
              <w:top w:val="nil"/>
              <w:left w:val="nil"/>
              <w:bottom w:val="single" w:sz="4" w:space="0" w:color="000000"/>
              <w:right w:val="single" w:sz="4" w:space="0" w:color="000000"/>
            </w:tcBorders>
            <w:shd w:val="clear" w:color="00FF00" w:fill="FFFFFF"/>
            <w:hideMark/>
          </w:tcPr>
          <w:p w14:paraId="4175F0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a través de los Tribunales de Vigilancia y Garantías Electorales, se encargará de ejercer inspección, control y vigilancia en tiempo real sobre el cumplimiento de las reglas de publicidad y propaganda electoral previstas en este Código, así como ordenarán el desmonte y las investigaciones pertinentes cuando las campañas electorales difundan o permitan la difusión de propaganda electoral o contenidos publicitarios, especialmente, a través de redes sociales que intenten, falsamente, manipular a los electores o provocar efectos sobre su comportamiento electoral.</w:t>
            </w:r>
          </w:p>
        </w:tc>
        <w:tc>
          <w:tcPr>
            <w:tcW w:w="3798" w:type="dxa"/>
            <w:tcBorders>
              <w:top w:val="nil"/>
              <w:left w:val="nil"/>
              <w:bottom w:val="single" w:sz="4" w:space="0" w:color="000000"/>
              <w:right w:val="single" w:sz="4" w:space="0" w:color="000000"/>
            </w:tcBorders>
            <w:shd w:val="clear" w:color="00FF00" w:fill="FFFFFF"/>
            <w:hideMark/>
          </w:tcPr>
          <w:p w14:paraId="649775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a través de los Tribunales de Vigilancia y Garantías Electorales, se encargará de ejercer inspección, control y vigilancia en tiempo real sobre el cumplimiento de las reglas de publicidad y propaganda electoral previstas en este Código, así como ordenarán el desmonte y las investigaciones pertinentes cuando las campañas electorales difundan o permitan la difusión de propaganda electoral o contenidos publicitarios, especialmente, a través de redes sociales que intenten, falsamente, manipular a los electores o provocar efectos sobre su comportamiento electoral.</w:t>
            </w:r>
          </w:p>
        </w:tc>
        <w:tc>
          <w:tcPr>
            <w:tcW w:w="1480" w:type="dxa"/>
            <w:tcBorders>
              <w:top w:val="nil"/>
              <w:left w:val="nil"/>
              <w:bottom w:val="nil"/>
              <w:right w:val="single" w:sz="4" w:space="0" w:color="000000"/>
            </w:tcBorders>
            <w:shd w:val="clear" w:color="000000" w:fill="FFFFFF"/>
            <w:hideMark/>
          </w:tcPr>
          <w:p w14:paraId="217064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CF9FB37" w14:textId="77777777" w:rsidTr="00222F34">
        <w:trPr>
          <w:trHeight w:val="1500"/>
        </w:trPr>
        <w:tc>
          <w:tcPr>
            <w:tcW w:w="3798" w:type="dxa"/>
            <w:tcBorders>
              <w:top w:val="single" w:sz="4" w:space="0" w:color="000000"/>
              <w:left w:val="single" w:sz="4" w:space="0" w:color="000000"/>
              <w:bottom w:val="nil"/>
              <w:right w:val="single" w:sz="4" w:space="0" w:color="000000"/>
            </w:tcBorders>
            <w:shd w:val="clear" w:color="000000" w:fill="FFFFFF"/>
            <w:hideMark/>
          </w:tcPr>
          <w:p w14:paraId="26BA8CB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96.- Periodo de la propaganda electoral.</w:t>
            </w:r>
            <w:r w:rsidRPr="00222F34">
              <w:rPr>
                <w:rFonts w:ascii="Calibri" w:eastAsia="Times New Roman" w:hAnsi="Calibri" w:cs="Calibri"/>
                <w:color w:val="000000"/>
                <w:lang w:val="es-CO" w:eastAsia="es-CO" w:bidi="ar-SA"/>
              </w:rPr>
              <w:t xml:space="preserve"> Las actividades de propaganda electoral, a través de cualquier medio de divulgación, únicamente podrán realizarse dentro de los tres (3) meses anteriores a la fecha de la respectiva votación. Este período incluye la promoción en lugares públicos por parte de los partidos, movimientos políticos con personería jurídica y los grupos significativos de ciudadanos.</w:t>
            </w:r>
          </w:p>
        </w:tc>
        <w:tc>
          <w:tcPr>
            <w:tcW w:w="3798" w:type="dxa"/>
            <w:tcBorders>
              <w:top w:val="nil"/>
              <w:left w:val="nil"/>
              <w:bottom w:val="nil"/>
              <w:right w:val="single" w:sz="4" w:space="0" w:color="000000"/>
            </w:tcBorders>
            <w:shd w:val="clear" w:color="000000" w:fill="FFFFFF"/>
            <w:hideMark/>
          </w:tcPr>
          <w:p w14:paraId="5DB413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100. Período de la propaganda electoral.</w:t>
            </w:r>
            <w:r w:rsidRPr="00222F34">
              <w:rPr>
                <w:rFonts w:ascii="Calibri" w:eastAsia="Times New Roman" w:hAnsi="Calibri" w:cs="Calibri"/>
                <w:color w:val="000000"/>
                <w:lang w:val="es-CO" w:eastAsia="es-CO" w:bidi="ar-SA"/>
              </w:rPr>
              <w:t xml:space="preserve"> Las actividades de propaganda electoral, a través de cualquier medio de divulgación, únicamente podrán realizarse dentro de los tres (3) meses anteriores a la fecha de la respectiva votación. Este período incluye la promoción en lugares públicos por parte de los partidos, movimientos políticos con personería jurídica y los grupos significativos de ciudadanos.</w:t>
            </w:r>
          </w:p>
        </w:tc>
        <w:tc>
          <w:tcPr>
            <w:tcW w:w="3798" w:type="dxa"/>
            <w:tcBorders>
              <w:top w:val="nil"/>
              <w:left w:val="nil"/>
              <w:bottom w:val="nil"/>
              <w:right w:val="single" w:sz="4" w:space="0" w:color="000000"/>
            </w:tcBorders>
            <w:shd w:val="clear" w:color="000000" w:fill="FFFFFF"/>
            <w:hideMark/>
          </w:tcPr>
          <w:p w14:paraId="606988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100. Período de la propaganda electoral.</w:t>
            </w:r>
            <w:r w:rsidRPr="00222F34">
              <w:rPr>
                <w:rFonts w:ascii="Calibri" w:eastAsia="Times New Roman" w:hAnsi="Calibri" w:cs="Calibri"/>
                <w:color w:val="000000"/>
                <w:lang w:val="es-CO" w:eastAsia="es-CO" w:bidi="ar-SA"/>
              </w:rPr>
              <w:t xml:space="preserve"> Las actividades de propaganda electoral, a través de cualquier medio de divulgación, únicamente podrán realizarse dentro de los tres (3) meses anteriores a la fecha de la respectiva votación. Este período incluye la promoción en lugares públicos por parte de los partidos, movimientos políticos con personería jurídica y los grupos significativos de ciudadanos.</w:t>
            </w:r>
          </w:p>
        </w:tc>
        <w:tc>
          <w:tcPr>
            <w:tcW w:w="1480" w:type="dxa"/>
            <w:tcBorders>
              <w:top w:val="single" w:sz="4" w:space="0" w:color="000000"/>
              <w:left w:val="nil"/>
              <w:bottom w:val="nil"/>
              <w:right w:val="single" w:sz="4" w:space="0" w:color="000000"/>
            </w:tcBorders>
            <w:shd w:val="clear" w:color="000000" w:fill="FFFFFF"/>
            <w:hideMark/>
          </w:tcPr>
          <w:p w14:paraId="4B9FCFF6" w14:textId="091D3D00" w:rsidR="00CD4925" w:rsidRPr="00222F34" w:rsidRDefault="00CD4925" w:rsidP="009B0BDA">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 xml:space="preserve">Se acoge texto de </w:t>
            </w:r>
            <w:r w:rsidR="009B0BDA">
              <w:rPr>
                <w:rFonts w:ascii="Calibri" w:eastAsia="Times New Roman" w:hAnsi="Calibri" w:cs="Calibri"/>
                <w:color w:val="000000"/>
                <w:lang w:val="es-CO" w:eastAsia="es-CO" w:bidi="ar-SA"/>
              </w:rPr>
              <w:t>Cámara</w:t>
            </w:r>
            <w:r>
              <w:rPr>
                <w:rFonts w:ascii="Calibri" w:eastAsia="Times New Roman" w:hAnsi="Calibri" w:cs="Calibri"/>
                <w:color w:val="000000"/>
                <w:lang w:val="es-CO" w:eastAsia="es-CO" w:bidi="ar-SA"/>
              </w:rPr>
              <w:t>.</w:t>
            </w:r>
          </w:p>
        </w:tc>
      </w:tr>
      <w:tr w:rsidR="00CD4925" w:rsidRPr="00222F34" w14:paraId="006C07D6" w14:textId="77777777" w:rsidTr="00222F34">
        <w:trPr>
          <w:trHeight w:val="2100"/>
        </w:trPr>
        <w:tc>
          <w:tcPr>
            <w:tcW w:w="3798" w:type="dxa"/>
            <w:tcBorders>
              <w:top w:val="nil"/>
              <w:left w:val="single" w:sz="4" w:space="0" w:color="000000"/>
              <w:bottom w:val="single" w:sz="4" w:space="0" w:color="000000"/>
              <w:right w:val="single" w:sz="4" w:space="0" w:color="000000"/>
            </w:tcBorders>
            <w:shd w:val="clear" w:color="000000" w:fill="FFFFFF"/>
            <w:hideMark/>
          </w:tcPr>
          <w:p w14:paraId="2D27479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56F176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Queda prohibida cualquier tipo de propaganda electoral que se realice antes del periodo aquí establecido, incluyendo la propaganda electoral de expectativa y las reuniones de asistencia masiva en la que se promueva o posicione de manera anticipada el nombre de un eventual y futuro candidato dentro de unas elecciones. El Consejo Nacional Electoral adelantará las investigaciones contra quienes incumplan esta prohibición e impondrá como sanción la no inscripción del candidato, sin perjuicio de las sanciones pecuniarias a que haya lugar.</w:t>
            </w:r>
          </w:p>
        </w:tc>
        <w:tc>
          <w:tcPr>
            <w:tcW w:w="3798" w:type="dxa"/>
            <w:tcBorders>
              <w:top w:val="nil"/>
              <w:left w:val="nil"/>
              <w:bottom w:val="single" w:sz="4" w:space="0" w:color="000000"/>
              <w:right w:val="single" w:sz="4" w:space="0" w:color="000000"/>
            </w:tcBorders>
            <w:shd w:val="clear" w:color="000000" w:fill="FFFFFF"/>
            <w:hideMark/>
          </w:tcPr>
          <w:p w14:paraId="086254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Queda prohibida cualquier tipo de propaganda electoral que se realice antes del periodo aquí establecido, incluyendo la propaganda electoral de expectativa y las reuniones de asistencia masiva en la que se promueva o posicione de manera anticipada el nombre de un eventual y futuro candidato dentro de unas elecciones. El Consejo Nacional Electoral adelantará las investigaciones contra quienes incumplan esta prohibición e impondrá como sanción la no inscripción del candidato, sin perjuicio de las sanciones pecuniarias a que haya lugar.</w:t>
            </w:r>
          </w:p>
        </w:tc>
        <w:tc>
          <w:tcPr>
            <w:tcW w:w="1480" w:type="dxa"/>
            <w:tcBorders>
              <w:top w:val="nil"/>
              <w:left w:val="nil"/>
              <w:bottom w:val="single" w:sz="4" w:space="0" w:color="000000"/>
              <w:right w:val="single" w:sz="4" w:space="0" w:color="000000"/>
            </w:tcBorders>
            <w:shd w:val="clear" w:color="000000" w:fill="FFFFFF"/>
            <w:hideMark/>
          </w:tcPr>
          <w:p w14:paraId="3F56CF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8CBF1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B755A7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97. Límites de la propaganda electoral por medios electrónicos.</w:t>
            </w:r>
            <w:r w:rsidRPr="00222F34">
              <w:rPr>
                <w:rFonts w:ascii="Calibri" w:eastAsia="Times New Roman" w:hAnsi="Calibri" w:cs="Calibri"/>
                <w:color w:val="000000"/>
                <w:lang w:val="es-CO" w:eastAsia="es-CO" w:bidi="ar-SA"/>
              </w:rPr>
              <w:t xml:space="preserve"> 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tc>
        <w:tc>
          <w:tcPr>
            <w:tcW w:w="3798" w:type="dxa"/>
            <w:tcBorders>
              <w:top w:val="nil"/>
              <w:left w:val="nil"/>
              <w:bottom w:val="nil"/>
              <w:right w:val="single" w:sz="4" w:space="0" w:color="000000"/>
            </w:tcBorders>
            <w:shd w:val="clear" w:color="000000" w:fill="FFFFFF"/>
            <w:hideMark/>
          </w:tcPr>
          <w:p w14:paraId="701D14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101. Límites de la propaganda electoral por medios electrónicos. </w:t>
            </w:r>
            <w:r w:rsidRPr="00222F34">
              <w:rPr>
                <w:rFonts w:ascii="Calibri" w:eastAsia="Times New Roman" w:hAnsi="Calibri" w:cs="Calibri"/>
                <w:color w:val="000000"/>
                <w:lang w:val="es-CO" w:eastAsia="es-CO" w:bidi="ar-SA"/>
              </w:rPr>
              <w:t>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tc>
        <w:tc>
          <w:tcPr>
            <w:tcW w:w="3798" w:type="dxa"/>
            <w:tcBorders>
              <w:top w:val="nil"/>
              <w:left w:val="nil"/>
              <w:bottom w:val="nil"/>
              <w:right w:val="single" w:sz="4" w:space="0" w:color="000000"/>
            </w:tcBorders>
            <w:shd w:val="clear" w:color="000000" w:fill="FFFFFF"/>
            <w:hideMark/>
          </w:tcPr>
          <w:p w14:paraId="26A097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101. Límites de la propaganda electoral por medios electrónicos. </w:t>
            </w:r>
            <w:r w:rsidRPr="00222F34">
              <w:rPr>
                <w:rFonts w:ascii="Calibri" w:eastAsia="Times New Roman" w:hAnsi="Calibri" w:cs="Calibri"/>
                <w:color w:val="000000"/>
                <w:lang w:val="es-CO" w:eastAsia="es-CO" w:bidi="ar-SA"/>
              </w:rPr>
              <w:t>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tc>
        <w:tc>
          <w:tcPr>
            <w:tcW w:w="1480" w:type="dxa"/>
            <w:tcBorders>
              <w:top w:val="nil"/>
              <w:left w:val="nil"/>
              <w:bottom w:val="nil"/>
              <w:right w:val="single" w:sz="4" w:space="0" w:color="000000"/>
            </w:tcBorders>
            <w:shd w:val="clear" w:color="000000" w:fill="FFFFFF"/>
            <w:hideMark/>
          </w:tcPr>
          <w:p w14:paraId="79DA44C2" w14:textId="3DCE097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57C503AA"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438C80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personas naturales o jurídicas que, conforme a lo dispuesto en esta ley, elaboren, contraten y reproduzcan propaganda electoral a través de cualquier medio, incluyendo plataformas digitales, creadores de contenido, redes sociales y telefonía, deberán reportar al Consejo Nacional Electoral los gastos de publicidad y promoción con el objeto de verificar los topes de campaña preestablecidos.   </w:t>
            </w:r>
          </w:p>
        </w:tc>
        <w:tc>
          <w:tcPr>
            <w:tcW w:w="3798" w:type="dxa"/>
            <w:tcBorders>
              <w:top w:val="nil"/>
              <w:left w:val="nil"/>
              <w:bottom w:val="nil"/>
              <w:right w:val="single" w:sz="4" w:space="0" w:color="000000"/>
            </w:tcBorders>
            <w:shd w:val="clear" w:color="000000" w:fill="FFFFFF"/>
            <w:hideMark/>
          </w:tcPr>
          <w:p w14:paraId="001AFA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naturales o jurídicas que, conforme a lo dispuesto en esta ley, elaboren, contraten y reproduzcan propaganda electoral a través de cualquier medio, incluyendo plataformas digitales, creadores de contenido, redes sociales y telefonía, deberán reportar al Consejo Nacional Electoral los gastos de publicidad y promoción con el objeto de verificar los topes de campaña preestablecidos. Los creadores de contenido deberán consignar una etiqueta o insignia en sus publicaciones, que las identifiquen como propaganda electoral pagada.</w:t>
            </w:r>
          </w:p>
        </w:tc>
        <w:tc>
          <w:tcPr>
            <w:tcW w:w="3798" w:type="dxa"/>
            <w:tcBorders>
              <w:top w:val="nil"/>
              <w:left w:val="nil"/>
              <w:bottom w:val="nil"/>
              <w:right w:val="single" w:sz="4" w:space="0" w:color="000000"/>
            </w:tcBorders>
            <w:shd w:val="clear" w:color="000000" w:fill="FFFFFF"/>
            <w:hideMark/>
          </w:tcPr>
          <w:p w14:paraId="26003C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naturales o jurídicas que, conforme a lo dispuesto en esta ley, elaboren, contraten y reproduzcan propaganda electoral a través de cualquier medio, incluyendo plataformas digitales, creadores de contenido, redes sociales y telefonía, deberán reportar al Consejo Nacional Electoral los gastos de publicidad y promoción con el objeto de verificar los topes de campaña preestablecidos. Los creadores de contenido deberán consignar una etiqueta o insignia en sus publicaciones, que las identifiquen como propaganda electoral pagada.</w:t>
            </w:r>
          </w:p>
        </w:tc>
        <w:tc>
          <w:tcPr>
            <w:tcW w:w="1480" w:type="dxa"/>
            <w:tcBorders>
              <w:top w:val="nil"/>
              <w:left w:val="nil"/>
              <w:bottom w:val="nil"/>
              <w:right w:val="single" w:sz="4" w:space="0" w:color="000000"/>
            </w:tcBorders>
            <w:shd w:val="clear" w:color="000000" w:fill="FFFFFF"/>
            <w:hideMark/>
          </w:tcPr>
          <w:p w14:paraId="72162C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1072F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C2A6CB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El Consejo Nacional Electoral establecerá la reglamentación de la propaganda electoral por medios electrónicos, en un plazo no superior a seis (6) meses contados desde la entrada en vigencia de la presente ley. </w:t>
            </w:r>
          </w:p>
        </w:tc>
        <w:tc>
          <w:tcPr>
            <w:tcW w:w="3798" w:type="dxa"/>
            <w:tcBorders>
              <w:top w:val="nil"/>
              <w:left w:val="nil"/>
              <w:bottom w:val="nil"/>
              <w:right w:val="single" w:sz="4" w:space="0" w:color="000000"/>
            </w:tcBorders>
            <w:shd w:val="clear" w:color="000000" w:fill="FFFFFF"/>
            <w:hideMark/>
          </w:tcPr>
          <w:p w14:paraId="4298BD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Consejo Nacional Electoral establecerá la reglamentación de la propaganda electoral por medios electrónicos, en un plazo no superior a seis (6) meses contados desde la entrada en vigencia de la presente ley.</w:t>
            </w:r>
          </w:p>
        </w:tc>
        <w:tc>
          <w:tcPr>
            <w:tcW w:w="3798" w:type="dxa"/>
            <w:tcBorders>
              <w:top w:val="nil"/>
              <w:left w:val="nil"/>
              <w:bottom w:val="nil"/>
              <w:right w:val="single" w:sz="4" w:space="0" w:color="000000"/>
            </w:tcBorders>
            <w:shd w:val="clear" w:color="000000" w:fill="FFFFFF"/>
            <w:hideMark/>
          </w:tcPr>
          <w:p w14:paraId="78AFC8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Consejo Nacional Electoral establecerá la reglamentación de la propaganda electoral por medios electrónicos, en un plazo no superior a seis (6) meses contados desde la entrada en vigencia de la presente ley.</w:t>
            </w:r>
          </w:p>
        </w:tc>
        <w:tc>
          <w:tcPr>
            <w:tcW w:w="1480" w:type="dxa"/>
            <w:tcBorders>
              <w:top w:val="nil"/>
              <w:left w:val="nil"/>
              <w:bottom w:val="nil"/>
              <w:right w:val="single" w:sz="4" w:space="0" w:color="000000"/>
            </w:tcBorders>
            <w:shd w:val="clear" w:color="000000" w:fill="FFFFFF"/>
            <w:hideMark/>
          </w:tcPr>
          <w:p w14:paraId="0ABC9E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71EB3C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F16520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envío de cualquier mensaje de difusión de propaganda electoral por medios electrónicos deberá respetar el derecho de habeas data, y sujetarse a lo dispuesto en la Ley 1581 de 2012.</w:t>
            </w:r>
          </w:p>
        </w:tc>
        <w:tc>
          <w:tcPr>
            <w:tcW w:w="3798" w:type="dxa"/>
            <w:tcBorders>
              <w:top w:val="nil"/>
              <w:left w:val="nil"/>
              <w:bottom w:val="nil"/>
              <w:right w:val="single" w:sz="4" w:space="0" w:color="000000"/>
            </w:tcBorders>
            <w:shd w:val="clear" w:color="000000" w:fill="FFFFFF"/>
            <w:hideMark/>
          </w:tcPr>
          <w:p w14:paraId="4655C5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envío de cualquier mensaje de difusión de propaganda electoral por medios electrónicos deberá respetar el derecho de hábeas data, y sujetarse a lo dispuesto en la Ley 1581 de 2012.</w:t>
            </w:r>
          </w:p>
        </w:tc>
        <w:tc>
          <w:tcPr>
            <w:tcW w:w="3798" w:type="dxa"/>
            <w:tcBorders>
              <w:top w:val="nil"/>
              <w:left w:val="nil"/>
              <w:bottom w:val="nil"/>
              <w:right w:val="single" w:sz="4" w:space="0" w:color="000000"/>
            </w:tcBorders>
            <w:shd w:val="clear" w:color="000000" w:fill="FFFFFF"/>
            <w:hideMark/>
          </w:tcPr>
          <w:p w14:paraId="638718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envío de cualquier mensaje de difusión de propaganda electoral por medios electrónicos deberá respetar el derecho de hábeas data, y sujetarse a lo dispuesto en la Ley 1581 de 2012.</w:t>
            </w:r>
          </w:p>
        </w:tc>
        <w:tc>
          <w:tcPr>
            <w:tcW w:w="1480" w:type="dxa"/>
            <w:tcBorders>
              <w:top w:val="nil"/>
              <w:left w:val="nil"/>
              <w:bottom w:val="nil"/>
              <w:right w:val="single" w:sz="4" w:space="0" w:color="000000"/>
            </w:tcBorders>
            <w:shd w:val="clear" w:color="000000" w:fill="FFFFFF"/>
            <w:hideMark/>
          </w:tcPr>
          <w:p w14:paraId="50C094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FABF7DD"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FE28A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campañas tienen la obligación de ofrecer a los titulares de los datos la posibilidad de ejercer todos los derechos consagrados en el artículo 4 de la Ley 1581 de 2012, incluyendo la solicitud de prueba de la autorización para el tratamiento de los datos personales del titular y la posibilidad de revocar la autorización de uso.</w:t>
            </w:r>
          </w:p>
        </w:tc>
        <w:tc>
          <w:tcPr>
            <w:tcW w:w="3798" w:type="dxa"/>
            <w:tcBorders>
              <w:top w:val="nil"/>
              <w:left w:val="nil"/>
              <w:bottom w:val="single" w:sz="4" w:space="0" w:color="000000"/>
              <w:right w:val="single" w:sz="4" w:space="0" w:color="000000"/>
            </w:tcBorders>
            <w:shd w:val="clear" w:color="000000" w:fill="FFFFFF"/>
            <w:hideMark/>
          </w:tcPr>
          <w:p w14:paraId="70DC51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campañas tienen la obligación de ofrecer a los titulares de los datos la posibilidad de ejercer todos los derechos consagrados en el artículo 4 de la Ley 1581 de 2012, incluyendo la solicitud de prueba de la autorización para el tratamiento de los datos personales del titular y la posibilidad de revocar la autorización de uso.</w:t>
            </w:r>
          </w:p>
        </w:tc>
        <w:tc>
          <w:tcPr>
            <w:tcW w:w="3798" w:type="dxa"/>
            <w:tcBorders>
              <w:top w:val="nil"/>
              <w:left w:val="nil"/>
              <w:bottom w:val="single" w:sz="4" w:space="0" w:color="000000"/>
              <w:right w:val="single" w:sz="4" w:space="0" w:color="000000"/>
            </w:tcBorders>
            <w:shd w:val="clear" w:color="000000" w:fill="FFFFFF"/>
            <w:hideMark/>
          </w:tcPr>
          <w:p w14:paraId="4F310F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campañas tienen la obligación de ofrecer a los titulares de los datos la posibilidad de ejercer todos los derechos consagrados en el artículo 4 de la Ley 1581 de 2012, incluyendo la solicitud de prueba de la autorización para el tratamiento de los datos personales del titular y la posibilidad de revocar la autorización de uso.</w:t>
            </w:r>
          </w:p>
        </w:tc>
        <w:tc>
          <w:tcPr>
            <w:tcW w:w="1480" w:type="dxa"/>
            <w:tcBorders>
              <w:top w:val="nil"/>
              <w:left w:val="nil"/>
              <w:bottom w:val="single" w:sz="4" w:space="0" w:color="000000"/>
              <w:right w:val="single" w:sz="4" w:space="0" w:color="000000"/>
            </w:tcBorders>
            <w:shd w:val="clear" w:color="000000" w:fill="FFFFFF"/>
            <w:hideMark/>
          </w:tcPr>
          <w:p w14:paraId="283AB7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7E6CD1"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350D90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98.- Límites de la propaganda electoral.</w:t>
            </w:r>
            <w:r w:rsidRPr="00222F34">
              <w:rPr>
                <w:rFonts w:ascii="Calibri" w:eastAsia="Times New Roman" w:hAnsi="Calibri" w:cs="Calibri"/>
                <w:color w:val="000000"/>
                <w:lang w:val="es-CO" w:eastAsia="es-CO" w:bidi="ar-SA"/>
              </w:rPr>
              <w:t xml:space="preserve"> 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w:t>
            </w:r>
            <w:r w:rsidRPr="00222F34">
              <w:rPr>
                <w:rFonts w:ascii="Calibri" w:eastAsia="Times New Roman" w:hAnsi="Calibri" w:cs="Calibri"/>
                <w:color w:val="000000"/>
                <w:lang w:val="es-CO" w:eastAsia="es-CO" w:bidi="ar-SA"/>
              </w:rPr>
              <w:lastRenderedPageBreak/>
              <w:t>movimientos y grupos significativos de ciudadanos que hayan inscrito candidatos.</w:t>
            </w:r>
          </w:p>
        </w:tc>
        <w:tc>
          <w:tcPr>
            <w:tcW w:w="3798" w:type="dxa"/>
            <w:tcBorders>
              <w:top w:val="nil"/>
              <w:left w:val="nil"/>
              <w:bottom w:val="nil"/>
              <w:right w:val="single" w:sz="4" w:space="0" w:color="000000"/>
            </w:tcBorders>
            <w:shd w:val="clear" w:color="000000" w:fill="FFFFFF"/>
            <w:hideMark/>
          </w:tcPr>
          <w:p w14:paraId="3FA322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102. Límites de la propaganda electoral.</w:t>
            </w:r>
            <w:r w:rsidRPr="00222F34">
              <w:rPr>
                <w:rFonts w:ascii="Calibri" w:eastAsia="Times New Roman" w:hAnsi="Calibri" w:cs="Calibri"/>
                <w:color w:val="000000"/>
                <w:lang w:val="es-CO" w:eastAsia="es-CO" w:bidi="ar-SA"/>
              </w:rPr>
              <w:t xml:space="preserve"> 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w:t>
            </w:r>
            <w:r w:rsidRPr="00222F34">
              <w:rPr>
                <w:rFonts w:ascii="Calibri" w:eastAsia="Times New Roman" w:hAnsi="Calibri" w:cs="Calibri"/>
                <w:color w:val="000000"/>
                <w:lang w:val="es-CO" w:eastAsia="es-CO" w:bidi="ar-SA"/>
              </w:rPr>
              <w:lastRenderedPageBreak/>
              <w:t>movimientos y grupos significativos de ciudadanos que hayan inscrito candidatos.</w:t>
            </w:r>
          </w:p>
        </w:tc>
        <w:tc>
          <w:tcPr>
            <w:tcW w:w="3798" w:type="dxa"/>
            <w:tcBorders>
              <w:top w:val="nil"/>
              <w:left w:val="nil"/>
              <w:bottom w:val="nil"/>
              <w:right w:val="single" w:sz="4" w:space="0" w:color="000000"/>
            </w:tcBorders>
            <w:shd w:val="clear" w:color="000000" w:fill="FFFFFF"/>
            <w:hideMark/>
          </w:tcPr>
          <w:p w14:paraId="707FFD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102. Límites de la propaganda electoral.</w:t>
            </w:r>
            <w:r w:rsidRPr="00222F34">
              <w:rPr>
                <w:rFonts w:ascii="Calibri" w:eastAsia="Times New Roman" w:hAnsi="Calibri" w:cs="Calibri"/>
                <w:color w:val="000000"/>
                <w:lang w:val="es-CO" w:eastAsia="es-CO" w:bidi="ar-SA"/>
              </w:rPr>
              <w:t xml:space="preserve"> 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w:t>
            </w:r>
            <w:r w:rsidRPr="00222F34">
              <w:rPr>
                <w:rFonts w:ascii="Calibri" w:eastAsia="Times New Roman" w:hAnsi="Calibri" w:cs="Calibri"/>
                <w:color w:val="000000"/>
                <w:lang w:val="es-CO" w:eastAsia="es-CO" w:bidi="ar-SA"/>
              </w:rPr>
              <w:lastRenderedPageBreak/>
              <w:t>movimientos y grupos significativos de ciudadanos que hayan inscrito candidatos.</w:t>
            </w:r>
          </w:p>
        </w:tc>
        <w:tc>
          <w:tcPr>
            <w:tcW w:w="1480" w:type="dxa"/>
            <w:tcBorders>
              <w:top w:val="nil"/>
              <w:left w:val="nil"/>
              <w:bottom w:val="nil"/>
              <w:right w:val="single" w:sz="4" w:space="0" w:color="000000"/>
            </w:tcBorders>
            <w:shd w:val="clear" w:color="000000" w:fill="FFFFFF"/>
            <w:hideMark/>
          </w:tcPr>
          <w:p w14:paraId="792EABB6" w14:textId="1FF6B44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1916F3E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3213F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Esta competencia será ejercida respecto de las elecciones ordinarias, las atípicas, las consultas de agrupaciones políticas y los mecanismos de participación ciudadana. </w:t>
            </w:r>
          </w:p>
        </w:tc>
        <w:tc>
          <w:tcPr>
            <w:tcW w:w="3798" w:type="dxa"/>
            <w:tcBorders>
              <w:top w:val="nil"/>
              <w:left w:val="nil"/>
              <w:bottom w:val="nil"/>
              <w:right w:val="single" w:sz="4" w:space="0" w:color="000000"/>
            </w:tcBorders>
            <w:shd w:val="clear" w:color="000000" w:fill="FFFFFF"/>
            <w:hideMark/>
          </w:tcPr>
          <w:p w14:paraId="4D91E1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competencia será ejercida respecto de las elecciones ordinarias, las atípicas, las consultas de agrupaciones políticas y los mecanismos de participación ciudadana.</w:t>
            </w:r>
          </w:p>
        </w:tc>
        <w:tc>
          <w:tcPr>
            <w:tcW w:w="3798" w:type="dxa"/>
            <w:tcBorders>
              <w:top w:val="nil"/>
              <w:left w:val="nil"/>
              <w:bottom w:val="nil"/>
              <w:right w:val="single" w:sz="4" w:space="0" w:color="000000"/>
            </w:tcBorders>
            <w:shd w:val="clear" w:color="000000" w:fill="FFFFFF"/>
            <w:hideMark/>
          </w:tcPr>
          <w:p w14:paraId="707904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competencia será ejercida respecto de las elecciones ordinarias, las atípicas, las consultas de agrupaciones políticas y los mecanismos de participación ciudadana.</w:t>
            </w:r>
          </w:p>
        </w:tc>
        <w:tc>
          <w:tcPr>
            <w:tcW w:w="1480" w:type="dxa"/>
            <w:tcBorders>
              <w:top w:val="nil"/>
              <w:left w:val="nil"/>
              <w:bottom w:val="nil"/>
              <w:right w:val="single" w:sz="4" w:space="0" w:color="000000"/>
            </w:tcBorders>
            <w:shd w:val="clear" w:color="000000" w:fill="FFFFFF"/>
            <w:hideMark/>
          </w:tcPr>
          <w:p w14:paraId="6DA975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E317E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098DF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  </w:t>
            </w:r>
          </w:p>
        </w:tc>
        <w:tc>
          <w:tcPr>
            <w:tcW w:w="3798" w:type="dxa"/>
            <w:tcBorders>
              <w:top w:val="nil"/>
              <w:left w:val="nil"/>
              <w:bottom w:val="nil"/>
              <w:right w:val="single" w:sz="4" w:space="0" w:color="000000"/>
            </w:tcBorders>
            <w:shd w:val="clear" w:color="000000" w:fill="FFFFFF"/>
            <w:hideMark/>
          </w:tcPr>
          <w:p w14:paraId="23C9F7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w:t>
            </w:r>
          </w:p>
        </w:tc>
        <w:tc>
          <w:tcPr>
            <w:tcW w:w="3798" w:type="dxa"/>
            <w:tcBorders>
              <w:top w:val="nil"/>
              <w:left w:val="nil"/>
              <w:bottom w:val="nil"/>
              <w:right w:val="single" w:sz="4" w:space="0" w:color="000000"/>
            </w:tcBorders>
            <w:shd w:val="clear" w:color="000000" w:fill="FFFFFF"/>
            <w:hideMark/>
          </w:tcPr>
          <w:p w14:paraId="162787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w:t>
            </w:r>
          </w:p>
        </w:tc>
        <w:tc>
          <w:tcPr>
            <w:tcW w:w="1480" w:type="dxa"/>
            <w:tcBorders>
              <w:top w:val="nil"/>
              <w:left w:val="nil"/>
              <w:bottom w:val="nil"/>
              <w:right w:val="single" w:sz="4" w:space="0" w:color="000000"/>
            </w:tcBorders>
            <w:shd w:val="clear" w:color="000000" w:fill="FFFFFF"/>
            <w:hideMark/>
          </w:tcPr>
          <w:p w14:paraId="058993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607929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819CD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 </w:t>
            </w:r>
          </w:p>
        </w:tc>
        <w:tc>
          <w:tcPr>
            <w:tcW w:w="3798" w:type="dxa"/>
            <w:tcBorders>
              <w:top w:val="nil"/>
              <w:left w:val="nil"/>
              <w:bottom w:val="nil"/>
              <w:right w:val="single" w:sz="4" w:space="0" w:color="000000"/>
            </w:tcBorders>
            <w:shd w:val="clear" w:color="000000" w:fill="FFFFFF"/>
            <w:hideMark/>
          </w:tcPr>
          <w:p w14:paraId="40FA9C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tc>
        <w:tc>
          <w:tcPr>
            <w:tcW w:w="3798" w:type="dxa"/>
            <w:tcBorders>
              <w:top w:val="nil"/>
              <w:left w:val="nil"/>
              <w:bottom w:val="nil"/>
              <w:right w:val="single" w:sz="4" w:space="0" w:color="000000"/>
            </w:tcBorders>
            <w:shd w:val="clear" w:color="000000" w:fill="FFFFFF"/>
            <w:hideMark/>
          </w:tcPr>
          <w:p w14:paraId="695D58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tc>
        <w:tc>
          <w:tcPr>
            <w:tcW w:w="1480" w:type="dxa"/>
            <w:tcBorders>
              <w:top w:val="nil"/>
              <w:left w:val="nil"/>
              <w:bottom w:val="nil"/>
              <w:right w:val="single" w:sz="4" w:space="0" w:color="000000"/>
            </w:tcBorders>
            <w:shd w:val="clear" w:color="000000" w:fill="FFFFFF"/>
            <w:hideMark/>
          </w:tcPr>
          <w:p w14:paraId="3D24C0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357FA8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B8F56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 los decomisos realizados se remitirá copia del informe respectivo al Consejo </w:t>
            </w:r>
            <w:r w:rsidRPr="00222F34">
              <w:rPr>
                <w:rFonts w:ascii="Calibri" w:eastAsia="Times New Roman" w:hAnsi="Calibri" w:cs="Calibri"/>
                <w:color w:val="000000"/>
                <w:lang w:val="es-CO" w:eastAsia="es-CO" w:bidi="ar-SA"/>
              </w:rPr>
              <w:lastRenderedPageBreak/>
              <w:t xml:space="preserve">Nacional Electoral para las investigaciones pertinentes. </w:t>
            </w:r>
          </w:p>
        </w:tc>
        <w:tc>
          <w:tcPr>
            <w:tcW w:w="3798" w:type="dxa"/>
            <w:tcBorders>
              <w:top w:val="nil"/>
              <w:left w:val="nil"/>
              <w:bottom w:val="nil"/>
              <w:right w:val="single" w:sz="4" w:space="0" w:color="000000"/>
            </w:tcBorders>
            <w:shd w:val="clear" w:color="000000" w:fill="FFFFFF"/>
            <w:hideMark/>
          </w:tcPr>
          <w:p w14:paraId="34E682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De los decomisos realizados se remitirá copia del informe respectivo al Consejo </w:t>
            </w:r>
            <w:r w:rsidRPr="00222F34">
              <w:rPr>
                <w:rFonts w:ascii="Calibri" w:eastAsia="Times New Roman" w:hAnsi="Calibri" w:cs="Calibri"/>
                <w:color w:val="000000"/>
                <w:lang w:val="es-CO" w:eastAsia="es-CO" w:bidi="ar-SA"/>
              </w:rPr>
              <w:lastRenderedPageBreak/>
              <w:t>Nacional Electoral para las investigaciones pertinentes.</w:t>
            </w:r>
          </w:p>
        </w:tc>
        <w:tc>
          <w:tcPr>
            <w:tcW w:w="3798" w:type="dxa"/>
            <w:tcBorders>
              <w:top w:val="nil"/>
              <w:left w:val="nil"/>
              <w:bottom w:val="nil"/>
              <w:right w:val="single" w:sz="4" w:space="0" w:color="000000"/>
            </w:tcBorders>
            <w:shd w:val="clear" w:color="000000" w:fill="FFFFFF"/>
            <w:hideMark/>
          </w:tcPr>
          <w:p w14:paraId="0A33DE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De los decomisos realizados se remitirá copia del informe respectivo al Consejo </w:t>
            </w:r>
            <w:r w:rsidRPr="00222F34">
              <w:rPr>
                <w:rFonts w:ascii="Calibri" w:eastAsia="Times New Roman" w:hAnsi="Calibri" w:cs="Calibri"/>
                <w:color w:val="000000"/>
                <w:lang w:val="es-CO" w:eastAsia="es-CO" w:bidi="ar-SA"/>
              </w:rPr>
              <w:lastRenderedPageBreak/>
              <w:t>Nacional Electoral para las investigaciones pertinentes.</w:t>
            </w:r>
          </w:p>
        </w:tc>
        <w:tc>
          <w:tcPr>
            <w:tcW w:w="1480" w:type="dxa"/>
            <w:tcBorders>
              <w:top w:val="nil"/>
              <w:left w:val="nil"/>
              <w:bottom w:val="nil"/>
              <w:right w:val="single" w:sz="4" w:space="0" w:color="000000"/>
            </w:tcBorders>
            <w:shd w:val="clear" w:color="000000" w:fill="FFFFFF"/>
            <w:hideMark/>
          </w:tcPr>
          <w:p w14:paraId="02F104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CE77E5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131F5F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Quedan prohibidos los eventos en espacios públicos ocho (8) días antes del día de las votaciones.  </w:t>
            </w:r>
          </w:p>
        </w:tc>
        <w:tc>
          <w:tcPr>
            <w:tcW w:w="3798" w:type="dxa"/>
            <w:tcBorders>
              <w:top w:val="nil"/>
              <w:left w:val="nil"/>
              <w:bottom w:val="nil"/>
              <w:right w:val="single" w:sz="4" w:space="0" w:color="000000"/>
            </w:tcBorders>
            <w:shd w:val="clear" w:color="000000" w:fill="FFFFFF"/>
            <w:hideMark/>
          </w:tcPr>
          <w:p w14:paraId="44B6D4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Quedan prohibidos los eventos en espacios públicos ocho (8) días antes del día de las votaciones.</w:t>
            </w:r>
          </w:p>
        </w:tc>
        <w:tc>
          <w:tcPr>
            <w:tcW w:w="3798" w:type="dxa"/>
            <w:tcBorders>
              <w:top w:val="nil"/>
              <w:left w:val="nil"/>
              <w:bottom w:val="nil"/>
              <w:right w:val="single" w:sz="4" w:space="0" w:color="000000"/>
            </w:tcBorders>
            <w:shd w:val="clear" w:color="000000" w:fill="FFFFFF"/>
            <w:hideMark/>
          </w:tcPr>
          <w:p w14:paraId="350830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Quedan prohibidos los eventos en espacios públicos ocho (8) días antes del día de las votaciones.</w:t>
            </w:r>
          </w:p>
        </w:tc>
        <w:tc>
          <w:tcPr>
            <w:tcW w:w="1480" w:type="dxa"/>
            <w:tcBorders>
              <w:top w:val="nil"/>
              <w:left w:val="nil"/>
              <w:bottom w:val="nil"/>
              <w:right w:val="single" w:sz="4" w:space="0" w:color="000000"/>
            </w:tcBorders>
            <w:shd w:val="clear" w:color="000000" w:fill="FFFFFF"/>
            <w:hideMark/>
          </w:tcPr>
          <w:p w14:paraId="162678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ACCE5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7E689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 </w:t>
            </w:r>
          </w:p>
        </w:tc>
        <w:tc>
          <w:tcPr>
            <w:tcW w:w="3798" w:type="dxa"/>
            <w:tcBorders>
              <w:top w:val="nil"/>
              <w:left w:val="nil"/>
              <w:bottom w:val="nil"/>
              <w:right w:val="single" w:sz="4" w:space="0" w:color="000000"/>
            </w:tcBorders>
            <w:shd w:val="clear" w:color="000000" w:fill="FFFFFF"/>
            <w:hideMark/>
          </w:tcPr>
          <w:p w14:paraId="223C82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w:t>
            </w:r>
          </w:p>
        </w:tc>
        <w:tc>
          <w:tcPr>
            <w:tcW w:w="3798" w:type="dxa"/>
            <w:tcBorders>
              <w:top w:val="nil"/>
              <w:left w:val="nil"/>
              <w:bottom w:val="nil"/>
              <w:right w:val="single" w:sz="4" w:space="0" w:color="000000"/>
            </w:tcBorders>
            <w:shd w:val="clear" w:color="000000" w:fill="FFFFFF"/>
            <w:hideMark/>
          </w:tcPr>
          <w:p w14:paraId="06775F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w:t>
            </w:r>
          </w:p>
        </w:tc>
        <w:tc>
          <w:tcPr>
            <w:tcW w:w="1480" w:type="dxa"/>
            <w:tcBorders>
              <w:top w:val="nil"/>
              <w:left w:val="nil"/>
              <w:bottom w:val="nil"/>
              <w:right w:val="single" w:sz="4" w:space="0" w:color="000000"/>
            </w:tcBorders>
            <w:shd w:val="clear" w:color="000000" w:fill="FFFFFF"/>
            <w:hideMark/>
          </w:tcPr>
          <w:p w14:paraId="2CA0C4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B617C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673BB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partidos, movimientos políticos y grupos significativos de ciudadanos deberán desmontar la propaganda electoral y publicidad política que se encuentre a 100 metros del puesto de votación, a más tardar ocho (8) días antes del día de las votaciones. </w:t>
            </w:r>
          </w:p>
        </w:tc>
        <w:tc>
          <w:tcPr>
            <w:tcW w:w="3798" w:type="dxa"/>
            <w:tcBorders>
              <w:top w:val="nil"/>
              <w:left w:val="nil"/>
              <w:bottom w:val="nil"/>
              <w:right w:val="single" w:sz="4" w:space="0" w:color="000000"/>
            </w:tcBorders>
            <w:shd w:val="clear" w:color="000000" w:fill="FFFFFF"/>
            <w:hideMark/>
          </w:tcPr>
          <w:p w14:paraId="10E1F2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grupos significativos de ciudadanos deberán desmontar la propaganda electoral y publicidad política que se encuentre a 100 metros del puesto de votación, a más tardar ocho (8) días antes del día de las votaciones.</w:t>
            </w:r>
          </w:p>
        </w:tc>
        <w:tc>
          <w:tcPr>
            <w:tcW w:w="3798" w:type="dxa"/>
            <w:tcBorders>
              <w:top w:val="nil"/>
              <w:left w:val="nil"/>
              <w:bottom w:val="nil"/>
              <w:right w:val="single" w:sz="4" w:space="0" w:color="000000"/>
            </w:tcBorders>
            <w:shd w:val="clear" w:color="000000" w:fill="FFFFFF"/>
            <w:hideMark/>
          </w:tcPr>
          <w:p w14:paraId="472FDA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grupos significativos de ciudadanos deberán desmontar la propaganda electoral y publicidad política que se encuentre a 100 metros del puesto de votación, a más tardar ocho (8) días antes del día de las votaciones.</w:t>
            </w:r>
          </w:p>
        </w:tc>
        <w:tc>
          <w:tcPr>
            <w:tcW w:w="1480" w:type="dxa"/>
            <w:tcBorders>
              <w:top w:val="nil"/>
              <w:left w:val="nil"/>
              <w:bottom w:val="nil"/>
              <w:right w:val="single" w:sz="4" w:space="0" w:color="000000"/>
            </w:tcBorders>
            <w:shd w:val="clear" w:color="000000" w:fill="FFFFFF"/>
            <w:hideMark/>
          </w:tcPr>
          <w:p w14:paraId="11D8EA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6D786C"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69BA95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 las violaciones a este precepto se remitirá copia del informe respectivo al Consejo Nacional Electoral para las investigaciones correspondientes. </w:t>
            </w:r>
          </w:p>
        </w:tc>
        <w:tc>
          <w:tcPr>
            <w:tcW w:w="3798" w:type="dxa"/>
            <w:tcBorders>
              <w:top w:val="nil"/>
              <w:left w:val="nil"/>
              <w:bottom w:val="single" w:sz="4" w:space="0" w:color="000000"/>
              <w:right w:val="single" w:sz="4" w:space="0" w:color="000000"/>
            </w:tcBorders>
            <w:shd w:val="clear" w:color="000000" w:fill="FFFFFF"/>
            <w:hideMark/>
          </w:tcPr>
          <w:p w14:paraId="3618F8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las violaciones a este precepto se remitirá copia del informe respectivo al Consejo Nacional Electoral para las investigaciones correspondientes.</w:t>
            </w:r>
          </w:p>
        </w:tc>
        <w:tc>
          <w:tcPr>
            <w:tcW w:w="3798" w:type="dxa"/>
            <w:tcBorders>
              <w:top w:val="nil"/>
              <w:left w:val="nil"/>
              <w:bottom w:val="single" w:sz="4" w:space="0" w:color="000000"/>
              <w:right w:val="single" w:sz="4" w:space="0" w:color="000000"/>
            </w:tcBorders>
            <w:shd w:val="clear" w:color="000000" w:fill="FFFFFF"/>
            <w:hideMark/>
          </w:tcPr>
          <w:p w14:paraId="76FAA9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las violaciones a este precepto se remitirá copia del informe respectivo al Consejo Nacional Electoral para las investigaciones correspondientes.</w:t>
            </w:r>
          </w:p>
        </w:tc>
        <w:tc>
          <w:tcPr>
            <w:tcW w:w="1480" w:type="dxa"/>
            <w:tcBorders>
              <w:top w:val="nil"/>
              <w:left w:val="nil"/>
              <w:bottom w:val="single" w:sz="4" w:space="0" w:color="000000"/>
              <w:right w:val="single" w:sz="4" w:space="0" w:color="000000"/>
            </w:tcBorders>
            <w:shd w:val="clear" w:color="000000" w:fill="FFFFFF"/>
            <w:hideMark/>
          </w:tcPr>
          <w:p w14:paraId="094BDD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F77039" w14:textId="77777777" w:rsidTr="00222F34">
        <w:trPr>
          <w:trHeight w:val="3600"/>
        </w:trPr>
        <w:tc>
          <w:tcPr>
            <w:tcW w:w="3798" w:type="dxa"/>
            <w:tcBorders>
              <w:top w:val="nil"/>
              <w:left w:val="single" w:sz="4" w:space="0" w:color="000000"/>
              <w:bottom w:val="nil"/>
              <w:right w:val="single" w:sz="4" w:space="0" w:color="000000"/>
            </w:tcBorders>
            <w:shd w:val="clear" w:color="000000" w:fill="FFFFFF"/>
            <w:hideMark/>
          </w:tcPr>
          <w:p w14:paraId="08B1A28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99.- Propaganda en el operador público nacional del servicio de televisión y de radio difusión sonora.</w:t>
            </w:r>
            <w:r w:rsidRPr="00222F34">
              <w:rPr>
                <w:rFonts w:ascii="Calibri" w:eastAsia="Times New Roman" w:hAnsi="Calibri" w:cs="Calibri"/>
                <w:color w:val="000000"/>
                <w:lang w:val="es-CO" w:eastAsia="es-CO" w:bidi="ar-SA"/>
              </w:rPr>
              <w:t xml:space="preserve"> 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Vencidos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 </w:t>
            </w:r>
          </w:p>
        </w:tc>
        <w:tc>
          <w:tcPr>
            <w:tcW w:w="3798" w:type="dxa"/>
            <w:tcBorders>
              <w:top w:val="nil"/>
              <w:left w:val="nil"/>
              <w:bottom w:val="nil"/>
              <w:right w:val="single" w:sz="4" w:space="0" w:color="000000"/>
            </w:tcBorders>
            <w:shd w:val="clear" w:color="000000" w:fill="FFFFFF"/>
            <w:hideMark/>
          </w:tcPr>
          <w:p w14:paraId="21B3C5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103. Propaganda en el operador público nacional del servicio de televisión y de radio difusión sonora. </w:t>
            </w:r>
            <w:r w:rsidRPr="00222F34">
              <w:rPr>
                <w:rFonts w:ascii="Calibri" w:eastAsia="Times New Roman" w:hAnsi="Calibri" w:cs="Calibri"/>
                <w:color w:val="000000"/>
                <w:lang w:val="es-CO" w:eastAsia="es-CO" w:bidi="ar-SA"/>
              </w:rPr>
              <w:t>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Vencidos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w:t>
            </w:r>
          </w:p>
        </w:tc>
        <w:tc>
          <w:tcPr>
            <w:tcW w:w="3798" w:type="dxa"/>
            <w:tcBorders>
              <w:top w:val="nil"/>
              <w:left w:val="nil"/>
              <w:bottom w:val="nil"/>
              <w:right w:val="single" w:sz="4" w:space="0" w:color="000000"/>
            </w:tcBorders>
            <w:shd w:val="clear" w:color="000000" w:fill="FFFFFF"/>
            <w:hideMark/>
          </w:tcPr>
          <w:p w14:paraId="089DE7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103. Propaganda en el operador público nacional del servicio de televisión y de radio difusión sonora. </w:t>
            </w:r>
            <w:r w:rsidRPr="00222F34">
              <w:rPr>
                <w:rFonts w:ascii="Calibri" w:eastAsia="Times New Roman" w:hAnsi="Calibri" w:cs="Calibri"/>
                <w:color w:val="000000"/>
                <w:lang w:val="es-CO" w:eastAsia="es-CO" w:bidi="ar-SA"/>
              </w:rPr>
              <w:t>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Vencidos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w:t>
            </w:r>
          </w:p>
        </w:tc>
        <w:tc>
          <w:tcPr>
            <w:tcW w:w="1480" w:type="dxa"/>
            <w:tcBorders>
              <w:top w:val="nil"/>
              <w:left w:val="nil"/>
              <w:bottom w:val="nil"/>
              <w:right w:val="single" w:sz="4" w:space="0" w:color="000000"/>
            </w:tcBorders>
            <w:shd w:val="clear" w:color="000000" w:fill="FFFFFF"/>
            <w:hideMark/>
          </w:tcPr>
          <w:p w14:paraId="2CCF2CD3" w14:textId="2210837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2DE6FF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998FE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De las violaciones a este precepto se remitirá copia del informe respectivo al Consejo Nacional Electoral para las investigaciones correspondientes. </w:t>
            </w:r>
          </w:p>
        </w:tc>
        <w:tc>
          <w:tcPr>
            <w:tcW w:w="3798" w:type="dxa"/>
            <w:tcBorders>
              <w:top w:val="nil"/>
              <w:left w:val="nil"/>
              <w:bottom w:val="nil"/>
              <w:right w:val="single" w:sz="4" w:space="0" w:color="000000"/>
            </w:tcBorders>
            <w:shd w:val="clear" w:color="000000" w:fill="FFFFFF"/>
            <w:hideMark/>
          </w:tcPr>
          <w:p w14:paraId="4D7476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De las violaciones a este precepto se remitirá copia del informe respectivo al Consejo Nacional Electoral para las investigaciones correspondientes.</w:t>
            </w:r>
          </w:p>
        </w:tc>
        <w:tc>
          <w:tcPr>
            <w:tcW w:w="3798" w:type="dxa"/>
            <w:tcBorders>
              <w:top w:val="nil"/>
              <w:left w:val="nil"/>
              <w:bottom w:val="nil"/>
              <w:right w:val="single" w:sz="4" w:space="0" w:color="000000"/>
            </w:tcBorders>
            <w:shd w:val="clear" w:color="000000" w:fill="FFFFFF"/>
            <w:hideMark/>
          </w:tcPr>
          <w:p w14:paraId="07E116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De las violaciones a este precepto se remitirá copia del informe respectivo al Consejo Nacional Electoral para las investigaciones correspondientes.</w:t>
            </w:r>
          </w:p>
        </w:tc>
        <w:tc>
          <w:tcPr>
            <w:tcW w:w="1480" w:type="dxa"/>
            <w:tcBorders>
              <w:top w:val="nil"/>
              <w:left w:val="nil"/>
              <w:bottom w:val="nil"/>
              <w:right w:val="single" w:sz="4" w:space="0" w:color="000000"/>
            </w:tcBorders>
            <w:shd w:val="clear" w:color="000000" w:fill="FFFFFF"/>
            <w:hideMark/>
          </w:tcPr>
          <w:p w14:paraId="612927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87D79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A7AFF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Se otorgará igual número de espacios a cada una de las listas, candidatos u opciones electorales inscritos, en cada franja de transmisión, razón por la que se asignará el número de espacios necesarios para garantizar la igualdad aquí consagrada. </w:t>
            </w:r>
          </w:p>
        </w:tc>
        <w:tc>
          <w:tcPr>
            <w:tcW w:w="3798" w:type="dxa"/>
            <w:tcBorders>
              <w:top w:val="nil"/>
              <w:left w:val="nil"/>
              <w:bottom w:val="nil"/>
              <w:right w:val="single" w:sz="4" w:space="0" w:color="000000"/>
            </w:tcBorders>
            <w:shd w:val="clear" w:color="000000" w:fill="FFFFFF"/>
            <w:hideMark/>
          </w:tcPr>
          <w:p w14:paraId="4BB21D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Se otorgará igual número de espacios a cada una de las listas, candidatos u opciones electorales inscritos, en cada franja de transmisión, razón por la que se asignará el número de espacios necesarios para garantizar la igualdad aquí consagrada.</w:t>
            </w:r>
          </w:p>
        </w:tc>
        <w:tc>
          <w:tcPr>
            <w:tcW w:w="3798" w:type="dxa"/>
            <w:tcBorders>
              <w:top w:val="nil"/>
              <w:left w:val="nil"/>
              <w:bottom w:val="nil"/>
              <w:right w:val="single" w:sz="4" w:space="0" w:color="000000"/>
            </w:tcBorders>
            <w:shd w:val="clear" w:color="000000" w:fill="FFFFFF"/>
            <w:hideMark/>
          </w:tcPr>
          <w:p w14:paraId="0B1444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Se otorgará igual número de espacios a cada una de las listas, candidatos u opciones electorales inscritos, en cada franja de transmisión, razón por la que se asignará el número de espacios necesarios para garantizar la igualdad aquí consagrada.</w:t>
            </w:r>
          </w:p>
        </w:tc>
        <w:tc>
          <w:tcPr>
            <w:tcW w:w="1480" w:type="dxa"/>
            <w:tcBorders>
              <w:top w:val="nil"/>
              <w:left w:val="nil"/>
              <w:bottom w:val="nil"/>
              <w:right w:val="single" w:sz="4" w:space="0" w:color="000000"/>
            </w:tcBorders>
            <w:shd w:val="clear" w:color="000000" w:fill="FFFFFF"/>
            <w:hideMark/>
          </w:tcPr>
          <w:p w14:paraId="2388F7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D79E3A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E66F6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duración de los espacios podrá ser diferente y variable teniendo en cuenta la naturaleza de la elección. </w:t>
            </w:r>
          </w:p>
        </w:tc>
        <w:tc>
          <w:tcPr>
            <w:tcW w:w="3798" w:type="dxa"/>
            <w:tcBorders>
              <w:top w:val="nil"/>
              <w:left w:val="nil"/>
              <w:bottom w:val="nil"/>
              <w:right w:val="single" w:sz="4" w:space="0" w:color="000000"/>
            </w:tcBorders>
            <w:shd w:val="clear" w:color="000000" w:fill="FFFFFF"/>
            <w:hideMark/>
          </w:tcPr>
          <w:p w14:paraId="7F1417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duración de los espacios podrá ser diferente y variable teniendo en cuenta la naturaleza de la elección.</w:t>
            </w:r>
          </w:p>
        </w:tc>
        <w:tc>
          <w:tcPr>
            <w:tcW w:w="3798" w:type="dxa"/>
            <w:tcBorders>
              <w:top w:val="nil"/>
              <w:left w:val="nil"/>
              <w:bottom w:val="nil"/>
              <w:right w:val="single" w:sz="4" w:space="0" w:color="000000"/>
            </w:tcBorders>
            <w:shd w:val="clear" w:color="000000" w:fill="FFFFFF"/>
            <w:hideMark/>
          </w:tcPr>
          <w:p w14:paraId="40E428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duración de los espacios podrá ser diferente y variable teniendo en cuenta la naturaleza de la elección.</w:t>
            </w:r>
          </w:p>
        </w:tc>
        <w:tc>
          <w:tcPr>
            <w:tcW w:w="1480" w:type="dxa"/>
            <w:tcBorders>
              <w:top w:val="nil"/>
              <w:left w:val="nil"/>
              <w:bottom w:val="nil"/>
              <w:right w:val="single" w:sz="4" w:space="0" w:color="000000"/>
            </w:tcBorders>
            <w:shd w:val="clear" w:color="000000" w:fill="FFFFFF"/>
            <w:hideMark/>
          </w:tcPr>
          <w:p w14:paraId="0BE3CE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40E55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81E70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Los espacios se sortearán por franjas de horario teniendo en cuenta la audiencia o sintonía de cada franja, y garantizando que se otorgarán espacios en horarios de mayor sintonía o audiencia. </w:t>
            </w:r>
          </w:p>
        </w:tc>
        <w:tc>
          <w:tcPr>
            <w:tcW w:w="3798" w:type="dxa"/>
            <w:tcBorders>
              <w:top w:val="nil"/>
              <w:left w:val="nil"/>
              <w:bottom w:val="nil"/>
              <w:right w:val="single" w:sz="4" w:space="0" w:color="000000"/>
            </w:tcBorders>
            <w:shd w:val="clear" w:color="000000" w:fill="FFFFFF"/>
            <w:hideMark/>
          </w:tcPr>
          <w:p w14:paraId="12D776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espacios se sortearán por franjas de horario teniendo en cuenta la audiencia o sintonía de cada franja, y garantizando que se otorgarán espacios en horarios de mayor sintonía o audiencia.</w:t>
            </w:r>
          </w:p>
        </w:tc>
        <w:tc>
          <w:tcPr>
            <w:tcW w:w="3798" w:type="dxa"/>
            <w:tcBorders>
              <w:top w:val="nil"/>
              <w:left w:val="nil"/>
              <w:bottom w:val="nil"/>
              <w:right w:val="single" w:sz="4" w:space="0" w:color="000000"/>
            </w:tcBorders>
            <w:shd w:val="clear" w:color="000000" w:fill="FFFFFF"/>
            <w:hideMark/>
          </w:tcPr>
          <w:p w14:paraId="6EDF3C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espacios se sortearán por franjas de horario teniendo en cuenta la audiencia o sintonía de cada franja, y garantizando que se otorgarán espacios en horarios de mayor sintonía o audiencia.</w:t>
            </w:r>
          </w:p>
        </w:tc>
        <w:tc>
          <w:tcPr>
            <w:tcW w:w="1480" w:type="dxa"/>
            <w:tcBorders>
              <w:top w:val="nil"/>
              <w:left w:val="nil"/>
              <w:bottom w:val="nil"/>
              <w:right w:val="single" w:sz="4" w:space="0" w:color="000000"/>
            </w:tcBorders>
            <w:shd w:val="clear" w:color="000000" w:fill="FFFFFF"/>
            <w:hideMark/>
          </w:tcPr>
          <w:p w14:paraId="052890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FD291E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4AA78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El sorteo garantizará que ninguna campaña pueda repetir espacio en la misma franja hasta tanto no hayan tenido la misma oportunidad las demás campañas. </w:t>
            </w:r>
          </w:p>
        </w:tc>
        <w:tc>
          <w:tcPr>
            <w:tcW w:w="3798" w:type="dxa"/>
            <w:tcBorders>
              <w:top w:val="nil"/>
              <w:left w:val="nil"/>
              <w:bottom w:val="nil"/>
              <w:right w:val="single" w:sz="4" w:space="0" w:color="000000"/>
            </w:tcBorders>
            <w:shd w:val="clear" w:color="000000" w:fill="FFFFFF"/>
            <w:hideMark/>
          </w:tcPr>
          <w:p w14:paraId="2ADE58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sorteo garantizará que ninguna campaña pueda repetir espacio en la misma franja hasta tanto no hayan tenido la misma oportunidad las demás campañas.</w:t>
            </w:r>
          </w:p>
        </w:tc>
        <w:tc>
          <w:tcPr>
            <w:tcW w:w="3798" w:type="dxa"/>
            <w:tcBorders>
              <w:top w:val="nil"/>
              <w:left w:val="nil"/>
              <w:bottom w:val="nil"/>
              <w:right w:val="single" w:sz="4" w:space="0" w:color="000000"/>
            </w:tcBorders>
            <w:shd w:val="clear" w:color="000000" w:fill="FFFFFF"/>
            <w:hideMark/>
          </w:tcPr>
          <w:p w14:paraId="2EEB0C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sorteo garantizará que ninguna campaña pueda repetir espacio en la misma franja hasta tanto no hayan tenido la misma oportunidad las demás campañas.</w:t>
            </w:r>
          </w:p>
        </w:tc>
        <w:tc>
          <w:tcPr>
            <w:tcW w:w="1480" w:type="dxa"/>
            <w:tcBorders>
              <w:top w:val="nil"/>
              <w:left w:val="nil"/>
              <w:bottom w:val="nil"/>
              <w:right w:val="single" w:sz="4" w:space="0" w:color="000000"/>
            </w:tcBorders>
            <w:shd w:val="clear" w:color="000000" w:fill="FFFFFF"/>
            <w:hideMark/>
          </w:tcPr>
          <w:p w14:paraId="0A43A3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39884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C33E1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Los espacios no son acumulables, razón por la cual se perderán cuando no sean utilizados por las respectivas campañas. </w:t>
            </w:r>
          </w:p>
        </w:tc>
        <w:tc>
          <w:tcPr>
            <w:tcW w:w="3798" w:type="dxa"/>
            <w:tcBorders>
              <w:top w:val="nil"/>
              <w:left w:val="nil"/>
              <w:bottom w:val="nil"/>
              <w:right w:val="single" w:sz="4" w:space="0" w:color="000000"/>
            </w:tcBorders>
            <w:shd w:val="clear" w:color="000000" w:fill="FFFFFF"/>
            <w:hideMark/>
          </w:tcPr>
          <w:p w14:paraId="5D522C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espacios no son acumulables, razón por la cual se perderán cuando no sean utilizados por las respectivas campañas.</w:t>
            </w:r>
          </w:p>
        </w:tc>
        <w:tc>
          <w:tcPr>
            <w:tcW w:w="3798" w:type="dxa"/>
            <w:tcBorders>
              <w:top w:val="nil"/>
              <w:left w:val="nil"/>
              <w:bottom w:val="nil"/>
              <w:right w:val="single" w:sz="4" w:space="0" w:color="000000"/>
            </w:tcBorders>
            <w:shd w:val="clear" w:color="000000" w:fill="FFFFFF"/>
            <w:hideMark/>
          </w:tcPr>
          <w:p w14:paraId="348D89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espacios no son acumulables, razón por la cual se perderán cuando no sean utilizados por las respectivas campañas.</w:t>
            </w:r>
          </w:p>
        </w:tc>
        <w:tc>
          <w:tcPr>
            <w:tcW w:w="1480" w:type="dxa"/>
            <w:tcBorders>
              <w:top w:val="nil"/>
              <w:left w:val="nil"/>
              <w:bottom w:val="nil"/>
              <w:right w:val="single" w:sz="4" w:space="0" w:color="000000"/>
            </w:tcBorders>
            <w:shd w:val="clear" w:color="000000" w:fill="FFFFFF"/>
            <w:hideMark/>
          </w:tcPr>
          <w:p w14:paraId="34ECEC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9A6D9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A2CB6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Los costos de producción serán asumidos por las campañas beneficiarias de los mismos. </w:t>
            </w:r>
          </w:p>
        </w:tc>
        <w:tc>
          <w:tcPr>
            <w:tcW w:w="3798" w:type="dxa"/>
            <w:tcBorders>
              <w:top w:val="nil"/>
              <w:left w:val="nil"/>
              <w:bottom w:val="nil"/>
              <w:right w:val="single" w:sz="4" w:space="0" w:color="000000"/>
            </w:tcBorders>
            <w:shd w:val="clear" w:color="000000" w:fill="FFFFFF"/>
            <w:hideMark/>
          </w:tcPr>
          <w:p w14:paraId="607533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costos de producción serán asumidos por las campañas beneficiarias de los mismos.</w:t>
            </w:r>
          </w:p>
        </w:tc>
        <w:tc>
          <w:tcPr>
            <w:tcW w:w="3798" w:type="dxa"/>
            <w:tcBorders>
              <w:top w:val="nil"/>
              <w:left w:val="nil"/>
              <w:bottom w:val="nil"/>
              <w:right w:val="single" w:sz="4" w:space="0" w:color="000000"/>
            </w:tcBorders>
            <w:shd w:val="clear" w:color="000000" w:fill="FFFFFF"/>
            <w:hideMark/>
          </w:tcPr>
          <w:p w14:paraId="0B53D5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costos de producción serán asumidos por las campañas beneficiarias de los mismos.</w:t>
            </w:r>
          </w:p>
        </w:tc>
        <w:tc>
          <w:tcPr>
            <w:tcW w:w="1480" w:type="dxa"/>
            <w:tcBorders>
              <w:top w:val="nil"/>
              <w:left w:val="nil"/>
              <w:bottom w:val="nil"/>
              <w:right w:val="single" w:sz="4" w:space="0" w:color="000000"/>
            </w:tcBorders>
            <w:shd w:val="clear" w:color="000000" w:fill="FFFFFF"/>
            <w:hideMark/>
          </w:tcPr>
          <w:p w14:paraId="2A21CB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8C920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86B0F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 </w:t>
            </w:r>
          </w:p>
        </w:tc>
        <w:tc>
          <w:tcPr>
            <w:tcW w:w="3798" w:type="dxa"/>
            <w:tcBorders>
              <w:top w:val="nil"/>
              <w:left w:val="nil"/>
              <w:bottom w:val="nil"/>
              <w:right w:val="single" w:sz="4" w:space="0" w:color="000000"/>
            </w:tcBorders>
            <w:shd w:val="clear" w:color="000000" w:fill="FFFFFF"/>
            <w:hideMark/>
          </w:tcPr>
          <w:p w14:paraId="1E49EC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w:t>
            </w:r>
          </w:p>
        </w:tc>
        <w:tc>
          <w:tcPr>
            <w:tcW w:w="3798" w:type="dxa"/>
            <w:tcBorders>
              <w:top w:val="nil"/>
              <w:left w:val="nil"/>
              <w:bottom w:val="nil"/>
              <w:right w:val="single" w:sz="4" w:space="0" w:color="000000"/>
            </w:tcBorders>
            <w:shd w:val="clear" w:color="000000" w:fill="FFFFFF"/>
            <w:hideMark/>
          </w:tcPr>
          <w:p w14:paraId="14F4CB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w:t>
            </w:r>
          </w:p>
        </w:tc>
        <w:tc>
          <w:tcPr>
            <w:tcW w:w="1480" w:type="dxa"/>
            <w:tcBorders>
              <w:top w:val="nil"/>
              <w:left w:val="nil"/>
              <w:bottom w:val="nil"/>
              <w:right w:val="single" w:sz="4" w:space="0" w:color="000000"/>
            </w:tcBorders>
            <w:shd w:val="clear" w:color="000000" w:fill="FFFFFF"/>
            <w:hideMark/>
          </w:tcPr>
          <w:p w14:paraId="0E23CD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F5FFAA"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41CB290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decisión de que trata este artículo será susceptible de recurso de reposición. </w:t>
            </w:r>
          </w:p>
        </w:tc>
        <w:tc>
          <w:tcPr>
            <w:tcW w:w="3798" w:type="dxa"/>
            <w:tcBorders>
              <w:top w:val="nil"/>
              <w:left w:val="nil"/>
              <w:bottom w:val="single" w:sz="4" w:space="0" w:color="000000"/>
              <w:right w:val="single" w:sz="4" w:space="0" w:color="000000"/>
            </w:tcBorders>
            <w:shd w:val="clear" w:color="000000" w:fill="FFFFFF"/>
            <w:hideMark/>
          </w:tcPr>
          <w:p w14:paraId="29F1CF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La decisión de que trata este artículo será susceptible de recurso de reposición.</w:t>
            </w:r>
          </w:p>
        </w:tc>
        <w:tc>
          <w:tcPr>
            <w:tcW w:w="3798" w:type="dxa"/>
            <w:tcBorders>
              <w:top w:val="nil"/>
              <w:left w:val="nil"/>
              <w:bottom w:val="single" w:sz="4" w:space="0" w:color="000000"/>
              <w:right w:val="single" w:sz="4" w:space="0" w:color="000000"/>
            </w:tcBorders>
            <w:shd w:val="clear" w:color="000000" w:fill="FFFFFF"/>
            <w:hideMark/>
          </w:tcPr>
          <w:p w14:paraId="3CB259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La decisión de que trata este artículo será susceptible de recurso de reposición.</w:t>
            </w:r>
          </w:p>
        </w:tc>
        <w:tc>
          <w:tcPr>
            <w:tcW w:w="1480" w:type="dxa"/>
            <w:tcBorders>
              <w:top w:val="nil"/>
              <w:left w:val="nil"/>
              <w:bottom w:val="single" w:sz="4" w:space="0" w:color="000000"/>
              <w:right w:val="single" w:sz="4" w:space="0" w:color="000000"/>
            </w:tcBorders>
            <w:shd w:val="clear" w:color="000000" w:fill="FFFFFF"/>
            <w:hideMark/>
          </w:tcPr>
          <w:p w14:paraId="211356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85C1C29"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15E0D0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100.- Registro Público de Contratos sobre encuestas de carácter político y electoral.</w:t>
            </w:r>
            <w:r w:rsidRPr="00222F34">
              <w:rPr>
                <w:rFonts w:ascii="Calibri" w:eastAsia="Times New Roman" w:hAnsi="Calibri" w:cs="Calibri"/>
                <w:color w:val="000000"/>
                <w:lang w:val="es-CO" w:eastAsia="es-CO" w:bidi="ar-SA"/>
              </w:rPr>
              <w:t xml:space="preserve"> Para la publicación de las encuestas de que trata la presente Ley, se depositarán todos los contratos sobre encuestas de carácter político y electoral, que se realicen para partidos políticos, movimientos políticos, o movimientos significativos de ciudadanos o candidatos, incluyendo los contratos cuyo objeto sea la realización de estudios políticos o electorales sin intención de ser publicados.  </w:t>
            </w:r>
          </w:p>
        </w:tc>
        <w:tc>
          <w:tcPr>
            <w:tcW w:w="3798" w:type="dxa"/>
            <w:tcBorders>
              <w:top w:val="nil"/>
              <w:left w:val="nil"/>
              <w:bottom w:val="nil"/>
              <w:right w:val="single" w:sz="4" w:space="0" w:color="000000"/>
            </w:tcBorders>
            <w:shd w:val="clear" w:color="FFC000" w:fill="FFFFFF"/>
            <w:hideMark/>
          </w:tcPr>
          <w:p w14:paraId="702596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Artículo reenumerado, se aprobó como 120.</w:t>
            </w:r>
          </w:p>
        </w:tc>
        <w:tc>
          <w:tcPr>
            <w:tcW w:w="3798" w:type="dxa"/>
            <w:tcBorders>
              <w:top w:val="nil"/>
              <w:left w:val="nil"/>
              <w:bottom w:val="nil"/>
              <w:right w:val="single" w:sz="4" w:space="0" w:color="000000"/>
            </w:tcBorders>
            <w:shd w:val="clear" w:color="FFC000" w:fill="FFFFFF"/>
            <w:hideMark/>
          </w:tcPr>
          <w:p w14:paraId="6D148D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Artículo reenumerado, se aprobó como 120.</w:t>
            </w:r>
          </w:p>
        </w:tc>
        <w:tc>
          <w:tcPr>
            <w:tcW w:w="1480" w:type="dxa"/>
            <w:tcBorders>
              <w:top w:val="nil"/>
              <w:left w:val="nil"/>
              <w:bottom w:val="nil"/>
              <w:right w:val="single" w:sz="4" w:space="0" w:color="000000"/>
            </w:tcBorders>
            <w:shd w:val="clear" w:color="000000" w:fill="FFFFFF"/>
            <w:hideMark/>
          </w:tcPr>
          <w:p w14:paraId="48741526" w14:textId="541EB09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F05603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0B124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Asimismo, las firmas que hagan parte del Registro Nacional de Firmas Encuestadoras deberán aportar copia de todos los contratos que hayan celebrado en los últimos tres (3) años con personas naturales o jurídicas, de derecho público </w:t>
            </w:r>
            <w:r w:rsidRPr="00222F34">
              <w:rPr>
                <w:rFonts w:ascii="Calibri" w:eastAsia="Times New Roman" w:hAnsi="Calibri" w:cs="Calibri"/>
                <w:color w:val="000000"/>
                <w:lang w:val="es-CO" w:eastAsia="es-CO" w:bidi="ar-SA"/>
              </w:rPr>
              <w:lastRenderedPageBreak/>
              <w:t xml:space="preserve">o privado, sin importar el objeto de los contratos.  </w:t>
            </w:r>
          </w:p>
        </w:tc>
        <w:tc>
          <w:tcPr>
            <w:tcW w:w="3798" w:type="dxa"/>
            <w:tcBorders>
              <w:top w:val="nil"/>
              <w:left w:val="nil"/>
              <w:bottom w:val="nil"/>
              <w:right w:val="single" w:sz="4" w:space="0" w:color="000000"/>
            </w:tcBorders>
            <w:shd w:val="clear" w:color="FFC000" w:fill="FFFFFF"/>
            <w:hideMark/>
          </w:tcPr>
          <w:p w14:paraId="56C16B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FFC000" w:fill="FFFFFF"/>
            <w:hideMark/>
          </w:tcPr>
          <w:p w14:paraId="554516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674EF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6FFD2F9"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C49A2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Este registro deberá ser actualizado con la publicación de cada encuesta. En dicho registro se deberá publicar la fecha en que se encargó el estudio, el nombre o razón social de la firma encuestadora y el nombre o razón social de la persona que lo encargó. las firmas encuestadoras deberán depositar en el Registro Público de Contratos sobre encuestas de carácter político y electoral, el acto jurídico mediante el cual se encargó la respectiva investigación.  </w:t>
            </w:r>
          </w:p>
        </w:tc>
        <w:tc>
          <w:tcPr>
            <w:tcW w:w="3798" w:type="dxa"/>
            <w:tcBorders>
              <w:top w:val="nil"/>
              <w:left w:val="nil"/>
              <w:bottom w:val="nil"/>
              <w:right w:val="single" w:sz="4" w:space="0" w:color="000000"/>
            </w:tcBorders>
            <w:shd w:val="clear" w:color="FFC000" w:fill="FFFFFF"/>
            <w:hideMark/>
          </w:tcPr>
          <w:p w14:paraId="5FEEFE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FFC000" w:fill="FFFFFF"/>
            <w:hideMark/>
          </w:tcPr>
          <w:p w14:paraId="6E9BD7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6BAD00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60ADC1"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7F4D8A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que las partes hayan convenido cláusulas o acuerdos o compromisos de confidencialidad, el CNE garantizará la reserva de la información sobre el objeto del contrato. </w:t>
            </w:r>
          </w:p>
        </w:tc>
        <w:tc>
          <w:tcPr>
            <w:tcW w:w="3798" w:type="dxa"/>
            <w:tcBorders>
              <w:top w:val="nil"/>
              <w:left w:val="nil"/>
              <w:bottom w:val="single" w:sz="4" w:space="0" w:color="000000"/>
              <w:right w:val="single" w:sz="4" w:space="0" w:color="000000"/>
            </w:tcBorders>
            <w:shd w:val="clear" w:color="FFC000" w:fill="FFFFFF"/>
            <w:hideMark/>
          </w:tcPr>
          <w:p w14:paraId="5CC633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FFC000" w:fill="FFFFFF"/>
            <w:hideMark/>
          </w:tcPr>
          <w:p w14:paraId="3A9F68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10725C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85045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DF66C14"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619D001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5F1AA2B1"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nil"/>
              <w:left w:val="nil"/>
              <w:bottom w:val="nil"/>
              <w:right w:val="single" w:sz="4" w:space="0" w:color="000000"/>
            </w:tcBorders>
            <w:shd w:val="clear" w:color="000000" w:fill="FFFFFF"/>
            <w:hideMark/>
          </w:tcPr>
          <w:p w14:paraId="1BE03C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F84ECC"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E04D76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encuestas y sondeos de carácter electoral</w:t>
            </w:r>
          </w:p>
        </w:tc>
        <w:tc>
          <w:tcPr>
            <w:tcW w:w="3798" w:type="dxa"/>
            <w:tcBorders>
              <w:top w:val="nil"/>
              <w:left w:val="nil"/>
              <w:bottom w:val="single" w:sz="4" w:space="0" w:color="000000"/>
              <w:right w:val="single" w:sz="4" w:space="0" w:color="000000"/>
            </w:tcBorders>
            <w:shd w:val="clear" w:color="000000" w:fill="FFFFFF"/>
            <w:hideMark/>
          </w:tcPr>
          <w:p w14:paraId="1AC9253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encuestas y sondeos de carácter electoral</w:t>
            </w:r>
          </w:p>
        </w:tc>
        <w:tc>
          <w:tcPr>
            <w:tcW w:w="3798" w:type="dxa"/>
            <w:tcBorders>
              <w:top w:val="nil"/>
              <w:left w:val="nil"/>
              <w:bottom w:val="single" w:sz="4" w:space="0" w:color="000000"/>
              <w:right w:val="single" w:sz="4" w:space="0" w:color="000000"/>
            </w:tcBorders>
            <w:shd w:val="clear" w:color="000000" w:fill="FFFFFF"/>
            <w:hideMark/>
          </w:tcPr>
          <w:p w14:paraId="31A4DCC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encuestas y sondeos de carácter electoral</w:t>
            </w:r>
          </w:p>
        </w:tc>
        <w:tc>
          <w:tcPr>
            <w:tcW w:w="1480" w:type="dxa"/>
            <w:tcBorders>
              <w:top w:val="nil"/>
              <w:left w:val="nil"/>
              <w:bottom w:val="single" w:sz="4" w:space="0" w:color="000000"/>
              <w:right w:val="single" w:sz="4" w:space="0" w:color="000000"/>
            </w:tcBorders>
            <w:shd w:val="clear" w:color="000000" w:fill="FFFFFF"/>
            <w:hideMark/>
          </w:tcPr>
          <w:p w14:paraId="1CB6DA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26643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9F3A62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101.- Alcance.</w:t>
            </w:r>
            <w:r w:rsidRPr="00222F34">
              <w:rPr>
                <w:rFonts w:ascii="Calibri" w:eastAsia="Times New Roman" w:hAnsi="Calibri" w:cs="Calibri"/>
                <w:color w:val="000000"/>
                <w:lang w:val="es-CO" w:eastAsia="es-CO" w:bidi="ar-SA"/>
              </w:rPr>
              <w:t xml:space="preserve"> Las disposiciones contenidas en este capítulo de la presente Ley, son aplicables a todo estudio que se publique y a las personas naturales y jurídicas que los realicen y divulguen, cuyo objetivo sea dar a conocer preferencias o tendencias políticas y electorales, incluyendo la intención de voto y la imagen de los candidatos para procesos de decisión o elección mediante voto popular. </w:t>
            </w:r>
          </w:p>
        </w:tc>
        <w:tc>
          <w:tcPr>
            <w:tcW w:w="3798" w:type="dxa"/>
            <w:tcBorders>
              <w:top w:val="nil"/>
              <w:left w:val="nil"/>
              <w:bottom w:val="nil"/>
              <w:right w:val="single" w:sz="4" w:space="0" w:color="000000"/>
            </w:tcBorders>
            <w:shd w:val="clear" w:color="000000" w:fill="FFFFFF"/>
            <w:hideMark/>
          </w:tcPr>
          <w:p w14:paraId="0339E8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104. Alcance</w:t>
            </w:r>
            <w:r w:rsidRPr="00222F34">
              <w:rPr>
                <w:rFonts w:ascii="Calibri" w:eastAsia="Times New Roman" w:hAnsi="Calibri" w:cs="Calibri"/>
                <w:color w:val="000000"/>
                <w:lang w:val="es-CO" w:eastAsia="es-CO" w:bidi="ar-SA"/>
              </w:rPr>
              <w:t>. Las disposiciones contenidas en este capítulo de la presente Ley, son aplicables a todo estudio que se publique y a las personas naturales y jurídicas que los realicen y divulguen, cuyo objetivo sea dar a conocer preferencias o tendencias políticas y electorales, incluyendo la intención de voto y la imagen de los candidatos para procesos de decisión o elección mediante voto popular.</w:t>
            </w:r>
          </w:p>
        </w:tc>
        <w:tc>
          <w:tcPr>
            <w:tcW w:w="3798" w:type="dxa"/>
            <w:tcBorders>
              <w:top w:val="nil"/>
              <w:left w:val="nil"/>
              <w:bottom w:val="nil"/>
              <w:right w:val="single" w:sz="4" w:space="0" w:color="000000"/>
            </w:tcBorders>
            <w:shd w:val="clear" w:color="000000" w:fill="FFFFFF"/>
            <w:hideMark/>
          </w:tcPr>
          <w:p w14:paraId="5FA9C6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104. Alcance</w:t>
            </w:r>
            <w:r w:rsidRPr="00222F34">
              <w:rPr>
                <w:rFonts w:ascii="Calibri" w:eastAsia="Times New Roman" w:hAnsi="Calibri" w:cs="Calibri"/>
                <w:color w:val="000000"/>
                <w:lang w:val="es-CO" w:eastAsia="es-CO" w:bidi="ar-SA"/>
              </w:rPr>
              <w:t>. Las disposiciones contenidas en este capítulo de la presente Ley, son aplicables a todo estudio que se publique y a las personas naturales y jurídicas que los realicen y divulguen, cuyo objetivo sea dar a conocer preferencias o tendencias políticas y electorales, incluyendo la intención de voto y la imagen de los candidatos para procesos de decisión o elección mediante voto popular.</w:t>
            </w:r>
          </w:p>
        </w:tc>
        <w:tc>
          <w:tcPr>
            <w:tcW w:w="1480" w:type="dxa"/>
            <w:tcBorders>
              <w:top w:val="nil"/>
              <w:left w:val="nil"/>
              <w:bottom w:val="nil"/>
              <w:right w:val="single" w:sz="4" w:space="0" w:color="000000"/>
            </w:tcBorders>
            <w:shd w:val="clear" w:color="000000" w:fill="FFFFFF"/>
            <w:hideMark/>
          </w:tcPr>
          <w:p w14:paraId="0F26A220" w14:textId="4327B8C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2716383B"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53DE78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encuestas realizadas o encargadas por los partidos políticos con el fin de escoger sus candidatos, serán de obligatoria publicación y se regirán por las disposiciones contenidas en la presente Ley. </w:t>
            </w:r>
          </w:p>
        </w:tc>
        <w:tc>
          <w:tcPr>
            <w:tcW w:w="3798" w:type="dxa"/>
            <w:tcBorders>
              <w:top w:val="nil"/>
              <w:left w:val="nil"/>
              <w:bottom w:val="single" w:sz="4" w:space="0" w:color="000000"/>
              <w:right w:val="single" w:sz="4" w:space="0" w:color="000000"/>
            </w:tcBorders>
            <w:shd w:val="clear" w:color="000000" w:fill="FFFFFF"/>
            <w:hideMark/>
          </w:tcPr>
          <w:p w14:paraId="18D3EC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encuestas realizadas o encargadas por los partidos políticos, movimientos políticos y grupos significativos de ciudadanos con el fin de escoger sus candidatos, serán de obligatoria publicación y se regirán por las disposiciones contenidas en la presente Ley.</w:t>
            </w:r>
          </w:p>
        </w:tc>
        <w:tc>
          <w:tcPr>
            <w:tcW w:w="3798" w:type="dxa"/>
            <w:tcBorders>
              <w:top w:val="nil"/>
              <w:left w:val="nil"/>
              <w:bottom w:val="single" w:sz="4" w:space="0" w:color="000000"/>
              <w:right w:val="single" w:sz="4" w:space="0" w:color="000000"/>
            </w:tcBorders>
            <w:shd w:val="clear" w:color="000000" w:fill="FFFFFF"/>
            <w:hideMark/>
          </w:tcPr>
          <w:p w14:paraId="1515A7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encuestas realizadas o encargadas por los partidos políticos, movimientos políticos y grupos significativos de ciudadanos con el fin de escoger sus candidatos, serán de obligatoria publicación y se regirán por las disposiciones contenidas en la presente Ley.</w:t>
            </w:r>
          </w:p>
        </w:tc>
        <w:tc>
          <w:tcPr>
            <w:tcW w:w="1480" w:type="dxa"/>
            <w:tcBorders>
              <w:top w:val="nil"/>
              <w:left w:val="nil"/>
              <w:bottom w:val="single" w:sz="4" w:space="0" w:color="000000"/>
              <w:right w:val="single" w:sz="4" w:space="0" w:color="000000"/>
            </w:tcBorders>
            <w:shd w:val="clear" w:color="000000" w:fill="FFFFFF"/>
            <w:hideMark/>
          </w:tcPr>
          <w:p w14:paraId="7AB905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52A82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A77F2C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102.- Definiciones.</w:t>
            </w:r>
            <w:r w:rsidRPr="00222F34">
              <w:rPr>
                <w:rFonts w:ascii="Calibri" w:eastAsia="Times New Roman" w:hAnsi="Calibri" w:cs="Calibri"/>
                <w:color w:val="000000"/>
                <w:lang w:val="es-CO" w:eastAsia="es-CO" w:bidi="ar-SA"/>
              </w:rPr>
              <w:t xml:space="preserve"> Para la aplicación de la presente Ley, se deben considerar las siguientes definiciones: </w:t>
            </w:r>
          </w:p>
        </w:tc>
        <w:tc>
          <w:tcPr>
            <w:tcW w:w="3798" w:type="dxa"/>
            <w:tcBorders>
              <w:top w:val="nil"/>
              <w:left w:val="nil"/>
              <w:bottom w:val="nil"/>
              <w:right w:val="single" w:sz="4" w:space="0" w:color="000000"/>
            </w:tcBorders>
            <w:shd w:val="clear" w:color="000000" w:fill="FFFFFF"/>
            <w:hideMark/>
          </w:tcPr>
          <w:p w14:paraId="06AA3A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105. Definiciones. </w:t>
            </w:r>
            <w:r w:rsidRPr="00222F34">
              <w:rPr>
                <w:rFonts w:ascii="Calibri" w:eastAsia="Times New Roman" w:hAnsi="Calibri" w:cs="Calibri"/>
                <w:color w:val="000000"/>
                <w:lang w:val="es-CO" w:eastAsia="es-CO" w:bidi="ar-SA"/>
              </w:rPr>
              <w:t>Para la aplicación de la presente Ley, se deben considerar las siguientes definiciones:</w:t>
            </w:r>
          </w:p>
        </w:tc>
        <w:tc>
          <w:tcPr>
            <w:tcW w:w="3798" w:type="dxa"/>
            <w:tcBorders>
              <w:top w:val="nil"/>
              <w:left w:val="nil"/>
              <w:bottom w:val="nil"/>
              <w:right w:val="single" w:sz="4" w:space="0" w:color="000000"/>
            </w:tcBorders>
            <w:shd w:val="clear" w:color="000000" w:fill="FFFFFF"/>
            <w:hideMark/>
          </w:tcPr>
          <w:p w14:paraId="4BA26B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105. Definiciones. </w:t>
            </w:r>
            <w:r w:rsidRPr="00222F34">
              <w:rPr>
                <w:rFonts w:ascii="Calibri" w:eastAsia="Times New Roman" w:hAnsi="Calibri" w:cs="Calibri"/>
                <w:color w:val="000000"/>
                <w:lang w:val="es-CO" w:eastAsia="es-CO" w:bidi="ar-SA"/>
              </w:rPr>
              <w:t>Para la aplicación de la presente Ley, se deben considerar las siguientes definiciones:</w:t>
            </w:r>
          </w:p>
        </w:tc>
        <w:tc>
          <w:tcPr>
            <w:tcW w:w="1480" w:type="dxa"/>
            <w:tcBorders>
              <w:top w:val="nil"/>
              <w:left w:val="nil"/>
              <w:bottom w:val="nil"/>
              <w:right w:val="single" w:sz="4" w:space="0" w:color="000000"/>
            </w:tcBorders>
            <w:shd w:val="clear" w:color="000000" w:fill="FFFFFF"/>
            <w:hideMark/>
          </w:tcPr>
          <w:p w14:paraId="31081D23" w14:textId="1E31427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4B2ACD4F"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41098A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Encuesta o encuesta probabilística: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w:t>
            </w:r>
          </w:p>
        </w:tc>
        <w:tc>
          <w:tcPr>
            <w:tcW w:w="3798" w:type="dxa"/>
            <w:tcBorders>
              <w:top w:val="nil"/>
              <w:left w:val="nil"/>
              <w:bottom w:val="nil"/>
              <w:right w:val="single" w:sz="4" w:space="0" w:color="000000"/>
            </w:tcBorders>
            <w:shd w:val="clear" w:color="000000" w:fill="FFFFFF"/>
            <w:hideMark/>
          </w:tcPr>
          <w:p w14:paraId="2621A1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Encuesta o encuesta probabilística: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w:t>
            </w:r>
          </w:p>
        </w:tc>
        <w:tc>
          <w:tcPr>
            <w:tcW w:w="3798" w:type="dxa"/>
            <w:tcBorders>
              <w:top w:val="nil"/>
              <w:left w:val="nil"/>
              <w:bottom w:val="nil"/>
              <w:right w:val="single" w:sz="4" w:space="0" w:color="000000"/>
            </w:tcBorders>
            <w:shd w:val="clear" w:color="000000" w:fill="FFFFFF"/>
            <w:hideMark/>
          </w:tcPr>
          <w:p w14:paraId="7346E5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Encuesta o encuesta probabilística: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w:t>
            </w:r>
          </w:p>
        </w:tc>
        <w:tc>
          <w:tcPr>
            <w:tcW w:w="1480" w:type="dxa"/>
            <w:tcBorders>
              <w:top w:val="nil"/>
              <w:left w:val="nil"/>
              <w:bottom w:val="nil"/>
              <w:right w:val="single" w:sz="4" w:space="0" w:color="000000"/>
            </w:tcBorders>
            <w:shd w:val="clear" w:color="000000" w:fill="FFFFFF"/>
            <w:hideMark/>
          </w:tcPr>
          <w:p w14:paraId="01D45E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C261C6" w14:textId="77777777" w:rsidTr="00222F34">
        <w:trPr>
          <w:trHeight w:val="3000"/>
        </w:trPr>
        <w:tc>
          <w:tcPr>
            <w:tcW w:w="3798" w:type="dxa"/>
            <w:tcBorders>
              <w:top w:val="nil"/>
              <w:left w:val="single" w:sz="4" w:space="0" w:color="000000"/>
              <w:bottom w:val="nil"/>
              <w:right w:val="single" w:sz="4" w:space="0" w:color="000000"/>
            </w:tcBorders>
            <w:shd w:val="clear" w:color="000000" w:fill="FFFFFF"/>
            <w:hideMark/>
          </w:tcPr>
          <w:p w14:paraId="44131C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Sondeo: 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w:t>
            </w:r>
            <w:r w:rsidRPr="00222F34">
              <w:rPr>
                <w:rFonts w:ascii="Calibri" w:eastAsia="Times New Roman" w:hAnsi="Calibri" w:cs="Calibri"/>
                <w:color w:val="000000"/>
                <w:lang w:val="es-CO" w:eastAsia="es-CO" w:bidi="ar-SA"/>
              </w:rPr>
              <w:lastRenderedPageBreak/>
              <w:t>acerca de un asunto. Los resultados de este tipo de estudio no son generalizables para la población. Para efectos de lo dispuesto en esta Ley, esta definición no aplica para la utilización de mecanismos de consulta de opinión incorporados en las aplicaciones de redes sociales.</w:t>
            </w:r>
          </w:p>
        </w:tc>
        <w:tc>
          <w:tcPr>
            <w:tcW w:w="3798" w:type="dxa"/>
            <w:tcBorders>
              <w:top w:val="nil"/>
              <w:left w:val="nil"/>
              <w:bottom w:val="nil"/>
              <w:right w:val="single" w:sz="4" w:space="0" w:color="000000"/>
            </w:tcBorders>
            <w:shd w:val="clear" w:color="000000" w:fill="FFFFFF"/>
            <w:hideMark/>
          </w:tcPr>
          <w:p w14:paraId="2C3C32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Sondeo: 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w:t>
            </w:r>
            <w:r w:rsidRPr="00222F34">
              <w:rPr>
                <w:rFonts w:ascii="Calibri" w:eastAsia="Times New Roman" w:hAnsi="Calibri" w:cs="Calibri"/>
                <w:color w:val="000000"/>
                <w:lang w:val="es-CO" w:eastAsia="es-CO" w:bidi="ar-SA"/>
              </w:rPr>
              <w:lastRenderedPageBreak/>
              <w:t>acerca de un asunto. Los resultados de este tipo de estudio no son generalizables para la población. Para efectos de lo dispuesto en esta Ley, esta definición no aplica para la utilización de mecanismos de consulta de opinión incorporados en las aplicaciones de redes sociales.</w:t>
            </w:r>
          </w:p>
        </w:tc>
        <w:tc>
          <w:tcPr>
            <w:tcW w:w="3798" w:type="dxa"/>
            <w:tcBorders>
              <w:top w:val="nil"/>
              <w:left w:val="nil"/>
              <w:bottom w:val="nil"/>
              <w:right w:val="single" w:sz="4" w:space="0" w:color="000000"/>
            </w:tcBorders>
            <w:shd w:val="clear" w:color="000000" w:fill="FFFFFF"/>
            <w:hideMark/>
          </w:tcPr>
          <w:p w14:paraId="1C5DF5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Sondeo: 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w:t>
            </w:r>
            <w:r w:rsidRPr="00222F34">
              <w:rPr>
                <w:rFonts w:ascii="Calibri" w:eastAsia="Times New Roman" w:hAnsi="Calibri" w:cs="Calibri"/>
                <w:color w:val="000000"/>
                <w:lang w:val="es-CO" w:eastAsia="es-CO" w:bidi="ar-SA"/>
              </w:rPr>
              <w:lastRenderedPageBreak/>
              <w:t>acerca de un asunto. Los resultados de este tipo de estudio no son generalizables para la población. Para efectos de lo dispuesto en esta Ley, esta definición no aplica para la utilización de mecanismos de consulta de opinión incorporados en las aplicaciones de redes sociales.</w:t>
            </w:r>
          </w:p>
        </w:tc>
        <w:tc>
          <w:tcPr>
            <w:tcW w:w="1480" w:type="dxa"/>
            <w:tcBorders>
              <w:top w:val="nil"/>
              <w:left w:val="nil"/>
              <w:bottom w:val="nil"/>
              <w:right w:val="single" w:sz="4" w:space="0" w:color="000000"/>
            </w:tcBorders>
            <w:shd w:val="clear" w:color="000000" w:fill="FFFFFF"/>
            <w:hideMark/>
          </w:tcPr>
          <w:p w14:paraId="5B9DA4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26FF2B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12DD1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Firmas encuestadoras: 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o elección mediante voto popular y se hayan registrado para tal fin en el Registro Nacional de Firmas Encuestadoras. </w:t>
            </w:r>
          </w:p>
        </w:tc>
        <w:tc>
          <w:tcPr>
            <w:tcW w:w="3798" w:type="dxa"/>
            <w:tcBorders>
              <w:top w:val="nil"/>
              <w:left w:val="nil"/>
              <w:bottom w:val="nil"/>
              <w:right w:val="single" w:sz="4" w:space="0" w:color="000000"/>
            </w:tcBorders>
            <w:shd w:val="clear" w:color="000000" w:fill="FFFFFF"/>
            <w:hideMark/>
          </w:tcPr>
          <w:p w14:paraId="15C098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Firmas encuestadoras: Para todos los efectos de la presente ley, se entenderán como firmas encuestadoras todas las personas jurídicas que publiquen encuestas, en cuyo objeto social se encuentre el levantamiento, recolección y procesamiento de datos para dar a conocer preferencias o tendencias políticas o electorales para procesos de decisión o elección mediante voto popular y se hayan registrado para tal fin en el Registro Nacional de Firmas Encuestadoras.</w:t>
            </w:r>
          </w:p>
        </w:tc>
        <w:tc>
          <w:tcPr>
            <w:tcW w:w="3798" w:type="dxa"/>
            <w:tcBorders>
              <w:top w:val="nil"/>
              <w:left w:val="nil"/>
              <w:bottom w:val="nil"/>
              <w:right w:val="single" w:sz="4" w:space="0" w:color="000000"/>
            </w:tcBorders>
            <w:shd w:val="clear" w:color="000000" w:fill="FFFFFF"/>
            <w:hideMark/>
          </w:tcPr>
          <w:p w14:paraId="189EBF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Firmas encuestadoras: Para todos los efectos de la presente ley, se entenderán como firmas encuestadoras todas las personas jurídicas que publiquen encuestas, en cuyo objeto social se encuentre el levantamiento, recolección y procesamiento de datos para dar a conocer preferencias o tendencias políticas o electorales para procesos de decisión o elección mediante voto popular y se hayan registrado para tal fin en el Registro Nacional de Firmas Encuestadoras.</w:t>
            </w:r>
          </w:p>
        </w:tc>
        <w:tc>
          <w:tcPr>
            <w:tcW w:w="1480" w:type="dxa"/>
            <w:tcBorders>
              <w:top w:val="nil"/>
              <w:left w:val="nil"/>
              <w:bottom w:val="nil"/>
              <w:right w:val="single" w:sz="4" w:space="0" w:color="000000"/>
            </w:tcBorders>
            <w:shd w:val="clear" w:color="000000" w:fill="FFFFFF"/>
            <w:hideMark/>
          </w:tcPr>
          <w:p w14:paraId="1D2368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53DED4"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4BC062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2E88FB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Dicha información será verificada en su certificado de existencia y representación legal, expedido por la Cámara de Comercio correspondiente.</w:t>
            </w:r>
          </w:p>
        </w:tc>
        <w:tc>
          <w:tcPr>
            <w:tcW w:w="3798" w:type="dxa"/>
            <w:tcBorders>
              <w:top w:val="nil"/>
              <w:left w:val="nil"/>
              <w:bottom w:val="nil"/>
              <w:right w:val="single" w:sz="4" w:space="0" w:color="000000"/>
            </w:tcBorders>
            <w:shd w:val="clear" w:color="000000" w:fill="FFFFFF"/>
            <w:hideMark/>
          </w:tcPr>
          <w:p w14:paraId="582030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Dicha información será verificada en su certificado de existencia y representación legal, expedido por la Cámara de Comercio correspondiente.</w:t>
            </w:r>
          </w:p>
        </w:tc>
        <w:tc>
          <w:tcPr>
            <w:tcW w:w="1480" w:type="dxa"/>
            <w:tcBorders>
              <w:top w:val="nil"/>
              <w:left w:val="nil"/>
              <w:bottom w:val="nil"/>
              <w:right w:val="single" w:sz="4" w:space="0" w:color="000000"/>
            </w:tcBorders>
            <w:shd w:val="clear" w:color="000000" w:fill="FFFFFF"/>
            <w:hideMark/>
          </w:tcPr>
          <w:p w14:paraId="65F523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906881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4981E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Municipios de inclusión forzosa para la toma de muestras en investigaciones cuantitativas: serán aquellos municipios con una población igual o superior a 800,000 habitantes. </w:t>
            </w:r>
          </w:p>
        </w:tc>
        <w:tc>
          <w:tcPr>
            <w:tcW w:w="3798" w:type="dxa"/>
            <w:tcBorders>
              <w:top w:val="nil"/>
              <w:left w:val="nil"/>
              <w:bottom w:val="nil"/>
              <w:right w:val="single" w:sz="4" w:space="0" w:color="000000"/>
            </w:tcBorders>
            <w:shd w:val="clear" w:color="000000" w:fill="FFFFFF"/>
            <w:hideMark/>
          </w:tcPr>
          <w:p w14:paraId="2ACB19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Municipios de inclusión forzosa para la toma de muestras en investigaciones cuantitativas: serán aquellos municipios con una población igual o superior a 800,000 habitantes. </w:t>
            </w:r>
          </w:p>
        </w:tc>
        <w:tc>
          <w:tcPr>
            <w:tcW w:w="3798" w:type="dxa"/>
            <w:tcBorders>
              <w:top w:val="nil"/>
              <w:left w:val="nil"/>
              <w:bottom w:val="nil"/>
              <w:right w:val="single" w:sz="4" w:space="0" w:color="000000"/>
            </w:tcBorders>
            <w:shd w:val="clear" w:color="000000" w:fill="FFFFFF"/>
            <w:hideMark/>
          </w:tcPr>
          <w:p w14:paraId="4CAFDC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Municipios de inclusión forzosa para la toma de muestras en investigaciones cuantitativas: serán aquellos municipios con una población igual o superior a 800,000 habitantes. </w:t>
            </w:r>
          </w:p>
        </w:tc>
        <w:tc>
          <w:tcPr>
            <w:tcW w:w="1480" w:type="dxa"/>
            <w:tcBorders>
              <w:top w:val="nil"/>
              <w:left w:val="nil"/>
              <w:bottom w:val="nil"/>
              <w:right w:val="single" w:sz="4" w:space="0" w:color="000000"/>
            </w:tcBorders>
            <w:shd w:val="clear" w:color="000000" w:fill="FFFFFF"/>
            <w:hideMark/>
          </w:tcPr>
          <w:p w14:paraId="11A103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AFAD64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A9FAC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Municipios grandes para la toma de muestras en investigaciones cuantitativas: serán aquellos municipios con una población inferior a 799,999 y superior a 100,000 habitantes. </w:t>
            </w:r>
          </w:p>
        </w:tc>
        <w:tc>
          <w:tcPr>
            <w:tcW w:w="3798" w:type="dxa"/>
            <w:tcBorders>
              <w:top w:val="nil"/>
              <w:left w:val="nil"/>
              <w:bottom w:val="nil"/>
              <w:right w:val="single" w:sz="4" w:space="0" w:color="000000"/>
            </w:tcBorders>
            <w:shd w:val="clear" w:color="000000" w:fill="FFFFFF"/>
            <w:hideMark/>
          </w:tcPr>
          <w:p w14:paraId="1A9761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Municipios grandes para la toma de muestras en investigaciones cuantitativas: serán aquellos municipios con una población inferior a 799,999 y superior a 100,000 habitantes. </w:t>
            </w:r>
          </w:p>
        </w:tc>
        <w:tc>
          <w:tcPr>
            <w:tcW w:w="3798" w:type="dxa"/>
            <w:tcBorders>
              <w:top w:val="nil"/>
              <w:left w:val="nil"/>
              <w:bottom w:val="nil"/>
              <w:right w:val="single" w:sz="4" w:space="0" w:color="000000"/>
            </w:tcBorders>
            <w:shd w:val="clear" w:color="000000" w:fill="FFFFFF"/>
            <w:hideMark/>
          </w:tcPr>
          <w:p w14:paraId="3C94DC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Municipios grandes para la toma de muestras en investigaciones cuantitativas: serán aquellos municipios con una población inferior a 799,999 y superior a 100,000 habitantes. </w:t>
            </w:r>
          </w:p>
        </w:tc>
        <w:tc>
          <w:tcPr>
            <w:tcW w:w="1480" w:type="dxa"/>
            <w:tcBorders>
              <w:top w:val="nil"/>
              <w:left w:val="nil"/>
              <w:bottom w:val="nil"/>
              <w:right w:val="single" w:sz="4" w:space="0" w:color="000000"/>
            </w:tcBorders>
            <w:shd w:val="clear" w:color="000000" w:fill="FFFFFF"/>
            <w:hideMark/>
          </w:tcPr>
          <w:p w14:paraId="35CAAA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26F14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3FC02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Municipios medianos para la toma de muestras en investigaciones cuantitativas: serán aquellos municipios con una población inferior a 99,999 habitantes y superior a 50,000 habitantes. </w:t>
            </w:r>
          </w:p>
        </w:tc>
        <w:tc>
          <w:tcPr>
            <w:tcW w:w="3798" w:type="dxa"/>
            <w:tcBorders>
              <w:top w:val="nil"/>
              <w:left w:val="nil"/>
              <w:bottom w:val="nil"/>
              <w:right w:val="single" w:sz="4" w:space="0" w:color="000000"/>
            </w:tcBorders>
            <w:shd w:val="clear" w:color="000000" w:fill="FFFFFF"/>
            <w:hideMark/>
          </w:tcPr>
          <w:p w14:paraId="35F870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Municipios medianos para la toma de muestras en investigaciones cuantitativas: serán aquellos municipios con una población inferior a 99,999 habitantes y superior a 50,000 habitantes. </w:t>
            </w:r>
          </w:p>
        </w:tc>
        <w:tc>
          <w:tcPr>
            <w:tcW w:w="3798" w:type="dxa"/>
            <w:tcBorders>
              <w:top w:val="nil"/>
              <w:left w:val="nil"/>
              <w:bottom w:val="nil"/>
              <w:right w:val="single" w:sz="4" w:space="0" w:color="000000"/>
            </w:tcBorders>
            <w:shd w:val="clear" w:color="000000" w:fill="FFFFFF"/>
            <w:hideMark/>
          </w:tcPr>
          <w:p w14:paraId="16F8C2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Municipios medianos para la toma de muestras en investigaciones cuantitativas: serán aquellos municipios con una población inferior a 99,999 habitantes y superior a 50,000 habitantes. </w:t>
            </w:r>
          </w:p>
        </w:tc>
        <w:tc>
          <w:tcPr>
            <w:tcW w:w="1480" w:type="dxa"/>
            <w:tcBorders>
              <w:top w:val="nil"/>
              <w:left w:val="nil"/>
              <w:bottom w:val="nil"/>
              <w:right w:val="single" w:sz="4" w:space="0" w:color="000000"/>
            </w:tcBorders>
            <w:shd w:val="clear" w:color="000000" w:fill="FFFFFF"/>
            <w:hideMark/>
          </w:tcPr>
          <w:p w14:paraId="60596F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75A7885"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0B02C3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Municipios pequeños para la toma de muestras en investigaciones cuantitativas: serán aquellos municipios con una población inferior a 50,000 habitantes. </w:t>
            </w:r>
          </w:p>
        </w:tc>
        <w:tc>
          <w:tcPr>
            <w:tcW w:w="3798" w:type="dxa"/>
            <w:tcBorders>
              <w:top w:val="nil"/>
              <w:left w:val="nil"/>
              <w:bottom w:val="single" w:sz="4" w:space="0" w:color="000000"/>
              <w:right w:val="single" w:sz="4" w:space="0" w:color="000000"/>
            </w:tcBorders>
            <w:shd w:val="clear" w:color="000000" w:fill="FFFFFF"/>
            <w:hideMark/>
          </w:tcPr>
          <w:p w14:paraId="041995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Municipios pequeños para la toma de muestras en investigaciones cuantitativas: serán aquellos municipios con una población inferior a 50,000 habitantes. </w:t>
            </w:r>
          </w:p>
        </w:tc>
        <w:tc>
          <w:tcPr>
            <w:tcW w:w="3798" w:type="dxa"/>
            <w:tcBorders>
              <w:top w:val="nil"/>
              <w:left w:val="nil"/>
              <w:bottom w:val="single" w:sz="4" w:space="0" w:color="000000"/>
              <w:right w:val="single" w:sz="4" w:space="0" w:color="000000"/>
            </w:tcBorders>
            <w:shd w:val="clear" w:color="000000" w:fill="FFFFFF"/>
            <w:hideMark/>
          </w:tcPr>
          <w:p w14:paraId="6475C9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Municipios pequeños para la toma de muestras en investigaciones cuantitativas: serán aquellos municipios con una población inferior a 50,000 habitantes. </w:t>
            </w:r>
          </w:p>
        </w:tc>
        <w:tc>
          <w:tcPr>
            <w:tcW w:w="1480" w:type="dxa"/>
            <w:tcBorders>
              <w:top w:val="nil"/>
              <w:left w:val="nil"/>
              <w:bottom w:val="single" w:sz="4" w:space="0" w:color="000000"/>
              <w:right w:val="single" w:sz="4" w:space="0" w:color="000000"/>
            </w:tcBorders>
            <w:shd w:val="clear" w:color="000000" w:fill="FFFFFF"/>
            <w:hideMark/>
          </w:tcPr>
          <w:p w14:paraId="15C450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74B4F91" w14:textId="77777777" w:rsidTr="00222F34">
        <w:trPr>
          <w:trHeight w:val="4200"/>
        </w:trPr>
        <w:tc>
          <w:tcPr>
            <w:tcW w:w="3798" w:type="dxa"/>
            <w:tcBorders>
              <w:top w:val="nil"/>
              <w:left w:val="single" w:sz="4" w:space="0" w:color="000000"/>
              <w:bottom w:val="nil"/>
              <w:right w:val="single" w:sz="4" w:space="0" w:color="000000"/>
            </w:tcBorders>
            <w:shd w:val="clear" w:color="000000" w:fill="FFFFFF"/>
            <w:hideMark/>
          </w:tcPr>
          <w:p w14:paraId="54CE449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103.- De la Selección de la Muestra.</w:t>
            </w:r>
            <w:r w:rsidRPr="00222F34">
              <w:rPr>
                <w:rFonts w:ascii="Calibri" w:eastAsia="Times New Roman" w:hAnsi="Calibri" w:cs="Calibri"/>
                <w:color w:val="000000"/>
                <w:lang w:val="es-CO" w:eastAsia="es-CO" w:bidi="ar-SA"/>
              </w:rPr>
              <w:t xml:space="preserve"> 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 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  </w:t>
            </w:r>
          </w:p>
        </w:tc>
        <w:tc>
          <w:tcPr>
            <w:tcW w:w="3798" w:type="dxa"/>
            <w:tcBorders>
              <w:top w:val="nil"/>
              <w:left w:val="nil"/>
              <w:bottom w:val="nil"/>
              <w:right w:val="single" w:sz="4" w:space="0" w:color="000000"/>
            </w:tcBorders>
            <w:shd w:val="clear" w:color="000000" w:fill="FFFFFF"/>
            <w:hideMark/>
          </w:tcPr>
          <w:p w14:paraId="0829DF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106. De la Selección de la Muestra.</w:t>
            </w:r>
            <w:r w:rsidRPr="00222F34">
              <w:rPr>
                <w:rFonts w:ascii="Calibri" w:eastAsia="Times New Roman" w:hAnsi="Calibri" w:cs="Calibri"/>
                <w:color w:val="000000"/>
                <w:lang w:val="es-CO" w:eastAsia="es-CO" w:bidi="ar-SA"/>
              </w:rPr>
              <w:t xml:space="preserve"> 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 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p>
        </w:tc>
        <w:tc>
          <w:tcPr>
            <w:tcW w:w="3798" w:type="dxa"/>
            <w:tcBorders>
              <w:top w:val="nil"/>
              <w:left w:val="nil"/>
              <w:bottom w:val="nil"/>
              <w:right w:val="single" w:sz="4" w:space="0" w:color="000000"/>
            </w:tcBorders>
            <w:shd w:val="clear" w:color="000000" w:fill="FFFFFF"/>
            <w:hideMark/>
          </w:tcPr>
          <w:p w14:paraId="497B5C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106. De la Selección de la Muestra.</w:t>
            </w:r>
            <w:r w:rsidRPr="00222F34">
              <w:rPr>
                <w:rFonts w:ascii="Calibri" w:eastAsia="Times New Roman" w:hAnsi="Calibri" w:cs="Calibri"/>
                <w:color w:val="000000"/>
                <w:lang w:val="es-CO" w:eastAsia="es-CO" w:bidi="ar-SA"/>
              </w:rPr>
              <w:t xml:space="preserve"> 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 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p>
        </w:tc>
        <w:tc>
          <w:tcPr>
            <w:tcW w:w="1480" w:type="dxa"/>
            <w:tcBorders>
              <w:top w:val="nil"/>
              <w:left w:val="nil"/>
              <w:bottom w:val="nil"/>
              <w:right w:val="single" w:sz="4" w:space="0" w:color="000000"/>
            </w:tcBorders>
            <w:shd w:val="clear" w:color="000000" w:fill="FFFFFF"/>
            <w:hideMark/>
          </w:tcPr>
          <w:p w14:paraId="1C9911C4" w14:textId="2A46A50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3BBD194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F382C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 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  </w:t>
            </w:r>
          </w:p>
        </w:tc>
        <w:tc>
          <w:tcPr>
            <w:tcW w:w="3798" w:type="dxa"/>
            <w:tcBorders>
              <w:top w:val="nil"/>
              <w:left w:val="nil"/>
              <w:bottom w:val="nil"/>
              <w:right w:val="single" w:sz="4" w:space="0" w:color="000000"/>
            </w:tcBorders>
            <w:shd w:val="clear" w:color="000000" w:fill="FFFFFF"/>
            <w:hideMark/>
          </w:tcPr>
          <w:p w14:paraId="090EB3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w:t>
            </w:r>
          </w:p>
        </w:tc>
        <w:tc>
          <w:tcPr>
            <w:tcW w:w="3798" w:type="dxa"/>
            <w:tcBorders>
              <w:top w:val="nil"/>
              <w:left w:val="nil"/>
              <w:bottom w:val="nil"/>
              <w:right w:val="single" w:sz="4" w:space="0" w:color="000000"/>
            </w:tcBorders>
            <w:shd w:val="clear" w:color="000000" w:fill="FFFFFF"/>
            <w:hideMark/>
          </w:tcPr>
          <w:p w14:paraId="1401D4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w:t>
            </w:r>
          </w:p>
        </w:tc>
        <w:tc>
          <w:tcPr>
            <w:tcW w:w="1480" w:type="dxa"/>
            <w:tcBorders>
              <w:top w:val="nil"/>
              <w:left w:val="nil"/>
              <w:bottom w:val="nil"/>
              <w:right w:val="single" w:sz="4" w:space="0" w:color="000000"/>
            </w:tcBorders>
            <w:shd w:val="clear" w:color="000000" w:fill="FFFFFF"/>
            <w:hideMark/>
          </w:tcPr>
          <w:p w14:paraId="2554A7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CB286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07EC0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  </w:t>
            </w:r>
          </w:p>
        </w:tc>
        <w:tc>
          <w:tcPr>
            <w:tcW w:w="3798" w:type="dxa"/>
            <w:tcBorders>
              <w:top w:val="nil"/>
              <w:left w:val="nil"/>
              <w:bottom w:val="nil"/>
              <w:right w:val="single" w:sz="4" w:space="0" w:color="000000"/>
            </w:tcBorders>
            <w:shd w:val="clear" w:color="000000" w:fill="FFFFFF"/>
            <w:hideMark/>
          </w:tcPr>
          <w:p w14:paraId="79BE4C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w:t>
            </w:r>
          </w:p>
        </w:tc>
        <w:tc>
          <w:tcPr>
            <w:tcW w:w="3798" w:type="dxa"/>
            <w:tcBorders>
              <w:top w:val="nil"/>
              <w:left w:val="nil"/>
              <w:bottom w:val="nil"/>
              <w:right w:val="single" w:sz="4" w:space="0" w:color="000000"/>
            </w:tcBorders>
            <w:shd w:val="clear" w:color="000000" w:fill="FFFFFF"/>
            <w:hideMark/>
          </w:tcPr>
          <w:p w14:paraId="1484ED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w:t>
            </w:r>
          </w:p>
        </w:tc>
        <w:tc>
          <w:tcPr>
            <w:tcW w:w="1480" w:type="dxa"/>
            <w:tcBorders>
              <w:top w:val="nil"/>
              <w:left w:val="nil"/>
              <w:bottom w:val="nil"/>
              <w:right w:val="single" w:sz="4" w:space="0" w:color="000000"/>
            </w:tcBorders>
            <w:shd w:val="clear" w:color="000000" w:fill="FFFFFF"/>
            <w:hideMark/>
          </w:tcPr>
          <w:p w14:paraId="4AAB11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AF03BB"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4FD8D2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 </w:t>
            </w:r>
          </w:p>
        </w:tc>
        <w:tc>
          <w:tcPr>
            <w:tcW w:w="3798" w:type="dxa"/>
            <w:tcBorders>
              <w:top w:val="nil"/>
              <w:left w:val="nil"/>
              <w:bottom w:val="single" w:sz="4" w:space="0" w:color="000000"/>
              <w:right w:val="single" w:sz="4" w:space="0" w:color="000000"/>
            </w:tcBorders>
            <w:shd w:val="clear" w:color="000000" w:fill="FFFFFF"/>
            <w:hideMark/>
          </w:tcPr>
          <w:p w14:paraId="4C161A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 con respecto a la población total del municipio o distrito.</w:t>
            </w:r>
          </w:p>
        </w:tc>
        <w:tc>
          <w:tcPr>
            <w:tcW w:w="3798" w:type="dxa"/>
            <w:tcBorders>
              <w:top w:val="nil"/>
              <w:left w:val="nil"/>
              <w:bottom w:val="single" w:sz="4" w:space="0" w:color="000000"/>
              <w:right w:val="single" w:sz="4" w:space="0" w:color="000000"/>
            </w:tcBorders>
            <w:shd w:val="clear" w:color="000000" w:fill="FFFFFF"/>
            <w:hideMark/>
          </w:tcPr>
          <w:p w14:paraId="06F40B3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 con respecto a la población total del municipio o distrito.</w:t>
            </w:r>
          </w:p>
        </w:tc>
        <w:tc>
          <w:tcPr>
            <w:tcW w:w="1480" w:type="dxa"/>
            <w:tcBorders>
              <w:top w:val="nil"/>
              <w:left w:val="nil"/>
              <w:bottom w:val="single" w:sz="4" w:space="0" w:color="000000"/>
              <w:right w:val="single" w:sz="4" w:space="0" w:color="000000"/>
            </w:tcBorders>
            <w:shd w:val="clear" w:color="000000" w:fill="FFFFFF"/>
            <w:hideMark/>
          </w:tcPr>
          <w:p w14:paraId="5B5F50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9929A89"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3F2F130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104.- Encuestas de conocimiento, favorabilidad política, opinión o intención del voto.</w:t>
            </w:r>
            <w:r w:rsidRPr="00222F34">
              <w:rPr>
                <w:rFonts w:ascii="Calibri" w:eastAsia="Times New Roman" w:hAnsi="Calibri" w:cs="Calibri"/>
                <w:color w:val="000000"/>
                <w:lang w:val="es-CO" w:eastAsia="es-CO" w:bidi="ar-SA"/>
              </w:rPr>
              <w:t xml:space="preserve"> Cuando se indague por el conocimiento, la favorabilidad política opinión o intención de voto la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quince por ciento (15%). </w:t>
            </w:r>
          </w:p>
        </w:tc>
        <w:tc>
          <w:tcPr>
            <w:tcW w:w="3798" w:type="dxa"/>
            <w:tcBorders>
              <w:top w:val="nil"/>
              <w:left w:val="nil"/>
              <w:bottom w:val="nil"/>
              <w:right w:val="single" w:sz="4" w:space="0" w:color="000000"/>
            </w:tcBorders>
            <w:shd w:val="clear" w:color="000000" w:fill="FFFFFF"/>
            <w:hideMark/>
          </w:tcPr>
          <w:p w14:paraId="0BF98A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107. Encuestas de conocimiento, favorabilidad política, opinión o intención del voto. </w:t>
            </w:r>
            <w:r w:rsidRPr="00222F34">
              <w:rPr>
                <w:rFonts w:ascii="Calibri" w:eastAsia="Times New Roman" w:hAnsi="Calibri" w:cs="Calibri"/>
                <w:color w:val="000000"/>
                <w:lang w:val="es-CO" w:eastAsia="es-CO" w:bidi="ar-SA"/>
              </w:rPr>
              <w:t>Cuando se indague por el conocimiento, la favorabilidad política opinión o intención de voto la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diez por ciento (10%).</w:t>
            </w:r>
          </w:p>
        </w:tc>
        <w:tc>
          <w:tcPr>
            <w:tcW w:w="3798" w:type="dxa"/>
            <w:tcBorders>
              <w:top w:val="nil"/>
              <w:left w:val="nil"/>
              <w:bottom w:val="nil"/>
              <w:right w:val="single" w:sz="4" w:space="0" w:color="000000"/>
            </w:tcBorders>
            <w:shd w:val="clear" w:color="000000" w:fill="FFFFFF"/>
            <w:hideMark/>
          </w:tcPr>
          <w:p w14:paraId="7F506D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107. Encuestas de conocimiento, favorabilidad política, opinión o intención del voto. </w:t>
            </w:r>
            <w:r w:rsidRPr="00222F34">
              <w:rPr>
                <w:rFonts w:ascii="Calibri" w:eastAsia="Times New Roman" w:hAnsi="Calibri" w:cs="Calibri"/>
                <w:color w:val="000000"/>
                <w:lang w:val="es-CO" w:eastAsia="es-CO" w:bidi="ar-SA"/>
              </w:rPr>
              <w:t>Cuando se indague por el conocimiento, la favorabilidad política opinión o intención de voto la sobre políticos o personajes 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diez por ciento (10%).</w:t>
            </w:r>
          </w:p>
        </w:tc>
        <w:tc>
          <w:tcPr>
            <w:tcW w:w="1480" w:type="dxa"/>
            <w:tcBorders>
              <w:top w:val="nil"/>
              <w:left w:val="nil"/>
              <w:bottom w:val="nil"/>
              <w:right w:val="single" w:sz="4" w:space="0" w:color="000000"/>
            </w:tcBorders>
            <w:shd w:val="clear" w:color="000000" w:fill="FFFFFF"/>
            <w:hideMark/>
          </w:tcPr>
          <w:p w14:paraId="4B76D9E9" w14:textId="4C72FEF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34F12F62"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783F39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Una vez haya finalizado el término para la inscripción, las encuestas deberán incluir a todos los candidatos inscritos para la respectiva contienda electoral. </w:t>
            </w:r>
          </w:p>
        </w:tc>
        <w:tc>
          <w:tcPr>
            <w:tcW w:w="3798" w:type="dxa"/>
            <w:tcBorders>
              <w:top w:val="nil"/>
              <w:left w:val="nil"/>
              <w:bottom w:val="single" w:sz="4" w:space="0" w:color="000000"/>
              <w:right w:val="single" w:sz="4" w:space="0" w:color="000000"/>
            </w:tcBorders>
            <w:shd w:val="clear" w:color="000000" w:fill="FFFFFF"/>
            <w:hideMark/>
          </w:tcPr>
          <w:p w14:paraId="2C9D65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haya finalizado el término para la inscripción, las encuestas deberán incluir a todos los candidatos inscritos para la respectiva contienda electoral.</w:t>
            </w:r>
          </w:p>
        </w:tc>
        <w:tc>
          <w:tcPr>
            <w:tcW w:w="3798" w:type="dxa"/>
            <w:tcBorders>
              <w:top w:val="nil"/>
              <w:left w:val="nil"/>
              <w:bottom w:val="single" w:sz="4" w:space="0" w:color="000000"/>
              <w:right w:val="single" w:sz="4" w:space="0" w:color="000000"/>
            </w:tcBorders>
            <w:shd w:val="clear" w:color="000000" w:fill="FFFFFF"/>
            <w:hideMark/>
          </w:tcPr>
          <w:p w14:paraId="2D537D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haya finalizado el término para la inscripción, las encuestas deberán incluir a todos los candidatos inscritos para la respectiva contienda electoral.</w:t>
            </w:r>
          </w:p>
        </w:tc>
        <w:tc>
          <w:tcPr>
            <w:tcW w:w="1480" w:type="dxa"/>
            <w:tcBorders>
              <w:top w:val="nil"/>
              <w:left w:val="nil"/>
              <w:bottom w:val="single" w:sz="4" w:space="0" w:color="000000"/>
              <w:right w:val="single" w:sz="4" w:space="0" w:color="000000"/>
            </w:tcBorders>
            <w:shd w:val="clear" w:color="000000" w:fill="FFFFFF"/>
            <w:hideMark/>
          </w:tcPr>
          <w:p w14:paraId="771327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94551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3B397C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105.- Requisitos formales para la publicación de encuestas.</w:t>
            </w:r>
            <w:r w:rsidRPr="00222F34">
              <w:rPr>
                <w:rFonts w:ascii="Calibri" w:eastAsia="Times New Roman" w:hAnsi="Calibri" w:cs="Calibri"/>
                <w:color w:val="000000"/>
                <w:lang w:val="es-CO" w:eastAsia="es-CO" w:bidi="ar-SA"/>
              </w:rPr>
              <w:t xml:space="preserve"> Toda encuesta de opinión de carácter electoral al ser publicada o difundida, tendrá que serlo en su totalidad y deberá indicar de manera clara y visible la siguiente información, a manera de ficha técnica: </w:t>
            </w:r>
          </w:p>
        </w:tc>
        <w:tc>
          <w:tcPr>
            <w:tcW w:w="3798" w:type="dxa"/>
            <w:tcBorders>
              <w:top w:val="nil"/>
              <w:left w:val="nil"/>
              <w:bottom w:val="nil"/>
              <w:right w:val="single" w:sz="4" w:space="0" w:color="000000"/>
            </w:tcBorders>
            <w:shd w:val="clear" w:color="000000" w:fill="FFFFFF"/>
            <w:hideMark/>
          </w:tcPr>
          <w:p w14:paraId="3BD334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108. Requisitos formales para la publicación de encuestas.</w:t>
            </w:r>
            <w:r w:rsidRPr="00222F34">
              <w:rPr>
                <w:rFonts w:ascii="Calibri" w:eastAsia="Times New Roman" w:hAnsi="Calibri" w:cs="Calibri"/>
                <w:color w:val="000000"/>
                <w:lang w:val="es-CO" w:eastAsia="es-CO" w:bidi="ar-SA"/>
              </w:rPr>
              <w:t xml:space="preserve"> Toda encuesta de opinión de carácter electoral al ser publicada o difundida, tendrá que serlo en su totalidad y deberá indicar de manera clara y visible la siguiente información, a manera de ficha técnica:</w:t>
            </w:r>
          </w:p>
        </w:tc>
        <w:tc>
          <w:tcPr>
            <w:tcW w:w="3798" w:type="dxa"/>
            <w:tcBorders>
              <w:top w:val="nil"/>
              <w:left w:val="nil"/>
              <w:bottom w:val="nil"/>
              <w:right w:val="single" w:sz="4" w:space="0" w:color="000000"/>
            </w:tcBorders>
            <w:shd w:val="clear" w:color="000000" w:fill="FFFFFF"/>
            <w:hideMark/>
          </w:tcPr>
          <w:p w14:paraId="309B29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108. Requisitos formales para la publicación de encuestas.</w:t>
            </w:r>
            <w:r w:rsidRPr="00222F34">
              <w:rPr>
                <w:rFonts w:ascii="Calibri" w:eastAsia="Times New Roman" w:hAnsi="Calibri" w:cs="Calibri"/>
                <w:color w:val="000000"/>
                <w:lang w:val="es-CO" w:eastAsia="es-CO" w:bidi="ar-SA"/>
              </w:rPr>
              <w:t xml:space="preserve"> Toda encuesta de opinión de carácter electoral al ser publicada o difundida, tendrá que serlo en su totalidad y deberá indicar de manera clara y visible la siguiente información, a manera de ficha técnica:</w:t>
            </w:r>
          </w:p>
        </w:tc>
        <w:tc>
          <w:tcPr>
            <w:tcW w:w="1480" w:type="dxa"/>
            <w:tcBorders>
              <w:top w:val="nil"/>
              <w:left w:val="nil"/>
              <w:bottom w:val="nil"/>
              <w:right w:val="single" w:sz="4" w:space="0" w:color="000000"/>
            </w:tcBorders>
            <w:shd w:val="clear" w:color="000000" w:fill="FFFFFF"/>
            <w:hideMark/>
          </w:tcPr>
          <w:p w14:paraId="4B8F253C" w14:textId="6825288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9144A6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E9091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La persona natural o jurídica que la realizó y la encomendó.  </w:t>
            </w:r>
          </w:p>
        </w:tc>
        <w:tc>
          <w:tcPr>
            <w:tcW w:w="3798" w:type="dxa"/>
            <w:tcBorders>
              <w:top w:val="nil"/>
              <w:left w:val="nil"/>
              <w:bottom w:val="nil"/>
              <w:right w:val="single" w:sz="4" w:space="0" w:color="000000"/>
            </w:tcBorders>
            <w:shd w:val="clear" w:color="000000" w:fill="FFFFFF"/>
            <w:hideMark/>
          </w:tcPr>
          <w:p w14:paraId="1B2795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persona natural o jurídica que la realizó y la encomendó.  </w:t>
            </w:r>
          </w:p>
        </w:tc>
        <w:tc>
          <w:tcPr>
            <w:tcW w:w="3798" w:type="dxa"/>
            <w:tcBorders>
              <w:top w:val="nil"/>
              <w:left w:val="nil"/>
              <w:bottom w:val="nil"/>
              <w:right w:val="single" w:sz="4" w:space="0" w:color="000000"/>
            </w:tcBorders>
            <w:shd w:val="clear" w:color="000000" w:fill="FFFFFF"/>
            <w:hideMark/>
          </w:tcPr>
          <w:p w14:paraId="58A700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persona natural o jurídica que la realizó y la encomendó.  </w:t>
            </w:r>
          </w:p>
        </w:tc>
        <w:tc>
          <w:tcPr>
            <w:tcW w:w="1480" w:type="dxa"/>
            <w:tcBorders>
              <w:top w:val="nil"/>
              <w:left w:val="nil"/>
              <w:bottom w:val="nil"/>
              <w:right w:val="single" w:sz="4" w:space="0" w:color="000000"/>
            </w:tcBorders>
            <w:shd w:val="clear" w:color="000000" w:fill="FFFFFF"/>
            <w:hideMark/>
          </w:tcPr>
          <w:p w14:paraId="19C8D8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7B85B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A7629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fuente de su financiación. </w:t>
            </w:r>
          </w:p>
        </w:tc>
        <w:tc>
          <w:tcPr>
            <w:tcW w:w="3798" w:type="dxa"/>
            <w:tcBorders>
              <w:top w:val="nil"/>
              <w:left w:val="nil"/>
              <w:bottom w:val="nil"/>
              <w:right w:val="single" w:sz="4" w:space="0" w:color="000000"/>
            </w:tcBorders>
            <w:shd w:val="clear" w:color="000000" w:fill="FFFFFF"/>
            <w:hideMark/>
          </w:tcPr>
          <w:p w14:paraId="122E91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fuente de su financiación. </w:t>
            </w:r>
          </w:p>
        </w:tc>
        <w:tc>
          <w:tcPr>
            <w:tcW w:w="3798" w:type="dxa"/>
            <w:tcBorders>
              <w:top w:val="nil"/>
              <w:left w:val="nil"/>
              <w:bottom w:val="nil"/>
              <w:right w:val="single" w:sz="4" w:space="0" w:color="000000"/>
            </w:tcBorders>
            <w:shd w:val="clear" w:color="000000" w:fill="FFFFFF"/>
            <w:hideMark/>
          </w:tcPr>
          <w:p w14:paraId="1F7DFD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fuente de su financiación. </w:t>
            </w:r>
          </w:p>
        </w:tc>
        <w:tc>
          <w:tcPr>
            <w:tcW w:w="1480" w:type="dxa"/>
            <w:tcBorders>
              <w:top w:val="nil"/>
              <w:left w:val="nil"/>
              <w:bottom w:val="nil"/>
              <w:right w:val="single" w:sz="4" w:space="0" w:color="000000"/>
            </w:tcBorders>
            <w:shd w:val="clear" w:color="000000" w:fill="FFFFFF"/>
            <w:hideMark/>
          </w:tcPr>
          <w:p w14:paraId="3F6E2B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6E40A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DC576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El tipo y tamaño de la muestra.  </w:t>
            </w:r>
          </w:p>
        </w:tc>
        <w:tc>
          <w:tcPr>
            <w:tcW w:w="3798" w:type="dxa"/>
            <w:tcBorders>
              <w:top w:val="nil"/>
              <w:left w:val="nil"/>
              <w:bottom w:val="nil"/>
              <w:right w:val="single" w:sz="4" w:space="0" w:color="000000"/>
            </w:tcBorders>
            <w:shd w:val="clear" w:color="000000" w:fill="FFFFFF"/>
            <w:hideMark/>
          </w:tcPr>
          <w:p w14:paraId="3B62CE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El tipo y tamaño de la muestra.  </w:t>
            </w:r>
          </w:p>
        </w:tc>
        <w:tc>
          <w:tcPr>
            <w:tcW w:w="3798" w:type="dxa"/>
            <w:tcBorders>
              <w:top w:val="nil"/>
              <w:left w:val="nil"/>
              <w:bottom w:val="nil"/>
              <w:right w:val="single" w:sz="4" w:space="0" w:color="000000"/>
            </w:tcBorders>
            <w:shd w:val="clear" w:color="000000" w:fill="FFFFFF"/>
            <w:hideMark/>
          </w:tcPr>
          <w:p w14:paraId="58AB2F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El tipo y tamaño de la muestra.  </w:t>
            </w:r>
          </w:p>
        </w:tc>
        <w:tc>
          <w:tcPr>
            <w:tcW w:w="1480" w:type="dxa"/>
            <w:tcBorders>
              <w:top w:val="nil"/>
              <w:left w:val="nil"/>
              <w:bottom w:val="nil"/>
              <w:right w:val="single" w:sz="4" w:space="0" w:color="000000"/>
            </w:tcBorders>
            <w:shd w:val="clear" w:color="000000" w:fill="FFFFFF"/>
            <w:hideMark/>
          </w:tcPr>
          <w:p w14:paraId="3A4B93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6D829D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0B3EF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El tema o temas concretos a los que se refiere. </w:t>
            </w:r>
          </w:p>
        </w:tc>
        <w:tc>
          <w:tcPr>
            <w:tcW w:w="3798" w:type="dxa"/>
            <w:tcBorders>
              <w:top w:val="nil"/>
              <w:left w:val="nil"/>
              <w:bottom w:val="nil"/>
              <w:right w:val="single" w:sz="4" w:space="0" w:color="000000"/>
            </w:tcBorders>
            <w:shd w:val="clear" w:color="000000" w:fill="FFFFFF"/>
            <w:hideMark/>
          </w:tcPr>
          <w:p w14:paraId="320A66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El tema o temas concretos a los que se refiere. </w:t>
            </w:r>
          </w:p>
        </w:tc>
        <w:tc>
          <w:tcPr>
            <w:tcW w:w="3798" w:type="dxa"/>
            <w:tcBorders>
              <w:top w:val="nil"/>
              <w:left w:val="nil"/>
              <w:bottom w:val="nil"/>
              <w:right w:val="single" w:sz="4" w:space="0" w:color="000000"/>
            </w:tcBorders>
            <w:shd w:val="clear" w:color="000000" w:fill="FFFFFF"/>
            <w:hideMark/>
          </w:tcPr>
          <w:p w14:paraId="541673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El tema o temas concretos a los que se refiere. </w:t>
            </w:r>
          </w:p>
        </w:tc>
        <w:tc>
          <w:tcPr>
            <w:tcW w:w="1480" w:type="dxa"/>
            <w:tcBorders>
              <w:top w:val="nil"/>
              <w:left w:val="nil"/>
              <w:bottom w:val="nil"/>
              <w:right w:val="single" w:sz="4" w:space="0" w:color="000000"/>
            </w:tcBorders>
            <w:shd w:val="clear" w:color="000000" w:fill="FFFFFF"/>
            <w:hideMark/>
          </w:tcPr>
          <w:p w14:paraId="7C612B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C2147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DC9BC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El texto literal de la pregunta o preguntas formuladas, y el orden en el que se realizaron.  </w:t>
            </w:r>
          </w:p>
        </w:tc>
        <w:tc>
          <w:tcPr>
            <w:tcW w:w="3798" w:type="dxa"/>
            <w:tcBorders>
              <w:top w:val="nil"/>
              <w:left w:val="nil"/>
              <w:bottom w:val="nil"/>
              <w:right w:val="single" w:sz="4" w:space="0" w:color="000000"/>
            </w:tcBorders>
            <w:shd w:val="clear" w:color="000000" w:fill="FFFFFF"/>
            <w:hideMark/>
          </w:tcPr>
          <w:p w14:paraId="5F5158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El texto literal de la pregunta o preguntas formuladas, y el orden en el que se realizaron.  </w:t>
            </w:r>
          </w:p>
        </w:tc>
        <w:tc>
          <w:tcPr>
            <w:tcW w:w="3798" w:type="dxa"/>
            <w:tcBorders>
              <w:top w:val="nil"/>
              <w:left w:val="nil"/>
              <w:bottom w:val="nil"/>
              <w:right w:val="single" w:sz="4" w:space="0" w:color="000000"/>
            </w:tcBorders>
            <w:shd w:val="clear" w:color="000000" w:fill="FFFFFF"/>
            <w:hideMark/>
          </w:tcPr>
          <w:p w14:paraId="4EBB78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El texto literal de la pregunta o preguntas formuladas, y el orden en el que se realizaron.  </w:t>
            </w:r>
          </w:p>
        </w:tc>
        <w:tc>
          <w:tcPr>
            <w:tcW w:w="1480" w:type="dxa"/>
            <w:tcBorders>
              <w:top w:val="nil"/>
              <w:left w:val="nil"/>
              <w:bottom w:val="nil"/>
              <w:right w:val="single" w:sz="4" w:space="0" w:color="000000"/>
            </w:tcBorders>
            <w:shd w:val="clear" w:color="000000" w:fill="FFFFFF"/>
            <w:hideMark/>
          </w:tcPr>
          <w:p w14:paraId="08FDC0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D4FFE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59770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Los candidatos por quienes se indagó. </w:t>
            </w:r>
          </w:p>
        </w:tc>
        <w:tc>
          <w:tcPr>
            <w:tcW w:w="3798" w:type="dxa"/>
            <w:tcBorders>
              <w:top w:val="nil"/>
              <w:left w:val="nil"/>
              <w:bottom w:val="nil"/>
              <w:right w:val="single" w:sz="4" w:space="0" w:color="000000"/>
            </w:tcBorders>
            <w:shd w:val="clear" w:color="000000" w:fill="FFFFFF"/>
            <w:hideMark/>
          </w:tcPr>
          <w:p w14:paraId="4DB14D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Los candidatos por quienes se indagó. </w:t>
            </w:r>
          </w:p>
        </w:tc>
        <w:tc>
          <w:tcPr>
            <w:tcW w:w="3798" w:type="dxa"/>
            <w:tcBorders>
              <w:top w:val="nil"/>
              <w:left w:val="nil"/>
              <w:bottom w:val="nil"/>
              <w:right w:val="single" w:sz="4" w:space="0" w:color="000000"/>
            </w:tcBorders>
            <w:shd w:val="clear" w:color="000000" w:fill="FFFFFF"/>
            <w:hideMark/>
          </w:tcPr>
          <w:p w14:paraId="25F33D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Los candidatos por quienes se indagó. </w:t>
            </w:r>
          </w:p>
        </w:tc>
        <w:tc>
          <w:tcPr>
            <w:tcW w:w="1480" w:type="dxa"/>
            <w:tcBorders>
              <w:top w:val="nil"/>
              <w:left w:val="nil"/>
              <w:bottom w:val="nil"/>
              <w:right w:val="single" w:sz="4" w:space="0" w:color="000000"/>
            </w:tcBorders>
            <w:shd w:val="clear" w:color="000000" w:fill="FFFFFF"/>
            <w:hideMark/>
          </w:tcPr>
          <w:p w14:paraId="7F83F8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47A110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A6A69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El área y la fecha o período de tiempo en que se realizó.  </w:t>
            </w:r>
          </w:p>
        </w:tc>
        <w:tc>
          <w:tcPr>
            <w:tcW w:w="3798" w:type="dxa"/>
            <w:tcBorders>
              <w:top w:val="nil"/>
              <w:left w:val="nil"/>
              <w:bottom w:val="nil"/>
              <w:right w:val="single" w:sz="4" w:space="0" w:color="000000"/>
            </w:tcBorders>
            <w:shd w:val="clear" w:color="000000" w:fill="FFFFFF"/>
            <w:hideMark/>
          </w:tcPr>
          <w:p w14:paraId="5F614E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El área y la fecha o período de tiempo en que se realizó.  </w:t>
            </w:r>
          </w:p>
        </w:tc>
        <w:tc>
          <w:tcPr>
            <w:tcW w:w="3798" w:type="dxa"/>
            <w:tcBorders>
              <w:top w:val="nil"/>
              <w:left w:val="nil"/>
              <w:bottom w:val="nil"/>
              <w:right w:val="single" w:sz="4" w:space="0" w:color="000000"/>
            </w:tcBorders>
            <w:shd w:val="clear" w:color="000000" w:fill="FFFFFF"/>
            <w:hideMark/>
          </w:tcPr>
          <w:p w14:paraId="32FDEE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El área y la fecha o período de tiempo en que se realizó.  </w:t>
            </w:r>
          </w:p>
        </w:tc>
        <w:tc>
          <w:tcPr>
            <w:tcW w:w="1480" w:type="dxa"/>
            <w:tcBorders>
              <w:top w:val="nil"/>
              <w:left w:val="nil"/>
              <w:bottom w:val="nil"/>
              <w:right w:val="single" w:sz="4" w:space="0" w:color="000000"/>
            </w:tcBorders>
            <w:shd w:val="clear" w:color="000000" w:fill="FFFFFF"/>
            <w:hideMark/>
          </w:tcPr>
          <w:p w14:paraId="52ACA6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02336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9ECC4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El margen de error calculado.  </w:t>
            </w:r>
          </w:p>
        </w:tc>
        <w:tc>
          <w:tcPr>
            <w:tcW w:w="3798" w:type="dxa"/>
            <w:tcBorders>
              <w:top w:val="nil"/>
              <w:left w:val="nil"/>
              <w:bottom w:val="nil"/>
              <w:right w:val="single" w:sz="4" w:space="0" w:color="000000"/>
            </w:tcBorders>
            <w:shd w:val="clear" w:color="000000" w:fill="FFFFFF"/>
            <w:hideMark/>
          </w:tcPr>
          <w:p w14:paraId="2B3E96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El margen de error calculado.  </w:t>
            </w:r>
          </w:p>
        </w:tc>
        <w:tc>
          <w:tcPr>
            <w:tcW w:w="3798" w:type="dxa"/>
            <w:tcBorders>
              <w:top w:val="nil"/>
              <w:left w:val="nil"/>
              <w:bottom w:val="nil"/>
              <w:right w:val="single" w:sz="4" w:space="0" w:color="000000"/>
            </w:tcBorders>
            <w:shd w:val="clear" w:color="000000" w:fill="FFFFFF"/>
            <w:hideMark/>
          </w:tcPr>
          <w:p w14:paraId="1B1D5E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El margen de error calculado.  </w:t>
            </w:r>
          </w:p>
        </w:tc>
        <w:tc>
          <w:tcPr>
            <w:tcW w:w="1480" w:type="dxa"/>
            <w:tcBorders>
              <w:top w:val="nil"/>
              <w:left w:val="nil"/>
              <w:bottom w:val="nil"/>
              <w:right w:val="single" w:sz="4" w:space="0" w:color="000000"/>
            </w:tcBorders>
            <w:shd w:val="clear" w:color="000000" w:fill="FFFFFF"/>
            <w:hideMark/>
          </w:tcPr>
          <w:p w14:paraId="50B51C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2BFBD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279F8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Tipo de estudio con arreglo a las categorías descritas en la presente Ley.  </w:t>
            </w:r>
          </w:p>
        </w:tc>
        <w:tc>
          <w:tcPr>
            <w:tcW w:w="3798" w:type="dxa"/>
            <w:tcBorders>
              <w:top w:val="nil"/>
              <w:left w:val="nil"/>
              <w:bottom w:val="nil"/>
              <w:right w:val="single" w:sz="4" w:space="0" w:color="000000"/>
            </w:tcBorders>
            <w:shd w:val="clear" w:color="000000" w:fill="FFFFFF"/>
            <w:hideMark/>
          </w:tcPr>
          <w:p w14:paraId="3C3DBA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Tipo de estudio con arreglo a las categorías descritas en la presente Ley.  </w:t>
            </w:r>
          </w:p>
        </w:tc>
        <w:tc>
          <w:tcPr>
            <w:tcW w:w="3798" w:type="dxa"/>
            <w:tcBorders>
              <w:top w:val="nil"/>
              <w:left w:val="nil"/>
              <w:bottom w:val="nil"/>
              <w:right w:val="single" w:sz="4" w:space="0" w:color="000000"/>
            </w:tcBorders>
            <w:shd w:val="clear" w:color="000000" w:fill="FFFFFF"/>
            <w:hideMark/>
          </w:tcPr>
          <w:p w14:paraId="271985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Tipo de estudio con arreglo a las categorías descritas en la presente Ley.  </w:t>
            </w:r>
          </w:p>
        </w:tc>
        <w:tc>
          <w:tcPr>
            <w:tcW w:w="1480" w:type="dxa"/>
            <w:tcBorders>
              <w:top w:val="nil"/>
              <w:left w:val="nil"/>
              <w:bottom w:val="nil"/>
              <w:right w:val="single" w:sz="4" w:space="0" w:color="000000"/>
            </w:tcBorders>
            <w:shd w:val="clear" w:color="000000" w:fill="FFFFFF"/>
            <w:hideMark/>
          </w:tcPr>
          <w:p w14:paraId="192694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F53BD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A6A87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El propósito del estudio.  </w:t>
            </w:r>
          </w:p>
        </w:tc>
        <w:tc>
          <w:tcPr>
            <w:tcW w:w="3798" w:type="dxa"/>
            <w:tcBorders>
              <w:top w:val="nil"/>
              <w:left w:val="nil"/>
              <w:bottom w:val="nil"/>
              <w:right w:val="single" w:sz="4" w:space="0" w:color="000000"/>
            </w:tcBorders>
            <w:shd w:val="clear" w:color="000000" w:fill="FFFFFF"/>
            <w:hideMark/>
          </w:tcPr>
          <w:p w14:paraId="73DF42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El propósito del estudio.  </w:t>
            </w:r>
          </w:p>
        </w:tc>
        <w:tc>
          <w:tcPr>
            <w:tcW w:w="3798" w:type="dxa"/>
            <w:tcBorders>
              <w:top w:val="nil"/>
              <w:left w:val="nil"/>
              <w:bottom w:val="nil"/>
              <w:right w:val="single" w:sz="4" w:space="0" w:color="000000"/>
            </w:tcBorders>
            <w:shd w:val="clear" w:color="000000" w:fill="FFFFFF"/>
            <w:hideMark/>
          </w:tcPr>
          <w:p w14:paraId="56F3FE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El propósito del estudio.  </w:t>
            </w:r>
          </w:p>
        </w:tc>
        <w:tc>
          <w:tcPr>
            <w:tcW w:w="1480" w:type="dxa"/>
            <w:tcBorders>
              <w:top w:val="nil"/>
              <w:left w:val="nil"/>
              <w:bottom w:val="nil"/>
              <w:right w:val="single" w:sz="4" w:space="0" w:color="000000"/>
            </w:tcBorders>
            <w:shd w:val="clear" w:color="000000" w:fill="FFFFFF"/>
            <w:hideMark/>
          </w:tcPr>
          <w:p w14:paraId="696508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E72B31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2068C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Universo representado.  </w:t>
            </w:r>
          </w:p>
        </w:tc>
        <w:tc>
          <w:tcPr>
            <w:tcW w:w="3798" w:type="dxa"/>
            <w:tcBorders>
              <w:top w:val="nil"/>
              <w:left w:val="nil"/>
              <w:bottom w:val="nil"/>
              <w:right w:val="single" w:sz="4" w:space="0" w:color="000000"/>
            </w:tcBorders>
            <w:shd w:val="clear" w:color="000000" w:fill="FFFFFF"/>
            <w:hideMark/>
          </w:tcPr>
          <w:p w14:paraId="605207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Universo representado.  </w:t>
            </w:r>
          </w:p>
        </w:tc>
        <w:tc>
          <w:tcPr>
            <w:tcW w:w="3798" w:type="dxa"/>
            <w:tcBorders>
              <w:top w:val="nil"/>
              <w:left w:val="nil"/>
              <w:bottom w:val="nil"/>
              <w:right w:val="single" w:sz="4" w:space="0" w:color="000000"/>
            </w:tcBorders>
            <w:shd w:val="clear" w:color="000000" w:fill="FFFFFF"/>
            <w:hideMark/>
          </w:tcPr>
          <w:p w14:paraId="45F1CA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Universo representado.  </w:t>
            </w:r>
          </w:p>
        </w:tc>
        <w:tc>
          <w:tcPr>
            <w:tcW w:w="1480" w:type="dxa"/>
            <w:tcBorders>
              <w:top w:val="nil"/>
              <w:left w:val="nil"/>
              <w:bottom w:val="nil"/>
              <w:right w:val="single" w:sz="4" w:space="0" w:color="000000"/>
            </w:tcBorders>
            <w:shd w:val="clear" w:color="000000" w:fill="FFFFFF"/>
            <w:hideMark/>
          </w:tcPr>
          <w:p w14:paraId="67E385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FDCA60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14C20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Técnica utilizada para la selección de la muestra.  </w:t>
            </w:r>
          </w:p>
        </w:tc>
        <w:tc>
          <w:tcPr>
            <w:tcW w:w="3798" w:type="dxa"/>
            <w:tcBorders>
              <w:top w:val="nil"/>
              <w:left w:val="nil"/>
              <w:bottom w:val="nil"/>
              <w:right w:val="single" w:sz="4" w:space="0" w:color="000000"/>
            </w:tcBorders>
            <w:shd w:val="clear" w:color="000000" w:fill="FFFFFF"/>
            <w:hideMark/>
          </w:tcPr>
          <w:p w14:paraId="508DE7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Técnica utilizada para la selección de la muestra.  </w:t>
            </w:r>
          </w:p>
        </w:tc>
        <w:tc>
          <w:tcPr>
            <w:tcW w:w="3798" w:type="dxa"/>
            <w:tcBorders>
              <w:top w:val="nil"/>
              <w:left w:val="nil"/>
              <w:bottom w:val="nil"/>
              <w:right w:val="single" w:sz="4" w:space="0" w:color="000000"/>
            </w:tcBorders>
            <w:shd w:val="clear" w:color="000000" w:fill="FFFFFF"/>
            <w:hideMark/>
          </w:tcPr>
          <w:p w14:paraId="6F069A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Técnica utilizada para la selección de la muestra.  </w:t>
            </w:r>
          </w:p>
        </w:tc>
        <w:tc>
          <w:tcPr>
            <w:tcW w:w="1480" w:type="dxa"/>
            <w:tcBorders>
              <w:top w:val="nil"/>
              <w:left w:val="nil"/>
              <w:bottom w:val="nil"/>
              <w:right w:val="single" w:sz="4" w:space="0" w:color="000000"/>
            </w:tcBorders>
            <w:shd w:val="clear" w:color="000000" w:fill="FFFFFF"/>
            <w:hideMark/>
          </w:tcPr>
          <w:p w14:paraId="6B5F3E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A76217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EDA5F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Método de recolección de datos (persona a persona, telefónica, por correo u otra).  </w:t>
            </w:r>
          </w:p>
        </w:tc>
        <w:tc>
          <w:tcPr>
            <w:tcW w:w="3798" w:type="dxa"/>
            <w:tcBorders>
              <w:top w:val="nil"/>
              <w:left w:val="nil"/>
              <w:bottom w:val="nil"/>
              <w:right w:val="single" w:sz="4" w:space="0" w:color="000000"/>
            </w:tcBorders>
            <w:shd w:val="clear" w:color="000000" w:fill="FFFFFF"/>
            <w:hideMark/>
          </w:tcPr>
          <w:p w14:paraId="6AA15A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Método de recolección de datos (persona a persona, telefónica, por correo u otra).  </w:t>
            </w:r>
          </w:p>
        </w:tc>
        <w:tc>
          <w:tcPr>
            <w:tcW w:w="3798" w:type="dxa"/>
            <w:tcBorders>
              <w:top w:val="nil"/>
              <w:left w:val="nil"/>
              <w:bottom w:val="nil"/>
              <w:right w:val="single" w:sz="4" w:space="0" w:color="000000"/>
            </w:tcBorders>
            <w:shd w:val="clear" w:color="000000" w:fill="FFFFFF"/>
            <w:hideMark/>
          </w:tcPr>
          <w:p w14:paraId="4B06C4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Método de recolección de datos (persona a persona, telefónica, por correo u otra).  </w:t>
            </w:r>
          </w:p>
        </w:tc>
        <w:tc>
          <w:tcPr>
            <w:tcW w:w="1480" w:type="dxa"/>
            <w:tcBorders>
              <w:top w:val="nil"/>
              <w:left w:val="nil"/>
              <w:bottom w:val="nil"/>
              <w:right w:val="single" w:sz="4" w:space="0" w:color="000000"/>
            </w:tcBorders>
            <w:shd w:val="clear" w:color="000000" w:fill="FFFFFF"/>
            <w:hideMark/>
          </w:tcPr>
          <w:p w14:paraId="5DA127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735F4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0EE87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Personas o instituciones por quienes se indagó.  </w:t>
            </w:r>
          </w:p>
        </w:tc>
        <w:tc>
          <w:tcPr>
            <w:tcW w:w="3798" w:type="dxa"/>
            <w:tcBorders>
              <w:top w:val="nil"/>
              <w:left w:val="nil"/>
              <w:bottom w:val="nil"/>
              <w:right w:val="single" w:sz="4" w:space="0" w:color="000000"/>
            </w:tcBorders>
            <w:shd w:val="clear" w:color="000000" w:fill="FFFFFF"/>
            <w:hideMark/>
          </w:tcPr>
          <w:p w14:paraId="09C89F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Personas o instituciones por quienes se indagó.  </w:t>
            </w:r>
          </w:p>
        </w:tc>
        <w:tc>
          <w:tcPr>
            <w:tcW w:w="3798" w:type="dxa"/>
            <w:tcBorders>
              <w:top w:val="nil"/>
              <w:left w:val="nil"/>
              <w:bottom w:val="nil"/>
              <w:right w:val="single" w:sz="4" w:space="0" w:color="000000"/>
            </w:tcBorders>
            <w:shd w:val="clear" w:color="000000" w:fill="FFFFFF"/>
            <w:hideMark/>
          </w:tcPr>
          <w:p w14:paraId="70A3D8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Personas o instituciones por quienes se indagó.  </w:t>
            </w:r>
          </w:p>
        </w:tc>
        <w:tc>
          <w:tcPr>
            <w:tcW w:w="1480" w:type="dxa"/>
            <w:tcBorders>
              <w:top w:val="nil"/>
              <w:left w:val="nil"/>
              <w:bottom w:val="nil"/>
              <w:right w:val="single" w:sz="4" w:space="0" w:color="000000"/>
            </w:tcBorders>
            <w:shd w:val="clear" w:color="000000" w:fill="FFFFFF"/>
            <w:hideMark/>
          </w:tcPr>
          <w:p w14:paraId="58BFB4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2640EC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E1A36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Nivel de confiabilidad.  </w:t>
            </w:r>
          </w:p>
        </w:tc>
        <w:tc>
          <w:tcPr>
            <w:tcW w:w="3798" w:type="dxa"/>
            <w:tcBorders>
              <w:top w:val="nil"/>
              <w:left w:val="nil"/>
              <w:bottom w:val="nil"/>
              <w:right w:val="single" w:sz="4" w:space="0" w:color="000000"/>
            </w:tcBorders>
            <w:shd w:val="clear" w:color="000000" w:fill="FFFFFF"/>
            <w:hideMark/>
          </w:tcPr>
          <w:p w14:paraId="2EAB95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Nivel de confiabilidad.  </w:t>
            </w:r>
          </w:p>
        </w:tc>
        <w:tc>
          <w:tcPr>
            <w:tcW w:w="3798" w:type="dxa"/>
            <w:tcBorders>
              <w:top w:val="nil"/>
              <w:left w:val="nil"/>
              <w:bottom w:val="nil"/>
              <w:right w:val="single" w:sz="4" w:space="0" w:color="000000"/>
            </w:tcBorders>
            <w:shd w:val="clear" w:color="000000" w:fill="FFFFFF"/>
            <w:hideMark/>
          </w:tcPr>
          <w:p w14:paraId="078C12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Nivel de confiabilidad.  </w:t>
            </w:r>
          </w:p>
        </w:tc>
        <w:tc>
          <w:tcPr>
            <w:tcW w:w="1480" w:type="dxa"/>
            <w:tcBorders>
              <w:top w:val="nil"/>
              <w:left w:val="nil"/>
              <w:bottom w:val="nil"/>
              <w:right w:val="single" w:sz="4" w:space="0" w:color="000000"/>
            </w:tcBorders>
            <w:shd w:val="clear" w:color="000000" w:fill="FFFFFF"/>
            <w:hideMark/>
          </w:tcPr>
          <w:p w14:paraId="23BFDB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86A59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397A4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16. Declaración en la que se informe si hubo algún tipo de contraprestación por responder la encuesta. En caso de que se hubiere otorgado contraprestación, </w:t>
            </w:r>
            <w:r w:rsidRPr="00222F34">
              <w:rPr>
                <w:rFonts w:ascii="Calibri" w:eastAsia="Times New Roman" w:hAnsi="Calibri" w:cs="Calibri"/>
                <w:color w:val="000000"/>
                <w:lang w:val="es-CO" w:eastAsia="es-CO" w:bidi="ar-SA"/>
              </w:rPr>
              <w:lastRenderedPageBreak/>
              <w:t xml:space="preserve">se deberá declarar la naturaleza y el valor de dicha contraprestación.  </w:t>
            </w:r>
          </w:p>
        </w:tc>
        <w:tc>
          <w:tcPr>
            <w:tcW w:w="3798" w:type="dxa"/>
            <w:tcBorders>
              <w:top w:val="nil"/>
              <w:left w:val="nil"/>
              <w:bottom w:val="nil"/>
              <w:right w:val="single" w:sz="4" w:space="0" w:color="000000"/>
            </w:tcBorders>
            <w:shd w:val="clear" w:color="000000" w:fill="FFFFFF"/>
            <w:hideMark/>
          </w:tcPr>
          <w:p w14:paraId="0B8757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16. Declaración en la que se informe si hubo algún tipo de contraprestación por responder la encuesta. En caso de que se hubiere otorgado contraprestación, </w:t>
            </w:r>
            <w:r w:rsidRPr="00222F34">
              <w:rPr>
                <w:rFonts w:ascii="Calibri" w:eastAsia="Times New Roman" w:hAnsi="Calibri" w:cs="Calibri"/>
                <w:color w:val="000000"/>
                <w:lang w:val="es-CO" w:eastAsia="es-CO" w:bidi="ar-SA"/>
              </w:rPr>
              <w:lastRenderedPageBreak/>
              <w:t xml:space="preserve">se deberá declarar la naturaleza y el valor de dicha contraprestación.  </w:t>
            </w:r>
          </w:p>
        </w:tc>
        <w:tc>
          <w:tcPr>
            <w:tcW w:w="3798" w:type="dxa"/>
            <w:tcBorders>
              <w:top w:val="nil"/>
              <w:left w:val="nil"/>
              <w:bottom w:val="nil"/>
              <w:right w:val="single" w:sz="4" w:space="0" w:color="000000"/>
            </w:tcBorders>
            <w:shd w:val="clear" w:color="000000" w:fill="FFFFFF"/>
            <w:hideMark/>
          </w:tcPr>
          <w:p w14:paraId="623473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16. Declaración en la que se informe si hubo algún tipo de contraprestación por responder la encuesta. En caso de que se hubiere otorgado contraprestación, </w:t>
            </w:r>
            <w:r w:rsidRPr="00222F34">
              <w:rPr>
                <w:rFonts w:ascii="Calibri" w:eastAsia="Times New Roman" w:hAnsi="Calibri" w:cs="Calibri"/>
                <w:color w:val="000000"/>
                <w:lang w:val="es-CO" w:eastAsia="es-CO" w:bidi="ar-SA"/>
              </w:rPr>
              <w:lastRenderedPageBreak/>
              <w:t xml:space="preserve">se deberá declarar la naturaleza y el valor de dicha contraprestación.  </w:t>
            </w:r>
          </w:p>
        </w:tc>
        <w:tc>
          <w:tcPr>
            <w:tcW w:w="1480" w:type="dxa"/>
            <w:tcBorders>
              <w:top w:val="nil"/>
              <w:left w:val="nil"/>
              <w:bottom w:val="nil"/>
              <w:right w:val="single" w:sz="4" w:space="0" w:color="000000"/>
            </w:tcBorders>
            <w:shd w:val="clear" w:color="000000" w:fill="FFFFFF"/>
            <w:hideMark/>
          </w:tcPr>
          <w:p w14:paraId="112FE5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DBA6A2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98BA1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17. En toda publicación deberá incluirse, de manera resaltada y claramente visible, que todas las encuestas se ven afectadas por márgenes de error.  </w:t>
            </w:r>
          </w:p>
        </w:tc>
        <w:tc>
          <w:tcPr>
            <w:tcW w:w="3798" w:type="dxa"/>
            <w:tcBorders>
              <w:top w:val="nil"/>
              <w:left w:val="nil"/>
              <w:bottom w:val="nil"/>
              <w:right w:val="single" w:sz="4" w:space="0" w:color="000000"/>
            </w:tcBorders>
            <w:shd w:val="clear" w:color="000000" w:fill="FFFFFF"/>
            <w:hideMark/>
          </w:tcPr>
          <w:p w14:paraId="0CC7E0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17. En toda publicación deberá incluirse, de manera resaltada y claramente visible, que todas las encuestas se ven afectadas por márgenes de error.  </w:t>
            </w:r>
          </w:p>
        </w:tc>
        <w:tc>
          <w:tcPr>
            <w:tcW w:w="3798" w:type="dxa"/>
            <w:tcBorders>
              <w:top w:val="nil"/>
              <w:left w:val="nil"/>
              <w:bottom w:val="nil"/>
              <w:right w:val="single" w:sz="4" w:space="0" w:color="000000"/>
            </w:tcBorders>
            <w:shd w:val="clear" w:color="000000" w:fill="FFFFFF"/>
            <w:hideMark/>
          </w:tcPr>
          <w:p w14:paraId="6AECC0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17. En toda publicación deberá incluirse, de manera resaltada y claramente visible, que todas las encuestas se ven afectadas por márgenes de error.  </w:t>
            </w:r>
          </w:p>
        </w:tc>
        <w:tc>
          <w:tcPr>
            <w:tcW w:w="1480" w:type="dxa"/>
            <w:tcBorders>
              <w:top w:val="nil"/>
              <w:left w:val="nil"/>
              <w:bottom w:val="nil"/>
              <w:right w:val="single" w:sz="4" w:space="0" w:color="000000"/>
            </w:tcBorders>
            <w:shd w:val="clear" w:color="000000" w:fill="FFFFFF"/>
            <w:hideMark/>
          </w:tcPr>
          <w:p w14:paraId="17AD48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BACBC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386B0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18. El número efectivo de respuestas a cada una de las preguntas en forma individual. </w:t>
            </w:r>
          </w:p>
        </w:tc>
        <w:tc>
          <w:tcPr>
            <w:tcW w:w="3798" w:type="dxa"/>
            <w:tcBorders>
              <w:top w:val="nil"/>
              <w:left w:val="nil"/>
              <w:bottom w:val="nil"/>
              <w:right w:val="single" w:sz="4" w:space="0" w:color="000000"/>
            </w:tcBorders>
            <w:shd w:val="clear" w:color="000000" w:fill="FFFFFF"/>
            <w:hideMark/>
          </w:tcPr>
          <w:p w14:paraId="0122C5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18. El número efectivo de respuestas a cada una de las preguntas en forma individual. </w:t>
            </w:r>
          </w:p>
        </w:tc>
        <w:tc>
          <w:tcPr>
            <w:tcW w:w="3798" w:type="dxa"/>
            <w:tcBorders>
              <w:top w:val="nil"/>
              <w:left w:val="nil"/>
              <w:bottom w:val="nil"/>
              <w:right w:val="single" w:sz="4" w:space="0" w:color="000000"/>
            </w:tcBorders>
            <w:shd w:val="clear" w:color="000000" w:fill="FFFFFF"/>
            <w:hideMark/>
          </w:tcPr>
          <w:p w14:paraId="2E0E46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18. El número efectivo de respuestas a cada una de las preguntas en forma individual. </w:t>
            </w:r>
          </w:p>
        </w:tc>
        <w:tc>
          <w:tcPr>
            <w:tcW w:w="1480" w:type="dxa"/>
            <w:tcBorders>
              <w:top w:val="nil"/>
              <w:left w:val="nil"/>
              <w:bottom w:val="nil"/>
              <w:right w:val="single" w:sz="4" w:space="0" w:color="000000"/>
            </w:tcBorders>
            <w:shd w:val="clear" w:color="000000" w:fill="FFFFFF"/>
            <w:hideMark/>
          </w:tcPr>
          <w:p w14:paraId="74BDBA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864F0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228169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 </w:t>
            </w:r>
          </w:p>
        </w:tc>
        <w:tc>
          <w:tcPr>
            <w:tcW w:w="3798" w:type="dxa"/>
            <w:tcBorders>
              <w:top w:val="nil"/>
              <w:left w:val="nil"/>
              <w:bottom w:val="nil"/>
              <w:right w:val="single" w:sz="4" w:space="0" w:color="000000"/>
            </w:tcBorders>
            <w:shd w:val="clear" w:color="000000" w:fill="FFFFFF"/>
            <w:hideMark/>
          </w:tcPr>
          <w:p w14:paraId="06F85A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w:t>
            </w:r>
          </w:p>
        </w:tc>
        <w:tc>
          <w:tcPr>
            <w:tcW w:w="3798" w:type="dxa"/>
            <w:tcBorders>
              <w:top w:val="nil"/>
              <w:left w:val="nil"/>
              <w:bottom w:val="nil"/>
              <w:right w:val="single" w:sz="4" w:space="0" w:color="000000"/>
            </w:tcBorders>
            <w:shd w:val="clear" w:color="000000" w:fill="FFFFFF"/>
            <w:hideMark/>
          </w:tcPr>
          <w:p w14:paraId="00C430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w:t>
            </w:r>
          </w:p>
        </w:tc>
        <w:tc>
          <w:tcPr>
            <w:tcW w:w="1480" w:type="dxa"/>
            <w:tcBorders>
              <w:top w:val="nil"/>
              <w:left w:val="nil"/>
              <w:bottom w:val="nil"/>
              <w:right w:val="single" w:sz="4" w:space="0" w:color="000000"/>
            </w:tcBorders>
            <w:shd w:val="clear" w:color="000000" w:fill="FFFFFF"/>
            <w:hideMark/>
          </w:tcPr>
          <w:p w14:paraId="01743E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A252DA"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291F8E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w:t>
            </w:r>
            <w:r w:rsidRPr="00222F34">
              <w:rPr>
                <w:rFonts w:ascii="Calibri" w:eastAsia="Times New Roman" w:hAnsi="Calibri" w:cs="Calibri"/>
                <w:color w:val="000000"/>
                <w:lang w:val="es-CO" w:eastAsia="es-CO" w:bidi="ar-SA"/>
              </w:rPr>
              <w:lastRenderedPageBreak/>
              <w:t xml:space="preserve">deberá depositarse ante la Comisión Técnica y de Vigilancia de Encuestas en el momento mismo de la publicación. </w:t>
            </w:r>
          </w:p>
        </w:tc>
        <w:tc>
          <w:tcPr>
            <w:tcW w:w="3798" w:type="dxa"/>
            <w:tcBorders>
              <w:top w:val="nil"/>
              <w:left w:val="nil"/>
              <w:bottom w:val="nil"/>
              <w:right w:val="single" w:sz="4" w:space="0" w:color="000000"/>
            </w:tcBorders>
            <w:shd w:val="clear" w:color="000000" w:fill="FFFFFF"/>
            <w:hideMark/>
          </w:tcPr>
          <w:p w14:paraId="250744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2. </w:t>
            </w:r>
            <w:r w:rsidRPr="00222F34">
              <w:rPr>
                <w:rFonts w:ascii="Calibri" w:eastAsia="Times New Roman" w:hAnsi="Calibri" w:cs="Calibri"/>
                <w:color w:val="000000"/>
                <w:lang w:val="es-CO" w:eastAsia="es-CO" w:bidi="ar-SA"/>
              </w:rPr>
              <w:t xml:space="preserve">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w:t>
            </w:r>
            <w:r w:rsidRPr="00222F34">
              <w:rPr>
                <w:rFonts w:ascii="Calibri" w:eastAsia="Times New Roman" w:hAnsi="Calibri" w:cs="Calibri"/>
                <w:color w:val="000000"/>
                <w:lang w:val="es-CO" w:eastAsia="es-CO" w:bidi="ar-SA"/>
              </w:rPr>
              <w:lastRenderedPageBreak/>
              <w:t>deberá depositarse ante la Comisión Técnica y de Vigilancia de Encuestas en el momento mismo de la publicación.</w:t>
            </w:r>
          </w:p>
        </w:tc>
        <w:tc>
          <w:tcPr>
            <w:tcW w:w="3798" w:type="dxa"/>
            <w:tcBorders>
              <w:top w:val="nil"/>
              <w:left w:val="nil"/>
              <w:bottom w:val="nil"/>
              <w:right w:val="single" w:sz="4" w:space="0" w:color="000000"/>
            </w:tcBorders>
            <w:shd w:val="clear" w:color="000000" w:fill="FFFFFF"/>
            <w:hideMark/>
          </w:tcPr>
          <w:p w14:paraId="22D27F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2. </w:t>
            </w:r>
            <w:r w:rsidRPr="00222F34">
              <w:rPr>
                <w:rFonts w:ascii="Calibri" w:eastAsia="Times New Roman" w:hAnsi="Calibri" w:cs="Calibri"/>
                <w:color w:val="000000"/>
                <w:lang w:val="es-CO" w:eastAsia="es-CO" w:bidi="ar-SA"/>
              </w:rPr>
              <w:t xml:space="preserve">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w:t>
            </w:r>
            <w:r w:rsidRPr="00222F34">
              <w:rPr>
                <w:rFonts w:ascii="Calibri" w:eastAsia="Times New Roman" w:hAnsi="Calibri" w:cs="Calibri"/>
                <w:color w:val="000000"/>
                <w:lang w:val="es-CO" w:eastAsia="es-CO" w:bidi="ar-SA"/>
              </w:rPr>
              <w:lastRenderedPageBreak/>
              <w:t>deberá depositarse ante la Comisión Técnica y de Vigilancia de Encuestas en el momento mismo de la publicación.</w:t>
            </w:r>
          </w:p>
        </w:tc>
        <w:tc>
          <w:tcPr>
            <w:tcW w:w="1480" w:type="dxa"/>
            <w:tcBorders>
              <w:top w:val="nil"/>
              <w:left w:val="nil"/>
              <w:bottom w:val="nil"/>
              <w:right w:val="single" w:sz="4" w:space="0" w:color="000000"/>
            </w:tcBorders>
            <w:shd w:val="clear" w:color="000000" w:fill="FFFFFF"/>
            <w:hideMark/>
          </w:tcPr>
          <w:p w14:paraId="007618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3B33B6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75161F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Las encuestas o estudios de opinión que no cumplan con los requisitos establecidos en este artículo no podrán ser publicadas ni difundidas por los medios de comunicación en sus propios medios o en sus redes sociales. </w:t>
            </w:r>
          </w:p>
        </w:tc>
        <w:tc>
          <w:tcPr>
            <w:tcW w:w="3798" w:type="dxa"/>
            <w:tcBorders>
              <w:top w:val="nil"/>
              <w:left w:val="nil"/>
              <w:bottom w:val="nil"/>
              <w:right w:val="single" w:sz="4" w:space="0" w:color="000000"/>
            </w:tcBorders>
            <w:shd w:val="clear" w:color="000000" w:fill="FFFFFF"/>
            <w:hideMark/>
          </w:tcPr>
          <w:p w14:paraId="382928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Las encuestas o estudios de opinión que no cumplan con los requisitos establecidos en este artículo no podrán ser publicadas ni difundidas por los medios de comunicación en sus propios medios o en sus redes sociales.</w:t>
            </w:r>
          </w:p>
        </w:tc>
        <w:tc>
          <w:tcPr>
            <w:tcW w:w="3798" w:type="dxa"/>
            <w:tcBorders>
              <w:top w:val="nil"/>
              <w:left w:val="nil"/>
              <w:bottom w:val="nil"/>
              <w:right w:val="single" w:sz="4" w:space="0" w:color="000000"/>
            </w:tcBorders>
            <w:shd w:val="clear" w:color="000000" w:fill="FFFFFF"/>
            <w:hideMark/>
          </w:tcPr>
          <w:p w14:paraId="1E0AB2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Las encuestas o estudios de opinión que no cumplan con los requisitos establecidos en este artículo no podrán ser publicadas ni difundidas por los medios de comunicación en sus propios medios o en sus redes sociales.</w:t>
            </w:r>
          </w:p>
        </w:tc>
        <w:tc>
          <w:tcPr>
            <w:tcW w:w="1480" w:type="dxa"/>
            <w:tcBorders>
              <w:top w:val="nil"/>
              <w:left w:val="nil"/>
              <w:bottom w:val="nil"/>
              <w:right w:val="single" w:sz="4" w:space="0" w:color="000000"/>
            </w:tcBorders>
            <w:shd w:val="clear" w:color="000000" w:fill="FFFFFF"/>
            <w:hideMark/>
          </w:tcPr>
          <w:p w14:paraId="1B6E5B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A66F29"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DFB931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 </w:t>
            </w:r>
          </w:p>
        </w:tc>
        <w:tc>
          <w:tcPr>
            <w:tcW w:w="3798" w:type="dxa"/>
            <w:tcBorders>
              <w:top w:val="nil"/>
              <w:left w:val="nil"/>
              <w:bottom w:val="single" w:sz="4" w:space="0" w:color="000000"/>
              <w:right w:val="single" w:sz="4" w:space="0" w:color="000000"/>
            </w:tcBorders>
            <w:shd w:val="clear" w:color="000000" w:fill="FFFFFF"/>
            <w:hideMark/>
          </w:tcPr>
          <w:p w14:paraId="7747F3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w:t>
            </w:r>
          </w:p>
        </w:tc>
        <w:tc>
          <w:tcPr>
            <w:tcW w:w="3798" w:type="dxa"/>
            <w:tcBorders>
              <w:top w:val="nil"/>
              <w:left w:val="nil"/>
              <w:bottom w:val="single" w:sz="4" w:space="0" w:color="000000"/>
              <w:right w:val="single" w:sz="4" w:space="0" w:color="000000"/>
            </w:tcBorders>
            <w:shd w:val="clear" w:color="000000" w:fill="FFFFFF"/>
            <w:hideMark/>
          </w:tcPr>
          <w:p w14:paraId="1E642D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w:t>
            </w:r>
          </w:p>
        </w:tc>
        <w:tc>
          <w:tcPr>
            <w:tcW w:w="1480" w:type="dxa"/>
            <w:tcBorders>
              <w:top w:val="nil"/>
              <w:left w:val="nil"/>
              <w:bottom w:val="single" w:sz="4" w:space="0" w:color="000000"/>
              <w:right w:val="single" w:sz="4" w:space="0" w:color="000000"/>
            </w:tcBorders>
            <w:shd w:val="clear" w:color="000000" w:fill="FFFFFF"/>
            <w:hideMark/>
          </w:tcPr>
          <w:p w14:paraId="042B85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A6115E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0033F9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106.- Informe técnico.</w:t>
            </w:r>
            <w:r w:rsidRPr="00222F34">
              <w:rPr>
                <w:rFonts w:ascii="Calibri" w:eastAsia="Times New Roman" w:hAnsi="Calibri" w:cs="Calibri"/>
                <w:color w:val="000000"/>
                <w:lang w:val="es-CO" w:eastAsia="es-CO" w:bidi="ar-SA"/>
              </w:rPr>
              <w:t xml:space="preserve"> Con anterioridad a la publicación de la encuesta, las firmas encuestadoras deberán depositar ante el Consejo Nacional Electoral un informe técnico en el que se consigne la siguiente información: </w:t>
            </w:r>
          </w:p>
        </w:tc>
        <w:tc>
          <w:tcPr>
            <w:tcW w:w="3798" w:type="dxa"/>
            <w:tcBorders>
              <w:top w:val="nil"/>
              <w:left w:val="nil"/>
              <w:bottom w:val="nil"/>
              <w:right w:val="single" w:sz="4" w:space="0" w:color="000000"/>
            </w:tcBorders>
            <w:shd w:val="clear" w:color="000000" w:fill="FFFFFF"/>
            <w:hideMark/>
          </w:tcPr>
          <w:p w14:paraId="27ABCA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109. Informe técnico.</w:t>
            </w:r>
            <w:r w:rsidRPr="00222F34">
              <w:rPr>
                <w:rFonts w:ascii="Calibri" w:eastAsia="Times New Roman" w:hAnsi="Calibri" w:cs="Calibri"/>
                <w:color w:val="000000"/>
                <w:lang w:val="es-CO" w:eastAsia="es-CO" w:bidi="ar-SA"/>
              </w:rPr>
              <w:t xml:space="preserve"> Con anterioridad a la publicación de la encuesta, las firmas encuestadoras deberán depositar ante el Consejo Nacional Electoral un informe técnico en el que se consigne la siguiente información:</w:t>
            </w:r>
          </w:p>
        </w:tc>
        <w:tc>
          <w:tcPr>
            <w:tcW w:w="3798" w:type="dxa"/>
            <w:tcBorders>
              <w:top w:val="nil"/>
              <w:left w:val="nil"/>
              <w:bottom w:val="nil"/>
              <w:right w:val="single" w:sz="4" w:space="0" w:color="000000"/>
            </w:tcBorders>
            <w:shd w:val="clear" w:color="000000" w:fill="FFFFFF"/>
            <w:hideMark/>
          </w:tcPr>
          <w:p w14:paraId="047B6B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109. Informe técnico.</w:t>
            </w:r>
            <w:r w:rsidRPr="00222F34">
              <w:rPr>
                <w:rFonts w:ascii="Calibri" w:eastAsia="Times New Roman" w:hAnsi="Calibri" w:cs="Calibri"/>
                <w:color w:val="000000"/>
                <w:lang w:val="es-CO" w:eastAsia="es-CO" w:bidi="ar-SA"/>
              </w:rPr>
              <w:t xml:space="preserve"> Con anterioridad a la publicación de la encuesta, las firmas encuestadoras deberán depositar ante el Consejo Nacional Electoral un informe técnico en el que se consigne la siguiente información:</w:t>
            </w:r>
          </w:p>
        </w:tc>
        <w:tc>
          <w:tcPr>
            <w:tcW w:w="1480" w:type="dxa"/>
            <w:tcBorders>
              <w:top w:val="nil"/>
              <w:left w:val="nil"/>
              <w:bottom w:val="nil"/>
              <w:right w:val="single" w:sz="4" w:space="0" w:color="000000"/>
            </w:tcBorders>
            <w:shd w:val="clear" w:color="000000" w:fill="FFFFFF"/>
            <w:hideMark/>
          </w:tcPr>
          <w:p w14:paraId="0DE8E335" w14:textId="13C444C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E91927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99170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Copia del acto jurídico mediante el cual se encargó la encuesta. </w:t>
            </w:r>
          </w:p>
        </w:tc>
        <w:tc>
          <w:tcPr>
            <w:tcW w:w="3798" w:type="dxa"/>
            <w:tcBorders>
              <w:top w:val="nil"/>
              <w:left w:val="nil"/>
              <w:bottom w:val="nil"/>
              <w:right w:val="single" w:sz="4" w:space="0" w:color="000000"/>
            </w:tcBorders>
            <w:shd w:val="clear" w:color="000000" w:fill="FFFFFF"/>
            <w:hideMark/>
          </w:tcPr>
          <w:p w14:paraId="1B9D1E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Copia del acto jurídico mediante el cual se encargó la encuesta. </w:t>
            </w:r>
          </w:p>
        </w:tc>
        <w:tc>
          <w:tcPr>
            <w:tcW w:w="3798" w:type="dxa"/>
            <w:tcBorders>
              <w:top w:val="nil"/>
              <w:left w:val="nil"/>
              <w:bottom w:val="nil"/>
              <w:right w:val="single" w:sz="4" w:space="0" w:color="000000"/>
            </w:tcBorders>
            <w:shd w:val="clear" w:color="000000" w:fill="FFFFFF"/>
            <w:hideMark/>
          </w:tcPr>
          <w:p w14:paraId="759D6E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Copia del acto jurídico mediante el cual se encargó la encuesta. </w:t>
            </w:r>
          </w:p>
        </w:tc>
        <w:tc>
          <w:tcPr>
            <w:tcW w:w="1480" w:type="dxa"/>
            <w:tcBorders>
              <w:top w:val="nil"/>
              <w:left w:val="nil"/>
              <w:bottom w:val="nil"/>
              <w:right w:val="single" w:sz="4" w:space="0" w:color="000000"/>
            </w:tcBorders>
            <w:shd w:val="clear" w:color="000000" w:fill="FFFFFF"/>
            <w:hideMark/>
          </w:tcPr>
          <w:p w14:paraId="33A290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990FC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1AE01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Costo total de la encuesta.  </w:t>
            </w:r>
          </w:p>
        </w:tc>
        <w:tc>
          <w:tcPr>
            <w:tcW w:w="3798" w:type="dxa"/>
            <w:tcBorders>
              <w:top w:val="nil"/>
              <w:left w:val="nil"/>
              <w:bottom w:val="nil"/>
              <w:right w:val="single" w:sz="4" w:space="0" w:color="000000"/>
            </w:tcBorders>
            <w:shd w:val="clear" w:color="000000" w:fill="FFFFFF"/>
            <w:hideMark/>
          </w:tcPr>
          <w:p w14:paraId="7B75E2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Costo total de la encuesta.  </w:t>
            </w:r>
          </w:p>
        </w:tc>
        <w:tc>
          <w:tcPr>
            <w:tcW w:w="3798" w:type="dxa"/>
            <w:tcBorders>
              <w:top w:val="nil"/>
              <w:left w:val="nil"/>
              <w:bottom w:val="nil"/>
              <w:right w:val="single" w:sz="4" w:space="0" w:color="000000"/>
            </w:tcBorders>
            <w:shd w:val="clear" w:color="000000" w:fill="FFFFFF"/>
            <w:hideMark/>
          </w:tcPr>
          <w:p w14:paraId="748449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Costo total de la encuesta.  </w:t>
            </w:r>
          </w:p>
        </w:tc>
        <w:tc>
          <w:tcPr>
            <w:tcW w:w="1480" w:type="dxa"/>
            <w:tcBorders>
              <w:top w:val="nil"/>
              <w:left w:val="nil"/>
              <w:bottom w:val="nil"/>
              <w:right w:val="single" w:sz="4" w:space="0" w:color="000000"/>
            </w:tcBorders>
            <w:shd w:val="clear" w:color="000000" w:fill="FFFFFF"/>
            <w:hideMark/>
          </w:tcPr>
          <w:p w14:paraId="11F171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4004D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8FF33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Diseño muestral que evidencie la representatividad del estudio, el método de selección de la muestra y la trazabilidad de los datos. </w:t>
            </w:r>
          </w:p>
        </w:tc>
        <w:tc>
          <w:tcPr>
            <w:tcW w:w="3798" w:type="dxa"/>
            <w:tcBorders>
              <w:top w:val="nil"/>
              <w:left w:val="nil"/>
              <w:bottom w:val="nil"/>
              <w:right w:val="single" w:sz="4" w:space="0" w:color="000000"/>
            </w:tcBorders>
            <w:shd w:val="clear" w:color="000000" w:fill="FFFFFF"/>
            <w:hideMark/>
          </w:tcPr>
          <w:p w14:paraId="21652A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Diseño muestral que evidencie la representatividad del estudio, el método de selección de la muestra y la trazabilidad de los datos. </w:t>
            </w:r>
          </w:p>
        </w:tc>
        <w:tc>
          <w:tcPr>
            <w:tcW w:w="3798" w:type="dxa"/>
            <w:tcBorders>
              <w:top w:val="nil"/>
              <w:left w:val="nil"/>
              <w:bottom w:val="nil"/>
              <w:right w:val="single" w:sz="4" w:space="0" w:color="000000"/>
            </w:tcBorders>
            <w:shd w:val="clear" w:color="000000" w:fill="FFFFFF"/>
            <w:hideMark/>
          </w:tcPr>
          <w:p w14:paraId="410DF0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Diseño muestral que evidencie la representatividad del estudio, el método de selección de la muestra y la trazabilidad de los datos. </w:t>
            </w:r>
          </w:p>
        </w:tc>
        <w:tc>
          <w:tcPr>
            <w:tcW w:w="1480" w:type="dxa"/>
            <w:tcBorders>
              <w:top w:val="nil"/>
              <w:left w:val="nil"/>
              <w:bottom w:val="nil"/>
              <w:right w:val="single" w:sz="4" w:space="0" w:color="000000"/>
            </w:tcBorders>
            <w:shd w:val="clear" w:color="000000" w:fill="FFFFFF"/>
            <w:hideMark/>
          </w:tcPr>
          <w:p w14:paraId="4ED721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589F8B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690741D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costo total de la encuesta solo podrá ser publicado por el Consejo Nacional Electoral con el consentimiento expreso y por escrito del representante legal de la firma encuestadora depositante. </w:t>
            </w:r>
          </w:p>
        </w:tc>
        <w:tc>
          <w:tcPr>
            <w:tcW w:w="3798" w:type="dxa"/>
            <w:tcBorders>
              <w:top w:val="nil"/>
              <w:left w:val="nil"/>
              <w:bottom w:val="single" w:sz="4" w:space="0" w:color="000000"/>
              <w:right w:val="single" w:sz="4" w:space="0" w:color="000000"/>
            </w:tcBorders>
            <w:shd w:val="clear" w:color="000000" w:fill="FFFFFF"/>
            <w:hideMark/>
          </w:tcPr>
          <w:p w14:paraId="5676A2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costo total de la encuesta sólo podrá ser publicado por el Consejo Nacional Electoral con el consentimiento expreso y por escrito del representante legal de la firma encuestadora depositante.</w:t>
            </w:r>
          </w:p>
        </w:tc>
        <w:tc>
          <w:tcPr>
            <w:tcW w:w="3798" w:type="dxa"/>
            <w:tcBorders>
              <w:top w:val="nil"/>
              <w:left w:val="nil"/>
              <w:bottom w:val="single" w:sz="4" w:space="0" w:color="000000"/>
              <w:right w:val="single" w:sz="4" w:space="0" w:color="000000"/>
            </w:tcBorders>
            <w:shd w:val="clear" w:color="000000" w:fill="FFFFFF"/>
            <w:hideMark/>
          </w:tcPr>
          <w:p w14:paraId="203AC7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costo total de la encuesta sólo podrá ser publicado por el Consejo Nacional Electoral con el consentimiento expreso y por escrito del representante legal de la firma encuestadora depositante.</w:t>
            </w:r>
          </w:p>
        </w:tc>
        <w:tc>
          <w:tcPr>
            <w:tcW w:w="1480" w:type="dxa"/>
            <w:tcBorders>
              <w:top w:val="nil"/>
              <w:left w:val="nil"/>
              <w:bottom w:val="single" w:sz="4" w:space="0" w:color="000000"/>
              <w:right w:val="single" w:sz="4" w:space="0" w:color="000000"/>
            </w:tcBorders>
            <w:shd w:val="clear" w:color="000000" w:fill="FFFFFF"/>
            <w:hideMark/>
          </w:tcPr>
          <w:p w14:paraId="0A0AA5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C12A42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917276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107.- Comisión Técnica y de Vigilancia de Encuestas sobre Preferencias Políticas y Electorales.</w:t>
            </w:r>
            <w:r w:rsidRPr="00222F34">
              <w:rPr>
                <w:rFonts w:ascii="Calibri" w:eastAsia="Times New Roman" w:hAnsi="Calibri" w:cs="Calibri"/>
                <w:color w:val="000000"/>
                <w:lang w:val="es-CO" w:eastAsia="es-CO" w:bidi="ar-SA"/>
              </w:rPr>
              <w:t xml:space="preserve"> La Comisión Técnica y de Vigilancia de Encuestas sobre Preferencias Políticas y Electorales es un órgano técnico adscrito al Consejo Nacional Electoral, al que le corresponde verificar el cumplimiento de lo dispuesto en la presente ley. </w:t>
            </w:r>
          </w:p>
        </w:tc>
        <w:tc>
          <w:tcPr>
            <w:tcW w:w="3798" w:type="dxa"/>
            <w:tcBorders>
              <w:top w:val="nil"/>
              <w:left w:val="nil"/>
              <w:bottom w:val="nil"/>
              <w:right w:val="single" w:sz="4" w:space="0" w:color="000000"/>
            </w:tcBorders>
            <w:shd w:val="clear" w:color="000000" w:fill="FFFFFF"/>
            <w:hideMark/>
          </w:tcPr>
          <w:p w14:paraId="784F40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110. Comisión Técnica y de Vigilancia de Encuestas sobre Preferencias Políticas y Electorales</w:t>
            </w:r>
            <w:r w:rsidRPr="00222F34">
              <w:rPr>
                <w:rFonts w:ascii="Calibri" w:eastAsia="Times New Roman" w:hAnsi="Calibri" w:cs="Calibri"/>
                <w:color w:val="000000"/>
                <w:lang w:val="es-CO" w:eastAsia="es-CO" w:bidi="ar-SA"/>
              </w:rPr>
              <w:t>. La Comisión Técnica y de Vigilancia de Encuestas sobre Preferencias Políticas y Electorales es un órgano técnico adscrito al Consejo Nacional Electoral, al que le corresponde verificar el cumplimiento de lo dispuesto en la presente ley.</w:t>
            </w:r>
          </w:p>
        </w:tc>
        <w:tc>
          <w:tcPr>
            <w:tcW w:w="3798" w:type="dxa"/>
            <w:tcBorders>
              <w:top w:val="nil"/>
              <w:left w:val="nil"/>
              <w:bottom w:val="nil"/>
              <w:right w:val="single" w:sz="4" w:space="0" w:color="000000"/>
            </w:tcBorders>
            <w:shd w:val="clear" w:color="000000" w:fill="FFFFFF"/>
            <w:hideMark/>
          </w:tcPr>
          <w:p w14:paraId="1360F3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110. Comisión Técnica y de Vigilancia de Encuestas sobre Preferencias Políticas y Electorales</w:t>
            </w:r>
            <w:r w:rsidRPr="00222F34">
              <w:rPr>
                <w:rFonts w:ascii="Calibri" w:eastAsia="Times New Roman" w:hAnsi="Calibri" w:cs="Calibri"/>
                <w:color w:val="000000"/>
                <w:lang w:val="es-CO" w:eastAsia="es-CO" w:bidi="ar-SA"/>
              </w:rPr>
              <w:t>. La Comisión Técnica y de Vigilancia de Encuestas sobre Preferencias Políticas y Electorales es un órgano técnico adscrito al Consejo Nacional Electoral, al que le corresponde verificar el cumplimiento de lo dispuesto en la presente ley.</w:t>
            </w:r>
          </w:p>
        </w:tc>
        <w:tc>
          <w:tcPr>
            <w:tcW w:w="1480" w:type="dxa"/>
            <w:tcBorders>
              <w:top w:val="nil"/>
              <w:left w:val="nil"/>
              <w:bottom w:val="nil"/>
              <w:right w:val="single" w:sz="4" w:space="0" w:color="000000"/>
            </w:tcBorders>
            <w:shd w:val="clear" w:color="000000" w:fill="FFFFFF"/>
            <w:hideMark/>
          </w:tcPr>
          <w:p w14:paraId="09667E94" w14:textId="6983DE7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F359A3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230EC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Serán funciones de la Comisión: </w:t>
            </w:r>
          </w:p>
        </w:tc>
        <w:tc>
          <w:tcPr>
            <w:tcW w:w="3798" w:type="dxa"/>
            <w:tcBorders>
              <w:top w:val="nil"/>
              <w:left w:val="nil"/>
              <w:bottom w:val="nil"/>
              <w:right w:val="single" w:sz="4" w:space="0" w:color="000000"/>
            </w:tcBorders>
            <w:shd w:val="clear" w:color="000000" w:fill="FFFFFF"/>
            <w:hideMark/>
          </w:tcPr>
          <w:p w14:paraId="19EDAD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Serán funciones de la Comisión:</w:t>
            </w:r>
          </w:p>
        </w:tc>
        <w:tc>
          <w:tcPr>
            <w:tcW w:w="3798" w:type="dxa"/>
            <w:tcBorders>
              <w:top w:val="nil"/>
              <w:left w:val="nil"/>
              <w:bottom w:val="nil"/>
              <w:right w:val="single" w:sz="4" w:space="0" w:color="000000"/>
            </w:tcBorders>
            <w:shd w:val="clear" w:color="000000" w:fill="FFFFFF"/>
            <w:hideMark/>
          </w:tcPr>
          <w:p w14:paraId="4E1417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Serán funciones de la Comisión:</w:t>
            </w:r>
          </w:p>
        </w:tc>
        <w:tc>
          <w:tcPr>
            <w:tcW w:w="1480" w:type="dxa"/>
            <w:tcBorders>
              <w:top w:val="nil"/>
              <w:left w:val="nil"/>
              <w:bottom w:val="nil"/>
              <w:right w:val="single" w:sz="4" w:space="0" w:color="000000"/>
            </w:tcBorders>
            <w:shd w:val="clear" w:color="000000" w:fill="FFFFFF"/>
            <w:hideMark/>
          </w:tcPr>
          <w:p w14:paraId="73D64C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68DA39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66AF7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Recibir, estudiar y conceptuar sobre el cumplimiento de las disposiciones que regulan la elaboración y publicación de encuestas.</w:t>
            </w:r>
          </w:p>
        </w:tc>
        <w:tc>
          <w:tcPr>
            <w:tcW w:w="3798" w:type="dxa"/>
            <w:tcBorders>
              <w:top w:val="nil"/>
              <w:left w:val="nil"/>
              <w:bottom w:val="nil"/>
              <w:right w:val="single" w:sz="4" w:space="0" w:color="000000"/>
            </w:tcBorders>
            <w:shd w:val="clear" w:color="000000" w:fill="FFFFFF"/>
            <w:hideMark/>
          </w:tcPr>
          <w:p w14:paraId="109435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Recibir, estudiar y conceptuar sobre el cumplimiento de las disposiciones que regulan la elaboración y publicación de encuestas.</w:t>
            </w:r>
          </w:p>
        </w:tc>
        <w:tc>
          <w:tcPr>
            <w:tcW w:w="3798" w:type="dxa"/>
            <w:tcBorders>
              <w:top w:val="nil"/>
              <w:left w:val="nil"/>
              <w:bottom w:val="nil"/>
              <w:right w:val="single" w:sz="4" w:space="0" w:color="000000"/>
            </w:tcBorders>
            <w:shd w:val="clear" w:color="000000" w:fill="FFFFFF"/>
            <w:hideMark/>
          </w:tcPr>
          <w:p w14:paraId="20D8BE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Recibir, estudiar y conceptuar sobre el cumplimiento de las disposiciones que regulan la elaboración y publicación de encuestas.</w:t>
            </w:r>
          </w:p>
        </w:tc>
        <w:tc>
          <w:tcPr>
            <w:tcW w:w="1480" w:type="dxa"/>
            <w:tcBorders>
              <w:top w:val="nil"/>
              <w:left w:val="nil"/>
              <w:bottom w:val="nil"/>
              <w:right w:val="single" w:sz="4" w:space="0" w:color="000000"/>
            </w:tcBorders>
            <w:shd w:val="clear" w:color="000000" w:fill="FFFFFF"/>
            <w:hideMark/>
          </w:tcPr>
          <w:p w14:paraId="360FC8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1E77F2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2C98D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Reunirse periódicamente para revisar las encuestas que se presenten para su escrutinio. </w:t>
            </w:r>
          </w:p>
        </w:tc>
        <w:tc>
          <w:tcPr>
            <w:tcW w:w="3798" w:type="dxa"/>
            <w:tcBorders>
              <w:top w:val="nil"/>
              <w:left w:val="nil"/>
              <w:bottom w:val="nil"/>
              <w:right w:val="single" w:sz="4" w:space="0" w:color="000000"/>
            </w:tcBorders>
            <w:shd w:val="clear" w:color="000000" w:fill="FFFFFF"/>
            <w:hideMark/>
          </w:tcPr>
          <w:p w14:paraId="194949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Reunirse periódicamente para revisar las encuestas que se presenten para su escrutinio. </w:t>
            </w:r>
          </w:p>
        </w:tc>
        <w:tc>
          <w:tcPr>
            <w:tcW w:w="3798" w:type="dxa"/>
            <w:tcBorders>
              <w:top w:val="nil"/>
              <w:left w:val="nil"/>
              <w:bottom w:val="nil"/>
              <w:right w:val="single" w:sz="4" w:space="0" w:color="000000"/>
            </w:tcBorders>
            <w:shd w:val="clear" w:color="000000" w:fill="FFFFFF"/>
            <w:hideMark/>
          </w:tcPr>
          <w:p w14:paraId="2B9C1C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Reunirse periódicamente para revisar las encuestas que se presenten para su escrutinio. </w:t>
            </w:r>
          </w:p>
        </w:tc>
        <w:tc>
          <w:tcPr>
            <w:tcW w:w="1480" w:type="dxa"/>
            <w:tcBorders>
              <w:top w:val="nil"/>
              <w:left w:val="nil"/>
              <w:bottom w:val="nil"/>
              <w:right w:val="single" w:sz="4" w:space="0" w:color="000000"/>
            </w:tcBorders>
            <w:shd w:val="clear" w:color="000000" w:fill="FFFFFF"/>
            <w:hideMark/>
          </w:tcPr>
          <w:p w14:paraId="1EF7C2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6ACB71"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490635E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 </w:t>
            </w:r>
          </w:p>
        </w:tc>
        <w:tc>
          <w:tcPr>
            <w:tcW w:w="3798" w:type="dxa"/>
            <w:tcBorders>
              <w:top w:val="nil"/>
              <w:left w:val="nil"/>
              <w:bottom w:val="single" w:sz="4" w:space="0" w:color="000000"/>
              <w:right w:val="single" w:sz="4" w:space="0" w:color="000000"/>
            </w:tcBorders>
            <w:shd w:val="clear" w:color="000000" w:fill="FFFFFF"/>
            <w:hideMark/>
          </w:tcPr>
          <w:p w14:paraId="0E4E38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w:t>
            </w:r>
          </w:p>
        </w:tc>
        <w:tc>
          <w:tcPr>
            <w:tcW w:w="3798" w:type="dxa"/>
            <w:tcBorders>
              <w:top w:val="nil"/>
              <w:left w:val="nil"/>
              <w:bottom w:val="single" w:sz="4" w:space="0" w:color="000000"/>
              <w:right w:val="single" w:sz="4" w:space="0" w:color="000000"/>
            </w:tcBorders>
            <w:shd w:val="clear" w:color="000000" w:fill="FFFFFF"/>
            <w:hideMark/>
          </w:tcPr>
          <w:p w14:paraId="69CE1A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w:t>
            </w:r>
          </w:p>
        </w:tc>
        <w:tc>
          <w:tcPr>
            <w:tcW w:w="1480" w:type="dxa"/>
            <w:tcBorders>
              <w:top w:val="nil"/>
              <w:left w:val="nil"/>
              <w:bottom w:val="single" w:sz="4" w:space="0" w:color="000000"/>
              <w:right w:val="single" w:sz="4" w:space="0" w:color="000000"/>
            </w:tcBorders>
            <w:shd w:val="clear" w:color="000000" w:fill="FFFFFF"/>
            <w:hideMark/>
          </w:tcPr>
          <w:p w14:paraId="22CB0A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431293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60B8DE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108.- Conformación de la Comisión Técnica y de Vigilancia de Encuestas sobre Preferencias Políticas y Electorales.</w:t>
            </w:r>
            <w:r w:rsidRPr="00222F34">
              <w:rPr>
                <w:rFonts w:ascii="Calibri" w:eastAsia="Times New Roman" w:hAnsi="Calibri" w:cs="Calibri"/>
                <w:color w:val="000000"/>
                <w:lang w:val="es-CO" w:eastAsia="es-CO" w:bidi="ar-SA"/>
              </w:rPr>
              <w:t xml:space="preserve"> 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 </w:t>
            </w:r>
          </w:p>
        </w:tc>
        <w:tc>
          <w:tcPr>
            <w:tcW w:w="3798" w:type="dxa"/>
            <w:tcBorders>
              <w:top w:val="nil"/>
              <w:left w:val="nil"/>
              <w:bottom w:val="nil"/>
              <w:right w:val="single" w:sz="4" w:space="0" w:color="000000"/>
            </w:tcBorders>
            <w:shd w:val="clear" w:color="000000" w:fill="FFFFFF"/>
            <w:hideMark/>
          </w:tcPr>
          <w:p w14:paraId="744EFD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111. Conformación de la Comisión Técnica y de Vigilancia de Encuestas sobre Preferencias Políticas y Electorales.</w:t>
            </w:r>
            <w:r w:rsidRPr="00222F34">
              <w:rPr>
                <w:rFonts w:ascii="Calibri" w:eastAsia="Times New Roman" w:hAnsi="Calibri" w:cs="Calibri"/>
                <w:color w:val="000000"/>
                <w:lang w:val="es-CO" w:eastAsia="es-CO" w:bidi="ar-SA"/>
              </w:rPr>
              <w:t xml:space="preserve"> 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p>
        </w:tc>
        <w:tc>
          <w:tcPr>
            <w:tcW w:w="3798" w:type="dxa"/>
            <w:tcBorders>
              <w:top w:val="nil"/>
              <w:left w:val="nil"/>
              <w:bottom w:val="nil"/>
              <w:right w:val="single" w:sz="4" w:space="0" w:color="000000"/>
            </w:tcBorders>
            <w:shd w:val="clear" w:color="000000" w:fill="FFFFFF"/>
            <w:hideMark/>
          </w:tcPr>
          <w:p w14:paraId="1552AA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111. Conformación de la Comisión Técnica y de Vigilancia de Encuestas sobre Preferencias Políticas y Electorales.</w:t>
            </w:r>
            <w:r w:rsidRPr="00222F34">
              <w:rPr>
                <w:rFonts w:ascii="Calibri" w:eastAsia="Times New Roman" w:hAnsi="Calibri" w:cs="Calibri"/>
                <w:color w:val="000000"/>
                <w:lang w:val="es-CO" w:eastAsia="es-CO" w:bidi="ar-SA"/>
              </w:rPr>
              <w:t xml:space="preserve"> 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p>
        </w:tc>
        <w:tc>
          <w:tcPr>
            <w:tcW w:w="1480" w:type="dxa"/>
            <w:tcBorders>
              <w:top w:val="nil"/>
              <w:left w:val="nil"/>
              <w:bottom w:val="nil"/>
              <w:right w:val="single" w:sz="4" w:space="0" w:color="000000"/>
            </w:tcBorders>
            <w:shd w:val="clear" w:color="000000" w:fill="FFFFFF"/>
            <w:hideMark/>
          </w:tcPr>
          <w:p w14:paraId="1F56135A" w14:textId="7CE8C33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FFFB53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D0785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comisión estará integrada por: </w:t>
            </w:r>
          </w:p>
        </w:tc>
        <w:tc>
          <w:tcPr>
            <w:tcW w:w="3798" w:type="dxa"/>
            <w:tcBorders>
              <w:top w:val="nil"/>
              <w:left w:val="nil"/>
              <w:bottom w:val="nil"/>
              <w:right w:val="single" w:sz="4" w:space="0" w:color="000000"/>
            </w:tcBorders>
            <w:shd w:val="clear" w:color="000000" w:fill="FFFFFF"/>
            <w:hideMark/>
          </w:tcPr>
          <w:p w14:paraId="1498EA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estará integrada por:</w:t>
            </w:r>
          </w:p>
        </w:tc>
        <w:tc>
          <w:tcPr>
            <w:tcW w:w="3798" w:type="dxa"/>
            <w:tcBorders>
              <w:top w:val="nil"/>
              <w:left w:val="nil"/>
              <w:bottom w:val="nil"/>
              <w:right w:val="single" w:sz="4" w:space="0" w:color="000000"/>
            </w:tcBorders>
            <w:shd w:val="clear" w:color="000000" w:fill="FFFFFF"/>
            <w:hideMark/>
          </w:tcPr>
          <w:p w14:paraId="495890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estará integrada por:</w:t>
            </w:r>
          </w:p>
        </w:tc>
        <w:tc>
          <w:tcPr>
            <w:tcW w:w="1480" w:type="dxa"/>
            <w:tcBorders>
              <w:top w:val="nil"/>
              <w:left w:val="nil"/>
              <w:bottom w:val="nil"/>
              <w:right w:val="single" w:sz="4" w:space="0" w:color="000000"/>
            </w:tcBorders>
            <w:shd w:val="clear" w:color="000000" w:fill="FFFFFF"/>
            <w:hideMark/>
          </w:tcPr>
          <w:p w14:paraId="65A5AD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3B5A5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FD6F0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Un (1) miembro designado por el Consejo Nacional Electoral. </w:t>
            </w:r>
          </w:p>
        </w:tc>
        <w:tc>
          <w:tcPr>
            <w:tcW w:w="3798" w:type="dxa"/>
            <w:tcBorders>
              <w:top w:val="nil"/>
              <w:left w:val="nil"/>
              <w:bottom w:val="nil"/>
              <w:right w:val="single" w:sz="4" w:space="0" w:color="000000"/>
            </w:tcBorders>
            <w:shd w:val="clear" w:color="000000" w:fill="FFFFFF"/>
            <w:hideMark/>
          </w:tcPr>
          <w:p w14:paraId="63DF72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Un (1) miembro designado por el Consejo Nacional Electoral. </w:t>
            </w:r>
          </w:p>
        </w:tc>
        <w:tc>
          <w:tcPr>
            <w:tcW w:w="3798" w:type="dxa"/>
            <w:tcBorders>
              <w:top w:val="nil"/>
              <w:left w:val="nil"/>
              <w:bottom w:val="nil"/>
              <w:right w:val="single" w:sz="4" w:space="0" w:color="000000"/>
            </w:tcBorders>
            <w:shd w:val="clear" w:color="000000" w:fill="FFFFFF"/>
            <w:hideMark/>
          </w:tcPr>
          <w:p w14:paraId="0E37CC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Un (1) miembro designado por el Consejo Nacional Electoral. </w:t>
            </w:r>
          </w:p>
        </w:tc>
        <w:tc>
          <w:tcPr>
            <w:tcW w:w="1480" w:type="dxa"/>
            <w:tcBorders>
              <w:top w:val="nil"/>
              <w:left w:val="nil"/>
              <w:bottom w:val="nil"/>
              <w:right w:val="single" w:sz="4" w:space="0" w:color="000000"/>
            </w:tcBorders>
            <w:shd w:val="clear" w:color="000000" w:fill="FFFFFF"/>
            <w:hideMark/>
          </w:tcPr>
          <w:p w14:paraId="0DA843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5B936D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F067E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Cuatro (4) miembros con experiencia en la aplicación de encuestas, designado por los decanos o directores de departamento de universidades acreditadas en alta calidad por el Ministerio de Educación con programas de pregrado, especialización, maestría </w:t>
            </w:r>
            <w:r w:rsidRPr="00222F34">
              <w:rPr>
                <w:rFonts w:ascii="Calibri" w:eastAsia="Times New Roman" w:hAnsi="Calibri" w:cs="Calibri"/>
                <w:color w:val="000000"/>
                <w:lang w:val="es-CO" w:eastAsia="es-CO" w:bidi="ar-SA"/>
              </w:rPr>
              <w:lastRenderedPageBreak/>
              <w:t xml:space="preserve">y/o doctorados en Estadística, y cuyas plantas docentes cuenten con el mayor número de doctores en el área de estadística. </w:t>
            </w:r>
          </w:p>
        </w:tc>
        <w:tc>
          <w:tcPr>
            <w:tcW w:w="3798" w:type="dxa"/>
            <w:tcBorders>
              <w:top w:val="nil"/>
              <w:left w:val="nil"/>
              <w:bottom w:val="nil"/>
              <w:right w:val="single" w:sz="4" w:space="0" w:color="000000"/>
            </w:tcBorders>
            <w:shd w:val="clear" w:color="000000" w:fill="FFFFFF"/>
            <w:hideMark/>
          </w:tcPr>
          <w:p w14:paraId="372336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Cuatro (4) miembros con experiencia en la aplicación de encuestas, designado por los decanos o directores de departamento de universidades acreditadas en alta calidad por el Ministerio de Educación con programas de pregrado, especialización, maestría </w:t>
            </w:r>
            <w:r w:rsidRPr="00222F34">
              <w:rPr>
                <w:rFonts w:ascii="Calibri" w:eastAsia="Times New Roman" w:hAnsi="Calibri" w:cs="Calibri"/>
                <w:color w:val="000000"/>
                <w:lang w:val="es-CO" w:eastAsia="es-CO" w:bidi="ar-SA"/>
              </w:rPr>
              <w:lastRenderedPageBreak/>
              <w:t xml:space="preserve">y/o doctorados en Estadística, y cuyas plantas docentes cuenten con el mayor número de doctores en el área de estadística. </w:t>
            </w:r>
          </w:p>
        </w:tc>
        <w:tc>
          <w:tcPr>
            <w:tcW w:w="3798" w:type="dxa"/>
            <w:tcBorders>
              <w:top w:val="nil"/>
              <w:left w:val="nil"/>
              <w:bottom w:val="nil"/>
              <w:right w:val="single" w:sz="4" w:space="0" w:color="000000"/>
            </w:tcBorders>
            <w:shd w:val="clear" w:color="000000" w:fill="FFFFFF"/>
            <w:hideMark/>
          </w:tcPr>
          <w:p w14:paraId="5CEACD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Cuatro (4) miembros con experiencia en la aplicación de encuestas, designado por los decanos o directores de departamento de universidades acreditadas en alta calidad por el Ministerio de Educación con programas de pregrado, especialización, maestría </w:t>
            </w:r>
            <w:r w:rsidRPr="00222F34">
              <w:rPr>
                <w:rFonts w:ascii="Calibri" w:eastAsia="Times New Roman" w:hAnsi="Calibri" w:cs="Calibri"/>
                <w:color w:val="000000"/>
                <w:lang w:val="es-CO" w:eastAsia="es-CO" w:bidi="ar-SA"/>
              </w:rPr>
              <w:lastRenderedPageBreak/>
              <w:t xml:space="preserve">y/o doctorados en Estadística, y cuyas plantas docentes cuenten con el mayor número de doctores en el área de estadística. </w:t>
            </w:r>
          </w:p>
        </w:tc>
        <w:tc>
          <w:tcPr>
            <w:tcW w:w="1480" w:type="dxa"/>
            <w:tcBorders>
              <w:top w:val="nil"/>
              <w:left w:val="nil"/>
              <w:bottom w:val="nil"/>
              <w:right w:val="single" w:sz="4" w:space="0" w:color="000000"/>
            </w:tcBorders>
            <w:shd w:val="clear" w:color="000000" w:fill="FFFFFF"/>
            <w:hideMark/>
          </w:tcPr>
          <w:p w14:paraId="36E54C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70A23B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D7ACA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Un (1) miembro designado por el Consejo de Estado. </w:t>
            </w:r>
          </w:p>
        </w:tc>
        <w:tc>
          <w:tcPr>
            <w:tcW w:w="3798" w:type="dxa"/>
            <w:tcBorders>
              <w:top w:val="nil"/>
              <w:left w:val="nil"/>
              <w:bottom w:val="nil"/>
              <w:right w:val="single" w:sz="4" w:space="0" w:color="000000"/>
            </w:tcBorders>
            <w:shd w:val="clear" w:color="000000" w:fill="FFFFFF"/>
            <w:hideMark/>
          </w:tcPr>
          <w:p w14:paraId="6AC8A0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Un (1) miembro designado por el Consejo de Estado. </w:t>
            </w:r>
          </w:p>
        </w:tc>
        <w:tc>
          <w:tcPr>
            <w:tcW w:w="3798" w:type="dxa"/>
            <w:tcBorders>
              <w:top w:val="nil"/>
              <w:left w:val="nil"/>
              <w:bottom w:val="nil"/>
              <w:right w:val="single" w:sz="4" w:space="0" w:color="000000"/>
            </w:tcBorders>
            <w:shd w:val="clear" w:color="000000" w:fill="FFFFFF"/>
            <w:hideMark/>
          </w:tcPr>
          <w:p w14:paraId="2DB3A8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Un (1) miembro designado por el Consejo de Estado. </w:t>
            </w:r>
          </w:p>
        </w:tc>
        <w:tc>
          <w:tcPr>
            <w:tcW w:w="1480" w:type="dxa"/>
            <w:tcBorders>
              <w:top w:val="nil"/>
              <w:left w:val="nil"/>
              <w:bottom w:val="nil"/>
              <w:right w:val="single" w:sz="4" w:space="0" w:color="000000"/>
            </w:tcBorders>
            <w:shd w:val="clear" w:color="000000" w:fill="FFFFFF"/>
            <w:hideMark/>
          </w:tcPr>
          <w:p w14:paraId="6066E9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EF2A8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B096B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Un (1) miembro designado por el Procurador General de la Nación. </w:t>
            </w:r>
          </w:p>
        </w:tc>
        <w:tc>
          <w:tcPr>
            <w:tcW w:w="3798" w:type="dxa"/>
            <w:tcBorders>
              <w:top w:val="nil"/>
              <w:left w:val="nil"/>
              <w:bottom w:val="nil"/>
              <w:right w:val="single" w:sz="4" w:space="0" w:color="000000"/>
            </w:tcBorders>
            <w:shd w:val="clear" w:color="000000" w:fill="FFFFFF"/>
            <w:hideMark/>
          </w:tcPr>
          <w:p w14:paraId="037805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Un (1) miembro designado por el Procurador General de la Nación. </w:t>
            </w:r>
          </w:p>
        </w:tc>
        <w:tc>
          <w:tcPr>
            <w:tcW w:w="3798" w:type="dxa"/>
            <w:tcBorders>
              <w:top w:val="nil"/>
              <w:left w:val="nil"/>
              <w:bottom w:val="nil"/>
              <w:right w:val="single" w:sz="4" w:space="0" w:color="000000"/>
            </w:tcBorders>
            <w:shd w:val="clear" w:color="000000" w:fill="FFFFFF"/>
            <w:hideMark/>
          </w:tcPr>
          <w:p w14:paraId="2E84AF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Un (1) miembro designado por el Procurador General de la Nación. </w:t>
            </w:r>
          </w:p>
        </w:tc>
        <w:tc>
          <w:tcPr>
            <w:tcW w:w="1480" w:type="dxa"/>
            <w:tcBorders>
              <w:top w:val="nil"/>
              <w:left w:val="nil"/>
              <w:bottom w:val="nil"/>
              <w:right w:val="single" w:sz="4" w:space="0" w:color="000000"/>
            </w:tcBorders>
            <w:shd w:val="clear" w:color="000000" w:fill="FFFFFF"/>
            <w:hideMark/>
          </w:tcPr>
          <w:p w14:paraId="333E09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800A7A" w14:textId="77777777" w:rsidTr="00222F34">
        <w:trPr>
          <w:trHeight w:val="3600"/>
        </w:trPr>
        <w:tc>
          <w:tcPr>
            <w:tcW w:w="3798" w:type="dxa"/>
            <w:tcBorders>
              <w:top w:val="nil"/>
              <w:left w:val="single" w:sz="4" w:space="0" w:color="000000"/>
              <w:bottom w:val="single" w:sz="4" w:space="0" w:color="000000"/>
              <w:right w:val="single" w:sz="4" w:space="0" w:color="000000"/>
            </w:tcBorders>
            <w:shd w:val="clear" w:color="000000" w:fill="FFFFFF"/>
            <w:hideMark/>
          </w:tcPr>
          <w:p w14:paraId="0B3FEE0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w:t>
            </w:r>
            <w:r w:rsidRPr="00222F34">
              <w:rPr>
                <w:rFonts w:ascii="Calibri" w:eastAsia="Times New Roman" w:hAnsi="Calibri" w:cs="Calibri"/>
                <w:color w:val="000000"/>
                <w:lang w:val="es-CO" w:eastAsia="es-CO" w:bidi="ar-SA"/>
              </w:rPr>
              <w:lastRenderedPageBreak/>
              <w:t xml:space="preserve">naturales o jurídicas a las que se refiere este parágrafo o que se inscriban como candidatos en las elecciones que se estén desarrollando. </w:t>
            </w:r>
          </w:p>
        </w:tc>
        <w:tc>
          <w:tcPr>
            <w:tcW w:w="3798" w:type="dxa"/>
            <w:tcBorders>
              <w:top w:val="nil"/>
              <w:left w:val="nil"/>
              <w:bottom w:val="single" w:sz="4" w:space="0" w:color="000000"/>
              <w:right w:val="single" w:sz="4" w:space="0" w:color="000000"/>
            </w:tcBorders>
            <w:shd w:val="clear" w:color="000000" w:fill="FFFFFF"/>
            <w:hideMark/>
          </w:tcPr>
          <w:p w14:paraId="2E9AC8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w:t>
            </w:r>
            <w:r w:rsidRPr="00222F34">
              <w:rPr>
                <w:rFonts w:ascii="Calibri" w:eastAsia="Times New Roman" w:hAnsi="Calibri" w:cs="Calibri"/>
                <w:color w:val="000000"/>
                <w:lang w:val="es-CO" w:eastAsia="es-CO" w:bidi="ar-SA"/>
              </w:rPr>
              <w:lastRenderedPageBreak/>
              <w:t>naturales o jurídicas a las que se refiere este parágrafo o que se inscriban como candidatos en las elecciones que se estén desarrollando.</w:t>
            </w:r>
          </w:p>
        </w:tc>
        <w:tc>
          <w:tcPr>
            <w:tcW w:w="3798" w:type="dxa"/>
            <w:tcBorders>
              <w:top w:val="nil"/>
              <w:left w:val="nil"/>
              <w:bottom w:val="single" w:sz="4" w:space="0" w:color="000000"/>
              <w:right w:val="single" w:sz="4" w:space="0" w:color="000000"/>
            </w:tcBorders>
            <w:shd w:val="clear" w:color="000000" w:fill="FFFFFF"/>
            <w:hideMark/>
          </w:tcPr>
          <w:p w14:paraId="031AEB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w:t>
            </w:r>
            <w:r w:rsidRPr="00222F34">
              <w:rPr>
                <w:rFonts w:ascii="Calibri" w:eastAsia="Times New Roman" w:hAnsi="Calibri" w:cs="Calibri"/>
                <w:color w:val="000000"/>
                <w:lang w:val="es-CO" w:eastAsia="es-CO" w:bidi="ar-SA"/>
              </w:rPr>
              <w:lastRenderedPageBreak/>
              <w:t>naturales o jurídicas a las que se refiere este parágrafo o que se inscriban como candidatos en las elecciones que se estén desarrollando.</w:t>
            </w:r>
          </w:p>
        </w:tc>
        <w:tc>
          <w:tcPr>
            <w:tcW w:w="1480" w:type="dxa"/>
            <w:tcBorders>
              <w:top w:val="nil"/>
              <w:left w:val="nil"/>
              <w:bottom w:val="single" w:sz="4" w:space="0" w:color="000000"/>
              <w:right w:val="single" w:sz="4" w:space="0" w:color="000000"/>
            </w:tcBorders>
            <w:shd w:val="clear" w:color="000000" w:fill="FFFFFF"/>
            <w:hideMark/>
          </w:tcPr>
          <w:p w14:paraId="3AD466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7B7507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81E998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109.- De los encuestadores.</w:t>
            </w:r>
            <w:r w:rsidRPr="00222F34">
              <w:rPr>
                <w:rFonts w:ascii="Calibri" w:eastAsia="Times New Roman" w:hAnsi="Calibri" w:cs="Calibri"/>
                <w:color w:val="000000"/>
                <w:lang w:val="es-CO" w:eastAsia="es-CO" w:bidi="ar-SA"/>
              </w:rPr>
              <w:t xml:space="preserve"> 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 </w:t>
            </w:r>
          </w:p>
        </w:tc>
        <w:tc>
          <w:tcPr>
            <w:tcW w:w="3798" w:type="dxa"/>
            <w:tcBorders>
              <w:top w:val="nil"/>
              <w:left w:val="nil"/>
              <w:bottom w:val="nil"/>
              <w:right w:val="single" w:sz="4" w:space="0" w:color="000000"/>
            </w:tcBorders>
            <w:shd w:val="clear" w:color="00FFFF" w:fill="FFFFFF"/>
            <w:hideMark/>
          </w:tcPr>
          <w:p w14:paraId="38F494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112. De los encuestadores</w:t>
            </w:r>
            <w:r w:rsidRPr="00222F34">
              <w:rPr>
                <w:rFonts w:ascii="Calibri" w:eastAsia="Times New Roman" w:hAnsi="Calibri" w:cs="Calibri"/>
                <w:color w:val="000000"/>
                <w:lang w:val="es-CO" w:eastAsia="es-CO" w:bidi="ar-SA"/>
              </w:rPr>
              <w:t>. 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w:t>
            </w:r>
          </w:p>
        </w:tc>
        <w:tc>
          <w:tcPr>
            <w:tcW w:w="3798" w:type="dxa"/>
            <w:tcBorders>
              <w:top w:val="nil"/>
              <w:left w:val="nil"/>
              <w:bottom w:val="nil"/>
              <w:right w:val="single" w:sz="4" w:space="0" w:color="000000"/>
            </w:tcBorders>
            <w:shd w:val="clear" w:color="00FFFF" w:fill="FFFFFF"/>
            <w:hideMark/>
          </w:tcPr>
          <w:p w14:paraId="19E485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112. De los encuestadores</w:t>
            </w:r>
            <w:r w:rsidRPr="00222F34">
              <w:rPr>
                <w:rFonts w:ascii="Calibri" w:eastAsia="Times New Roman" w:hAnsi="Calibri" w:cs="Calibri"/>
                <w:color w:val="000000"/>
                <w:lang w:val="es-CO" w:eastAsia="es-CO" w:bidi="ar-SA"/>
              </w:rPr>
              <w:t>. 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w:t>
            </w:r>
          </w:p>
        </w:tc>
        <w:tc>
          <w:tcPr>
            <w:tcW w:w="1480" w:type="dxa"/>
            <w:tcBorders>
              <w:top w:val="nil"/>
              <w:left w:val="nil"/>
              <w:bottom w:val="nil"/>
              <w:right w:val="single" w:sz="4" w:space="0" w:color="000000"/>
            </w:tcBorders>
            <w:shd w:val="clear" w:color="000000" w:fill="FFFFFF"/>
            <w:hideMark/>
          </w:tcPr>
          <w:p w14:paraId="6EED1123" w14:textId="5E680DB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0E92A12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E97D7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También serán objeto de sanción las personas naturales o jurídicas que realicen o difundan encuestas o sondeos de carácter electoral falsas, que publiquen o difundan encuestas que incumplan las disposiciones establecidas </w:t>
            </w:r>
            <w:r w:rsidRPr="00222F34">
              <w:rPr>
                <w:rFonts w:ascii="Calibri" w:eastAsia="Times New Roman" w:hAnsi="Calibri" w:cs="Calibri"/>
                <w:color w:val="000000"/>
                <w:lang w:val="es-CO" w:eastAsia="es-CO" w:bidi="ar-SA"/>
              </w:rPr>
              <w:lastRenderedPageBreak/>
              <w:t xml:space="preserve">en la presente ley o que utilicen emblemas de empresas encuestadoras registradas ante el Consejo Nacional Electoral, sin tener autorización de la firma encuestadora para utilizarlo. </w:t>
            </w:r>
          </w:p>
        </w:tc>
        <w:tc>
          <w:tcPr>
            <w:tcW w:w="3798" w:type="dxa"/>
            <w:tcBorders>
              <w:top w:val="nil"/>
              <w:left w:val="nil"/>
              <w:bottom w:val="nil"/>
              <w:right w:val="single" w:sz="4" w:space="0" w:color="000000"/>
            </w:tcBorders>
            <w:shd w:val="clear" w:color="00FFFF" w:fill="FFFFFF"/>
            <w:hideMark/>
          </w:tcPr>
          <w:p w14:paraId="523143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También serán objeto de sanción las personas naturales o jurídicas que realicen o difundan encuestas o sondeos de carácter electoral falsas, que publiquen o difundan encuestas que incumplan las disposiciones establecidas </w:t>
            </w:r>
            <w:r w:rsidRPr="00222F34">
              <w:rPr>
                <w:rFonts w:ascii="Calibri" w:eastAsia="Times New Roman" w:hAnsi="Calibri" w:cs="Calibri"/>
                <w:color w:val="000000"/>
                <w:lang w:val="es-CO" w:eastAsia="es-CO" w:bidi="ar-SA"/>
              </w:rPr>
              <w:lastRenderedPageBreak/>
              <w:t xml:space="preserve">en la presente ley o que utilicen emblemas de empresas encuestadoras registradas ante el Consejo Nacional Electoral, sin tener autorización de la firma encuestadora para utilizarlo. </w:t>
            </w:r>
          </w:p>
        </w:tc>
        <w:tc>
          <w:tcPr>
            <w:tcW w:w="3798" w:type="dxa"/>
            <w:tcBorders>
              <w:top w:val="nil"/>
              <w:left w:val="nil"/>
              <w:bottom w:val="nil"/>
              <w:right w:val="single" w:sz="4" w:space="0" w:color="000000"/>
            </w:tcBorders>
            <w:shd w:val="clear" w:color="00FFFF" w:fill="FFFFFF"/>
            <w:hideMark/>
          </w:tcPr>
          <w:p w14:paraId="46EEAE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También serán objeto de sanción las personas naturales o jurídicas que realicen o difundan encuestas o sondeos de carácter electoral falsas, que publiquen o difundan encuestas que incumplan las disposiciones establecidas </w:t>
            </w:r>
            <w:r w:rsidRPr="00222F34">
              <w:rPr>
                <w:rFonts w:ascii="Calibri" w:eastAsia="Times New Roman" w:hAnsi="Calibri" w:cs="Calibri"/>
                <w:color w:val="000000"/>
                <w:lang w:val="es-CO" w:eastAsia="es-CO" w:bidi="ar-SA"/>
              </w:rPr>
              <w:lastRenderedPageBreak/>
              <w:t xml:space="preserve">en la presente ley o que utilicen emblemas de empresas encuestadoras registradas ante el Consejo Nacional Electoral, sin tener autorización de la firma encuestadora para utilizarlo. </w:t>
            </w:r>
          </w:p>
        </w:tc>
        <w:tc>
          <w:tcPr>
            <w:tcW w:w="1480" w:type="dxa"/>
            <w:tcBorders>
              <w:top w:val="nil"/>
              <w:left w:val="nil"/>
              <w:bottom w:val="nil"/>
              <w:right w:val="single" w:sz="4" w:space="0" w:color="000000"/>
            </w:tcBorders>
            <w:shd w:val="clear" w:color="000000" w:fill="FFFFFF"/>
            <w:hideMark/>
          </w:tcPr>
          <w:p w14:paraId="4DB75D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B492B73"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A3E0C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FF" w:fill="FFFFFF"/>
            <w:hideMark/>
          </w:tcPr>
          <w:p w14:paraId="297512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Además de las sanciones a que se someten las personas naturales y jurídicas que realicen encuestas electorales y/o sondeos falsos en virtud de la presente ley, tanto éstas como los medios de comunicación social que permitieron la difusión de las mismas, se verán obligados a realizar rectificaciones y excusas públicas.</w:t>
            </w:r>
          </w:p>
        </w:tc>
        <w:tc>
          <w:tcPr>
            <w:tcW w:w="3798" w:type="dxa"/>
            <w:tcBorders>
              <w:top w:val="nil"/>
              <w:left w:val="nil"/>
              <w:bottom w:val="nil"/>
              <w:right w:val="single" w:sz="4" w:space="0" w:color="000000"/>
            </w:tcBorders>
            <w:shd w:val="clear" w:color="00FFFF" w:fill="FFFFFF"/>
            <w:hideMark/>
          </w:tcPr>
          <w:p w14:paraId="0B660E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Además de las sanciones a que se someten las personas naturales y jurídicas que realicen encuestas electorales y/o sondeos falsos en virtud de la presente ley, tanto éstas como los medios de comunicación social que permitieron la difusión de las mismas, se verán obligados a realizar rectificaciones y excusas públicas.</w:t>
            </w:r>
          </w:p>
        </w:tc>
        <w:tc>
          <w:tcPr>
            <w:tcW w:w="1480" w:type="dxa"/>
            <w:tcBorders>
              <w:top w:val="nil"/>
              <w:left w:val="nil"/>
              <w:bottom w:val="nil"/>
              <w:right w:val="single" w:sz="4" w:space="0" w:color="000000"/>
            </w:tcBorders>
            <w:shd w:val="clear" w:color="000000" w:fill="FFFFFF"/>
            <w:hideMark/>
          </w:tcPr>
          <w:p w14:paraId="65391E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565272"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2114C43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Para efectos de la presente Ley, mientras no haya otra disposición normativa, se aplicarán las sanciones previstas en la Ley 130 de 1994.</w:t>
            </w:r>
          </w:p>
        </w:tc>
        <w:tc>
          <w:tcPr>
            <w:tcW w:w="3798" w:type="dxa"/>
            <w:tcBorders>
              <w:top w:val="nil"/>
              <w:left w:val="nil"/>
              <w:bottom w:val="single" w:sz="4" w:space="0" w:color="000000"/>
              <w:right w:val="single" w:sz="4" w:space="0" w:color="000000"/>
            </w:tcBorders>
            <w:shd w:val="clear" w:color="00FFFF" w:fill="FFFFFF"/>
            <w:hideMark/>
          </w:tcPr>
          <w:p w14:paraId="34B7C8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Para efectos de la presente Ley, mientras no haya otra disposición normativa, se aplicarán las sanciones previstas en la Ley 130 de 1994.</w:t>
            </w:r>
          </w:p>
        </w:tc>
        <w:tc>
          <w:tcPr>
            <w:tcW w:w="3798" w:type="dxa"/>
            <w:tcBorders>
              <w:top w:val="nil"/>
              <w:left w:val="nil"/>
              <w:bottom w:val="single" w:sz="4" w:space="0" w:color="000000"/>
              <w:right w:val="single" w:sz="4" w:space="0" w:color="000000"/>
            </w:tcBorders>
            <w:shd w:val="clear" w:color="00FFFF" w:fill="FFFFFF"/>
            <w:hideMark/>
          </w:tcPr>
          <w:p w14:paraId="09870C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Para efectos de la presente Ley, mientras no haya otra disposición normativa, se aplicarán las sanciones previstas en la Ley 130 de 1994.</w:t>
            </w:r>
          </w:p>
        </w:tc>
        <w:tc>
          <w:tcPr>
            <w:tcW w:w="1480" w:type="dxa"/>
            <w:tcBorders>
              <w:top w:val="nil"/>
              <w:left w:val="nil"/>
              <w:bottom w:val="single" w:sz="4" w:space="0" w:color="000000"/>
              <w:right w:val="single" w:sz="4" w:space="0" w:color="000000"/>
            </w:tcBorders>
            <w:shd w:val="clear" w:color="000000" w:fill="FFFFFF"/>
            <w:hideMark/>
          </w:tcPr>
          <w:p w14:paraId="1CEB5C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A5878B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6A58FD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110- Del registro.</w:t>
            </w:r>
            <w:r w:rsidRPr="00222F34">
              <w:rPr>
                <w:rFonts w:ascii="Calibri" w:eastAsia="Times New Roman" w:hAnsi="Calibri" w:cs="Calibri"/>
                <w:color w:val="000000"/>
                <w:lang w:val="es-CO" w:eastAsia="es-CO" w:bidi="ar-SA"/>
              </w:rPr>
              <w:t xml:space="preserve"> Las firmas encuestadoras que se ocupen de realizar encuestas sobre preferencias electorales deberán registrarse ante el Consejo Nacional Electoral, entidad que tendrá a su cargo la dirección y coordinación del Registro Nacional de Firmas Encuestadoras. </w:t>
            </w:r>
          </w:p>
        </w:tc>
        <w:tc>
          <w:tcPr>
            <w:tcW w:w="3798" w:type="dxa"/>
            <w:tcBorders>
              <w:top w:val="nil"/>
              <w:left w:val="nil"/>
              <w:bottom w:val="nil"/>
              <w:right w:val="single" w:sz="4" w:space="0" w:color="000000"/>
            </w:tcBorders>
            <w:shd w:val="clear" w:color="000000" w:fill="FFFFFF"/>
            <w:hideMark/>
          </w:tcPr>
          <w:p w14:paraId="788B2B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113. Del registro.</w:t>
            </w:r>
            <w:r w:rsidRPr="00222F34">
              <w:rPr>
                <w:rFonts w:ascii="Calibri" w:eastAsia="Times New Roman" w:hAnsi="Calibri" w:cs="Calibri"/>
                <w:color w:val="000000"/>
                <w:lang w:val="es-CO" w:eastAsia="es-CO" w:bidi="ar-SA"/>
              </w:rPr>
              <w:t xml:space="preserve"> Las firmas encuestadoras que se ocupen de realizar encuestas sobre preferencias electorales deberán registrarse ante el Consejo Nacional Electoral, entidad que tendrá a su cargo la dirección y coordinación del Registro Nacional de Firmas Encuestadoras.</w:t>
            </w:r>
          </w:p>
        </w:tc>
        <w:tc>
          <w:tcPr>
            <w:tcW w:w="3798" w:type="dxa"/>
            <w:tcBorders>
              <w:top w:val="nil"/>
              <w:left w:val="nil"/>
              <w:bottom w:val="nil"/>
              <w:right w:val="single" w:sz="4" w:space="0" w:color="000000"/>
            </w:tcBorders>
            <w:shd w:val="clear" w:color="000000" w:fill="FFFFFF"/>
            <w:hideMark/>
          </w:tcPr>
          <w:p w14:paraId="0E1C40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113. Del registro.</w:t>
            </w:r>
            <w:r w:rsidRPr="00222F34">
              <w:rPr>
                <w:rFonts w:ascii="Calibri" w:eastAsia="Times New Roman" w:hAnsi="Calibri" w:cs="Calibri"/>
                <w:color w:val="000000"/>
                <w:lang w:val="es-CO" w:eastAsia="es-CO" w:bidi="ar-SA"/>
              </w:rPr>
              <w:t xml:space="preserve"> Las firmas encuestadoras que se ocupen de realizar encuestas sobre preferencias electorales deberán registrarse ante el Consejo Nacional Electoral, entidad que tendrá a su cargo la dirección y coordinación del Registro Nacional de Firmas Encuestadoras.</w:t>
            </w:r>
          </w:p>
        </w:tc>
        <w:tc>
          <w:tcPr>
            <w:tcW w:w="1480" w:type="dxa"/>
            <w:tcBorders>
              <w:top w:val="nil"/>
              <w:left w:val="nil"/>
              <w:bottom w:val="nil"/>
              <w:right w:val="single" w:sz="4" w:space="0" w:color="000000"/>
            </w:tcBorders>
            <w:shd w:val="clear" w:color="000000" w:fill="FFFFFF"/>
            <w:hideMark/>
          </w:tcPr>
          <w:p w14:paraId="6CDE61BD" w14:textId="10D19B4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A085D4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F1BAB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firmas encuestadoras que se ocupen de realizar encuestas de opinión sobre preferencias políticas y electorales deberán solicitar su inclusión en el Registro Nacional de Firmas Encuestadoras, como requisito previo para que sus encuestas puedan ser publicadas en los medios de comunicación. </w:t>
            </w:r>
          </w:p>
        </w:tc>
        <w:tc>
          <w:tcPr>
            <w:tcW w:w="3798" w:type="dxa"/>
            <w:tcBorders>
              <w:top w:val="nil"/>
              <w:left w:val="nil"/>
              <w:bottom w:val="nil"/>
              <w:right w:val="single" w:sz="4" w:space="0" w:color="000000"/>
            </w:tcBorders>
            <w:shd w:val="clear" w:color="000000" w:fill="FFFFFF"/>
            <w:hideMark/>
          </w:tcPr>
          <w:p w14:paraId="037E99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firmas encuestadoras que se ocupen de realizar encuestas de opinión sobre preferencias políticas y electorales deberán solicitar su inclusión en el Registro Nacional de Firmas Encuestadoras, como requisito previo para que sus encuestas puedan ser publicadas en los medios de comunicación.</w:t>
            </w:r>
          </w:p>
        </w:tc>
        <w:tc>
          <w:tcPr>
            <w:tcW w:w="3798" w:type="dxa"/>
            <w:tcBorders>
              <w:top w:val="nil"/>
              <w:left w:val="nil"/>
              <w:bottom w:val="nil"/>
              <w:right w:val="single" w:sz="4" w:space="0" w:color="000000"/>
            </w:tcBorders>
            <w:shd w:val="clear" w:color="000000" w:fill="FFFFFF"/>
            <w:hideMark/>
          </w:tcPr>
          <w:p w14:paraId="2AE3B8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firmas encuestadoras que se ocupen de realizar encuestas de opinión sobre preferencias políticas y electorales deberán solicitar su inclusión en el Registro Nacional de Firmas Encuestadoras, como requisito previo para que sus encuestas puedan ser publicadas en los medios de comunicación.</w:t>
            </w:r>
          </w:p>
        </w:tc>
        <w:tc>
          <w:tcPr>
            <w:tcW w:w="1480" w:type="dxa"/>
            <w:tcBorders>
              <w:top w:val="nil"/>
              <w:left w:val="nil"/>
              <w:bottom w:val="nil"/>
              <w:right w:val="single" w:sz="4" w:space="0" w:color="000000"/>
            </w:tcBorders>
            <w:shd w:val="clear" w:color="000000" w:fill="FFFFFF"/>
            <w:hideMark/>
          </w:tcPr>
          <w:p w14:paraId="7D1858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F1B14E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DEE3A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la inscripción en el Registro Nacional de Firmas Encuestadoras, se deberá aportar la siguiente información: </w:t>
            </w:r>
          </w:p>
        </w:tc>
        <w:tc>
          <w:tcPr>
            <w:tcW w:w="3798" w:type="dxa"/>
            <w:tcBorders>
              <w:top w:val="nil"/>
              <w:left w:val="nil"/>
              <w:bottom w:val="nil"/>
              <w:right w:val="single" w:sz="4" w:space="0" w:color="000000"/>
            </w:tcBorders>
            <w:shd w:val="clear" w:color="000000" w:fill="FFFFFF"/>
            <w:hideMark/>
          </w:tcPr>
          <w:p w14:paraId="5759D4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inscripción en el Registro Nacional de Firmas Encuestadoras, se deberá aportar la siguiente información:</w:t>
            </w:r>
          </w:p>
        </w:tc>
        <w:tc>
          <w:tcPr>
            <w:tcW w:w="3798" w:type="dxa"/>
            <w:tcBorders>
              <w:top w:val="nil"/>
              <w:left w:val="nil"/>
              <w:bottom w:val="nil"/>
              <w:right w:val="single" w:sz="4" w:space="0" w:color="000000"/>
            </w:tcBorders>
            <w:shd w:val="clear" w:color="000000" w:fill="FFFFFF"/>
            <w:hideMark/>
          </w:tcPr>
          <w:p w14:paraId="2C391A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inscripción en el Registro Nacional de Firmas Encuestadoras, se deberá aportar la siguiente información:</w:t>
            </w:r>
          </w:p>
        </w:tc>
        <w:tc>
          <w:tcPr>
            <w:tcW w:w="1480" w:type="dxa"/>
            <w:tcBorders>
              <w:top w:val="nil"/>
              <w:left w:val="nil"/>
              <w:bottom w:val="nil"/>
              <w:right w:val="single" w:sz="4" w:space="0" w:color="000000"/>
            </w:tcBorders>
            <w:shd w:val="clear" w:color="000000" w:fill="FFFFFF"/>
            <w:hideMark/>
          </w:tcPr>
          <w:p w14:paraId="25BF18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B78EF9D"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CFDC3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 </w:t>
            </w:r>
          </w:p>
        </w:tc>
        <w:tc>
          <w:tcPr>
            <w:tcW w:w="3798" w:type="dxa"/>
            <w:tcBorders>
              <w:top w:val="nil"/>
              <w:left w:val="nil"/>
              <w:bottom w:val="nil"/>
              <w:right w:val="single" w:sz="4" w:space="0" w:color="000000"/>
            </w:tcBorders>
            <w:shd w:val="clear" w:color="000000" w:fill="FFFFFF"/>
            <w:hideMark/>
          </w:tcPr>
          <w:p w14:paraId="6E3566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tc>
        <w:tc>
          <w:tcPr>
            <w:tcW w:w="3798" w:type="dxa"/>
            <w:tcBorders>
              <w:top w:val="nil"/>
              <w:left w:val="nil"/>
              <w:bottom w:val="nil"/>
              <w:right w:val="single" w:sz="4" w:space="0" w:color="000000"/>
            </w:tcBorders>
            <w:shd w:val="clear" w:color="000000" w:fill="FFFFFF"/>
            <w:hideMark/>
          </w:tcPr>
          <w:p w14:paraId="11A425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tc>
        <w:tc>
          <w:tcPr>
            <w:tcW w:w="1480" w:type="dxa"/>
            <w:tcBorders>
              <w:top w:val="nil"/>
              <w:left w:val="nil"/>
              <w:bottom w:val="nil"/>
              <w:right w:val="single" w:sz="4" w:space="0" w:color="000000"/>
            </w:tcBorders>
            <w:shd w:val="clear" w:color="000000" w:fill="FFFFFF"/>
            <w:hideMark/>
          </w:tcPr>
          <w:p w14:paraId="613A7A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0544579"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98D1F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 </w:t>
            </w:r>
          </w:p>
        </w:tc>
        <w:tc>
          <w:tcPr>
            <w:tcW w:w="3798" w:type="dxa"/>
            <w:tcBorders>
              <w:top w:val="nil"/>
              <w:left w:val="nil"/>
              <w:bottom w:val="nil"/>
              <w:right w:val="single" w:sz="4" w:space="0" w:color="000000"/>
            </w:tcBorders>
            <w:shd w:val="clear" w:color="000000" w:fill="FFFFFF"/>
            <w:hideMark/>
          </w:tcPr>
          <w:p w14:paraId="05F84D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tc>
        <w:tc>
          <w:tcPr>
            <w:tcW w:w="3798" w:type="dxa"/>
            <w:tcBorders>
              <w:top w:val="nil"/>
              <w:left w:val="nil"/>
              <w:bottom w:val="nil"/>
              <w:right w:val="single" w:sz="4" w:space="0" w:color="000000"/>
            </w:tcBorders>
            <w:shd w:val="clear" w:color="000000" w:fill="FFFFFF"/>
            <w:hideMark/>
          </w:tcPr>
          <w:p w14:paraId="21C151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tc>
        <w:tc>
          <w:tcPr>
            <w:tcW w:w="1480" w:type="dxa"/>
            <w:tcBorders>
              <w:top w:val="nil"/>
              <w:left w:val="nil"/>
              <w:bottom w:val="nil"/>
              <w:right w:val="single" w:sz="4" w:space="0" w:color="000000"/>
            </w:tcBorders>
            <w:shd w:val="clear" w:color="000000" w:fill="FFFFFF"/>
            <w:hideMark/>
          </w:tcPr>
          <w:p w14:paraId="106867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3CCEC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BF9DF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Certificado del Registro Único de Proponentes (RUP), en caso de tenerlo, como criterio para la verificación de la facturación y trayectoria de la firma encuestadora. </w:t>
            </w:r>
          </w:p>
        </w:tc>
        <w:tc>
          <w:tcPr>
            <w:tcW w:w="3798" w:type="dxa"/>
            <w:tcBorders>
              <w:top w:val="nil"/>
              <w:left w:val="nil"/>
              <w:bottom w:val="nil"/>
              <w:right w:val="single" w:sz="4" w:space="0" w:color="000000"/>
            </w:tcBorders>
            <w:shd w:val="clear" w:color="000000" w:fill="FFFFFF"/>
            <w:hideMark/>
          </w:tcPr>
          <w:p w14:paraId="0BED6E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Certificado del Registro Único de Proponentes (RUP), en caso de tenerlo, como criterio para la verificación de la facturación y trayectoria de la firma encuestadora.</w:t>
            </w:r>
          </w:p>
        </w:tc>
        <w:tc>
          <w:tcPr>
            <w:tcW w:w="3798" w:type="dxa"/>
            <w:tcBorders>
              <w:top w:val="nil"/>
              <w:left w:val="nil"/>
              <w:bottom w:val="nil"/>
              <w:right w:val="single" w:sz="4" w:space="0" w:color="000000"/>
            </w:tcBorders>
            <w:shd w:val="clear" w:color="000000" w:fill="FFFFFF"/>
            <w:hideMark/>
          </w:tcPr>
          <w:p w14:paraId="2EC079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Certificado del Registro Único de Proponentes (RUP), en caso de tenerlo, como criterio para la verificación de la facturación y trayectoria de la firma encuestadora.</w:t>
            </w:r>
          </w:p>
        </w:tc>
        <w:tc>
          <w:tcPr>
            <w:tcW w:w="1480" w:type="dxa"/>
            <w:tcBorders>
              <w:top w:val="nil"/>
              <w:left w:val="nil"/>
              <w:bottom w:val="nil"/>
              <w:right w:val="single" w:sz="4" w:space="0" w:color="000000"/>
            </w:tcBorders>
            <w:shd w:val="clear" w:color="000000" w:fill="FFFFFF"/>
            <w:hideMark/>
          </w:tcPr>
          <w:p w14:paraId="290F6F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FD8DC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7D5EE0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 </w:t>
            </w:r>
          </w:p>
        </w:tc>
        <w:tc>
          <w:tcPr>
            <w:tcW w:w="3798" w:type="dxa"/>
            <w:tcBorders>
              <w:top w:val="nil"/>
              <w:left w:val="nil"/>
              <w:bottom w:val="nil"/>
              <w:right w:val="single" w:sz="4" w:space="0" w:color="000000"/>
            </w:tcBorders>
            <w:shd w:val="clear" w:color="000000" w:fill="FFFFFF"/>
            <w:hideMark/>
          </w:tcPr>
          <w:p w14:paraId="751969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w:t>
            </w:r>
          </w:p>
        </w:tc>
        <w:tc>
          <w:tcPr>
            <w:tcW w:w="3798" w:type="dxa"/>
            <w:tcBorders>
              <w:top w:val="nil"/>
              <w:left w:val="nil"/>
              <w:bottom w:val="nil"/>
              <w:right w:val="single" w:sz="4" w:space="0" w:color="000000"/>
            </w:tcBorders>
            <w:shd w:val="clear" w:color="000000" w:fill="FFFFFF"/>
            <w:hideMark/>
          </w:tcPr>
          <w:p w14:paraId="6AFC76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w:t>
            </w:r>
          </w:p>
        </w:tc>
        <w:tc>
          <w:tcPr>
            <w:tcW w:w="1480" w:type="dxa"/>
            <w:tcBorders>
              <w:top w:val="nil"/>
              <w:left w:val="nil"/>
              <w:bottom w:val="nil"/>
              <w:right w:val="single" w:sz="4" w:space="0" w:color="000000"/>
            </w:tcBorders>
            <w:shd w:val="clear" w:color="000000" w:fill="FFFFFF"/>
            <w:hideMark/>
          </w:tcPr>
          <w:p w14:paraId="724C7A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A5D064"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C34099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o norma que lo modifique, adicione o sustituya. </w:t>
            </w:r>
          </w:p>
        </w:tc>
        <w:tc>
          <w:tcPr>
            <w:tcW w:w="3798" w:type="dxa"/>
            <w:tcBorders>
              <w:top w:val="nil"/>
              <w:left w:val="nil"/>
              <w:bottom w:val="nil"/>
              <w:right w:val="single" w:sz="4" w:space="0" w:color="000000"/>
            </w:tcBorders>
            <w:shd w:val="clear" w:color="000000" w:fill="FFFFFF"/>
            <w:hideMark/>
          </w:tcPr>
          <w:p w14:paraId="2360D60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o norma que lo modifique, adicione o sustituya. </w:t>
            </w:r>
          </w:p>
        </w:tc>
        <w:tc>
          <w:tcPr>
            <w:tcW w:w="3798" w:type="dxa"/>
            <w:tcBorders>
              <w:top w:val="nil"/>
              <w:left w:val="nil"/>
              <w:bottom w:val="nil"/>
              <w:right w:val="single" w:sz="4" w:space="0" w:color="000000"/>
            </w:tcBorders>
            <w:shd w:val="clear" w:color="000000" w:fill="FFFFFF"/>
            <w:hideMark/>
          </w:tcPr>
          <w:p w14:paraId="54FF7AD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o norma que lo modifique, adicione o sustituya. </w:t>
            </w:r>
          </w:p>
        </w:tc>
        <w:tc>
          <w:tcPr>
            <w:tcW w:w="1480" w:type="dxa"/>
            <w:tcBorders>
              <w:top w:val="nil"/>
              <w:left w:val="nil"/>
              <w:bottom w:val="nil"/>
              <w:right w:val="single" w:sz="4" w:space="0" w:color="000000"/>
            </w:tcBorders>
            <w:shd w:val="clear" w:color="000000" w:fill="FFFFFF"/>
            <w:hideMark/>
          </w:tcPr>
          <w:p w14:paraId="68199C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9B6B00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938712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 </w:t>
            </w:r>
          </w:p>
        </w:tc>
        <w:tc>
          <w:tcPr>
            <w:tcW w:w="3798" w:type="dxa"/>
            <w:tcBorders>
              <w:top w:val="nil"/>
              <w:left w:val="nil"/>
              <w:bottom w:val="nil"/>
              <w:right w:val="single" w:sz="4" w:space="0" w:color="000000"/>
            </w:tcBorders>
            <w:shd w:val="clear" w:color="000000" w:fill="FFFFFF"/>
            <w:hideMark/>
          </w:tcPr>
          <w:p w14:paraId="755ADE4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 </w:t>
            </w:r>
          </w:p>
        </w:tc>
        <w:tc>
          <w:tcPr>
            <w:tcW w:w="3798" w:type="dxa"/>
            <w:tcBorders>
              <w:top w:val="nil"/>
              <w:left w:val="nil"/>
              <w:bottom w:val="nil"/>
              <w:right w:val="single" w:sz="4" w:space="0" w:color="000000"/>
            </w:tcBorders>
            <w:shd w:val="clear" w:color="000000" w:fill="FFFFFF"/>
            <w:hideMark/>
          </w:tcPr>
          <w:p w14:paraId="3A0E519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 </w:t>
            </w:r>
          </w:p>
        </w:tc>
        <w:tc>
          <w:tcPr>
            <w:tcW w:w="1480" w:type="dxa"/>
            <w:tcBorders>
              <w:top w:val="nil"/>
              <w:left w:val="nil"/>
              <w:bottom w:val="nil"/>
              <w:right w:val="single" w:sz="4" w:space="0" w:color="000000"/>
            </w:tcBorders>
            <w:shd w:val="clear" w:color="000000" w:fill="FFFFFF"/>
            <w:hideMark/>
          </w:tcPr>
          <w:p w14:paraId="525BE0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9A1298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08C8A0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 </w:t>
            </w:r>
          </w:p>
        </w:tc>
        <w:tc>
          <w:tcPr>
            <w:tcW w:w="3798" w:type="dxa"/>
            <w:tcBorders>
              <w:top w:val="nil"/>
              <w:left w:val="nil"/>
              <w:bottom w:val="nil"/>
              <w:right w:val="single" w:sz="4" w:space="0" w:color="000000"/>
            </w:tcBorders>
            <w:shd w:val="clear" w:color="000000" w:fill="FFFFFF"/>
            <w:hideMark/>
          </w:tcPr>
          <w:p w14:paraId="0A9949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tc>
        <w:tc>
          <w:tcPr>
            <w:tcW w:w="3798" w:type="dxa"/>
            <w:tcBorders>
              <w:top w:val="nil"/>
              <w:left w:val="nil"/>
              <w:bottom w:val="nil"/>
              <w:right w:val="single" w:sz="4" w:space="0" w:color="000000"/>
            </w:tcBorders>
            <w:shd w:val="clear" w:color="000000" w:fill="FFFFFF"/>
            <w:hideMark/>
          </w:tcPr>
          <w:p w14:paraId="35981F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tc>
        <w:tc>
          <w:tcPr>
            <w:tcW w:w="1480" w:type="dxa"/>
            <w:tcBorders>
              <w:top w:val="nil"/>
              <w:left w:val="nil"/>
              <w:bottom w:val="nil"/>
              <w:right w:val="single" w:sz="4" w:space="0" w:color="000000"/>
            </w:tcBorders>
            <w:shd w:val="clear" w:color="000000" w:fill="FFFFFF"/>
            <w:hideMark/>
          </w:tcPr>
          <w:p w14:paraId="280241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04B8EA4"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6C41F6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  </w:t>
            </w:r>
          </w:p>
        </w:tc>
        <w:tc>
          <w:tcPr>
            <w:tcW w:w="3798" w:type="dxa"/>
            <w:tcBorders>
              <w:top w:val="nil"/>
              <w:left w:val="nil"/>
              <w:bottom w:val="nil"/>
              <w:right w:val="single" w:sz="4" w:space="0" w:color="000000"/>
            </w:tcBorders>
            <w:shd w:val="clear" w:color="000000" w:fill="FFFFFF"/>
            <w:hideMark/>
          </w:tcPr>
          <w:p w14:paraId="1CF48A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w:t>
            </w:r>
          </w:p>
        </w:tc>
        <w:tc>
          <w:tcPr>
            <w:tcW w:w="3798" w:type="dxa"/>
            <w:tcBorders>
              <w:top w:val="nil"/>
              <w:left w:val="nil"/>
              <w:bottom w:val="nil"/>
              <w:right w:val="single" w:sz="4" w:space="0" w:color="000000"/>
            </w:tcBorders>
            <w:shd w:val="clear" w:color="000000" w:fill="FFFFFF"/>
            <w:hideMark/>
          </w:tcPr>
          <w:p w14:paraId="6C66CF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w:t>
            </w:r>
          </w:p>
        </w:tc>
        <w:tc>
          <w:tcPr>
            <w:tcW w:w="1480" w:type="dxa"/>
            <w:tcBorders>
              <w:top w:val="nil"/>
              <w:left w:val="nil"/>
              <w:bottom w:val="nil"/>
              <w:right w:val="single" w:sz="4" w:space="0" w:color="000000"/>
            </w:tcBorders>
            <w:shd w:val="clear" w:color="000000" w:fill="FFFFFF"/>
            <w:hideMark/>
          </w:tcPr>
          <w:p w14:paraId="3F21D7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646D1F"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DABDB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 </w:t>
            </w:r>
          </w:p>
        </w:tc>
        <w:tc>
          <w:tcPr>
            <w:tcW w:w="3798" w:type="dxa"/>
            <w:tcBorders>
              <w:top w:val="nil"/>
              <w:left w:val="nil"/>
              <w:bottom w:val="single" w:sz="4" w:space="0" w:color="000000"/>
              <w:right w:val="single" w:sz="4" w:space="0" w:color="000000"/>
            </w:tcBorders>
            <w:shd w:val="clear" w:color="000000" w:fill="FFFFFF"/>
            <w:hideMark/>
          </w:tcPr>
          <w:p w14:paraId="051596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tc>
        <w:tc>
          <w:tcPr>
            <w:tcW w:w="3798" w:type="dxa"/>
            <w:tcBorders>
              <w:top w:val="nil"/>
              <w:left w:val="nil"/>
              <w:bottom w:val="single" w:sz="4" w:space="0" w:color="000000"/>
              <w:right w:val="single" w:sz="4" w:space="0" w:color="000000"/>
            </w:tcBorders>
            <w:shd w:val="clear" w:color="000000" w:fill="FFFFFF"/>
            <w:hideMark/>
          </w:tcPr>
          <w:p w14:paraId="283096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tc>
        <w:tc>
          <w:tcPr>
            <w:tcW w:w="1480" w:type="dxa"/>
            <w:tcBorders>
              <w:top w:val="nil"/>
              <w:left w:val="nil"/>
              <w:bottom w:val="single" w:sz="4" w:space="0" w:color="000000"/>
              <w:right w:val="single" w:sz="4" w:space="0" w:color="000000"/>
            </w:tcBorders>
            <w:shd w:val="clear" w:color="000000" w:fill="FFFFFF"/>
            <w:hideMark/>
          </w:tcPr>
          <w:p w14:paraId="6B1B89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513677B"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9BAEBB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111.- Veda de encuestas.</w:t>
            </w:r>
            <w:r w:rsidRPr="00222F34">
              <w:rPr>
                <w:rFonts w:ascii="Calibri" w:eastAsia="Times New Roman" w:hAnsi="Calibri" w:cs="Calibri"/>
                <w:color w:val="000000"/>
                <w:lang w:val="es-CO" w:eastAsia="es-CO" w:bidi="ar-SA"/>
              </w:rPr>
              <w:t xml:space="preserve"> No se podrán realizar, publicar o difundir encuestas, sondeos o proyecciones electorales dentro de los ocho (8) días calendario anteriores a las elecciones. </w:t>
            </w:r>
          </w:p>
        </w:tc>
        <w:tc>
          <w:tcPr>
            <w:tcW w:w="3798" w:type="dxa"/>
            <w:tcBorders>
              <w:top w:val="nil"/>
              <w:left w:val="nil"/>
              <w:bottom w:val="single" w:sz="4" w:space="0" w:color="000000"/>
              <w:right w:val="single" w:sz="4" w:space="0" w:color="000000"/>
            </w:tcBorders>
            <w:shd w:val="clear" w:color="000000" w:fill="FFFFFF"/>
            <w:hideMark/>
          </w:tcPr>
          <w:p w14:paraId="32F2BB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114. Veda de encuestas. </w:t>
            </w:r>
            <w:r w:rsidRPr="00222F34">
              <w:rPr>
                <w:rFonts w:ascii="Calibri" w:eastAsia="Times New Roman" w:hAnsi="Calibri" w:cs="Calibri"/>
                <w:color w:val="000000"/>
                <w:lang w:val="es-CO" w:eastAsia="es-CO" w:bidi="ar-SA"/>
              </w:rPr>
              <w:t>No se podrán realizar, publicar o difundir encuestas, sondeos o proyecciones electorales dentro de los ocho (8) días calendario anteriores a las elecciones.</w:t>
            </w:r>
          </w:p>
        </w:tc>
        <w:tc>
          <w:tcPr>
            <w:tcW w:w="3798" w:type="dxa"/>
            <w:tcBorders>
              <w:top w:val="nil"/>
              <w:left w:val="nil"/>
              <w:bottom w:val="single" w:sz="4" w:space="0" w:color="000000"/>
              <w:right w:val="single" w:sz="4" w:space="0" w:color="000000"/>
            </w:tcBorders>
            <w:shd w:val="clear" w:color="000000" w:fill="FFFFFF"/>
            <w:hideMark/>
          </w:tcPr>
          <w:p w14:paraId="2516CC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114. Veda de encuestas. </w:t>
            </w:r>
            <w:r w:rsidRPr="00222F34">
              <w:rPr>
                <w:rFonts w:ascii="Calibri" w:eastAsia="Times New Roman" w:hAnsi="Calibri" w:cs="Calibri"/>
                <w:color w:val="000000"/>
                <w:lang w:val="es-CO" w:eastAsia="es-CO" w:bidi="ar-SA"/>
              </w:rPr>
              <w:t>No se podrán realizar, publicar o difundir encuestas, sondeos o proyecciones electorales dentro de los ocho (8) días calendario anteriores a las elecciones.</w:t>
            </w:r>
          </w:p>
        </w:tc>
        <w:tc>
          <w:tcPr>
            <w:tcW w:w="1480" w:type="dxa"/>
            <w:tcBorders>
              <w:top w:val="nil"/>
              <w:left w:val="nil"/>
              <w:bottom w:val="single" w:sz="4" w:space="0" w:color="000000"/>
              <w:right w:val="single" w:sz="4" w:space="0" w:color="000000"/>
            </w:tcBorders>
            <w:shd w:val="clear" w:color="000000" w:fill="FFFFFF"/>
            <w:hideMark/>
          </w:tcPr>
          <w:p w14:paraId="769D8C11" w14:textId="234F9CB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5BE874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475A48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112.- Auditoría y trazabilidad de los datos.</w:t>
            </w:r>
            <w:r w:rsidRPr="00222F34">
              <w:rPr>
                <w:rFonts w:ascii="Calibri" w:eastAsia="Times New Roman" w:hAnsi="Calibri" w:cs="Calibri"/>
                <w:color w:val="000000"/>
                <w:lang w:val="es-CO" w:eastAsia="es-CO" w:bidi="ar-SA"/>
              </w:rPr>
              <w:t xml:space="preserve"> 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 </w:t>
            </w:r>
          </w:p>
        </w:tc>
        <w:tc>
          <w:tcPr>
            <w:tcW w:w="3798" w:type="dxa"/>
            <w:tcBorders>
              <w:top w:val="nil"/>
              <w:left w:val="nil"/>
              <w:bottom w:val="nil"/>
              <w:right w:val="single" w:sz="4" w:space="0" w:color="000000"/>
            </w:tcBorders>
            <w:shd w:val="clear" w:color="000000" w:fill="FFFFFF"/>
            <w:hideMark/>
          </w:tcPr>
          <w:p w14:paraId="503607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115. Auditoría y trazabilidad de los datos. </w:t>
            </w:r>
            <w:r w:rsidRPr="00222F34">
              <w:rPr>
                <w:rFonts w:ascii="Calibri" w:eastAsia="Times New Roman" w:hAnsi="Calibri" w:cs="Calibri"/>
                <w:color w:val="000000"/>
                <w:lang w:val="es-CO" w:eastAsia="es-CO" w:bidi="ar-SA"/>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p>
        </w:tc>
        <w:tc>
          <w:tcPr>
            <w:tcW w:w="3798" w:type="dxa"/>
            <w:tcBorders>
              <w:top w:val="nil"/>
              <w:left w:val="nil"/>
              <w:bottom w:val="nil"/>
              <w:right w:val="single" w:sz="4" w:space="0" w:color="000000"/>
            </w:tcBorders>
            <w:shd w:val="clear" w:color="000000" w:fill="FFFFFF"/>
            <w:hideMark/>
          </w:tcPr>
          <w:p w14:paraId="43BFB4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115. Auditoría y trazabilidad de los datos. </w:t>
            </w:r>
            <w:r w:rsidRPr="00222F34">
              <w:rPr>
                <w:rFonts w:ascii="Calibri" w:eastAsia="Times New Roman" w:hAnsi="Calibri" w:cs="Calibri"/>
                <w:color w:val="000000"/>
                <w:lang w:val="es-CO" w:eastAsia="es-CO" w:bidi="ar-SA"/>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p>
        </w:tc>
        <w:tc>
          <w:tcPr>
            <w:tcW w:w="1480" w:type="dxa"/>
            <w:tcBorders>
              <w:top w:val="nil"/>
              <w:left w:val="nil"/>
              <w:bottom w:val="nil"/>
              <w:right w:val="single" w:sz="4" w:space="0" w:color="000000"/>
            </w:tcBorders>
            <w:shd w:val="clear" w:color="000000" w:fill="FFFFFF"/>
            <w:hideMark/>
          </w:tcPr>
          <w:p w14:paraId="2C8DC4AA" w14:textId="5C8323A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BB8CE07"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09594A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 </w:t>
            </w:r>
          </w:p>
        </w:tc>
        <w:tc>
          <w:tcPr>
            <w:tcW w:w="3798" w:type="dxa"/>
            <w:tcBorders>
              <w:top w:val="nil"/>
              <w:left w:val="nil"/>
              <w:bottom w:val="single" w:sz="4" w:space="0" w:color="000000"/>
              <w:right w:val="single" w:sz="4" w:space="0" w:color="000000"/>
            </w:tcBorders>
            <w:shd w:val="clear" w:color="000000" w:fill="FFFFFF"/>
            <w:hideMark/>
          </w:tcPr>
          <w:p w14:paraId="419651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w:t>
            </w:r>
          </w:p>
        </w:tc>
        <w:tc>
          <w:tcPr>
            <w:tcW w:w="3798" w:type="dxa"/>
            <w:tcBorders>
              <w:top w:val="nil"/>
              <w:left w:val="nil"/>
              <w:bottom w:val="single" w:sz="4" w:space="0" w:color="000000"/>
              <w:right w:val="single" w:sz="4" w:space="0" w:color="000000"/>
            </w:tcBorders>
            <w:shd w:val="clear" w:color="000000" w:fill="FFFFFF"/>
            <w:hideMark/>
          </w:tcPr>
          <w:p w14:paraId="3EBF28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w:t>
            </w:r>
          </w:p>
        </w:tc>
        <w:tc>
          <w:tcPr>
            <w:tcW w:w="1480" w:type="dxa"/>
            <w:tcBorders>
              <w:top w:val="nil"/>
              <w:left w:val="nil"/>
              <w:bottom w:val="single" w:sz="4" w:space="0" w:color="000000"/>
              <w:right w:val="single" w:sz="4" w:space="0" w:color="000000"/>
            </w:tcBorders>
            <w:shd w:val="clear" w:color="000000" w:fill="FFFFFF"/>
            <w:hideMark/>
          </w:tcPr>
          <w:p w14:paraId="468C34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789BF9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BC4959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113.- Prohibiciones.</w:t>
            </w:r>
            <w:r w:rsidRPr="00222F34">
              <w:rPr>
                <w:rFonts w:ascii="Calibri" w:eastAsia="Times New Roman" w:hAnsi="Calibri" w:cs="Calibri"/>
                <w:color w:val="000000"/>
                <w:lang w:val="es-CO" w:eastAsia="es-CO" w:bidi="ar-SA"/>
              </w:rPr>
              <w:t xml:space="preserve"> Las firmas encuestadoras registradas ante el Consejo Nacional Electoral y sus representantes legales, o miembros de </w:t>
            </w:r>
            <w:r w:rsidRPr="00222F34">
              <w:rPr>
                <w:rFonts w:ascii="Calibri" w:eastAsia="Times New Roman" w:hAnsi="Calibri" w:cs="Calibri"/>
                <w:color w:val="000000"/>
                <w:lang w:val="es-CO" w:eastAsia="es-CO" w:bidi="ar-SA"/>
              </w:rPr>
              <w:lastRenderedPageBreak/>
              <w:t xml:space="preserve">junta directiva no podrán realizar aportes a las campañas políticas.  </w:t>
            </w:r>
          </w:p>
        </w:tc>
        <w:tc>
          <w:tcPr>
            <w:tcW w:w="3798" w:type="dxa"/>
            <w:tcBorders>
              <w:top w:val="nil"/>
              <w:left w:val="nil"/>
              <w:bottom w:val="nil"/>
              <w:right w:val="single" w:sz="4" w:space="0" w:color="000000"/>
            </w:tcBorders>
            <w:shd w:val="clear" w:color="000000" w:fill="FFFFFF"/>
            <w:hideMark/>
          </w:tcPr>
          <w:p w14:paraId="4FAAD0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116. Prohibiciones. </w:t>
            </w:r>
            <w:r w:rsidRPr="00222F34">
              <w:rPr>
                <w:rFonts w:ascii="Calibri" w:eastAsia="Times New Roman" w:hAnsi="Calibri" w:cs="Calibri"/>
                <w:color w:val="000000"/>
                <w:lang w:val="es-CO" w:eastAsia="es-CO" w:bidi="ar-SA"/>
              </w:rPr>
              <w:t xml:space="preserve">Las firmas encuestadoras registradas ante el Consejo Nacional Electoral y sus representantes legales, o miembros de </w:t>
            </w:r>
            <w:r w:rsidRPr="00222F34">
              <w:rPr>
                <w:rFonts w:ascii="Calibri" w:eastAsia="Times New Roman" w:hAnsi="Calibri" w:cs="Calibri"/>
                <w:color w:val="000000"/>
                <w:lang w:val="es-CO" w:eastAsia="es-CO" w:bidi="ar-SA"/>
              </w:rPr>
              <w:lastRenderedPageBreak/>
              <w:t>junta directiva no podrán realizar aportes a las campañas políticas.</w:t>
            </w:r>
          </w:p>
        </w:tc>
        <w:tc>
          <w:tcPr>
            <w:tcW w:w="3798" w:type="dxa"/>
            <w:tcBorders>
              <w:top w:val="nil"/>
              <w:left w:val="nil"/>
              <w:bottom w:val="nil"/>
              <w:right w:val="single" w:sz="4" w:space="0" w:color="000000"/>
            </w:tcBorders>
            <w:shd w:val="clear" w:color="000000" w:fill="FFFFFF"/>
            <w:hideMark/>
          </w:tcPr>
          <w:p w14:paraId="67048C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116. Prohibiciones. </w:t>
            </w:r>
            <w:r w:rsidRPr="00222F34">
              <w:rPr>
                <w:rFonts w:ascii="Calibri" w:eastAsia="Times New Roman" w:hAnsi="Calibri" w:cs="Calibri"/>
                <w:color w:val="000000"/>
                <w:lang w:val="es-CO" w:eastAsia="es-CO" w:bidi="ar-SA"/>
              </w:rPr>
              <w:t xml:space="preserve">Las firmas encuestadoras registradas ante el Consejo Nacional Electoral y sus representantes legales, o miembros de </w:t>
            </w:r>
            <w:r w:rsidRPr="00222F34">
              <w:rPr>
                <w:rFonts w:ascii="Calibri" w:eastAsia="Times New Roman" w:hAnsi="Calibri" w:cs="Calibri"/>
                <w:color w:val="000000"/>
                <w:lang w:val="es-CO" w:eastAsia="es-CO" w:bidi="ar-SA"/>
              </w:rPr>
              <w:lastRenderedPageBreak/>
              <w:t>junta directiva no podrán realizar aportes a las campañas políticas.</w:t>
            </w:r>
          </w:p>
        </w:tc>
        <w:tc>
          <w:tcPr>
            <w:tcW w:w="1480" w:type="dxa"/>
            <w:tcBorders>
              <w:top w:val="nil"/>
              <w:left w:val="nil"/>
              <w:bottom w:val="nil"/>
              <w:right w:val="single" w:sz="4" w:space="0" w:color="000000"/>
            </w:tcBorders>
            <w:shd w:val="clear" w:color="000000" w:fill="FFFFFF"/>
            <w:hideMark/>
          </w:tcPr>
          <w:p w14:paraId="348D307B" w14:textId="0CFA7E6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21FEC244"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A86F2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encuestadoras que no estén registradas en el Registro Nacional de Firmas Encuestadoras del Consejo Nacional Electoral. </w:t>
            </w:r>
          </w:p>
        </w:tc>
        <w:tc>
          <w:tcPr>
            <w:tcW w:w="3798" w:type="dxa"/>
            <w:tcBorders>
              <w:top w:val="nil"/>
              <w:left w:val="nil"/>
              <w:bottom w:val="single" w:sz="4" w:space="0" w:color="000000"/>
              <w:right w:val="single" w:sz="4" w:space="0" w:color="000000"/>
            </w:tcBorders>
            <w:shd w:val="clear" w:color="000000" w:fill="FFFFFF"/>
            <w:hideMark/>
          </w:tcPr>
          <w:p w14:paraId="56063D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encuestadoras que no estén registradas en el Registro Nacional de Firmas Encuestadoras del Consejo Nacional Electoral.</w:t>
            </w:r>
          </w:p>
        </w:tc>
        <w:tc>
          <w:tcPr>
            <w:tcW w:w="3798" w:type="dxa"/>
            <w:tcBorders>
              <w:top w:val="nil"/>
              <w:left w:val="nil"/>
              <w:bottom w:val="single" w:sz="4" w:space="0" w:color="000000"/>
              <w:right w:val="single" w:sz="4" w:space="0" w:color="000000"/>
            </w:tcBorders>
            <w:shd w:val="clear" w:color="000000" w:fill="FFFFFF"/>
            <w:hideMark/>
          </w:tcPr>
          <w:p w14:paraId="487DF9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encuestadoras que no estén registradas en el Registro Nacional de Firmas Encuestadoras del Consejo Nacional Electoral.</w:t>
            </w:r>
          </w:p>
        </w:tc>
        <w:tc>
          <w:tcPr>
            <w:tcW w:w="1480" w:type="dxa"/>
            <w:tcBorders>
              <w:top w:val="nil"/>
              <w:left w:val="nil"/>
              <w:bottom w:val="single" w:sz="4" w:space="0" w:color="000000"/>
              <w:right w:val="single" w:sz="4" w:space="0" w:color="000000"/>
            </w:tcBorders>
            <w:shd w:val="clear" w:color="000000" w:fill="FFFFFF"/>
            <w:hideMark/>
          </w:tcPr>
          <w:p w14:paraId="23D0F2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B1DA6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56F7BD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114.- Competencia en materia de encuestas y sondeos de contenido electoral.</w:t>
            </w:r>
            <w:r w:rsidRPr="00222F34">
              <w:rPr>
                <w:rFonts w:ascii="Calibri" w:eastAsia="Times New Roman" w:hAnsi="Calibri" w:cs="Calibri"/>
                <w:color w:val="000000"/>
                <w:lang w:val="es-CO" w:eastAsia="es-CO" w:bidi="ar-SA"/>
              </w:rPr>
              <w:t xml:space="preserve"> El Consejo Nacional Electoral, en ejercicio de sus atribuciones constitucionales y legales, está facultado para reglamentar los asuntos relacionados con la realización, publicación, difusión de encuestas y los sondeos de carácter electorales.</w:t>
            </w:r>
          </w:p>
        </w:tc>
        <w:tc>
          <w:tcPr>
            <w:tcW w:w="3798" w:type="dxa"/>
            <w:tcBorders>
              <w:top w:val="nil"/>
              <w:left w:val="nil"/>
              <w:bottom w:val="nil"/>
              <w:right w:val="single" w:sz="4" w:space="0" w:color="000000"/>
            </w:tcBorders>
            <w:shd w:val="clear" w:color="000000" w:fill="FFFFFF"/>
            <w:hideMark/>
          </w:tcPr>
          <w:p w14:paraId="60EF29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117. Competencia en materia de encuestas y sondeos de contenido electoral.</w:t>
            </w:r>
            <w:r w:rsidRPr="00222F34">
              <w:rPr>
                <w:rFonts w:ascii="Calibri" w:eastAsia="Times New Roman" w:hAnsi="Calibri" w:cs="Calibri"/>
                <w:color w:val="000000"/>
                <w:lang w:val="es-CO" w:eastAsia="es-CO" w:bidi="ar-SA"/>
              </w:rPr>
              <w:t xml:space="preserve"> El Consejo Nacional Electoral, en ejercicio de sus atribuciones constitucionales y legales, está facultado para reglamentar los asuntos relacionados con la realización, publicación, difusión de encuestas y los sondeos de carácter electorales.</w:t>
            </w:r>
          </w:p>
        </w:tc>
        <w:tc>
          <w:tcPr>
            <w:tcW w:w="3798" w:type="dxa"/>
            <w:tcBorders>
              <w:top w:val="nil"/>
              <w:left w:val="nil"/>
              <w:bottom w:val="nil"/>
              <w:right w:val="single" w:sz="4" w:space="0" w:color="000000"/>
            </w:tcBorders>
            <w:shd w:val="clear" w:color="000000" w:fill="FFFFFF"/>
            <w:hideMark/>
          </w:tcPr>
          <w:p w14:paraId="520B41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117. Competencia en materia de encuestas y sondeos de contenido electoral.</w:t>
            </w:r>
            <w:r w:rsidRPr="00222F34">
              <w:rPr>
                <w:rFonts w:ascii="Calibri" w:eastAsia="Times New Roman" w:hAnsi="Calibri" w:cs="Calibri"/>
                <w:color w:val="000000"/>
                <w:lang w:val="es-CO" w:eastAsia="es-CO" w:bidi="ar-SA"/>
              </w:rPr>
              <w:t xml:space="preserve"> El Consejo Nacional Electoral, en ejercicio de sus atribuciones constitucionales y legales, está facultado para reglamentar los asuntos relacionados con la realización, publicación, difusión de encuestas y los sondeos de carácter electorales.</w:t>
            </w:r>
          </w:p>
        </w:tc>
        <w:tc>
          <w:tcPr>
            <w:tcW w:w="1480" w:type="dxa"/>
            <w:tcBorders>
              <w:top w:val="nil"/>
              <w:left w:val="nil"/>
              <w:bottom w:val="nil"/>
              <w:right w:val="single" w:sz="4" w:space="0" w:color="000000"/>
            </w:tcBorders>
            <w:shd w:val="clear" w:color="000000" w:fill="FFFFFF"/>
            <w:hideMark/>
          </w:tcPr>
          <w:p w14:paraId="14E412CC" w14:textId="53DE8A4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9E4ED7A"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1E136C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 </w:t>
            </w:r>
          </w:p>
        </w:tc>
        <w:tc>
          <w:tcPr>
            <w:tcW w:w="3798" w:type="dxa"/>
            <w:tcBorders>
              <w:top w:val="nil"/>
              <w:left w:val="nil"/>
              <w:bottom w:val="single" w:sz="4" w:space="0" w:color="000000"/>
              <w:right w:val="single" w:sz="4" w:space="0" w:color="000000"/>
            </w:tcBorders>
            <w:shd w:val="clear" w:color="000000" w:fill="FFFFFF"/>
            <w:hideMark/>
          </w:tcPr>
          <w:p w14:paraId="6A37D7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w:t>
            </w:r>
          </w:p>
        </w:tc>
        <w:tc>
          <w:tcPr>
            <w:tcW w:w="3798" w:type="dxa"/>
            <w:tcBorders>
              <w:top w:val="nil"/>
              <w:left w:val="nil"/>
              <w:bottom w:val="single" w:sz="4" w:space="0" w:color="000000"/>
              <w:right w:val="single" w:sz="4" w:space="0" w:color="000000"/>
            </w:tcBorders>
            <w:shd w:val="clear" w:color="000000" w:fill="FFFFFF"/>
            <w:hideMark/>
          </w:tcPr>
          <w:p w14:paraId="7B6296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w:t>
            </w:r>
          </w:p>
        </w:tc>
        <w:tc>
          <w:tcPr>
            <w:tcW w:w="1480" w:type="dxa"/>
            <w:tcBorders>
              <w:top w:val="nil"/>
              <w:left w:val="nil"/>
              <w:bottom w:val="single" w:sz="4" w:space="0" w:color="000000"/>
              <w:right w:val="single" w:sz="4" w:space="0" w:color="000000"/>
            </w:tcBorders>
            <w:shd w:val="clear" w:color="000000" w:fill="FFFFFF"/>
            <w:hideMark/>
          </w:tcPr>
          <w:p w14:paraId="103D47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83B8F0B"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7E77240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115.- Procedimiento administrativo sancionatorio.</w:t>
            </w:r>
            <w:r w:rsidRPr="00222F34">
              <w:rPr>
                <w:rFonts w:ascii="Calibri" w:eastAsia="Times New Roman" w:hAnsi="Calibri" w:cs="Calibri"/>
                <w:color w:val="000000"/>
                <w:lang w:val="es-CO" w:eastAsia="es-CO" w:bidi="ar-SA"/>
              </w:rPr>
              <w:t xml:space="preserve"> 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o norma que lo modifique, adicione o sustituya. </w:t>
            </w:r>
            <w:r w:rsidRPr="00222F34">
              <w:rPr>
                <w:rFonts w:ascii="Calibri" w:eastAsia="Times New Roman" w:hAnsi="Calibri" w:cs="Calibri"/>
                <w:color w:val="000000"/>
                <w:lang w:val="es-CO" w:eastAsia="es-CO" w:bidi="ar-SA"/>
              </w:rPr>
              <w:lastRenderedPageBreak/>
              <w:t xml:space="preserve">Lo anterior, sin perjuicio de las conductas penales en las que sus representantes legales o empleados puedan llegar a incurrir.  </w:t>
            </w:r>
          </w:p>
        </w:tc>
        <w:tc>
          <w:tcPr>
            <w:tcW w:w="3798" w:type="dxa"/>
            <w:tcBorders>
              <w:top w:val="nil"/>
              <w:left w:val="nil"/>
              <w:bottom w:val="nil"/>
              <w:right w:val="single" w:sz="4" w:space="0" w:color="000000"/>
            </w:tcBorders>
            <w:shd w:val="clear" w:color="000000" w:fill="FFFFFF"/>
            <w:hideMark/>
          </w:tcPr>
          <w:p w14:paraId="3BAD2D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118. Procedimiento administrativo sancionatorio.</w:t>
            </w:r>
            <w:r w:rsidRPr="00222F34">
              <w:rPr>
                <w:rFonts w:ascii="Calibri" w:eastAsia="Times New Roman" w:hAnsi="Calibri" w:cs="Calibri"/>
                <w:color w:val="000000"/>
                <w:lang w:val="es-CO" w:eastAsia="es-CO" w:bidi="ar-SA"/>
              </w:rPr>
              <w:t xml:space="preserve"> 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o norma que lo modifique, adicione o sustituya. </w:t>
            </w:r>
            <w:r w:rsidRPr="00222F34">
              <w:rPr>
                <w:rFonts w:ascii="Calibri" w:eastAsia="Times New Roman" w:hAnsi="Calibri" w:cs="Calibri"/>
                <w:color w:val="000000"/>
                <w:lang w:val="es-CO" w:eastAsia="es-CO" w:bidi="ar-SA"/>
              </w:rPr>
              <w:lastRenderedPageBreak/>
              <w:t>Lo anterior, sin perjuicio de las conductas penales en las que sus representantes legales o empleados puedan llegar a incurrir.</w:t>
            </w:r>
          </w:p>
        </w:tc>
        <w:tc>
          <w:tcPr>
            <w:tcW w:w="3798" w:type="dxa"/>
            <w:tcBorders>
              <w:top w:val="nil"/>
              <w:left w:val="nil"/>
              <w:bottom w:val="nil"/>
              <w:right w:val="single" w:sz="4" w:space="0" w:color="000000"/>
            </w:tcBorders>
            <w:shd w:val="clear" w:color="000000" w:fill="FFFFFF"/>
            <w:hideMark/>
          </w:tcPr>
          <w:p w14:paraId="7DB874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118. Procedimiento administrativo sancionatorio.</w:t>
            </w:r>
            <w:r w:rsidRPr="00222F34">
              <w:rPr>
                <w:rFonts w:ascii="Calibri" w:eastAsia="Times New Roman" w:hAnsi="Calibri" w:cs="Calibri"/>
                <w:color w:val="000000"/>
                <w:lang w:val="es-CO" w:eastAsia="es-CO" w:bidi="ar-SA"/>
              </w:rPr>
              <w:t xml:space="preserve"> 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o norma que lo modifique, adicione o sustituya. </w:t>
            </w:r>
            <w:r w:rsidRPr="00222F34">
              <w:rPr>
                <w:rFonts w:ascii="Calibri" w:eastAsia="Times New Roman" w:hAnsi="Calibri" w:cs="Calibri"/>
                <w:color w:val="000000"/>
                <w:lang w:val="es-CO" w:eastAsia="es-CO" w:bidi="ar-SA"/>
              </w:rPr>
              <w:lastRenderedPageBreak/>
              <w:t>Lo anterior, sin perjuicio de las conductas penales en las que sus representantes legales o empleados puedan llegar a incurrir.</w:t>
            </w:r>
          </w:p>
        </w:tc>
        <w:tc>
          <w:tcPr>
            <w:tcW w:w="1480" w:type="dxa"/>
            <w:tcBorders>
              <w:top w:val="nil"/>
              <w:left w:val="nil"/>
              <w:bottom w:val="nil"/>
              <w:right w:val="single" w:sz="4" w:space="0" w:color="000000"/>
            </w:tcBorders>
            <w:shd w:val="clear" w:color="000000" w:fill="FFFFFF"/>
            <w:hideMark/>
          </w:tcPr>
          <w:p w14:paraId="286A7C9E" w14:textId="422BD1F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CD4925" w:rsidRPr="00222F34" w14:paraId="46BB6DB7"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FEB641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  </w:t>
            </w:r>
          </w:p>
        </w:tc>
        <w:tc>
          <w:tcPr>
            <w:tcW w:w="3798" w:type="dxa"/>
            <w:tcBorders>
              <w:top w:val="nil"/>
              <w:left w:val="nil"/>
              <w:bottom w:val="nil"/>
              <w:right w:val="single" w:sz="4" w:space="0" w:color="000000"/>
            </w:tcBorders>
            <w:shd w:val="clear" w:color="000000" w:fill="FFFFFF"/>
            <w:hideMark/>
          </w:tcPr>
          <w:p w14:paraId="446B06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w:t>
            </w:r>
          </w:p>
        </w:tc>
        <w:tc>
          <w:tcPr>
            <w:tcW w:w="3798" w:type="dxa"/>
            <w:tcBorders>
              <w:top w:val="nil"/>
              <w:left w:val="nil"/>
              <w:bottom w:val="nil"/>
              <w:right w:val="single" w:sz="4" w:space="0" w:color="000000"/>
            </w:tcBorders>
            <w:shd w:val="clear" w:color="000000" w:fill="FFFFFF"/>
            <w:hideMark/>
          </w:tcPr>
          <w:p w14:paraId="58F438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w:t>
            </w:r>
          </w:p>
        </w:tc>
        <w:tc>
          <w:tcPr>
            <w:tcW w:w="1480" w:type="dxa"/>
            <w:tcBorders>
              <w:top w:val="nil"/>
              <w:left w:val="nil"/>
              <w:bottom w:val="nil"/>
              <w:right w:val="single" w:sz="4" w:space="0" w:color="000000"/>
            </w:tcBorders>
            <w:shd w:val="clear" w:color="000000" w:fill="FFFFFF"/>
            <w:hideMark/>
          </w:tcPr>
          <w:p w14:paraId="2C25F1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D21D83"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1F6CF08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Se considerarán faltas graves que las preguntas al público sean formuladas de manera que induzcan una respuesta determinada o que el resultado global de dichas preguntas no represente la realidad que se pretende describir con las mismas. </w:t>
            </w:r>
          </w:p>
        </w:tc>
        <w:tc>
          <w:tcPr>
            <w:tcW w:w="3798" w:type="dxa"/>
            <w:tcBorders>
              <w:top w:val="nil"/>
              <w:left w:val="nil"/>
              <w:bottom w:val="single" w:sz="4" w:space="0" w:color="000000"/>
              <w:right w:val="single" w:sz="4" w:space="0" w:color="000000"/>
            </w:tcBorders>
            <w:shd w:val="clear" w:color="000000" w:fill="FFFFFF"/>
            <w:hideMark/>
          </w:tcPr>
          <w:p w14:paraId="315540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Se considerarán faltas graves que las preguntas al público sean formuladas de manera que induzcan una respuesta determinada, que las gráficas o datos sean plasmados para favorecer o aceptar un candidato o que el resultado global de dichas preguntas no represente la realidad que se pretende describir con las mismas.</w:t>
            </w:r>
          </w:p>
        </w:tc>
        <w:tc>
          <w:tcPr>
            <w:tcW w:w="3798" w:type="dxa"/>
            <w:tcBorders>
              <w:top w:val="nil"/>
              <w:left w:val="nil"/>
              <w:bottom w:val="single" w:sz="4" w:space="0" w:color="000000"/>
              <w:right w:val="single" w:sz="4" w:space="0" w:color="000000"/>
            </w:tcBorders>
            <w:shd w:val="clear" w:color="000000" w:fill="FFFFFF"/>
            <w:hideMark/>
          </w:tcPr>
          <w:p w14:paraId="2EA091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Se considerarán faltas graves que las preguntas al público sean formuladas de manera que induzcan una respuesta determinada, que las gráficas o datos sean plasmados para favorecer o aceptar un candidato o que el resultado global de dichas preguntas no represente la realidad que se pretende describir con las mismas.</w:t>
            </w:r>
          </w:p>
        </w:tc>
        <w:tc>
          <w:tcPr>
            <w:tcW w:w="1480" w:type="dxa"/>
            <w:tcBorders>
              <w:top w:val="nil"/>
              <w:left w:val="nil"/>
              <w:bottom w:val="single" w:sz="4" w:space="0" w:color="000000"/>
              <w:right w:val="single" w:sz="4" w:space="0" w:color="000000"/>
            </w:tcBorders>
            <w:shd w:val="clear" w:color="000000" w:fill="FFFFFF"/>
            <w:hideMark/>
          </w:tcPr>
          <w:p w14:paraId="60EBB6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A5FC50F" w14:textId="77777777" w:rsidTr="00222F34">
        <w:trPr>
          <w:trHeight w:val="3000"/>
        </w:trPr>
        <w:tc>
          <w:tcPr>
            <w:tcW w:w="3798" w:type="dxa"/>
            <w:tcBorders>
              <w:top w:val="nil"/>
              <w:left w:val="single" w:sz="4" w:space="0" w:color="000000"/>
              <w:bottom w:val="single" w:sz="4" w:space="0" w:color="000000"/>
              <w:right w:val="single" w:sz="4" w:space="0" w:color="000000"/>
            </w:tcBorders>
            <w:shd w:val="clear" w:color="000000" w:fill="FFFFFF"/>
            <w:hideMark/>
          </w:tcPr>
          <w:p w14:paraId="10C3086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116.- Sanciones en materia de encuestas.</w:t>
            </w:r>
            <w:r w:rsidRPr="00222F34">
              <w:rPr>
                <w:rFonts w:ascii="Calibri" w:eastAsia="Times New Roman" w:hAnsi="Calibri" w:cs="Calibri"/>
                <w:color w:val="000000"/>
                <w:lang w:val="es-CO" w:eastAsia="es-CO" w:bidi="ar-SA"/>
              </w:rPr>
              <w:t xml:space="preserve"> La infracción de las disposiciones de este capítulo será sancionada por el Consejo Nacional Electoral con multa entre ciento cincuenta (150) y doscientos cincuenta (250)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 </w:t>
            </w:r>
          </w:p>
        </w:tc>
        <w:tc>
          <w:tcPr>
            <w:tcW w:w="3798" w:type="dxa"/>
            <w:tcBorders>
              <w:top w:val="nil"/>
              <w:left w:val="nil"/>
              <w:bottom w:val="single" w:sz="4" w:space="0" w:color="000000"/>
              <w:right w:val="single" w:sz="4" w:space="0" w:color="000000"/>
            </w:tcBorders>
            <w:shd w:val="clear" w:color="000000" w:fill="FFFFFF"/>
            <w:hideMark/>
          </w:tcPr>
          <w:p w14:paraId="25261A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119. Sanciones en materia de encuestas. </w:t>
            </w:r>
            <w:r w:rsidRPr="00222F34">
              <w:rPr>
                <w:rFonts w:ascii="Calibri" w:eastAsia="Times New Roman" w:hAnsi="Calibri" w:cs="Calibri"/>
                <w:color w:val="000000"/>
                <w:lang w:val="es-CO" w:eastAsia="es-CO" w:bidi="ar-SA"/>
              </w:rPr>
              <w:t>La infracción de las disposiciones de este capítulo será sancionada por el Consejo Nacional Electoral con multa entre ciento (100) y doscientos (200)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w:t>
            </w:r>
          </w:p>
        </w:tc>
        <w:tc>
          <w:tcPr>
            <w:tcW w:w="3798" w:type="dxa"/>
            <w:tcBorders>
              <w:top w:val="nil"/>
              <w:left w:val="nil"/>
              <w:bottom w:val="single" w:sz="4" w:space="0" w:color="000000"/>
              <w:right w:val="single" w:sz="4" w:space="0" w:color="000000"/>
            </w:tcBorders>
            <w:shd w:val="clear" w:color="000000" w:fill="FFFFFF"/>
            <w:hideMark/>
          </w:tcPr>
          <w:p w14:paraId="41DE297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119.- Sanciones en materia de encuestas.</w:t>
            </w:r>
            <w:r w:rsidRPr="00222F34">
              <w:rPr>
                <w:rFonts w:ascii="Calibri" w:eastAsia="Times New Roman" w:hAnsi="Calibri" w:cs="Calibri"/>
                <w:color w:val="000000"/>
                <w:lang w:val="es-CO" w:eastAsia="es-CO" w:bidi="ar-SA"/>
              </w:rPr>
              <w:t xml:space="preserve"> La infracción de las disposiciones de este capítulo será sancionada por el Consejo Nacional Electoral con multa entre ciento cincuenta (150) y doscientos cincuenta (250)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 </w:t>
            </w:r>
          </w:p>
        </w:tc>
        <w:tc>
          <w:tcPr>
            <w:tcW w:w="1480" w:type="dxa"/>
            <w:tcBorders>
              <w:top w:val="nil"/>
              <w:left w:val="nil"/>
              <w:bottom w:val="single" w:sz="4" w:space="0" w:color="000000"/>
              <w:right w:val="single" w:sz="4" w:space="0" w:color="000000"/>
            </w:tcBorders>
            <w:shd w:val="clear" w:color="000000" w:fill="FFFFFF"/>
            <w:hideMark/>
          </w:tcPr>
          <w:p w14:paraId="02E8DC80" w14:textId="27CD397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A3851D6" w14:textId="77777777" w:rsidTr="00222F34">
        <w:trPr>
          <w:trHeight w:val="1800"/>
        </w:trPr>
        <w:tc>
          <w:tcPr>
            <w:tcW w:w="3798" w:type="dxa"/>
            <w:tcBorders>
              <w:top w:val="nil"/>
              <w:left w:val="single" w:sz="4" w:space="0" w:color="000000"/>
              <w:bottom w:val="nil"/>
              <w:right w:val="single" w:sz="4" w:space="0" w:color="000000"/>
            </w:tcBorders>
            <w:shd w:val="clear" w:color="FFC000" w:fill="FFFFFF"/>
            <w:hideMark/>
          </w:tcPr>
          <w:p w14:paraId="0717B0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REENUMERADO</w:t>
            </w:r>
          </w:p>
        </w:tc>
        <w:tc>
          <w:tcPr>
            <w:tcW w:w="3798" w:type="dxa"/>
            <w:tcBorders>
              <w:top w:val="nil"/>
              <w:left w:val="nil"/>
              <w:bottom w:val="nil"/>
              <w:right w:val="single" w:sz="4" w:space="0" w:color="000000"/>
            </w:tcBorders>
            <w:shd w:val="clear" w:color="000000" w:fill="FFFFFF"/>
            <w:hideMark/>
          </w:tcPr>
          <w:p w14:paraId="32E9B6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120. Registro Público de Contratos sobre encuestas de carácter político y electoral.</w:t>
            </w:r>
            <w:r w:rsidRPr="00222F34">
              <w:rPr>
                <w:rFonts w:ascii="Calibri" w:eastAsia="Times New Roman" w:hAnsi="Calibri" w:cs="Calibri"/>
                <w:color w:val="000000"/>
                <w:lang w:val="es-CO" w:eastAsia="es-CO" w:bidi="ar-SA"/>
              </w:rPr>
              <w:t xml:space="preserve"> Para la publicación de las encuestas de que trata la presente Ley, se depositarán todos los contratos sobre encuestas de carácter político y electoral, que se realicen para partidos políticos, movimientos </w:t>
            </w:r>
            <w:r w:rsidRPr="00222F34">
              <w:rPr>
                <w:rFonts w:ascii="Calibri" w:eastAsia="Times New Roman" w:hAnsi="Calibri" w:cs="Calibri"/>
                <w:color w:val="000000"/>
                <w:lang w:val="es-CO" w:eastAsia="es-CO" w:bidi="ar-SA"/>
              </w:rPr>
              <w:lastRenderedPageBreak/>
              <w:t>políticos, o movimientos significativos de ciudadanos o candidatos, incluyendo los contratos cuyo objeto sea la realización de estudios políticos o electorales sin intención de ser publicados.</w:t>
            </w:r>
          </w:p>
        </w:tc>
        <w:tc>
          <w:tcPr>
            <w:tcW w:w="3798" w:type="dxa"/>
            <w:tcBorders>
              <w:top w:val="nil"/>
              <w:left w:val="nil"/>
              <w:bottom w:val="nil"/>
              <w:right w:val="single" w:sz="4" w:space="0" w:color="000000"/>
            </w:tcBorders>
            <w:shd w:val="clear" w:color="000000" w:fill="FFFFFF"/>
            <w:hideMark/>
          </w:tcPr>
          <w:p w14:paraId="4AFEC1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120. Registro Público de Contratos sobre encuestas de carácter político y electoral.</w:t>
            </w:r>
            <w:r w:rsidRPr="00222F34">
              <w:rPr>
                <w:rFonts w:ascii="Calibri" w:eastAsia="Times New Roman" w:hAnsi="Calibri" w:cs="Calibri"/>
                <w:color w:val="000000"/>
                <w:lang w:val="es-CO" w:eastAsia="es-CO" w:bidi="ar-SA"/>
              </w:rPr>
              <w:t xml:space="preserve"> Para la publicación de las encuestas de que trata la presente Ley, se depositarán todos los contratos sobre encuestas de carácter político y electoral, que se realicen para partidos políticos, movimientos </w:t>
            </w:r>
            <w:r w:rsidRPr="00222F34">
              <w:rPr>
                <w:rFonts w:ascii="Calibri" w:eastAsia="Times New Roman" w:hAnsi="Calibri" w:cs="Calibri"/>
                <w:color w:val="000000"/>
                <w:lang w:val="es-CO" w:eastAsia="es-CO" w:bidi="ar-SA"/>
              </w:rPr>
              <w:lastRenderedPageBreak/>
              <w:t>políticos, o movimientos significativos de ciudadanos o candidatos, incluyendo los contratos cuyo objeto sea la realización de estudios políticos o electorales sin intención de ser publicados.</w:t>
            </w:r>
          </w:p>
        </w:tc>
        <w:tc>
          <w:tcPr>
            <w:tcW w:w="1480" w:type="dxa"/>
            <w:tcBorders>
              <w:top w:val="nil"/>
              <w:left w:val="nil"/>
              <w:bottom w:val="nil"/>
              <w:right w:val="single" w:sz="4" w:space="0" w:color="000000"/>
            </w:tcBorders>
            <w:shd w:val="clear" w:color="000000" w:fill="FFFFFF"/>
            <w:hideMark/>
          </w:tcPr>
          <w:p w14:paraId="2A57ED53" w14:textId="41D34C5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CD4925" w:rsidRPr="00222F34" w14:paraId="3F6C4894"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2DA839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0000" w:fill="FFFFFF"/>
            <w:hideMark/>
          </w:tcPr>
          <w:p w14:paraId="29B513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Asimismo, las firmas que hagan parte del Registro Nacional de Firmas Encuestadoras deberán aportar copia de todos los contratos que hayan celebrado en los últimos tres (3) años con personas naturales o jurídicas, de derecho público o privado, sin importar el objeto de los contratos.</w:t>
            </w:r>
          </w:p>
        </w:tc>
        <w:tc>
          <w:tcPr>
            <w:tcW w:w="3798" w:type="dxa"/>
            <w:tcBorders>
              <w:top w:val="nil"/>
              <w:left w:val="nil"/>
              <w:bottom w:val="nil"/>
              <w:right w:val="single" w:sz="4" w:space="0" w:color="000000"/>
            </w:tcBorders>
            <w:shd w:val="clear" w:color="000000" w:fill="FFFFFF"/>
            <w:hideMark/>
          </w:tcPr>
          <w:p w14:paraId="22B3DC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Asimismo, las firmas que hagan parte del Registro Nacional de Firmas Encuestadoras deberán aportar copia de todos los contratos que hayan celebrado en los últimos tres (3) años con personas naturales o jurídicas, de derecho público o privado, sin importar el objeto de los contratos.</w:t>
            </w:r>
          </w:p>
        </w:tc>
        <w:tc>
          <w:tcPr>
            <w:tcW w:w="1480" w:type="dxa"/>
            <w:tcBorders>
              <w:top w:val="nil"/>
              <w:left w:val="nil"/>
              <w:bottom w:val="nil"/>
              <w:right w:val="single" w:sz="4" w:space="0" w:color="000000"/>
            </w:tcBorders>
            <w:shd w:val="clear" w:color="000000" w:fill="FFFFFF"/>
            <w:hideMark/>
          </w:tcPr>
          <w:p w14:paraId="6910AA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B9C609C" w14:textId="77777777" w:rsidTr="00222F34">
        <w:trPr>
          <w:trHeight w:val="1800"/>
        </w:trPr>
        <w:tc>
          <w:tcPr>
            <w:tcW w:w="3798" w:type="dxa"/>
            <w:tcBorders>
              <w:top w:val="nil"/>
              <w:left w:val="single" w:sz="4" w:space="0" w:color="000000"/>
              <w:bottom w:val="nil"/>
              <w:right w:val="single" w:sz="4" w:space="0" w:color="000000"/>
            </w:tcBorders>
            <w:shd w:val="clear" w:color="FFC000" w:fill="FFFFFF"/>
            <w:hideMark/>
          </w:tcPr>
          <w:p w14:paraId="38292F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1F16FE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Este registro deberá ser actualizado con la publicación de cada encuesta. En dicho registro se deberá publicar la fecha en que se encargó el estudio, el nombre o razón social de la firma encuestadora y el nombre o razón social de la persona que lo encargó. las firmas encuestadoras deberán depositar en el Registro Público de Contratos sobre encuestas de carácter político y electoral, el acto jurídico mediante el cual se encargó la respectiva investigación.</w:t>
            </w:r>
          </w:p>
        </w:tc>
        <w:tc>
          <w:tcPr>
            <w:tcW w:w="3798" w:type="dxa"/>
            <w:tcBorders>
              <w:top w:val="nil"/>
              <w:left w:val="nil"/>
              <w:bottom w:val="nil"/>
              <w:right w:val="single" w:sz="4" w:space="0" w:color="000000"/>
            </w:tcBorders>
            <w:shd w:val="clear" w:color="000000" w:fill="FFFFFF"/>
            <w:hideMark/>
          </w:tcPr>
          <w:p w14:paraId="503BC6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Este registro deberá ser actualizado con la publicación de cada encuesta. En dicho registro se deberá publicar la fecha en que se encargó el estudio, el nombre o razón social de la firma encuestadora y el nombre o razón social de la persona que lo encargó. las firmas encuestadoras deberán depositar en el Registro Público de Contratos sobre encuestas de carácter político y electoral, el acto jurídico mediante el cual se encargó la respectiva investigación.</w:t>
            </w:r>
          </w:p>
        </w:tc>
        <w:tc>
          <w:tcPr>
            <w:tcW w:w="1480" w:type="dxa"/>
            <w:tcBorders>
              <w:top w:val="nil"/>
              <w:left w:val="nil"/>
              <w:bottom w:val="nil"/>
              <w:right w:val="single" w:sz="4" w:space="0" w:color="000000"/>
            </w:tcBorders>
            <w:shd w:val="clear" w:color="000000" w:fill="FFFFFF"/>
            <w:hideMark/>
          </w:tcPr>
          <w:p w14:paraId="203991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4367D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19331E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59225E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que las partes hayan convenido cláusulas o acuerdos o compromisos de confidencialidad, el </w:t>
            </w:r>
            <w:r w:rsidRPr="00222F34">
              <w:rPr>
                <w:rFonts w:ascii="Calibri" w:eastAsia="Times New Roman" w:hAnsi="Calibri" w:cs="Calibri"/>
                <w:color w:val="000000"/>
                <w:lang w:val="es-CO" w:eastAsia="es-CO" w:bidi="ar-SA"/>
              </w:rPr>
              <w:lastRenderedPageBreak/>
              <w:t>CNE garantizará la reserva de la información sobre el objeto del contrato.</w:t>
            </w:r>
          </w:p>
        </w:tc>
        <w:tc>
          <w:tcPr>
            <w:tcW w:w="3798" w:type="dxa"/>
            <w:tcBorders>
              <w:top w:val="nil"/>
              <w:left w:val="nil"/>
              <w:bottom w:val="single" w:sz="4" w:space="0" w:color="000000"/>
              <w:right w:val="single" w:sz="4" w:space="0" w:color="000000"/>
            </w:tcBorders>
            <w:shd w:val="clear" w:color="000000" w:fill="FFFFFF"/>
            <w:hideMark/>
          </w:tcPr>
          <w:p w14:paraId="169197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caso de que las partes hayan convenido cláusulas o acuerdos o compromisos de confidencialidad, el </w:t>
            </w:r>
            <w:r w:rsidRPr="00222F34">
              <w:rPr>
                <w:rFonts w:ascii="Calibri" w:eastAsia="Times New Roman" w:hAnsi="Calibri" w:cs="Calibri"/>
                <w:color w:val="000000"/>
                <w:lang w:val="es-CO" w:eastAsia="es-CO" w:bidi="ar-SA"/>
              </w:rPr>
              <w:lastRenderedPageBreak/>
              <w:t>CNE garantizará la reserva de la información sobre el objeto del contrato.</w:t>
            </w:r>
          </w:p>
        </w:tc>
        <w:tc>
          <w:tcPr>
            <w:tcW w:w="1480" w:type="dxa"/>
            <w:tcBorders>
              <w:top w:val="nil"/>
              <w:left w:val="nil"/>
              <w:bottom w:val="single" w:sz="4" w:space="0" w:color="000000"/>
              <w:right w:val="single" w:sz="4" w:space="0" w:color="000000"/>
            </w:tcBorders>
            <w:shd w:val="clear" w:color="000000" w:fill="FFFFFF"/>
            <w:hideMark/>
          </w:tcPr>
          <w:p w14:paraId="6A5C62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3EF37C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5F34B6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TÍTULO V</w:t>
            </w:r>
          </w:p>
        </w:tc>
        <w:tc>
          <w:tcPr>
            <w:tcW w:w="3798" w:type="dxa"/>
            <w:tcBorders>
              <w:top w:val="nil"/>
              <w:left w:val="nil"/>
              <w:bottom w:val="nil"/>
              <w:right w:val="single" w:sz="4" w:space="0" w:color="000000"/>
            </w:tcBorders>
            <w:shd w:val="clear" w:color="000000" w:fill="FFFFFF"/>
            <w:hideMark/>
          </w:tcPr>
          <w:p w14:paraId="51A1173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w:t>
            </w:r>
          </w:p>
        </w:tc>
        <w:tc>
          <w:tcPr>
            <w:tcW w:w="3798" w:type="dxa"/>
            <w:tcBorders>
              <w:top w:val="nil"/>
              <w:left w:val="nil"/>
              <w:bottom w:val="nil"/>
              <w:right w:val="single" w:sz="4" w:space="0" w:color="000000"/>
            </w:tcBorders>
            <w:shd w:val="clear" w:color="000000" w:fill="FFFFFF"/>
            <w:hideMark/>
          </w:tcPr>
          <w:p w14:paraId="2C04A6E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w:t>
            </w:r>
          </w:p>
        </w:tc>
        <w:tc>
          <w:tcPr>
            <w:tcW w:w="1480" w:type="dxa"/>
            <w:tcBorders>
              <w:top w:val="nil"/>
              <w:left w:val="nil"/>
              <w:bottom w:val="nil"/>
              <w:right w:val="single" w:sz="4" w:space="0" w:color="000000"/>
            </w:tcBorders>
            <w:shd w:val="clear" w:color="000000" w:fill="FFFFFF"/>
            <w:hideMark/>
          </w:tcPr>
          <w:p w14:paraId="49837A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84ADC31"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1B3B46A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DESARROLLO DE LAS ELECCIONES POPULARES</w:t>
            </w:r>
          </w:p>
        </w:tc>
        <w:tc>
          <w:tcPr>
            <w:tcW w:w="3798" w:type="dxa"/>
            <w:tcBorders>
              <w:top w:val="nil"/>
              <w:left w:val="nil"/>
              <w:bottom w:val="single" w:sz="4" w:space="0" w:color="000000"/>
              <w:right w:val="single" w:sz="4" w:space="0" w:color="000000"/>
            </w:tcBorders>
            <w:shd w:val="clear" w:color="000000" w:fill="FFFFFF"/>
            <w:hideMark/>
          </w:tcPr>
          <w:p w14:paraId="4C113B9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DESARROLLO DE LAS ELECCIONES POPULARES</w:t>
            </w:r>
          </w:p>
        </w:tc>
        <w:tc>
          <w:tcPr>
            <w:tcW w:w="3798" w:type="dxa"/>
            <w:tcBorders>
              <w:top w:val="nil"/>
              <w:left w:val="nil"/>
              <w:bottom w:val="single" w:sz="4" w:space="0" w:color="000000"/>
              <w:right w:val="single" w:sz="4" w:space="0" w:color="000000"/>
            </w:tcBorders>
            <w:shd w:val="clear" w:color="000000" w:fill="FFFFFF"/>
            <w:hideMark/>
          </w:tcPr>
          <w:p w14:paraId="4C281D6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DESARROLLO DE LAS ELECCIONES POPULARES</w:t>
            </w:r>
          </w:p>
        </w:tc>
        <w:tc>
          <w:tcPr>
            <w:tcW w:w="1480" w:type="dxa"/>
            <w:tcBorders>
              <w:top w:val="nil"/>
              <w:left w:val="nil"/>
              <w:bottom w:val="single" w:sz="4" w:space="0" w:color="000000"/>
              <w:right w:val="single" w:sz="4" w:space="0" w:color="000000"/>
            </w:tcBorders>
            <w:shd w:val="clear" w:color="000000" w:fill="FFFFFF"/>
            <w:hideMark/>
          </w:tcPr>
          <w:p w14:paraId="39FC8A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5945BF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AEE07F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78B5339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5A8A5C3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090165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FE6585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7984DD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puestos de votación</w:t>
            </w:r>
          </w:p>
        </w:tc>
        <w:tc>
          <w:tcPr>
            <w:tcW w:w="3798" w:type="dxa"/>
            <w:tcBorders>
              <w:top w:val="nil"/>
              <w:left w:val="nil"/>
              <w:bottom w:val="single" w:sz="4" w:space="0" w:color="000000"/>
              <w:right w:val="single" w:sz="4" w:space="0" w:color="000000"/>
            </w:tcBorders>
            <w:shd w:val="clear" w:color="000000" w:fill="FFFFFF"/>
            <w:hideMark/>
          </w:tcPr>
          <w:p w14:paraId="28F040A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puestos de votación</w:t>
            </w:r>
          </w:p>
        </w:tc>
        <w:tc>
          <w:tcPr>
            <w:tcW w:w="3798" w:type="dxa"/>
            <w:tcBorders>
              <w:top w:val="nil"/>
              <w:left w:val="nil"/>
              <w:bottom w:val="single" w:sz="4" w:space="0" w:color="000000"/>
              <w:right w:val="single" w:sz="4" w:space="0" w:color="000000"/>
            </w:tcBorders>
            <w:shd w:val="clear" w:color="000000" w:fill="FFFFFF"/>
            <w:hideMark/>
          </w:tcPr>
          <w:p w14:paraId="23EC011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puestos de votación</w:t>
            </w:r>
          </w:p>
        </w:tc>
        <w:tc>
          <w:tcPr>
            <w:tcW w:w="1480" w:type="dxa"/>
            <w:tcBorders>
              <w:top w:val="nil"/>
              <w:left w:val="nil"/>
              <w:bottom w:val="single" w:sz="4" w:space="0" w:color="000000"/>
              <w:right w:val="single" w:sz="4" w:space="0" w:color="000000"/>
            </w:tcBorders>
            <w:shd w:val="clear" w:color="000000" w:fill="FFFFFF"/>
            <w:hideMark/>
          </w:tcPr>
          <w:p w14:paraId="2FF25C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88D10C"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2D8A45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117.- Distribución de los puestos de votación.</w:t>
            </w:r>
            <w:r w:rsidRPr="00222F34">
              <w:rPr>
                <w:rFonts w:ascii="Calibri" w:eastAsia="Times New Roman" w:hAnsi="Calibri" w:cs="Calibri"/>
                <w:color w:val="000000"/>
                <w:lang w:val="es-CO" w:eastAsia="es-CO" w:bidi="ar-SA"/>
              </w:rPr>
              <w:t xml:space="preserve"> La Registraduría Nacional del Estado Civil establecerá la División Política Electoral en la que se definirá cuantos y cuales puestos de votación funcionarán para cada elección o mecanismo de participación ciudadana, en todo el territorio nacional y en el exterior, en coordinación con el Ministerio de Relaciones Exteriores. </w:t>
            </w:r>
          </w:p>
        </w:tc>
        <w:tc>
          <w:tcPr>
            <w:tcW w:w="3798" w:type="dxa"/>
            <w:tcBorders>
              <w:top w:val="nil"/>
              <w:left w:val="nil"/>
              <w:bottom w:val="nil"/>
              <w:right w:val="single" w:sz="4" w:space="0" w:color="000000"/>
            </w:tcBorders>
            <w:shd w:val="clear" w:color="000000" w:fill="FFFFFF"/>
            <w:hideMark/>
          </w:tcPr>
          <w:p w14:paraId="0C24FB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121. Distribución de los puestos de votación.</w:t>
            </w:r>
            <w:r w:rsidRPr="00222F34">
              <w:rPr>
                <w:rFonts w:ascii="Calibri" w:eastAsia="Times New Roman" w:hAnsi="Calibri" w:cs="Calibri"/>
                <w:color w:val="000000"/>
                <w:lang w:val="es-CO" w:eastAsia="es-CO" w:bidi="ar-SA"/>
              </w:rPr>
              <w:t xml:space="preserve"> La Registraduría Nacional del Estado Civil establecerá la División Política Electoral en la que se definirá cuántos y cuáles puestos de votación funcionarán para cada elección o mecanismo de participación ciudadana, en todo el territorio nacional y en el exterior, en coordinación con el Ministerio de Relaciones Exteriores.</w:t>
            </w:r>
          </w:p>
        </w:tc>
        <w:tc>
          <w:tcPr>
            <w:tcW w:w="3798" w:type="dxa"/>
            <w:tcBorders>
              <w:top w:val="nil"/>
              <w:left w:val="nil"/>
              <w:bottom w:val="nil"/>
              <w:right w:val="single" w:sz="4" w:space="0" w:color="000000"/>
            </w:tcBorders>
            <w:shd w:val="clear" w:color="000000" w:fill="FFFFFF"/>
            <w:hideMark/>
          </w:tcPr>
          <w:p w14:paraId="01CBF84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121.- Distribución de los puestos de votación.</w:t>
            </w:r>
            <w:r w:rsidRPr="00222F34">
              <w:rPr>
                <w:rFonts w:ascii="Calibri" w:eastAsia="Times New Roman" w:hAnsi="Calibri" w:cs="Calibri"/>
                <w:color w:val="000000"/>
                <w:lang w:val="es-CO" w:eastAsia="es-CO" w:bidi="ar-SA"/>
              </w:rPr>
              <w:t xml:space="preserve"> La Registraduría Nacional del Estado Civil establecerá la División Política Electoral en la que se definirá cuantos y cuales puestos de votación funcionarán para cada elección o mecanismo de participación ciudadana, en todo el territorio nacional y en el exterior, en coordinación con el Ministerio de Relaciones Exteriores. </w:t>
            </w:r>
          </w:p>
        </w:tc>
        <w:tc>
          <w:tcPr>
            <w:tcW w:w="1480" w:type="dxa"/>
            <w:tcBorders>
              <w:top w:val="nil"/>
              <w:left w:val="nil"/>
              <w:bottom w:val="nil"/>
              <w:right w:val="single" w:sz="4" w:space="0" w:color="000000"/>
            </w:tcBorders>
            <w:shd w:val="clear" w:color="000000" w:fill="FFFFFF"/>
            <w:hideMark/>
          </w:tcPr>
          <w:p w14:paraId="08FF8472" w14:textId="40652DF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AE81F3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4C89C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Deberán instalarse puestos de votación en las cabeceras municipales, comunas y corregimientos. Para que se instalen puestos de votación en un corregimiento, es necesario que esté creado con no menos de seis (6) meses de antelación a la fecha de las elecciones. </w:t>
            </w:r>
          </w:p>
        </w:tc>
        <w:tc>
          <w:tcPr>
            <w:tcW w:w="3798" w:type="dxa"/>
            <w:tcBorders>
              <w:top w:val="nil"/>
              <w:left w:val="nil"/>
              <w:bottom w:val="nil"/>
              <w:right w:val="single" w:sz="4" w:space="0" w:color="000000"/>
            </w:tcBorders>
            <w:shd w:val="clear" w:color="000000" w:fill="FFFFFF"/>
            <w:hideMark/>
          </w:tcPr>
          <w:p w14:paraId="6F3090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Deberán instalarse puestos de votación en las cabeceras municipales, comunas y corregimientos. Para que se instalen puestos de votación en un corregimiento, es necesario que esté creado con no menos de seis (6) meses de antelación a la fecha de las elecciones.</w:t>
            </w:r>
          </w:p>
        </w:tc>
        <w:tc>
          <w:tcPr>
            <w:tcW w:w="3798" w:type="dxa"/>
            <w:tcBorders>
              <w:top w:val="nil"/>
              <w:left w:val="nil"/>
              <w:bottom w:val="nil"/>
              <w:right w:val="single" w:sz="4" w:space="0" w:color="000000"/>
            </w:tcBorders>
            <w:shd w:val="clear" w:color="000000" w:fill="FFFFFF"/>
            <w:hideMark/>
          </w:tcPr>
          <w:p w14:paraId="352E6D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Deberán instalarse puestos de votación en las cabeceras municipales, comunas y corregimientos. Para que se instalen puestos de votación en un corregimiento, es necesario que esté creado con no menos de seis (6) meses de antelación a la fecha de las elecciones. </w:t>
            </w:r>
          </w:p>
        </w:tc>
        <w:tc>
          <w:tcPr>
            <w:tcW w:w="1480" w:type="dxa"/>
            <w:tcBorders>
              <w:top w:val="nil"/>
              <w:left w:val="nil"/>
              <w:bottom w:val="nil"/>
              <w:right w:val="single" w:sz="4" w:space="0" w:color="000000"/>
            </w:tcBorders>
            <w:shd w:val="clear" w:color="000000" w:fill="FFFFFF"/>
            <w:hideMark/>
          </w:tcPr>
          <w:p w14:paraId="5138CB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C519D38"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0601C7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También se deberán instalar puestos permanentes en las zonas determinadas como suburbanas y centros poblados rurales, en resguardos indígenas y consejos comunitarios y áreas no municipalizadas que atiendan la existencia de unas mínimas condiciones de distancia entre el área urbana y la rural, la población, la accesibilidad, la seguridad, las instalaciones bajo techo, la salubridad, el acceso a redes de energía y telecomunicaciones, entre otros. </w:t>
            </w:r>
          </w:p>
        </w:tc>
        <w:tc>
          <w:tcPr>
            <w:tcW w:w="3798" w:type="dxa"/>
            <w:tcBorders>
              <w:top w:val="nil"/>
              <w:left w:val="nil"/>
              <w:bottom w:val="nil"/>
              <w:right w:val="single" w:sz="4" w:space="0" w:color="000000"/>
            </w:tcBorders>
            <w:shd w:val="clear" w:color="000000" w:fill="FFFFFF"/>
            <w:hideMark/>
          </w:tcPr>
          <w:p w14:paraId="0D443A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se deberán instalar puestos permanentes en las zonas determinadas como suburbanas y centros poblados rurales, en resguardos indígenas y consejos comunitarios y áreas no municipalizadas que atiendan la existencia de unas mínimas condiciones de distancia entre el área urbana y la rural y, la población, La organización electoral garantizará la accesibilidad, la seguridad, las instalaciones bajo techo, la salubridad, el acceso a redes de energía y comunicaciones, entre otros, para el correcto ejercicio del derecho. Bajo ninguna circunstancia, se podrá alegar la ausencia de alguna de las circunstancias antes mencionadas para no instalar puestos de votación en los territorios rurales apartados y de difícil acceso.</w:t>
            </w:r>
          </w:p>
        </w:tc>
        <w:tc>
          <w:tcPr>
            <w:tcW w:w="3798" w:type="dxa"/>
            <w:tcBorders>
              <w:top w:val="nil"/>
              <w:left w:val="nil"/>
              <w:bottom w:val="nil"/>
              <w:right w:val="single" w:sz="4" w:space="0" w:color="000000"/>
            </w:tcBorders>
            <w:shd w:val="clear" w:color="000000" w:fill="FFFFFF"/>
            <w:hideMark/>
          </w:tcPr>
          <w:p w14:paraId="0D8E09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También se deberán instalar puestos permanentes en las zonas determinadas como suburbanas y centros poblados rurales, en resguardos indígenas y consejos comunitarios y áreas no municipalizadas que atiendan la existencia de unas mínimas condiciones de distancia entre el área urbana y la rural, la población, la accesibilidad, la seguridad, las instalaciones bajo techo, la salubridad, el acceso a redes de energía y telecomunicaciones, entre otros. </w:t>
            </w:r>
          </w:p>
        </w:tc>
        <w:tc>
          <w:tcPr>
            <w:tcW w:w="1480" w:type="dxa"/>
            <w:tcBorders>
              <w:top w:val="nil"/>
              <w:left w:val="nil"/>
              <w:bottom w:val="nil"/>
              <w:right w:val="single" w:sz="4" w:space="0" w:color="000000"/>
            </w:tcBorders>
            <w:shd w:val="clear" w:color="000000" w:fill="FFFFFF"/>
            <w:hideMark/>
          </w:tcPr>
          <w:p w14:paraId="1D01E2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4BDCBB"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120963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garantizar la facilidad para el ejercicio del sufragio y el acceso de toda la ciudadanía, la Registraduría Nacional del Estado Civil podrá crear, fusionar, y trasladar puestos de votación trasladando sus censos, por solicitud de la ciudadanía o de oficio, de manera motivada, procurando la garantía de participación de toda la ciudadanía habilitada. Para atender las solicitudes ciudadanas, la Registraduría Nacional </w:t>
            </w:r>
            <w:r w:rsidRPr="00222F34">
              <w:rPr>
                <w:rFonts w:ascii="Calibri" w:eastAsia="Times New Roman" w:hAnsi="Calibri" w:cs="Calibri"/>
                <w:color w:val="000000"/>
                <w:lang w:val="es-CO" w:eastAsia="es-CO" w:bidi="ar-SA"/>
              </w:rPr>
              <w:lastRenderedPageBreak/>
              <w:t>del Estado Civil creará un procedimiento interno. Previo a cada elección fijará el número de sufragantes por mesa y dos (2) meses antes de la elección publicará los puestos de votación que se habilitarán en cada circunscripción. La Registraduría Nacional del Estado Civil reglamentará la materia.</w:t>
            </w:r>
          </w:p>
        </w:tc>
        <w:tc>
          <w:tcPr>
            <w:tcW w:w="3798" w:type="dxa"/>
            <w:tcBorders>
              <w:top w:val="nil"/>
              <w:left w:val="nil"/>
              <w:bottom w:val="nil"/>
              <w:right w:val="single" w:sz="4" w:space="0" w:color="000000"/>
            </w:tcBorders>
            <w:shd w:val="clear" w:color="000000" w:fill="FFFFFF"/>
            <w:hideMark/>
          </w:tcPr>
          <w:p w14:paraId="0D43D6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garantizar la facilidad para el ejercicio del sufragio y el acceso de toda la ciudadanía, la Registraduría Nacional del Estado Civil podrá crear, fusionar, y trasladar puestos de votación trasladando sus censos, por solicitud de la ciudadanía o de oficio, de manera motivada, procurando la garantía de participación de toda la ciudadanía habilitada. Para atender las solicitudes ciudadanas, la Registraduría Nacional </w:t>
            </w:r>
            <w:r w:rsidRPr="00222F34">
              <w:rPr>
                <w:rFonts w:ascii="Calibri" w:eastAsia="Times New Roman" w:hAnsi="Calibri" w:cs="Calibri"/>
                <w:color w:val="000000"/>
                <w:lang w:val="es-CO" w:eastAsia="es-CO" w:bidi="ar-SA"/>
              </w:rPr>
              <w:lastRenderedPageBreak/>
              <w:t>del Estado Civil creará un procedimiento interno. Previo a cada elección fijará el número de sufragantes por mesa y dos (2) meses antes de la elección publicará los puestos de votación que se habilitarán en cada circunscripción. La Registraduría Nacional del Estado Civil reglamentará la materia.</w:t>
            </w:r>
          </w:p>
        </w:tc>
        <w:tc>
          <w:tcPr>
            <w:tcW w:w="3798" w:type="dxa"/>
            <w:tcBorders>
              <w:top w:val="nil"/>
              <w:left w:val="nil"/>
              <w:bottom w:val="nil"/>
              <w:right w:val="single" w:sz="4" w:space="0" w:color="000000"/>
            </w:tcBorders>
            <w:shd w:val="clear" w:color="000000" w:fill="FFFFFF"/>
            <w:hideMark/>
          </w:tcPr>
          <w:p w14:paraId="7E87BC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garantizar la facilidad para el ejercicio del sufragio y el acceso de toda la ciudadanía, la Registraduría Nacional del Estado Civil podrá crear, fusionar, y trasladar puestos de votación trasladando sus censos, por solicitud de la ciudadanía o de oficio, de manera motivada, procurando la garantía de participación de toda la ciudadanía habilitada. Para atender las solicitudes ciudadanas, la Registraduría Nacional </w:t>
            </w:r>
            <w:r w:rsidRPr="00222F34">
              <w:rPr>
                <w:rFonts w:ascii="Calibri" w:eastAsia="Times New Roman" w:hAnsi="Calibri" w:cs="Calibri"/>
                <w:color w:val="000000"/>
                <w:lang w:val="es-CO" w:eastAsia="es-CO" w:bidi="ar-SA"/>
              </w:rPr>
              <w:lastRenderedPageBreak/>
              <w:t>del Estado Civil creará un procedimiento interno. Previo a cada elección fijará el número de sufragantes por mesa y dos (2) meses antes de la elección publicará los puestos de votación que se habilitarán en cada circunscripción. La Registraduría Nacional del Estado Civil reglamentará la materia.</w:t>
            </w:r>
          </w:p>
        </w:tc>
        <w:tc>
          <w:tcPr>
            <w:tcW w:w="1480" w:type="dxa"/>
            <w:tcBorders>
              <w:top w:val="nil"/>
              <w:left w:val="nil"/>
              <w:bottom w:val="nil"/>
              <w:right w:val="single" w:sz="4" w:space="0" w:color="000000"/>
            </w:tcBorders>
            <w:shd w:val="clear" w:color="000000" w:fill="FFFFFF"/>
            <w:hideMark/>
          </w:tcPr>
          <w:p w14:paraId="3848B4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CFAFC8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15FD2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Así mismo, deberán instalarse puestos de votación en los centros de formación juvenil del Sistema de Responsabilidad Penal para Adolescentes, donde se encuentren jóvenes privados de la libertad  </w:t>
            </w:r>
          </w:p>
        </w:tc>
        <w:tc>
          <w:tcPr>
            <w:tcW w:w="3798" w:type="dxa"/>
            <w:tcBorders>
              <w:top w:val="nil"/>
              <w:left w:val="nil"/>
              <w:bottom w:val="nil"/>
              <w:right w:val="single" w:sz="4" w:space="0" w:color="000000"/>
            </w:tcBorders>
            <w:shd w:val="clear" w:color="000000" w:fill="FFFFFF"/>
            <w:hideMark/>
          </w:tcPr>
          <w:p w14:paraId="042490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Así mismo, deberán instalarse puestos de votación en los centros de formación juvenil del Sistema de Responsabilidad Penal para Adolescentes, donde se encuentren jóvenes privados de la libertad.</w:t>
            </w:r>
          </w:p>
        </w:tc>
        <w:tc>
          <w:tcPr>
            <w:tcW w:w="3798" w:type="dxa"/>
            <w:tcBorders>
              <w:top w:val="nil"/>
              <w:left w:val="nil"/>
              <w:bottom w:val="nil"/>
              <w:right w:val="single" w:sz="4" w:space="0" w:color="000000"/>
            </w:tcBorders>
            <w:shd w:val="clear" w:color="000000" w:fill="FFFFFF"/>
            <w:hideMark/>
          </w:tcPr>
          <w:p w14:paraId="09CB31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Así mismo, deberán instalarse puestos de votación en los centros de formación juvenil del Sistema de Responsabilidad Penal para Adolescentes, donde se encuentren jóvenes privados de la libertad  </w:t>
            </w:r>
          </w:p>
        </w:tc>
        <w:tc>
          <w:tcPr>
            <w:tcW w:w="1480" w:type="dxa"/>
            <w:tcBorders>
              <w:top w:val="nil"/>
              <w:left w:val="nil"/>
              <w:bottom w:val="nil"/>
              <w:right w:val="single" w:sz="4" w:space="0" w:color="000000"/>
            </w:tcBorders>
            <w:shd w:val="clear" w:color="000000" w:fill="FFFFFF"/>
            <w:hideMark/>
          </w:tcPr>
          <w:p w14:paraId="532CE9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D3193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3B7A1D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Según las necesidades del servicio, la Registraduría Nacional del Estado Civil podrá flexibilizar la disposición de puestos y mesas según el horario, el género y la edad. </w:t>
            </w:r>
          </w:p>
        </w:tc>
        <w:tc>
          <w:tcPr>
            <w:tcW w:w="3798" w:type="dxa"/>
            <w:tcBorders>
              <w:top w:val="nil"/>
              <w:left w:val="nil"/>
              <w:bottom w:val="nil"/>
              <w:right w:val="single" w:sz="4" w:space="0" w:color="000000"/>
            </w:tcBorders>
            <w:shd w:val="clear" w:color="000000" w:fill="FFFFFF"/>
            <w:hideMark/>
          </w:tcPr>
          <w:p w14:paraId="76C774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Según las necesidades del servicio, la Registraduría Nacional del Estado Civil podrá flexibilizar la disposición de puestos y mesas según el horario, el género y la edad.</w:t>
            </w:r>
          </w:p>
        </w:tc>
        <w:tc>
          <w:tcPr>
            <w:tcW w:w="3798" w:type="dxa"/>
            <w:tcBorders>
              <w:top w:val="nil"/>
              <w:left w:val="nil"/>
              <w:bottom w:val="nil"/>
              <w:right w:val="single" w:sz="4" w:space="0" w:color="000000"/>
            </w:tcBorders>
            <w:shd w:val="clear" w:color="000000" w:fill="FFFFFF"/>
            <w:hideMark/>
          </w:tcPr>
          <w:p w14:paraId="5CC6136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Según las necesidades del servicio, la Registraduría Nacional del Estado Civil podrá flexibilizar la disposición de puestos y mesas según el horario, el género y la edad. </w:t>
            </w:r>
          </w:p>
        </w:tc>
        <w:tc>
          <w:tcPr>
            <w:tcW w:w="1480" w:type="dxa"/>
            <w:tcBorders>
              <w:top w:val="nil"/>
              <w:left w:val="nil"/>
              <w:bottom w:val="nil"/>
              <w:right w:val="single" w:sz="4" w:space="0" w:color="000000"/>
            </w:tcBorders>
            <w:shd w:val="clear" w:color="000000" w:fill="FFFFFF"/>
            <w:hideMark/>
          </w:tcPr>
          <w:p w14:paraId="35E337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4D4D6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57BE03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la creación, fusión, traslado e instalación de puestos de votación, la Registraduría Nacional del Estado Civil velará porque los mismos sean adecuados y accesibles, de conformidad con lo previsto en el presente Código. </w:t>
            </w:r>
          </w:p>
        </w:tc>
        <w:tc>
          <w:tcPr>
            <w:tcW w:w="3798" w:type="dxa"/>
            <w:tcBorders>
              <w:top w:val="nil"/>
              <w:left w:val="nil"/>
              <w:bottom w:val="nil"/>
              <w:right w:val="single" w:sz="4" w:space="0" w:color="000000"/>
            </w:tcBorders>
            <w:shd w:val="clear" w:color="000000" w:fill="FFFFFF"/>
            <w:hideMark/>
          </w:tcPr>
          <w:p w14:paraId="7C54D0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la creación, fusión, traslado e instalación de puestos de votación, la Registraduría Nacional del Estado Civil velará porque los mismos sean adecuados y accesibles, de conformidad con lo previsto en el presente Código.</w:t>
            </w:r>
          </w:p>
        </w:tc>
        <w:tc>
          <w:tcPr>
            <w:tcW w:w="3798" w:type="dxa"/>
            <w:tcBorders>
              <w:top w:val="nil"/>
              <w:left w:val="nil"/>
              <w:bottom w:val="nil"/>
              <w:right w:val="single" w:sz="4" w:space="0" w:color="000000"/>
            </w:tcBorders>
            <w:shd w:val="clear" w:color="000000" w:fill="FFFFFF"/>
            <w:hideMark/>
          </w:tcPr>
          <w:p w14:paraId="5CCA060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la creación, fusión, traslado e instalación de puestos de votación, la Registraduría Nacional del Estado Civil velará porque los mismos sean adecuados y accesibles, de conformidad con lo previsto en el presente Código. </w:t>
            </w:r>
          </w:p>
        </w:tc>
        <w:tc>
          <w:tcPr>
            <w:tcW w:w="1480" w:type="dxa"/>
            <w:tcBorders>
              <w:top w:val="nil"/>
              <w:left w:val="nil"/>
              <w:bottom w:val="nil"/>
              <w:right w:val="single" w:sz="4" w:space="0" w:color="000000"/>
            </w:tcBorders>
            <w:shd w:val="clear" w:color="000000" w:fill="FFFFFF"/>
            <w:hideMark/>
          </w:tcPr>
          <w:p w14:paraId="4D5531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F3B16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89EC35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La Registraduría Nacional del Estado Civil para las elecciones a Consejos de juventud creará puestos de votación en corregimientos, zonas rurales, resguardos indígenas, consejos y áreas no municipalizadas. </w:t>
            </w:r>
          </w:p>
        </w:tc>
        <w:tc>
          <w:tcPr>
            <w:tcW w:w="3798" w:type="dxa"/>
            <w:tcBorders>
              <w:top w:val="nil"/>
              <w:left w:val="nil"/>
              <w:bottom w:val="nil"/>
              <w:right w:val="single" w:sz="4" w:space="0" w:color="000000"/>
            </w:tcBorders>
            <w:shd w:val="clear" w:color="000000" w:fill="FFFFFF"/>
            <w:hideMark/>
          </w:tcPr>
          <w:p w14:paraId="6DB84A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La Registraduría Nacional del Estado Civil para las elecciones a Consejos de juventud creará puestos de votación en corregimientos, zonas rurales, resguardos indígenas, consejos comunitarios y áreas no municipalizadas.</w:t>
            </w:r>
          </w:p>
        </w:tc>
        <w:tc>
          <w:tcPr>
            <w:tcW w:w="3798" w:type="dxa"/>
            <w:tcBorders>
              <w:top w:val="nil"/>
              <w:left w:val="nil"/>
              <w:bottom w:val="nil"/>
              <w:right w:val="single" w:sz="4" w:space="0" w:color="000000"/>
            </w:tcBorders>
            <w:shd w:val="clear" w:color="000000" w:fill="FFFFFF"/>
            <w:hideMark/>
          </w:tcPr>
          <w:p w14:paraId="521799E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para las elecciones a Consejos de juventud creará puestos de votación en corregimientos, zonas rurales, resguardos indígenas, consejos y áreas no municipalizadas. </w:t>
            </w:r>
          </w:p>
        </w:tc>
        <w:tc>
          <w:tcPr>
            <w:tcW w:w="1480" w:type="dxa"/>
            <w:tcBorders>
              <w:top w:val="nil"/>
              <w:left w:val="nil"/>
              <w:bottom w:val="nil"/>
              <w:right w:val="single" w:sz="4" w:space="0" w:color="000000"/>
            </w:tcBorders>
            <w:shd w:val="clear" w:color="000000" w:fill="FFFFFF"/>
            <w:hideMark/>
          </w:tcPr>
          <w:p w14:paraId="6E785F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72407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1E872A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eliminación de puestos de votación requerirá concepto favorable por parte del Consejo Nacional Electoral.</w:t>
            </w:r>
          </w:p>
        </w:tc>
        <w:tc>
          <w:tcPr>
            <w:tcW w:w="3798" w:type="dxa"/>
            <w:tcBorders>
              <w:top w:val="nil"/>
              <w:left w:val="nil"/>
              <w:bottom w:val="nil"/>
              <w:right w:val="single" w:sz="4" w:space="0" w:color="000000"/>
            </w:tcBorders>
            <w:shd w:val="clear" w:color="000000" w:fill="FFFFFF"/>
            <w:hideMark/>
          </w:tcPr>
          <w:p w14:paraId="1D82AA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eliminación de puestos de votación requerirá concepto favorable por parte del Consejo Nacional Electoral.</w:t>
            </w:r>
          </w:p>
        </w:tc>
        <w:tc>
          <w:tcPr>
            <w:tcW w:w="3798" w:type="dxa"/>
            <w:tcBorders>
              <w:top w:val="nil"/>
              <w:left w:val="nil"/>
              <w:bottom w:val="nil"/>
              <w:right w:val="single" w:sz="4" w:space="0" w:color="000000"/>
            </w:tcBorders>
            <w:shd w:val="clear" w:color="000000" w:fill="FFFFFF"/>
            <w:hideMark/>
          </w:tcPr>
          <w:p w14:paraId="38E6623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eliminación de puestos de votación requerirá concepto favorable por parte del Consejo Nacional Electoral.</w:t>
            </w:r>
          </w:p>
        </w:tc>
        <w:tc>
          <w:tcPr>
            <w:tcW w:w="1480" w:type="dxa"/>
            <w:tcBorders>
              <w:top w:val="nil"/>
              <w:left w:val="nil"/>
              <w:bottom w:val="nil"/>
              <w:right w:val="single" w:sz="4" w:space="0" w:color="000000"/>
            </w:tcBorders>
            <w:shd w:val="clear" w:color="000000" w:fill="FFFFFF"/>
            <w:hideMark/>
          </w:tcPr>
          <w:p w14:paraId="795365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3BA0FF9"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2D1F585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5. </w:t>
            </w:r>
            <w:r w:rsidRPr="00222F34">
              <w:rPr>
                <w:rFonts w:ascii="Calibri" w:eastAsia="Times New Roman" w:hAnsi="Calibri" w:cs="Calibri"/>
                <w:color w:val="000000"/>
                <w:lang w:val="es-CO" w:eastAsia="es-CO" w:bidi="ar-SA"/>
              </w:rPr>
              <w:t>La Registraduría Nacional del Servicio de conformidad al principio de publicidad, de planeación electoral y accesibilidad, deberá informar por todos los medios de comunicación masiva, redes sociales, emisoras radiales, páginas web, entre otros; de manera pronta, eficaz y oportuna a toda la ciudadanía la eliminación o traslado de los puestos de votación.</w:t>
            </w:r>
          </w:p>
        </w:tc>
        <w:tc>
          <w:tcPr>
            <w:tcW w:w="3798" w:type="dxa"/>
            <w:tcBorders>
              <w:top w:val="nil"/>
              <w:left w:val="nil"/>
              <w:bottom w:val="single" w:sz="4" w:space="0" w:color="000000"/>
              <w:right w:val="single" w:sz="4" w:space="0" w:color="000000"/>
            </w:tcBorders>
            <w:shd w:val="clear" w:color="000000" w:fill="FFFFFF"/>
            <w:hideMark/>
          </w:tcPr>
          <w:p w14:paraId="268BDB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La Registraduría Nacional del Servicio de conformidad al principio de publicidad, de planeación electoral y accesibilidad, deberá informar por todos los medios de comunicación masiva, redes sociales, emisoras radiales, páginas web, entre otros; de manera pronta, eficaz y oportuna a toda la ciudadanía la eliminación o traslado de los puestos de votación.</w:t>
            </w:r>
          </w:p>
        </w:tc>
        <w:tc>
          <w:tcPr>
            <w:tcW w:w="3798" w:type="dxa"/>
            <w:tcBorders>
              <w:top w:val="nil"/>
              <w:left w:val="nil"/>
              <w:bottom w:val="single" w:sz="4" w:space="0" w:color="000000"/>
              <w:right w:val="single" w:sz="4" w:space="0" w:color="000000"/>
            </w:tcBorders>
            <w:shd w:val="clear" w:color="000000" w:fill="FFFFFF"/>
            <w:hideMark/>
          </w:tcPr>
          <w:p w14:paraId="5E6D4FF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5. </w:t>
            </w:r>
            <w:r w:rsidRPr="00222F34">
              <w:rPr>
                <w:rFonts w:ascii="Calibri" w:eastAsia="Times New Roman" w:hAnsi="Calibri" w:cs="Calibri"/>
                <w:color w:val="000000"/>
                <w:lang w:val="es-CO" w:eastAsia="es-CO" w:bidi="ar-SA"/>
              </w:rPr>
              <w:t>La Registraduría Nacional del Servicio de conformidad al principio de publicidad, de planeación electoral y accesibilidad, deberá informar por todos los medios de comunicación masiva, redes sociales, emisoras radiales, páginas web, entre otros; de manera pronta, eficaz y oportuna a toda la ciudadanía la eliminación o traslado de los puestos de votación.</w:t>
            </w:r>
          </w:p>
        </w:tc>
        <w:tc>
          <w:tcPr>
            <w:tcW w:w="1480" w:type="dxa"/>
            <w:tcBorders>
              <w:top w:val="nil"/>
              <w:left w:val="nil"/>
              <w:bottom w:val="single" w:sz="4" w:space="0" w:color="000000"/>
              <w:right w:val="single" w:sz="4" w:space="0" w:color="000000"/>
            </w:tcBorders>
            <w:shd w:val="clear" w:color="000000" w:fill="FFFFFF"/>
            <w:hideMark/>
          </w:tcPr>
          <w:p w14:paraId="22A29E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E73B3F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403A8E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118.- Zonificación.</w:t>
            </w:r>
            <w:r w:rsidRPr="00222F34">
              <w:rPr>
                <w:rFonts w:ascii="Calibri" w:eastAsia="Times New Roman" w:hAnsi="Calibri" w:cs="Calibri"/>
                <w:color w:val="000000"/>
                <w:lang w:val="es-CO" w:eastAsia="es-CO" w:bidi="ar-SA"/>
              </w:rPr>
              <w:t xml:space="preserve"> 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 </w:t>
            </w:r>
          </w:p>
        </w:tc>
        <w:tc>
          <w:tcPr>
            <w:tcW w:w="3798" w:type="dxa"/>
            <w:tcBorders>
              <w:top w:val="nil"/>
              <w:left w:val="nil"/>
              <w:bottom w:val="nil"/>
              <w:right w:val="single" w:sz="4" w:space="0" w:color="000000"/>
            </w:tcBorders>
            <w:shd w:val="clear" w:color="000000" w:fill="FFFFFF"/>
            <w:hideMark/>
          </w:tcPr>
          <w:p w14:paraId="3B73CA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122. Zonificación. </w:t>
            </w:r>
            <w:r w:rsidRPr="00222F34">
              <w:rPr>
                <w:rFonts w:ascii="Calibri" w:eastAsia="Times New Roman" w:hAnsi="Calibri" w:cs="Calibri"/>
                <w:color w:val="000000"/>
                <w:lang w:val="es-CO" w:eastAsia="es-CO" w:bidi="ar-SA"/>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p>
        </w:tc>
        <w:tc>
          <w:tcPr>
            <w:tcW w:w="3798" w:type="dxa"/>
            <w:tcBorders>
              <w:top w:val="nil"/>
              <w:left w:val="nil"/>
              <w:bottom w:val="nil"/>
              <w:right w:val="single" w:sz="4" w:space="0" w:color="000000"/>
            </w:tcBorders>
            <w:shd w:val="clear" w:color="000000" w:fill="FFFFFF"/>
            <w:hideMark/>
          </w:tcPr>
          <w:p w14:paraId="642246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122. Zonificación. </w:t>
            </w:r>
            <w:r w:rsidRPr="00222F34">
              <w:rPr>
                <w:rFonts w:ascii="Calibri" w:eastAsia="Times New Roman" w:hAnsi="Calibri" w:cs="Calibri"/>
                <w:color w:val="000000"/>
                <w:lang w:val="es-CO" w:eastAsia="es-CO" w:bidi="ar-SA"/>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p>
        </w:tc>
        <w:tc>
          <w:tcPr>
            <w:tcW w:w="1480" w:type="dxa"/>
            <w:tcBorders>
              <w:top w:val="nil"/>
              <w:left w:val="nil"/>
              <w:bottom w:val="nil"/>
              <w:right w:val="single" w:sz="4" w:space="0" w:color="000000"/>
            </w:tcBorders>
            <w:shd w:val="clear" w:color="000000" w:fill="FFFFFF"/>
            <w:hideMark/>
          </w:tcPr>
          <w:p w14:paraId="11FB3D84" w14:textId="3FAA752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9EC60AD"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67CAE6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El Gobierno Nacional proveerá los recursos que requiera la Registraduría Nacional del Estado Civil para organizar la zonificación en los municipios del país. En todo caso, los recursos de zonificación se asignarán de acuerdo a la disponibilidad presupuestal y el Marco Fiscal de Mediano Plazo.</w:t>
            </w:r>
          </w:p>
        </w:tc>
        <w:tc>
          <w:tcPr>
            <w:tcW w:w="3798" w:type="dxa"/>
            <w:tcBorders>
              <w:top w:val="nil"/>
              <w:left w:val="nil"/>
              <w:bottom w:val="single" w:sz="4" w:space="0" w:color="000000"/>
              <w:right w:val="single" w:sz="4" w:space="0" w:color="000000"/>
            </w:tcBorders>
            <w:shd w:val="clear" w:color="000000" w:fill="FFFFFF"/>
            <w:hideMark/>
          </w:tcPr>
          <w:p w14:paraId="6E077C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Gobierno Nacional proveerá los recursos que requiera la Registraduría Nacional del Estado Civil para organizar la zonificación en los municipios del país. En todo caso, los recursos de zonificación se asignarán de acuerdo a la disponibilidad presupuestal y el Marco Fiscal de Mediano Plazo.</w:t>
            </w:r>
          </w:p>
        </w:tc>
        <w:tc>
          <w:tcPr>
            <w:tcW w:w="3798" w:type="dxa"/>
            <w:tcBorders>
              <w:top w:val="nil"/>
              <w:left w:val="nil"/>
              <w:bottom w:val="single" w:sz="4" w:space="0" w:color="000000"/>
              <w:right w:val="single" w:sz="4" w:space="0" w:color="000000"/>
            </w:tcBorders>
            <w:shd w:val="clear" w:color="000000" w:fill="FFFFFF"/>
            <w:hideMark/>
          </w:tcPr>
          <w:p w14:paraId="30471B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Gobierno Nacional proveerá los recursos que requiera la Registraduría Nacional del Estado Civil para organizar la zonificación en los municipios del país. En todo caso, los recursos de zonificación se asignarán de acuerdo a la disponibilidad presupuestal y el Marco Fiscal de Mediano Plazo.</w:t>
            </w:r>
          </w:p>
        </w:tc>
        <w:tc>
          <w:tcPr>
            <w:tcW w:w="1480" w:type="dxa"/>
            <w:tcBorders>
              <w:top w:val="nil"/>
              <w:left w:val="nil"/>
              <w:bottom w:val="single" w:sz="4" w:space="0" w:color="000000"/>
              <w:right w:val="single" w:sz="4" w:space="0" w:color="000000"/>
            </w:tcBorders>
            <w:shd w:val="clear" w:color="000000" w:fill="FFFFFF"/>
            <w:hideMark/>
          </w:tcPr>
          <w:p w14:paraId="32FA5D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580405"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0C45AE5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119.- Puestos de votación.</w:t>
            </w:r>
            <w:r w:rsidRPr="00222F34">
              <w:rPr>
                <w:rFonts w:ascii="Calibri" w:eastAsia="Times New Roman" w:hAnsi="Calibri" w:cs="Calibri"/>
                <w:color w:val="000000"/>
                <w:lang w:val="es-CO" w:eastAsia="es-CO" w:bidi="ar-SA"/>
              </w:rPr>
              <w:t xml:space="preserve"> 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 </w:t>
            </w:r>
          </w:p>
        </w:tc>
        <w:tc>
          <w:tcPr>
            <w:tcW w:w="3798" w:type="dxa"/>
            <w:tcBorders>
              <w:top w:val="nil"/>
              <w:left w:val="nil"/>
              <w:bottom w:val="nil"/>
              <w:right w:val="single" w:sz="4" w:space="0" w:color="000000"/>
            </w:tcBorders>
            <w:shd w:val="clear" w:color="000000" w:fill="FFFFFF"/>
            <w:hideMark/>
          </w:tcPr>
          <w:p w14:paraId="683DB2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123. Puestos de votación. </w:t>
            </w:r>
            <w:r w:rsidRPr="00222F34">
              <w:rPr>
                <w:rFonts w:ascii="Calibri" w:eastAsia="Times New Roman" w:hAnsi="Calibri" w:cs="Calibri"/>
                <w:color w:val="000000"/>
                <w:lang w:val="es-CO" w:eastAsia="es-CO" w:bidi="ar-SA"/>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p>
        </w:tc>
        <w:tc>
          <w:tcPr>
            <w:tcW w:w="3798" w:type="dxa"/>
            <w:tcBorders>
              <w:top w:val="nil"/>
              <w:left w:val="nil"/>
              <w:bottom w:val="nil"/>
              <w:right w:val="single" w:sz="4" w:space="0" w:color="000000"/>
            </w:tcBorders>
            <w:shd w:val="clear" w:color="000000" w:fill="FFFFFF"/>
            <w:hideMark/>
          </w:tcPr>
          <w:p w14:paraId="21F28D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123. Puestos de votación. </w:t>
            </w:r>
            <w:r w:rsidRPr="00222F34">
              <w:rPr>
                <w:rFonts w:ascii="Calibri" w:eastAsia="Times New Roman" w:hAnsi="Calibri" w:cs="Calibri"/>
                <w:color w:val="000000"/>
                <w:lang w:val="es-CO" w:eastAsia="es-CO" w:bidi="ar-SA"/>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p>
        </w:tc>
        <w:tc>
          <w:tcPr>
            <w:tcW w:w="1480" w:type="dxa"/>
            <w:tcBorders>
              <w:top w:val="nil"/>
              <w:left w:val="nil"/>
              <w:bottom w:val="nil"/>
              <w:right w:val="single" w:sz="4" w:space="0" w:color="000000"/>
            </w:tcBorders>
            <w:shd w:val="clear" w:color="000000" w:fill="FFFFFF"/>
            <w:hideMark/>
          </w:tcPr>
          <w:p w14:paraId="713AF1B8" w14:textId="51592C0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829D8A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49F2E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edificios o conjuntos de uso comercial sometidos al régimen de propiedad horizontal deberán permitir el uso de sus bienes comunes para el desarrollo de la jornada electoral.  </w:t>
            </w:r>
          </w:p>
        </w:tc>
        <w:tc>
          <w:tcPr>
            <w:tcW w:w="3798" w:type="dxa"/>
            <w:tcBorders>
              <w:top w:val="nil"/>
              <w:left w:val="nil"/>
              <w:bottom w:val="nil"/>
              <w:right w:val="single" w:sz="4" w:space="0" w:color="000000"/>
            </w:tcBorders>
            <w:shd w:val="clear" w:color="000000" w:fill="FFFFFF"/>
            <w:hideMark/>
          </w:tcPr>
          <w:p w14:paraId="59C6BF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edificios o conjuntos de uso comercial sometidos al régimen de propiedad horizontal deberán permitir el uso de sus bienes comunes para el desarrollo de la jornada electoral.</w:t>
            </w:r>
          </w:p>
        </w:tc>
        <w:tc>
          <w:tcPr>
            <w:tcW w:w="3798" w:type="dxa"/>
            <w:tcBorders>
              <w:top w:val="nil"/>
              <w:left w:val="nil"/>
              <w:bottom w:val="nil"/>
              <w:right w:val="single" w:sz="4" w:space="0" w:color="000000"/>
            </w:tcBorders>
            <w:shd w:val="clear" w:color="000000" w:fill="FFFFFF"/>
            <w:hideMark/>
          </w:tcPr>
          <w:p w14:paraId="389F59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edificios o conjuntos de uso comercial sometidos al régimen de propiedad horizontal deberán permitir el uso de sus bienes comunes para el desarrollo de la jornada electoral.</w:t>
            </w:r>
          </w:p>
        </w:tc>
        <w:tc>
          <w:tcPr>
            <w:tcW w:w="1480" w:type="dxa"/>
            <w:tcBorders>
              <w:top w:val="nil"/>
              <w:left w:val="nil"/>
              <w:bottom w:val="nil"/>
              <w:right w:val="single" w:sz="4" w:space="0" w:color="000000"/>
            </w:tcBorders>
            <w:shd w:val="clear" w:color="000000" w:fill="FFFFFF"/>
            <w:hideMark/>
          </w:tcPr>
          <w:p w14:paraId="544362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E887DBB"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86A49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 </w:t>
            </w:r>
          </w:p>
        </w:tc>
        <w:tc>
          <w:tcPr>
            <w:tcW w:w="3798" w:type="dxa"/>
            <w:tcBorders>
              <w:top w:val="nil"/>
              <w:left w:val="nil"/>
              <w:bottom w:val="nil"/>
              <w:right w:val="single" w:sz="4" w:space="0" w:color="000000"/>
            </w:tcBorders>
            <w:shd w:val="clear" w:color="000000" w:fill="FFFFFF"/>
            <w:hideMark/>
          </w:tcPr>
          <w:p w14:paraId="60A2E4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w:t>
            </w:r>
          </w:p>
        </w:tc>
        <w:tc>
          <w:tcPr>
            <w:tcW w:w="3798" w:type="dxa"/>
            <w:tcBorders>
              <w:top w:val="nil"/>
              <w:left w:val="nil"/>
              <w:bottom w:val="nil"/>
              <w:right w:val="single" w:sz="4" w:space="0" w:color="000000"/>
            </w:tcBorders>
            <w:shd w:val="clear" w:color="000000" w:fill="FFFFFF"/>
            <w:hideMark/>
          </w:tcPr>
          <w:p w14:paraId="6419C0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w:t>
            </w:r>
          </w:p>
        </w:tc>
        <w:tc>
          <w:tcPr>
            <w:tcW w:w="1480" w:type="dxa"/>
            <w:tcBorders>
              <w:top w:val="nil"/>
              <w:left w:val="nil"/>
              <w:bottom w:val="nil"/>
              <w:right w:val="single" w:sz="4" w:space="0" w:color="000000"/>
            </w:tcBorders>
            <w:shd w:val="clear" w:color="000000" w:fill="FFFFFF"/>
            <w:hideMark/>
          </w:tcPr>
          <w:p w14:paraId="4B00F3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796FFA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54C71E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 </w:t>
            </w:r>
          </w:p>
        </w:tc>
        <w:tc>
          <w:tcPr>
            <w:tcW w:w="3798" w:type="dxa"/>
            <w:tcBorders>
              <w:top w:val="nil"/>
              <w:left w:val="nil"/>
              <w:bottom w:val="nil"/>
              <w:right w:val="single" w:sz="4" w:space="0" w:color="000000"/>
            </w:tcBorders>
            <w:shd w:val="clear" w:color="000000" w:fill="FFFFFF"/>
            <w:hideMark/>
          </w:tcPr>
          <w:p w14:paraId="70BABE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w:t>
            </w:r>
          </w:p>
        </w:tc>
        <w:tc>
          <w:tcPr>
            <w:tcW w:w="3798" w:type="dxa"/>
            <w:tcBorders>
              <w:top w:val="nil"/>
              <w:left w:val="nil"/>
              <w:bottom w:val="nil"/>
              <w:right w:val="single" w:sz="4" w:space="0" w:color="000000"/>
            </w:tcBorders>
            <w:shd w:val="clear" w:color="000000" w:fill="FFFFFF"/>
            <w:hideMark/>
          </w:tcPr>
          <w:p w14:paraId="472EF4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w:t>
            </w:r>
          </w:p>
        </w:tc>
        <w:tc>
          <w:tcPr>
            <w:tcW w:w="1480" w:type="dxa"/>
            <w:tcBorders>
              <w:top w:val="nil"/>
              <w:left w:val="nil"/>
              <w:bottom w:val="nil"/>
              <w:right w:val="single" w:sz="4" w:space="0" w:color="000000"/>
            </w:tcBorders>
            <w:shd w:val="clear" w:color="000000" w:fill="FFFFFF"/>
            <w:hideMark/>
          </w:tcPr>
          <w:p w14:paraId="6F5F56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45E1D67"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36DB0BE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georreferenciación, para ayudar con la organización de la logística del proceso electoral.  </w:t>
            </w:r>
          </w:p>
        </w:tc>
        <w:tc>
          <w:tcPr>
            <w:tcW w:w="3798" w:type="dxa"/>
            <w:tcBorders>
              <w:top w:val="nil"/>
              <w:left w:val="nil"/>
              <w:bottom w:val="single" w:sz="4" w:space="0" w:color="000000"/>
              <w:right w:val="single" w:sz="4" w:space="0" w:color="000000"/>
            </w:tcBorders>
            <w:shd w:val="clear" w:color="000000" w:fill="FFFFFF"/>
            <w:hideMark/>
          </w:tcPr>
          <w:p w14:paraId="0C6378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georreferenciación, para ayudar con la organización de la logística del proceso electoral.</w:t>
            </w:r>
          </w:p>
        </w:tc>
        <w:tc>
          <w:tcPr>
            <w:tcW w:w="3798" w:type="dxa"/>
            <w:tcBorders>
              <w:top w:val="nil"/>
              <w:left w:val="nil"/>
              <w:bottom w:val="single" w:sz="4" w:space="0" w:color="000000"/>
              <w:right w:val="single" w:sz="4" w:space="0" w:color="000000"/>
            </w:tcBorders>
            <w:shd w:val="clear" w:color="000000" w:fill="FFFFFF"/>
            <w:hideMark/>
          </w:tcPr>
          <w:p w14:paraId="5F1398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georreferenciación, para ayudar con la organización de la logística del proceso electoral.</w:t>
            </w:r>
          </w:p>
        </w:tc>
        <w:tc>
          <w:tcPr>
            <w:tcW w:w="1480" w:type="dxa"/>
            <w:tcBorders>
              <w:top w:val="nil"/>
              <w:left w:val="nil"/>
              <w:bottom w:val="single" w:sz="4" w:space="0" w:color="000000"/>
              <w:right w:val="single" w:sz="4" w:space="0" w:color="000000"/>
            </w:tcBorders>
            <w:shd w:val="clear" w:color="000000" w:fill="FFFFFF"/>
            <w:hideMark/>
          </w:tcPr>
          <w:p w14:paraId="0DDF8E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9D6C79"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99AD61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120- Funciones del personal en las instalaciones donde se ubicarán los puestos de votación.</w:t>
            </w:r>
            <w:r w:rsidRPr="00222F34">
              <w:rPr>
                <w:rFonts w:ascii="Calibri" w:eastAsia="Times New Roman" w:hAnsi="Calibri" w:cs="Calibri"/>
                <w:color w:val="000000"/>
                <w:lang w:val="es-CO" w:eastAsia="es-CO" w:bidi="ar-SA"/>
              </w:rPr>
              <w:t xml:space="preserve"> El personal de las instituciones educativas, públicas, o de uso comercial o mixto, referidas deberá contribuir para la adecuada realización de la jornada electoral y, en especial, tendrá a su cargo las siguientes funciones: </w:t>
            </w:r>
          </w:p>
        </w:tc>
        <w:tc>
          <w:tcPr>
            <w:tcW w:w="3798" w:type="dxa"/>
            <w:tcBorders>
              <w:top w:val="nil"/>
              <w:left w:val="nil"/>
              <w:bottom w:val="nil"/>
              <w:right w:val="single" w:sz="4" w:space="0" w:color="000000"/>
            </w:tcBorders>
            <w:shd w:val="clear" w:color="000000" w:fill="FFFFFF"/>
            <w:hideMark/>
          </w:tcPr>
          <w:p w14:paraId="041399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124. Funciones del personal de las instituciones educativas.</w:t>
            </w:r>
            <w:r w:rsidRPr="00222F34">
              <w:rPr>
                <w:rFonts w:ascii="Calibri" w:eastAsia="Times New Roman" w:hAnsi="Calibri" w:cs="Calibri"/>
                <w:color w:val="000000"/>
                <w:lang w:val="es-CO" w:eastAsia="es-CO" w:bidi="ar-SA"/>
              </w:rPr>
              <w:t xml:space="preserve"> Los rectores, directores rurales, o quienes hagas sus veces, deberán coordinar al personal de las instituciones educativas, públicas, o de uso comercial o mixto, para contribuír en la adecuada realización de la jornada electoral y, en especial, tendrá a su cargo las siguientes funciones:</w:t>
            </w:r>
          </w:p>
        </w:tc>
        <w:tc>
          <w:tcPr>
            <w:tcW w:w="3798" w:type="dxa"/>
            <w:tcBorders>
              <w:top w:val="nil"/>
              <w:left w:val="nil"/>
              <w:bottom w:val="nil"/>
              <w:right w:val="single" w:sz="4" w:space="0" w:color="000000"/>
            </w:tcBorders>
            <w:shd w:val="clear" w:color="000000" w:fill="FFFFFF"/>
            <w:hideMark/>
          </w:tcPr>
          <w:p w14:paraId="7EE3751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124. Funciones del personal en las instalaciones donde se ubicarán los puestos de votación.</w:t>
            </w:r>
            <w:r w:rsidRPr="00222F34">
              <w:rPr>
                <w:rFonts w:ascii="Calibri" w:eastAsia="Times New Roman" w:hAnsi="Calibri" w:cs="Calibri"/>
                <w:color w:val="000000"/>
                <w:lang w:val="es-CO" w:eastAsia="es-CO" w:bidi="ar-SA"/>
              </w:rPr>
              <w:t xml:space="preserve"> El personal de las instituciones educativas, públicas, o de uso comercial o mixto, referidas deberá contribuir para la adecuada realización de la jornada electoral y, en especial, tendrá a su cargo las siguientes funciones: </w:t>
            </w:r>
          </w:p>
        </w:tc>
        <w:tc>
          <w:tcPr>
            <w:tcW w:w="1480" w:type="dxa"/>
            <w:tcBorders>
              <w:top w:val="nil"/>
              <w:left w:val="nil"/>
              <w:bottom w:val="nil"/>
              <w:right w:val="single" w:sz="4" w:space="0" w:color="000000"/>
            </w:tcBorders>
            <w:shd w:val="clear" w:color="000000" w:fill="FFFFFF"/>
            <w:hideMark/>
          </w:tcPr>
          <w:p w14:paraId="7710E13A" w14:textId="079EEC53" w:rsidR="00CD4925" w:rsidRPr="00222F34" w:rsidRDefault="009B0BDA"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r w:rsidR="00CD4925" w:rsidRPr="00222F34">
              <w:rPr>
                <w:rFonts w:ascii="Calibri" w:eastAsia="Times New Roman" w:hAnsi="Calibri" w:cs="Calibri"/>
                <w:color w:val="000000"/>
                <w:lang w:val="es-CO" w:eastAsia="es-CO" w:bidi="ar-SA"/>
              </w:rPr>
              <w:t xml:space="preserve"> </w:t>
            </w:r>
          </w:p>
        </w:tc>
      </w:tr>
      <w:tr w:rsidR="00CD4925" w:rsidRPr="00222F34" w14:paraId="7841D95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B5748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Preparar, en conjunto con la Registraduría Nacional del Estado Civil, las instalaciones del centro educativo al cual pertenecen para la adecuada realización de la jornada electoral. </w:t>
            </w:r>
          </w:p>
        </w:tc>
        <w:tc>
          <w:tcPr>
            <w:tcW w:w="3798" w:type="dxa"/>
            <w:tcBorders>
              <w:top w:val="nil"/>
              <w:left w:val="nil"/>
              <w:bottom w:val="nil"/>
              <w:right w:val="single" w:sz="4" w:space="0" w:color="000000"/>
            </w:tcBorders>
            <w:shd w:val="clear" w:color="000000" w:fill="FFFFFF"/>
            <w:hideMark/>
          </w:tcPr>
          <w:p w14:paraId="5E7CC2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Preparar, en conjunto con la Registraduría Nacional del Estado Civil, las instalaciones del centro educativo al cual pertenecen para la adecuada realización de la jornada electoral.</w:t>
            </w:r>
          </w:p>
        </w:tc>
        <w:tc>
          <w:tcPr>
            <w:tcW w:w="3798" w:type="dxa"/>
            <w:tcBorders>
              <w:top w:val="nil"/>
              <w:left w:val="nil"/>
              <w:bottom w:val="nil"/>
              <w:right w:val="single" w:sz="4" w:space="0" w:color="000000"/>
            </w:tcBorders>
            <w:shd w:val="clear" w:color="000000" w:fill="FFFFFF"/>
            <w:hideMark/>
          </w:tcPr>
          <w:p w14:paraId="7337F8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Preparar, en conjunto con la Registraduría Nacional del Estado Civil, las instalaciones del centro educativo al cual pertenecen para la adecuada realización de la jornada electoral. </w:t>
            </w:r>
          </w:p>
        </w:tc>
        <w:tc>
          <w:tcPr>
            <w:tcW w:w="1480" w:type="dxa"/>
            <w:tcBorders>
              <w:top w:val="nil"/>
              <w:left w:val="nil"/>
              <w:bottom w:val="nil"/>
              <w:right w:val="single" w:sz="4" w:space="0" w:color="000000"/>
            </w:tcBorders>
            <w:shd w:val="clear" w:color="000000" w:fill="FFFFFF"/>
            <w:hideMark/>
          </w:tcPr>
          <w:p w14:paraId="45375E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A01EBF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13C4C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Asistir a los funcionarios electorales en la instalación de los puestos de votación. </w:t>
            </w:r>
          </w:p>
        </w:tc>
        <w:tc>
          <w:tcPr>
            <w:tcW w:w="3798" w:type="dxa"/>
            <w:tcBorders>
              <w:top w:val="nil"/>
              <w:left w:val="nil"/>
              <w:bottom w:val="nil"/>
              <w:right w:val="single" w:sz="4" w:space="0" w:color="000000"/>
            </w:tcBorders>
            <w:shd w:val="clear" w:color="000000" w:fill="FFFFFF"/>
            <w:hideMark/>
          </w:tcPr>
          <w:p w14:paraId="514CDF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Asistir a los funcionarios electorales en la instalación de los puestos de votación.</w:t>
            </w:r>
          </w:p>
        </w:tc>
        <w:tc>
          <w:tcPr>
            <w:tcW w:w="3798" w:type="dxa"/>
            <w:tcBorders>
              <w:top w:val="nil"/>
              <w:left w:val="nil"/>
              <w:bottom w:val="nil"/>
              <w:right w:val="single" w:sz="4" w:space="0" w:color="000000"/>
            </w:tcBorders>
            <w:shd w:val="clear" w:color="000000" w:fill="FFFFFF"/>
            <w:hideMark/>
          </w:tcPr>
          <w:p w14:paraId="0D3336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Asistir a los funcionarios electorales en la instalación de los puestos de votación. </w:t>
            </w:r>
          </w:p>
        </w:tc>
        <w:tc>
          <w:tcPr>
            <w:tcW w:w="1480" w:type="dxa"/>
            <w:tcBorders>
              <w:top w:val="nil"/>
              <w:left w:val="nil"/>
              <w:bottom w:val="nil"/>
              <w:right w:val="single" w:sz="4" w:space="0" w:color="000000"/>
            </w:tcBorders>
            <w:shd w:val="clear" w:color="000000" w:fill="FFFFFF"/>
            <w:hideMark/>
          </w:tcPr>
          <w:p w14:paraId="00B27A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3D4DE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6C549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Informar a las autoridades públicas presentes de las irregularidades durante la jornada electoral. </w:t>
            </w:r>
          </w:p>
        </w:tc>
        <w:tc>
          <w:tcPr>
            <w:tcW w:w="3798" w:type="dxa"/>
            <w:tcBorders>
              <w:top w:val="nil"/>
              <w:left w:val="nil"/>
              <w:bottom w:val="nil"/>
              <w:right w:val="single" w:sz="4" w:space="0" w:color="000000"/>
            </w:tcBorders>
            <w:shd w:val="clear" w:color="000000" w:fill="FFFFFF"/>
            <w:hideMark/>
          </w:tcPr>
          <w:p w14:paraId="29A1AD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Informar a las autoridades públicas presentes de las irregularidades durante la jornada electoral.</w:t>
            </w:r>
          </w:p>
        </w:tc>
        <w:tc>
          <w:tcPr>
            <w:tcW w:w="3798" w:type="dxa"/>
            <w:tcBorders>
              <w:top w:val="nil"/>
              <w:left w:val="nil"/>
              <w:bottom w:val="nil"/>
              <w:right w:val="single" w:sz="4" w:space="0" w:color="000000"/>
            </w:tcBorders>
            <w:shd w:val="clear" w:color="000000" w:fill="FFFFFF"/>
            <w:hideMark/>
          </w:tcPr>
          <w:p w14:paraId="3A91DC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Informar a las autoridades públicas presentes de las irregularidades durante la jornada electoral. </w:t>
            </w:r>
          </w:p>
        </w:tc>
        <w:tc>
          <w:tcPr>
            <w:tcW w:w="1480" w:type="dxa"/>
            <w:tcBorders>
              <w:top w:val="nil"/>
              <w:left w:val="nil"/>
              <w:bottom w:val="nil"/>
              <w:right w:val="single" w:sz="4" w:space="0" w:color="000000"/>
            </w:tcBorders>
            <w:shd w:val="clear" w:color="000000" w:fill="FFFFFF"/>
            <w:hideMark/>
          </w:tcPr>
          <w:p w14:paraId="08C171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9B843C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AE223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Colaborar con las autoridades públicas en la guarda de las instalaciones y los distintos elementos de la jornada electoral.</w:t>
            </w:r>
          </w:p>
        </w:tc>
        <w:tc>
          <w:tcPr>
            <w:tcW w:w="3798" w:type="dxa"/>
            <w:tcBorders>
              <w:top w:val="nil"/>
              <w:left w:val="nil"/>
              <w:bottom w:val="nil"/>
              <w:right w:val="single" w:sz="4" w:space="0" w:color="000000"/>
            </w:tcBorders>
            <w:shd w:val="clear" w:color="000000" w:fill="FFFFFF"/>
            <w:hideMark/>
          </w:tcPr>
          <w:p w14:paraId="606A9A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Colaborar con las autoridades públicas en la guarda de las instalaciones y los distintos elementos de la jornada electoral.</w:t>
            </w:r>
          </w:p>
        </w:tc>
        <w:tc>
          <w:tcPr>
            <w:tcW w:w="3798" w:type="dxa"/>
            <w:tcBorders>
              <w:top w:val="nil"/>
              <w:left w:val="nil"/>
              <w:bottom w:val="nil"/>
              <w:right w:val="single" w:sz="4" w:space="0" w:color="000000"/>
            </w:tcBorders>
            <w:shd w:val="clear" w:color="000000" w:fill="FFFFFF"/>
            <w:hideMark/>
          </w:tcPr>
          <w:p w14:paraId="74A7D6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Colaborar con las autoridades públicas en la guarda de las instalaciones y los distintos elementos de la jornada electoral.</w:t>
            </w:r>
          </w:p>
        </w:tc>
        <w:tc>
          <w:tcPr>
            <w:tcW w:w="1480" w:type="dxa"/>
            <w:tcBorders>
              <w:top w:val="nil"/>
              <w:left w:val="nil"/>
              <w:bottom w:val="nil"/>
              <w:right w:val="single" w:sz="4" w:space="0" w:color="000000"/>
            </w:tcBorders>
            <w:shd w:val="clear" w:color="000000" w:fill="FFFFFF"/>
            <w:hideMark/>
          </w:tcPr>
          <w:p w14:paraId="65EA54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BBAC81C"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D0E347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 </w:t>
            </w:r>
          </w:p>
        </w:tc>
        <w:tc>
          <w:tcPr>
            <w:tcW w:w="3798" w:type="dxa"/>
            <w:tcBorders>
              <w:top w:val="nil"/>
              <w:left w:val="nil"/>
              <w:bottom w:val="nil"/>
              <w:right w:val="single" w:sz="4" w:space="0" w:color="000000"/>
            </w:tcBorders>
            <w:shd w:val="clear" w:color="000000" w:fill="FFFFFF"/>
            <w:hideMark/>
          </w:tcPr>
          <w:p w14:paraId="04FF920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 </w:t>
            </w:r>
          </w:p>
        </w:tc>
        <w:tc>
          <w:tcPr>
            <w:tcW w:w="3798" w:type="dxa"/>
            <w:tcBorders>
              <w:top w:val="nil"/>
              <w:left w:val="nil"/>
              <w:bottom w:val="nil"/>
              <w:right w:val="single" w:sz="4" w:space="0" w:color="000000"/>
            </w:tcBorders>
            <w:shd w:val="clear" w:color="000000" w:fill="FFFFFF"/>
            <w:hideMark/>
          </w:tcPr>
          <w:p w14:paraId="5B91AD0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 </w:t>
            </w:r>
          </w:p>
        </w:tc>
        <w:tc>
          <w:tcPr>
            <w:tcW w:w="1480" w:type="dxa"/>
            <w:tcBorders>
              <w:top w:val="nil"/>
              <w:left w:val="nil"/>
              <w:bottom w:val="nil"/>
              <w:right w:val="single" w:sz="4" w:space="0" w:color="000000"/>
            </w:tcBorders>
            <w:shd w:val="clear" w:color="000000" w:fill="FFFFFF"/>
            <w:hideMark/>
          </w:tcPr>
          <w:p w14:paraId="7EA785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198E084"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479BD76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Este artículo se entenderá en concordancia con la legislación que promueve la participación de los jóvenes en el fortalecimiento de la democracia. </w:t>
            </w:r>
          </w:p>
        </w:tc>
        <w:tc>
          <w:tcPr>
            <w:tcW w:w="3798" w:type="dxa"/>
            <w:tcBorders>
              <w:top w:val="nil"/>
              <w:left w:val="nil"/>
              <w:bottom w:val="single" w:sz="4" w:space="0" w:color="000000"/>
              <w:right w:val="single" w:sz="4" w:space="0" w:color="000000"/>
            </w:tcBorders>
            <w:shd w:val="clear" w:color="000000" w:fill="FFFFFF"/>
            <w:hideMark/>
          </w:tcPr>
          <w:p w14:paraId="40A26B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Este artículo se entenderá en concordancia con la legislación que promueve la participación de los jóvenes en el fortalecimiento de la democracia.</w:t>
            </w:r>
          </w:p>
        </w:tc>
        <w:tc>
          <w:tcPr>
            <w:tcW w:w="3798" w:type="dxa"/>
            <w:tcBorders>
              <w:top w:val="nil"/>
              <w:left w:val="nil"/>
              <w:bottom w:val="single" w:sz="4" w:space="0" w:color="000000"/>
              <w:right w:val="single" w:sz="4" w:space="0" w:color="000000"/>
            </w:tcBorders>
            <w:shd w:val="clear" w:color="000000" w:fill="FFFFFF"/>
            <w:hideMark/>
          </w:tcPr>
          <w:p w14:paraId="320E367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Este artículo se entenderá en concordancia con la legislación que promueve la participación de los jóvenes en el fortalecimiento de la democracia. </w:t>
            </w:r>
          </w:p>
        </w:tc>
        <w:tc>
          <w:tcPr>
            <w:tcW w:w="1480" w:type="dxa"/>
            <w:tcBorders>
              <w:top w:val="nil"/>
              <w:left w:val="nil"/>
              <w:bottom w:val="single" w:sz="4" w:space="0" w:color="000000"/>
              <w:right w:val="single" w:sz="4" w:space="0" w:color="000000"/>
            </w:tcBorders>
            <w:shd w:val="clear" w:color="000000" w:fill="FFFFFF"/>
            <w:hideMark/>
          </w:tcPr>
          <w:p w14:paraId="664D61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705E85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0EA02F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4C81985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22BE728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nil"/>
              <w:left w:val="nil"/>
              <w:bottom w:val="nil"/>
              <w:right w:val="single" w:sz="4" w:space="0" w:color="000000"/>
            </w:tcBorders>
            <w:shd w:val="clear" w:color="000000" w:fill="FFFFFF"/>
            <w:hideMark/>
          </w:tcPr>
          <w:p w14:paraId="7F3BDF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1552F8D"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8AEE08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jurados de votación</w:t>
            </w:r>
          </w:p>
        </w:tc>
        <w:tc>
          <w:tcPr>
            <w:tcW w:w="3798" w:type="dxa"/>
            <w:tcBorders>
              <w:top w:val="nil"/>
              <w:left w:val="nil"/>
              <w:bottom w:val="single" w:sz="4" w:space="0" w:color="000000"/>
              <w:right w:val="single" w:sz="4" w:space="0" w:color="000000"/>
            </w:tcBorders>
            <w:shd w:val="clear" w:color="000000" w:fill="FFFFFF"/>
            <w:hideMark/>
          </w:tcPr>
          <w:p w14:paraId="67E8076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jurados de votación</w:t>
            </w:r>
          </w:p>
        </w:tc>
        <w:tc>
          <w:tcPr>
            <w:tcW w:w="3798" w:type="dxa"/>
            <w:tcBorders>
              <w:top w:val="nil"/>
              <w:left w:val="nil"/>
              <w:bottom w:val="single" w:sz="4" w:space="0" w:color="000000"/>
              <w:right w:val="single" w:sz="4" w:space="0" w:color="000000"/>
            </w:tcBorders>
            <w:shd w:val="clear" w:color="000000" w:fill="FFFFFF"/>
            <w:hideMark/>
          </w:tcPr>
          <w:p w14:paraId="4B7130D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jurados de votación</w:t>
            </w:r>
          </w:p>
        </w:tc>
        <w:tc>
          <w:tcPr>
            <w:tcW w:w="1480" w:type="dxa"/>
            <w:tcBorders>
              <w:top w:val="nil"/>
              <w:left w:val="nil"/>
              <w:bottom w:val="single" w:sz="4" w:space="0" w:color="000000"/>
              <w:right w:val="single" w:sz="4" w:space="0" w:color="000000"/>
            </w:tcBorders>
            <w:shd w:val="clear" w:color="000000" w:fill="FFFFFF"/>
            <w:hideMark/>
          </w:tcPr>
          <w:p w14:paraId="506C99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4AA2389"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C0E2B8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121.- Naturaleza y calidades.</w:t>
            </w:r>
            <w:r w:rsidRPr="00222F34">
              <w:rPr>
                <w:rFonts w:ascii="Calibri" w:eastAsia="Times New Roman" w:hAnsi="Calibri" w:cs="Calibri"/>
                <w:color w:val="000000"/>
                <w:lang w:val="es-CO" w:eastAsia="es-CO" w:bidi="ar-SA"/>
              </w:rPr>
              <w:t xml:space="preserve"> Los jurados de votación son ciudadanos en ejercicio, de filiación política diversa y cumplirán la función pública transitoria relacionada con el proceso electoral de dirigir con imparcialidad y cumplimiento estricto de las normas constitucionales y </w:t>
            </w:r>
            <w:r w:rsidRPr="00222F34">
              <w:rPr>
                <w:rFonts w:ascii="Calibri" w:eastAsia="Times New Roman" w:hAnsi="Calibri" w:cs="Calibri"/>
                <w:color w:val="000000"/>
                <w:lang w:val="es-CO" w:eastAsia="es-CO" w:bidi="ar-SA"/>
              </w:rPr>
              <w:lastRenderedPageBreak/>
              <w:t xml:space="preserve">legales, las votaciones en la mesa y/o puesto asignados por la Registraduría Nacional del Estado Civil. Su designación es de forzosa aceptación y se requiere ser ciudadano en ejercicio, tener mínimo décimo (10º) grado de educación media y edad no superior a sesenta y dos (62) años. </w:t>
            </w:r>
          </w:p>
        </w:tc>
        <w:tc>
          <w:tcPr>
            <w:tcW w:w="3798" w:type="dxa"/>
            <w:tcBorders>
              <w:top w:val="nil"/>
              <w:left w:val="nil"/>
              <w:bottom w:val="nil"/>
              <w:right w:val="single" w:sz="4" w:space="0" w:color="000000"/>
            </w:tcBorders>
            <w:shd w:val="clear" w:color="000000" w:fill="FFFFFF"/>
            <w:hideMark/>
          </w:tcPr>
          <w:p w14:paraId="76A7FA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125. Naturaleza y calidades. </w:t>
            </w:r>
            <w:r w:rsidRPr="00222F34">
              <w:rPr>
                <w:rFonts w:ascii="Calibri" w:eastAsia="Times New Roman" w:hAnsi="Calibri" w:cs="Calibri"/>
                <w:color w:val="000000"/>
                <w:lang w:val="es-CO" w:eastAsia="es-CO" w:bidi="ar-SA"/>
              </w:rPr>
              <w:t xml:space="preserve">Los jurados de votación son ciudadanos en ejercicio, y cumplirán la función pública transitoria relacionada con el proceso electoral de dirigir con imparcialidad y cumplimiento estricto de las normas constitucionales y legales, las </w:t>
            </w:r>
            <w:r w:rsidRPr="00222F34">
              <w:rPr>
                <w:rFonts w:ascii="Calibri" w:eastAsia="Times New Roman" w:hAnsi="Calibri" w:cs="Calibri"/>
                <w:color w:val="000000"/>
                <w:lang w:val="es-CO" w:eastAsia="es-CO" w:bidi="ar-SA"/>
              </w:rPr>
              <w:lastRenderedPageBreak/>
              <w:t>votaciones en la mesa y/o puestos asignados por la Registraduría Nacional del Estado Civil. Su designación es de forzosa aceptación y se requiere ser ciudadano en ejercicio, tener mínimo décimo (10º) grado de educación media y edad no superior a sesenta (60) años.</w:t>
            </w:r>
          </w:p>
        </w:tc>
        <w:tc>
          <w:tcPr>
            <w:tcW w:w="3798" w:type="dxa"/>
            <w:tcBorders>
              <w:top w:val="nil"/>
              <w:left w:val="nil"/>
              <w:bottom w:val="nil"/>
              <w:right w:val="single" w:sz="4" w:space="0" w:color="000000"/>
            </w:tcBorders>
            <w:shd w:val="clear" w:color="000000" w:fill="FFFFFF"/>
            <w:hideMark/>
          </w:tcPr>
          <w:p w14:paraId="2547F6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125. Naturaleza y calidades. </w:t>
            </w:r>
            <w:r w:rsidRPr="00222F34">
              <w:rPr>
                <w:rFonts w:ascii="Calibri" w:eastAsia="Times New Roman" w:hAnsi="Calibri" w:cs="Calibri"/>
                <w:color w:val="000000"/>
                <w:lang w:val="es-CO" w:eastAsia="es-CO" w:bidi="ar-SA"/>
              </w:rPr>
              <w:t xml:space="preserve">Los jurados de votación son ciudadanos en ejercicio, y cumplirán la función pública transitoria relacionada con el proceso electoral de dirigir con imparcialidad y cumplimiento estricto de las normas constitucionales y legales, las </w:t>
            </w:r>
            <w:r w:rsidRPr="00222F34">
              <w:rPr>
                <w:rFonts w:ascii="Calibri" w:eastAsia="Times New Roman" w:hAnsi="Calibri" w:cs="Calibri"/>
                <w:color w:val="000000"/>
                <w:lang w:val="es-CO" w:eastAsia="es-CO" w:bidi="ar-SA"/>
              </w:rPr>
              <w:lastRenderedPageBreak/>
              <w:t>votaciones en la mesa y/o puestos asignados por la Registraduría Nacional del Estado Civil. Su designación es de forzosa aceptación y se requiere ser ciudadano en ejercicio, tener mínimo décimo (10º) grado de educación media y edad no superior a sesenta (60) años.</w:t>
            </w:r>
          </w:p>
        </w:tc>
        <w:tc>
          <w:tcPr>
            <w:tcW w:w="1480" w:type="dxa"/>
            <w:tcBorders>
              <w:top w:val="nil"/>
              <w:left w:val="nil"/>
              <w:bottom w:val="nil"/>
              <w:right w:val="single" w:sz="4" w:space="0" w:color="000000"/>
            </w:tcBorders>
            <w:shd w:val="clear" w:color="000000" w:fill="FFFFFF"/>
            <w:hideMark/>
          </w:tcPr>
          <w:p w14:paraId="54CA018B" w14:textId="27E1C7A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CD4925" w:rsidRPr="00222F34" w14:paraId="5296066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E222A2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En caso de no contar con el número suficiente de jurados de votación, los registradores de manera excepcional podrán designar jurados de votación sin el requisito de formación escolar previsto en este articulado, siempre y cuando, el ciudadano sepa sumar, leer y escribir. </w:t>
            </w:r>
          </w:p>
        </w:tc>
        <w:tc>
          <w:tcPr>
            <w:tcW w:w="3798" w:type="dxa"/>
            <w:tcBorders>
              <w:top w:val="nil"/>
              <w:left w:val="nil"/>
              <w:bottom w:val="nil"/>
              <w:right w:val="single" w:sz="4" w:space="0" w:color="000000"/>
            </w:tcBorders>
            <w:shd w:val="clear" w:color="000000" w:fill="FFFFFF"/>
            <w:hideMark/>
          </w:tcPr>
          <w:p w14:paraId="2FB78C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En caso de no contar con el número suficiente de jurados de votación, los registradores de manera excepcional podrán designar jurados de votación sin el requisito de formación escolar previsto en este articulado, siempre y cuando, el ciudadano sepa sumar, leer y escribir.</w:t>
            </w:r>
          </w:p>
        </w:tc>
        <w:tc>
          <w:tcPr>
            <w:tcW w:w="3798" w:type="dxa"/>
            <w:tcBorders>
              <w:top w:val="nil"/>
              <w:left w:val="nil"/>
              <w:bottom w:val="nil"/>
              <w:right w:val="single" w:sz="4" w:space="0" w:color="000000"/>
            </w:tcBorders>
            <w:shd w:val="clear" w:color="000000" w:fill="FFFFFF"/>
            <w:hideMark/>
          </w:tcPr>
          <w:p w14:paraId="2F85D5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En caso de no contar con el número suficiente de jurados de votación, los registradores de manera excepcional podrán designar jurados de votación sin el requisito de formación escolar previsto en este articulado, siempre y cuando, el ciudadano sepa sumar, leer y escribir.</w:t>
            </w:r>
          </w:p>
        </w:tc>
        <w:tc>
          <w:tcPr>
            <w:tcW w:w="1480" w:type="dxa"/>
            <w:tcBorders>
              <w:top w:val="nil"/>
              <w:left w:val="nil"/>
              <w:bottom w:val="nil"/>
              <w:right w:val="single" w:sz="4" w:space="0" w:color="000000"/>
            </w:tcBorders>
            <w:shd w:val="clear" w:color="000000" w:fill="FFFFFF"/>
            <w:hideMark/>
          </w:tcPr>
          <w:p w14:paraId="3C66E6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FDE018"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6080758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mayores de catorce (14) años podrán ser jurados de votación en las elecciones previstas en la ley para los jóvenes.</w:t>
            </w:r>
          </w:p>
        </w:tc>
        <w:tc>
          <w:tcPr>
            <w:tcW w:w="3798" w:type="dxa"/>
            <w:tcBorders>
              <w:top w:val="nil"/>
              <w:left w:val="nil"/>
              <w:bottom w:val="single" w:sz="4" w:space="0" w:color="000000"/>
              <w:right w:val="single" w:sz="4" w:space="0" w:color="000000"/>
            </w:tcBorders>
            <w:shd w:val="clear" w:color="000000" w:fill="FFFFFF"/>
            <w:hideMark/>
          </w:tcPr>
          <w:p w14:paraId="3B29D3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mayores de catorce (14) años podrán ser jurados de votación en las elecciones previstas en la ley para los jóvenes.</w:t>
            </w:r>
          </w:p>
        </w:tc>
        <w:tc>
          <w:tcPr>
            <w:tcW w:w="3798" w:type="dxa"/>
            <w:tcBorders>
              <w:top w:val="nil"/>
              <w:left w:val="nil"/>
              <w:bottom w:val="single" w:sz="4" w:space="0" w:color="000000"/>
              <w:right w:val="single" w:sz="4" w:space="0" w:color="000000"/>
            </w:tcBorders>
            <w:shd w:val="clear" w:color="000000" w:fill="FFFFFF"/>
            <w:hideMark/>
          </w:tcPr>
          <w:p w14:paraId="4EA866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mayores de catorce (14) años podrán ser jurados de votación en las elecciones previstas en la ley para los jóvenes.</w:t>
            </w:r>
          </w:p>
        </w:tc>
        <w:tc>
          <w:tcPr>
            <w:tcW w:w="1480" w:type="dxa"/>
            <w:tcBorders>
              <w:top w:val="nil"/>
              <w:left w:val="nil"/>
              <w:bottom w:val="single" w:sz="4" w:space="0" w:color="000000"/>
              <w:right w:val="single" w:sz="4" w:space="0" w:color="000000"/>
            </w:tcBorders>
            <w:shd w:val="clear" w:color="000000" w:fill="FFFFFF"/>
            <w:hideMark/>
          </w:tcPr>
          <w:p w14:paraId="2D65EB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E4140D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B8AD24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122.- Funciones de los jurados de votación.</w:t>
            </w:r>
            <w:r w:rsidRPr="00222F34">
              <w:rPr>
                <w:rFonts w:ascii="Calibri" w:eastAsia="Times New Roman" w:hAnsi="Calibri" w:cs="Calibri"/>
                <w:color w:val="000000"/>
                <w:lang w:val="es-CO" w:eastAsia="es-CO" w:bidi="ar-SA"/>
              </w:rPr>
              <w:t xml:space="preserve"> Son funciones de los jurados de votación:</w:t>
            </w:r>
          </w:p>
        </w:tc>
        <w:tc>
          <w:tcPr>
            <w:tcW w:w="3798" w:type="dxa"/>
            <w:tcBorders>
              <w:top w:val="nil"/>
              <w:left w:val="nil"/>
              <w:bottom w:val="nil"/>
              <w:right w:val="single" w:sz="4" w:space="0" w:color="000000"/>
            </w:tcBorders>
            <w:shd w:val="clear" w:color="000000" w:fill="FFFFFF"/>
            <w:hideMark/>
          </w:tcPr>
          <w:p w14:paraId="77B10A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126. Funciones de los jurados de votación. </w:t>
            </w:r>
            <w:r w:rsidRPr="00222F34">
              <w:rPr>
                <w:rFonts w:ascii="Calibri" w:eastAsia="Times New Roman" w:hAnsi="Calibri" w:cs="Calibri"/>
                <w:color w:val="000000"/>
                <w:lang w:val="es-CO" w:eastAsia="es-CO" w:bidi="ar-SA"/>
              </w:rPr>
              <w:t>Son funciones de los jurados de votación:</w:t>
            </w:r>
          </w:p>
        </w:tc>
        <w:tc>
          <w:tcPr>
            <w:tcW w:w="3798" w:type="dxa"/>
            <w:tcBorders>
              <w:top w:val="nil"/>
              <w:left w:val="nil"/>
              <w:bottom w:val="nil"/>
              <w:right w:val="single" w:sz="4" w:space="0" w:color="000000"/>
            </w:tcBorders>
            <w:shd w:val="clear" w:color="000000" w:fill="FFFFFF"/>
            <w:hideMark/>
          </w:tcPr>
          <w:p w14:paraId="5DDECA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126. Funciones de los jurados de votación. </w:t>
            </w:r>
            <w:r w:rsidRPr="00222F34">
              <w:rPr>
                <w:rFonts w:ascii="Calibri" w:eastAsia="Times New Roman" w:hAnsi="Calibri" w:cs="Calibri"/>
                <w:color w:val="000000"/>
                <w:lang w:val="es-CO" w:eastAsia="es-CO" w:bidi="ar-SA"/>
              </w:rPr>
              <w:t>Son funciones de los jurados de votación:</w:t>
            </w:r>
          </w:p>
        </w:tc>
        <w:tc>
          <w:tcPr>
            <w:tcW w:w="1480" w:type="dxa"/>
            <w:tcBorders>
              <w:top w:val="nil"/>
              <w:left w:val="nil"/>
              <w:bottom w:val="nil"/>
              <w:right w:val="single" w:sz="4" w:space="0" w:color="000000"/>
            </w:tcBorders>
            <w:shd w:val="clear" w:color="000000" w:fill="FFFFFF"/>
            <w:hideMark/>
          </w:tcPr>
          <w:p w14:paraId="470ECFA8" w14:textId="0585A85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07F69AC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86145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Acudir obligatoriamente de manera presencial o remota, a las jornadas de capacitación dispuestas para tales efectos por la Registraduría Nacional del Estado Civil. </w:t>
            </w:r>
          </w:p>
        </w:tc>
        <w:tc>
          <w:tcPr>
            <w:tcW w:w="3798" w:type="dxa"/>
            <w:tcBorders>
              <w:top w:val="nil"/>
              <w:left w:val="nil"/>
              <w:bottom w:val="nil"/>
              <w:right w:val="single" w:sz="4" w:space="0" w:color="000000"/>
            </w:tcBorders>
            <w:shd w:val="clear" w:color="000000" w:fill="FFFFFF"/>
            <w:hideMark/>
          </w:tcPr>
          <w:p w14:paraId="56BA17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Acudir obligatoriamente de manera presencial o remota, a las jornadas de capacitación dispuestas para tales efectos por la Registraduría Nacional del Estado Civil.</w:t>
            </w:r>
          </w:p>
        </w:tc>
        <w:tc>
          <w:tcPr>
            <w:tcW w:w="3798" w:type="dxa"/>
            <w:tcBorders>
              <w:top w:val="nil"/>
              <w:left w:val="nil"/>
              <w:bottom w:val="nil"/>
              <w:right w:val="single" w:sz="4" w:space="0" w:color="000000"/>
            </w:tcBorders>
            <w:shd w:val="clear" w:color="000000" w:fill="FFFFFF"/>
            <w:hideMark/>
          </w:tcPr>
          <w:p w14:paraId="3C2FB7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Acudir obligatoriamente de manera presencial o remota, a las jornadas de capacitación dispuestas para tales efectos por la Registraduría Nacional del Estado Civil.</w:t>
            </w:r>
          </w:p>
        </w:tc>
        <w:tc>
          <w:tcPr>
            <w:tcW w:w="1480" w:type="dxa"/>
            <w:tcBorders>
              <w:top w:val="nil"/>
              <w:left w:val="nil"/>
              <w:bottom w:val="nil"/>
              <w:right w:val="single" w:sz="4" w:space="0" w:color="000000"/>
            </w:tcBorders>
            <w:shd w:val="clear" w:color="000000" w:fill="FFFFFF"/>
            <w:hideMark/>
          </w:tcPr>
          <w:p w14:paraId="0DAB84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6209F3"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A9BAD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Concurrir el día de las elecciones o los días previos, según lo dispuesto para las votaciones en el exterior, al puesto de votación para el cual fue designado a las siete de la mañana (7:00 a.m.), presentarse para el ingreso con la cédula de ciudadanía y en caso de pérdida con el comprobante del documento en trámite u otro documento que permita acreditar la identidad y recibir el material electoral. </w:t>
            </w:r>
          </w:p>
        </w:tc>
        <w:tc>
          <w:tcPr>
            <w:tcW w:w="3798" w:type="dxa"/>
            <w:tcBorders>
              <w:top w:val="nil"/>
              <w:left w:val="nil"/>
              <w:bottom w:val="nil"/>
              <w:right w:val="single" w:sz="4" w:space="0" w:color="000000"/>
            </w:tcBorders>
            <w:shd w:val="clear" w:color="000000" w:fill="FFFFFF"/>
            <w:hideMark/>
          </w:tcPr>
          <w:p w14:paraId="61578F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Concurrir el día de las elecciones o los días previos, según lo dispuesto para las votaciones en el exterior, al puesto de votación para el cual fue designado a las siete de la mañana (7:00 a.m.), presentarse para el ingreso con la cédula de ciudadanía y en caso de pérdida con el comprobante del documento en trámite u otro documento que permita acreditar la identidad y recibir el material electoral.</w:t>
            </w:r>
          </w:p>
        </w:tc>
        <w:tc>
          <w:tcPr>
            <w:tcW w:w="3798" w:type="dxa"/>
            <w:tcBorders>
              <w:top w:val="nil"/>
              <w:left w:val="nil"/>
              <w:bottom w:val="nil"/>
              <w:right w:val="single" w:sz="4" w:space="0" w:color="000000"/>
            </w:tcBorders>
            <w:shd w:val="clear" w:color="000000" w:fill="FFFFFF"/>
            <w:hideMark/>
          </w:tcPr>
          <w:p w14:paraId="772ACC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Concurrir el día de las elecciones o los días previos, según lo dispuesto para las votaciones en el exterior, al puesto de votación para el cual fue designado a las siete de la mañana (7:00 a.m.), presentarse para el ingreso con la cédula de ciudadanía y en caso de pérdida con el comprobante del documento en trámite u otro documento que permita acreditar la identidad y recibir el material electoral.</w:t>
            </w:r>
          </w:p>
        </w:tc>
        <w:tc>
          <w:tcPr>
            <w:tcW w:w="1480" w:type="dxa"/>
            <w:tcBorders>
              <w:top w:val="nil"/>
              <w:left w:val="nil"/>
              <w:bottom w:val="nil"/>
              <w:right w:val="single" w:sz="4" w:space="0" w:color="000000"/>
            </w:tcBorders>
            <w:shd w:val="clear" w:color="000000" w:fill="FFFFFF"/>
            <w:hideMark/>
          </w:tcPr>
          <w:p w14:paraId="400246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A7BF473"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762477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 </w:t>
            </w:r>
          </w:p>
        </w:tc>
        <w:tc>
          <w:tcPr>
            <w:tcW w:w="3798" w:type="dxa"/>
            <w:tcBorders>
              <w:top w:val="nil"/>
              <w:left w:val="nil"/>
              <w:bottom w:val="nil"/>
              <w:right w:val="single" w:sz="4" w:space="0" w:color="000000"/>
            </w:tcBorders>
            <w:shd w:val="clear" w:color="000000" w:fill="FFFFFF"/>
            <w:hideMark/>
          </w:tcPr>
          <w:p w14:paraId="701AD3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w:t>
            </w:r>
          </w:p>
        </w:tc>
        <w:tc>
          <w:tcPr>
            <w:tcW w:w="3798" w:type="dxa"/>
            <w:tcBorders>
              <w:top w:val="nil"/>
              <w:left w:val="nil"/>
              <w:bottom w:val="nil"/>
              <w:right w:val="single" w:sz="4" w:space="0" w:color="000000"/>
            </w:tcBorders>
            <w:shd w:val="clear" w:color="000000" w:fill="FFFFFF"/>
            <w:hideMark/>
          </w:tcPr>
          <w:p w14:paraId="5024A2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w:t>
            </w:r>
          </w:p>
        </w:tc>
        <w:tc>
          <w:tcPr>
            <w:tcW w:w="1480" w:type="dxa"/>
            <w:tcBorders>
              <w:top w:val="nil"/>
              <w:left w:val="nil"/>
              <w:bottom w:val="nil"/>
              <w:right w:val="single" w:sz="4" w:space="0" w:color="000000"/>
            </w:tcBorders>
            <w:shd w:val="clear" w:color="000000" w:fill="FFFFFF"/>
            <w:hideMark/>
          </w:tcPr>
          <w:p w14:paraId="287C7A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AB27C6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05DCE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Corroborar la identidad y acreditación de los testigos electorales. </w:t>
            </w:r>
          </w:p>
        </w:tc>
        <w:tc>
          <w:tcPr>
            <w:tcW w:w="3798" w:type="dxa"/>
            <w:tcBorders>
              <w:top w:val="nil"/>
              <w:left w:val="nil"/>
              <w:bottom w:val="nil"/>
              <w:right w:val="single" w:sz="4" w:space="0" w:color="000000"/>
            </w:tcBorders>
            <w:shd w:val="clear" w:color="000000" w:fill="FFFFFF"/>
            <w:hideMark/>
          </w:tcPr>
          <w:p w14:paraId="79C010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Corroborar la identidad y acreditación de los testigos electorales.</w:t>
            </w:r>
          </w:p>
        </w:tc>
        <w:tc>
          <w:tcPr>
            <w:tcW w:w="3798" w:type="dxa"/>
            <w:tcBorders>
              <w:top w:val="nil"/>
              <w:left w:val="nil"/>
              <w:bottom w:val="nil"/>
              <w:right w:val="single" w:sz="4" w:space="0" w:color="000000"/>
            </w:tcBorders>
            <w:shd w:val="clear" w:color="000000" w:fill="FFFFFF"/>
            <w:hideMark/>
          </w:tcPr>
          <w:p w14:paraId="584119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Corroborar la identidad y acreditación de los testigos electorales.</w:t>
            </w:r>
          </w:p>
        </w:tc>
        <w:tc>
          <w:tcPr>
            <w:tcW w:w="1480" w:type="dxa"/>
            <w:tcBorders>
              <w:top w:val="nil"/>
              <w:left w:val="nil"/>
              <w:bottom w:val="nil"/>
              <w:right w:val="single" w:sz="4" w:space="0" w:color="000000"/>
            </w:tcBorders>
            <w:shd w:val="clear" w:color="000000" w:fill="FFFFFF"/>
            <w:hideMark/>
          </w:tcPr>
          <w:p w14:paraId="5485C3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471DA1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C5B60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Permitir la labor de los testigos electorales, observadores electorales nacionales e internacionales y órganos de control. La función de estos no debe interferir en las decisiones adoptadas por los jurados. </w:t>
            </w:r>
          </w:p>
        </w:tc>
        <w:tc>
          <w:tcPr>
            <w:tcW w:w="3798" w:type="dxa"/>
            <w:tcBorders>
              <w:top w:val="nil"/>
              <w:left w:val="nil"/>
              <w:bottom w:val="nil"/>
              <w:right w:val="single" w:sz="4" w:space="0" w:color="000000"/>
            </w:tcBorders>
            <w:shd w:val="clear" w:color="000000" w:fill="FFFFFF"/>
            <w:hideMark/>
          </w:tcPr>
          <w:p w14:paraId="788C03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Permitir la labor de los testigos electorales, observadores electorales nacionales e internacionales y órganos de control. La función de estos no debe interferir en las decisiones adoptadas por los jurados.</w:t>
            </w:r>
          </w:p>
        </w:tc>
        <w:tc>
          <w:tcPr>
            <w:tcW w:w="3798" w:type="dxa"/>
            <w:tcBorders>
              <w:top w:val="nil"/>
              <w:left w:val="nil"/>
              <w:bottom w:val="nil"/>
              <w:right w:val="single" w:sz="4" w:space="0" w:color="000000"/>
            </w:tcBorders>
            <w:shd w:val="clear" w:color="000000" w:fill="FFFFFF"/>
            <w:hideMark/>
          </w:tcPr>
          <w:p w14:paraId="2E6F6F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Permitir la labor de los testigos electorales, observadores electorales nacionales e internacionales y órganos de control. La función de estos no debe interferir en las decisiones adoptadas por los jurados.</w:t>
            </w:r>
          </w:p>
        </w:tc>
        <w:tc>
          <w:tcPr>
            <w:tcW w:w="1480" w:type="dxa"/>
            <w:tcBorders>
              <w:top w:val="nil"/>
              <w:left w:val="nil"/>
              <w:bottom w:val="nil"/>
              <w:right w:val="single" w:sz="4" w:space="0" w:color="000000"/>
            </w:tcBorders>
            <w:shd w:val="clear" w:color="000000" w:fill="FFFFFF"/>
            <w:hideMark/>
          </w:tcPr>
          <w:p w14:paraId="0415D3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4D31C6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EC773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Verificar plenamente la identidad del ciudadano que va a ejercer el derecho al voto, mediante la presentación de la cédula de ciudadanía o su equivalente funcional, ya sea electrónico y/o digital expedida por la Registraduría Nacional del Estado Civil en el momento de votar o el medio tecnológico que se adopte para tal fin. </w:t>
            </w:r>
          </w:p>
        </w:tc>
        <w:tc>
          <w:tcPr>
            <w:tcW w:w="3798" w:type="dxa"/>
            <w:tcBorders>
              <w:top w:val="nil"/>
              <w:left w:val="nil"/>
              <w:bottom w:val="nil"/>
              <w:right w:val="single" w:sz="4" w:space="0" w:color="000000"/>
            </w:tcBorders>
            <w:shd w:val="clear" w:color="000000" w:fill="FFFFFF"/>
            <w:hideMark/>
          </w:tcPr>
          <w:p w14:paraId="349962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Verificar plenamente la identidad del ciudadano que va a ejercer el derecho al voto, mediante la presentación de la cédula de ciudadanía o su equivalente funcional, ya sea electrónico y/o digital expedida por la Registraduría Nacional del Estado Civil en el momento de votar o el medio tecnológico que se adopte para tal fin.</w:t>
            </w:r>
          </w:p>
        </w:tc>
        <w:tc>
          <w:tcPr>
            <w:tcW w:w="3798" w:type="dxa"/>
            <w:tcBorders>
              <w:top w:val="nil"/>
              <w:left w:val="nil"/>
              <w:bottom w:val="nil"/>
              <w:right w:val="single" w:sz="4" w:space="0" w:color="000000"/>
            </w:tcBorders>
            <w:shd w:val="clear" w:color="000000" w:fill="FFFFFF"/>
            <w:hideMark/>
          </w:tcPr>
          <w:p w14:paraId="7B6E59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Verificar plenamente la identidad del ciudadano que va a ejercer el derecho al voto, mediante la presentación de la cédula de ciudadanía o su equivalente funcional, ya sea electrónico y/o digital expedida por la Registraduría Nacional del Estado Civil en el momento de votar o el medio tecnológico que se adopte para tal fin.</w:t>
            </w:r>
          </w:p>
        </w:tc>
        <w:tc>
          <w:tcPr>
            <w:tcW w:w="1480" w:type="dxa"/>
            <w:tcBorders>
              <w:top w:val="nil"/>
              <w:left w:val="nil"/>
              <w:bottom w:val="nil"/>
              <w:right w:val="single" w:sz="4" w:space="0" w:color="000000"/>
            </w:tcBorders>
            <w:shd w:val="clear" w:color="000000" w:fill="FFFFFF"/>
            <w:hideMark/>
          </w:tcPr>
          <w:p w14:paraId="53782F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DB5E9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1F60A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Facilitar a los ciudadanos autorizados en la mesa de votación el ejercicio del derecho al voto. </w:t>
            </w:r>
          </w:p>
        </w:tc>
        <w:tc>
          <w:tcPr>
            <w:tcW w:w="3798" w:type="dxa"/>
            <w:tcBorders>
              <w:top w:val="nil"/>
              <w:left w:val="nil"/>
              <w:bottom w:val="nil"/>
              <w:right w:val="single" w:sz="4" w:space="0" w:color="000000"/>
            </w:tcBorders>
            <w:shd w:val="clear" w:color="000000" w:fill="FFFFFF"/>
            <w:hideMark/>
          </w:tcPr>
          <w:p w14:paraId="0706D4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Facilitar a los ciudadanos autorizados en la mesa de votación el ejercicio del derecho al voto.</w:t>
            </w:r>
          </w:p>
        </w:tc>
        <w:tc>
          <w:tcPr>
            <w:tcW w:w="3798" w:type="dxa"/>
            <w:tcBorders>
              <w:top w:val="nil"/>
              <w:left w:val="nil"/>
              <w:bottom w:val="nil"/>
              <w:right w:val="single" w:sz="4" w:space="0" w:color="000000"/>
            </w:tcBorders>
            <w:shd w:val="clear" w:color="000000" w:fill="FFFFFF"/>
            <w:hideMark/>
          </w:tcPr>
          <w:p w14:paraId="2C188B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Facilitar a los ciudadanos autorizados en la mesa de votación el ejercicio del derecho al voto.</w:t>
            </w:r>
          </w:p>
        </w:tc>
        <w:tc>
          <w:tcPr>
            <w:tcW w:w="1480" w:type="dxa"/>
            <w:tcBorders>
              <w:top w:val="nil"/>
              <w:left w:val="nil"/>
              <w:bottom w:val="nil"/>
              <w:right w:val="single" w:sz="4" w:space="0" w:color="000000"/>
            </w:tcBorders>
            <w:shd w:val="clear" w:color="000000" w:fill="FFFFFF"/>
            <w:hideMark/>
          </w:tcPr>
          <w:p w14:paraId="44B1FA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7E4B6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CC9B1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Entregar a los ciudadanos que ejerzan su derecho al voto, el certificado electoral correspondiente cuando a ello hubiere lugar. </w:t>
            </w:r>
          </w:p>
        </w:tc>
        <w:tc>
          <w:tcPr>
            <w:tcW w:w="3798" w:type="dxa"/>
            <w:tcBorders>
              <w:top w:val="nil"/>
              <w:left w:val="nil"/>
              <w:bottom w:val="nil"/>
              <w:right w:val="single" w:sz="4" w:space="0" w:color="000000"/>
            </w:tcBorders>
            <w:shd w:val="clear" w:color="000000" w:fill="FFFFFF"/>
            <w:hideMark/>
          </w:tcPr>
          <w:p w14:paraId="70B167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Entregar a los ciudadanos que ejerzan su derecho al voto, el certificado electoral correspondiente cuando a ello hubiere lugar.</w:t>
            </w:r>
          </w:p>
        </w:tc>
        <w:tc>
          <w:tcPr>
            <w:tcW w:w="3798" w:type="dxa"/>
            <w:tcBorders>
              <w:top w:val="nil"/>
              <w:left w:val="nil"/>
              <w:bottom w:val="nil"/>
              <w:right w:val="single" w:sz="4" w:space="0" w:color="000000"/>
            </w:tcBorders>
            <w:shd w:val="clear" w:color="000000" w:fill="FFFFFF"/>
            <w:hideMark/>
          </w:tcPr>
          <w:p w14:paraId="60D6C2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Entregar a los ciudadanos que ejerzan su derecho al voto, el certificado electoral correspondiente cuando a ello hubiere lugar.</w:t>
            </w:r>
          </w:p>
        </w:tc>
        <w:tc>
          <w:tcPr>
            <w:tcW w:w="1480" w:type="dxa"/>
            <w:tcBorders>
              <w:top w:val="nil"/>
              <w:left w:val="nil"/>
              <w:bottom w:val="nil"/>
              <w:right w:val="single" w:sz="4" w:space="0" w:color="000000"/>
            </w:tcBorders>
            <w:shd w:val="clear" w:color="000000" w:fill="FFFFFF"/>
            <w:hideMark/>
          </w:tcPr>
          <w:p w14:paraId="29DF95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73D8B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52010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Realizar los escrutinios de acuerdo con las disposiciones de este código, las instrucciones impartidas en la capacitación y el material autorizado y distribuido por la Registraduría Nacional del Estado Civil. </w:t>
            </w:r>
          </w:p>
        </w:tc>
        <w:tc>
          <w:tcPr>
            <w:tcW w:w="3798" w:type="dxa"/>
            <w:tcBorders>
              <w:top w:val="nil"/>
              <w:left w:val="nil"/>
              <w:bottom w:val="nil"/>
              <w:right w:val="single" w:sz="4" w:space="0" w:color="000000"/>
            </w:tcBorders>
            <w:shd w:val="clear" w:color="000000" w:fill="FFFFFF"/>
            <w:hideMark/>
          </w:tcPr>
          <w:p w14:paraId="1A24F2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Realizar los escrutinios de acuerdo con las disposiciones de este código, las instrucciones impartidas en la capacitación y el material autorizado y distribuido por la Registraduría Nacional del Estado Civil.</w:t>
            </w:r>
          </w:p>
        </w:tc>
        <w:tc>
          <w:tcPr>
            <w:tcW w:w="3798" w:type="dxa"/>
            <w:tcBorders>
              <w:top w:val="nil"/>
              <w:left w:val="nil"/>
              <w:bottom w:val="nil"/>
              <w:right w:val="single" w:sz="4" w:space="0" w:color="000000"/>
            </w:tcBorders>
            <w:shd w:val="clear" w:color="000000" w:fill="FFFFFF"/>
            <w:hideMark/>
          </w:tcPr>
          <w:p w14:paraId="16794B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Realizar los escrutinios de acuerdo con las disposiciones de este código, las instrucciones impartidas en la capacitación y el material autorizado y distribuido por la Registraduría Nacional del Estado Civil.</w:t>
            </w:r>
          </w:p>
        </w:tc>
        <w:tc>
          <w:tcPr>
            <w:tcW w:w="1480" w:type="dxa"/>
            <w:tcBorders>
              <w:top w:val="nil"/>
              <w:left w:val="nil"/>
              <w:bottom w:val="nil"/>
              <w:right w:val="single" w:sz="4" w:space="0" w:color="000000"/>
            </w:tcBorders>
            <w:shd w:val="clear" w:color="000000" w:fill="FFFFFF"/>
            <w:hideMark/>
          </w:tcPr>
          <w:p w14:paraId="464DD1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097E7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14CA5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10. Diligenciar los formularios y documentos electorales, de conformidad con lo dispuesto en las normas e instrucciones electorales y según la capacitación impartida por la Registraduría Nacional del Estado Civil. </w:t>
            </w:r>
          </w:p>
        </w:tc>
        <w:tc>
          <w:tcPr>
            <w:tcW w:w="3798" w:type="dxa"/>
            <w:tcBorders>
              <w:top w:val="nil"/>
              <w:left w:val="nil"/>
              <w:bottom w:val="nil"/>
              <w:right w:val="single" w:sz="4" w:space="0" w:color="000000"/>
            </w:tcBorders>
            <w:shd w:val="clear" w:color="000000" w:fill="FFFFFF"/>
            <w:hideMark/>
          </w:tcPr>
          <w:p w14:paraId="146446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Diligenciar los formularios y documentos electorales, de conformidad con lo dispuesto en las normas e instrucciones electorales y según la capacitación impartida por la Registraduría Nacional del Estado Civil.</w:t>
            </w:r>
          </w:p>
        </w:tc>
        <w:tc>
          <w:tcPr>
            <w:tcW w:w="3798" w:type="dxa"/>
            <w:tcBorders>
              <w:top w:val="nil"/>
              <w:left w:val="nil"/>
              <w:bottom w:val="nil"/>
              <w:right w:val="single" w:sz="4" w:space="0" w:color="000000"/>
            </w:tcBorders>
            <w:shd w:val="clear" w:color="000000" w:fill="FFFFFF"/>
            <w:hideMark/>
          </w:tcPr>
          <w:p w14:paraId="6602BB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Diligenciar los formularios y documentos electorales, de conformidad con lo dispuesto en las normas e instrucciones electorales y según la capacitación impartida por la Registraduría Nacional del Estado Civil.</w:t>
            </w:r>
          </w:p>
        </w:tc>
        <w:tc>
          <w:tcPr>
            <w:tcW w:w="1480" w:type="dxa"/>
            <w:tcBorders>
              <w:top w:val="nil"/>
              <w:left w:val="nil"/>
              <w:bottom w:val="nil"/>
              <w:right w:val="single" w:sz="4" w:space="0" w:color="000000"/>
            </w:tcBorders>
            <w:shd w:val="clear" w:color="000000" w:fill="FFFFFF"/>
            <w:hideMark/>
          </w:tcPr>
          <w:p w14:paraId="11E7EA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1FC41C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C4440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 </w:t>
            </w:r>
          </w:p>
        </w:tc>
        <w:tc>
          <w:tcPr>
            <w:tcW w:w="3798" w:type="dxa"/>
            <w:tcBorders>
              <w:top w:val="nil"/>
              <w:left w:val="nil"/>
              <w:bottom w:val="nil"/>
              <w:right w:val="single" w:sz="4" w:space="0" w:color="000000"/>
            </w:tcBorders>
            <w:shd w:val="clear" w:color="000000" w:fill="FFFFFF"/>
            <w:hideMark/>
          </w:tcPr>
          <w:p w14:paraId="715D7A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w:t>
            </w:r>
          </w:p>
        </w:tc>
        <w:tc>
          <w:tcPr>
            <w:tcW w:w="3798" w:type="dxa"/>
            <w:tcBorders>
              <w:top w:val="nil"/>
              <w:left w:val="nil"/>
              <w:bottom w:val="nil"/>
              <w:right w:val="single" w:sz="4" w:space="0" w:color="000000"/>
            </w:tcBorders>
            <w:shd w:val="clear" w:color="000000" w:fill="FFFFFF"/>
            <w:hideMark/>
          </w:tcPr>
          <w:p w14:paraId="2A2E56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w:t>
            </w:r>
          </w:p>
        </w:tc>
        <w:tc>
          <w:tcPr>
            <w:tcW w:w="1480" w:type="dxa"/>
            <w:tcBorders>
              <w:top w:val="nil"/>
              <w:left w:val="nil"/>
              <w:bottom w:val="nil"/>
              <w:right w:val="single" w:sz="4" w:space="0" w:color="000000"/>
            </w:tcBorders>
            <w:shd w:val="clear" w:color="000000" w:fill="FFFFFF"/>
            <w:hideMark/>
          </w:tcPr>
          <w:p w14:paraId="4EC4E1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9A1C9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573D3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Realizar el recuento de votos de oficio o por solicitud de persona legitimada de conformidad con lo previsto en el presente código y, así mismo, dejar las constancias del caso en los respectivos formularios. </w:t>
            </w:r>
          </w:p>
        </w:tc>
        <w:tc>
          <w:tcPr>
            <w:tcW w:w="3798" w:type="dxa"/>
            <w:tcBorders>
              <w:top w:val="nil"/>
              <w:left w:val="nil"/>
              <w:bottom w:val="nil"/>
              <w:right w:val="single" w:sz="4" w:space="0" w:color="000000"/>
            </w:tcBorders>
            <w:shd w:val="clear" w:color="000000" w:fill="FFFFFF"/>
            <w:hideMark/>
          </w:tcPr>
          <w:p w14:paraId="7779FA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Realizar el recuento de votos de oficio o por solicitud de persona legitimada de conformidad con lo previsto en el presente código y, así mismo, dejar las constancias del caso en los respectivos formularios.</w:t>
            </w:r>
          </w:p>
        </w:tc>
        <w:tc>
          <w:tcPr>
            <w:tcW w:w="3798" w:type="dxa"/>
            <w:tcBorders>
              <w:top w:val="nil"/>
              <w:left w:val="nil"/>
              <w:bottom w:val="nil"/>
              <w:right w:val="single" w:sz="4" w:space="0" w:color="000000"/>
            </w:tcBorders>
            <w:shd w:val="clear" w:color="000000" w:fill="FFFFFF"/>
            <w:hideMark/>
          </w:tcPr>
          <w:p w14:paraId="1D91E2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Realizar el recuento de votos de oficio o por solicitud de persona legitimada de conformidad con lo previsto en el presente código y, así mismo, dejar las constancias del caso en los respectivos formularios.</w:t>
            </w:r>
          </w:p>
        </w:tc>
        <w:tc>
          <w:tcPr>
            <w:tcW w:w="1480" w:type="dxa"/>
            <w:tcBorders>
              <w:top w:val="nil"/>
              <w:left w:val="nil"/>
              <w:bottom w:val="nil"/>
              <w:right w:val="single" w:sz="4" w:space="0" w:color="000000"/>
            </w:tcBorders>
            <w:shd w:val="clear" w:color="000000" w:fill="FFFFFF"/>
            <w:hideMark/>
          </w:tcPr>
          <w:p w14:paraId="00AF63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0FA47E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A48D4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Recibir, tramitar y resolver inmediatamente las reclamaciones formuladas. </w:t>
            </w:r>
          </w:p>
        </w:tc>
        <w:tc>
          <w:tcPr>
            <w:tcW w:w="3798" w:type="dxa"/>
            <w:tcBorders>
              <w:top w:val="nil"/>
              <w:left w:val="nil"/>
              <w:bottom w:val="nil"/>
              <w:right w:val="single" w:sz="4" w:space="0" w:color="000000"/>
            </w:tcBorders>
            <w:shd w:val="clear" w:color="000000" w:fill="FFFFFF"/>
            <w:hideMark/>
          </w:tcPr>
          <w:p w14:paraId="4701CF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Recibir, tramitar y resolver inmediatamente las reclamaciones formuladas.</w:t>
            </w:r>
          </w:p>
        </w:tc>
        <w:tc>
          <w:tcPr>
            <w:tcW w:w="3798" w:type="dxa"/>
            <w:tcBorders>
              <w:top w:val="nil"/>
              <w:left w:val="nil"/>
              <w:bottom w:val="nil"/>
              <w:right w:val="single" w:sz="4" w:space="0" w:color="000000"/>
            </w:tcBorders>
            <w:shd w:val="clear" w:color="000000" w:fill="FFFFFF"/>
            <w:hideMark/>
          </w:tcPr>
          <w:p w14:paraId="2B7E1CE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Recibir, tramitar y resolver inmediatamente las reclamaciones formuladas.</w:t>
            </w:r>
          </w:p>
        </w:tc>
        <w:tc>
          <w:tcPr>
            <w:tcW w:w="1480" w:type="dxa"/>
            <w:tcBorders>
              <w:top w:val="nil"/>
              <w:left w:val="nil"/>
              <w:bottom w:val="nil"/>
              <w:right w:val="single" w:sz="4" w:space="0" w:color="000000"/>
            </w:tcBorders>
            <w:shd w:val="clear" w:color="000000" w:fill="FFFFFF"/>
            <w:hideMark/>
          </w:tcPr>
          <w:p w14:paraId="202686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EFC7D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CA466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Entregar al delegado de puesto la totalidad de los documentos electorales utilizados durante la jornada electoral. </w:t>
            </w:r>
          </w:p>
        </w:tc>
        <w:tc>
          <w:tcPr>
            <w:tcW w:w="3798" w:type="dxa"/>
            <w:tcBorders>
              <w:top w:val="nil"/>
              <w:left w:val="nil"/>
              <w:bottom w:val="nil"/>
              <w:right w:val="single" w:sz="4" w:space="0" w:color="000000"/>
            </w:tcBorders>
            <w:shd w:val="clear" w:color="000000" w:fill="FFFFFF"/>
            <w:hideMark/>
          </w:tcPr>
          <w:p w14:paraId="6A0759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Entregar al delegado de puesto la totalidad de los documentos electorales utilizados durante la jornada electoral.</w:t>
            </w:r>
          </w:p>
        </w:tc>
        <w:tc>
          <w:tcPr>
            <w:tcW w:w="3798" w:type="dxa"/>
            <w:tcBorders>
              <w:top w:val="nil"/>
              <w:left w:val="nil"/>
              <w:bottom w:val="nil"/>
              <w:right w:val="single" w:sz="4" w:space="0" w:color="000000"/>
            </w:tcBorders>
            <w:shd w:val="clear" w:color="000000" w:fill="FFFFFF"/>
            <w:hideMark/>
          </w:tcPr>
          <w:p w14:paraId="370ECD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Entregar al delegado de puesto la totalidad de los documentos electorales utilizados durante la jornada electoral.</w:t>
            </w:r>
          </w:p>
        </w:tc>
        <w:tc>
          <w:tcPr>
            <w:tcW w:w="1480" w:type="dxa"/>
            <w:tcBorders>
              <w:top w:val="nil"/>
              <w:left w:val="nil"/>
              <w:bottom w:val="nil"/>
              <w:right w:val="single" w:sz="4" w:space="0" w:color="000000"/>
            </w:tcBorders>
            <w:shd w:val="clear" w:color="000000" w:fill="FFFFFF"/>
            <w:hideMark/>
          </w:tcPr>
          <w:p w14:paraId="4DF682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92F034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DD331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Finalizado el Escrutinio, en las mesas de voto electrónico mixto, se entregarán copia del acta de escrutinio de la mesa a los testigos electorales, que podrá ser entregado en formato físico o digital. </w:t>
            </w:r>
          </w:p>
        </w:tc>
        <w:tc>
          <w:tcPr>
            <w:tcW w:w="3798" w:type="dxa"/>
            <w:tcBorders>
              <w:top w:val="nil"/>
              <w:left w:val="nil"/>
              <w:bottom w:val="nil"/>
              <w:right w:val="single" w:sz="4" w:space="0" w:color="000000"/>
            </w:tcBorders>
            <w:shd w:val="clear" w:color="000000" w:fill="FFFFFF"/>
            <w:hideMark/>
          </w:tcPr>
          <w:p w14:paraId="2A19B2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Finalizado el escrutinio, en las mesas de voto electrónico mixto, se entregarán copia del acta de escrutinio de la mesa a los testigos electorales, que podrá ser entregado en formato físico o digital.</w:t>
            </w:r>
          </w:p>
        </w:tc>
        <w:tc>
          <w:tcPr>
            <w:tcW w:w="3798" w:type="dxa"/>
            <w:tcBorders>
              <w:top w:val="nil"/>
              <w:left w:val="nil"/>
              <w:bottom w:val="nil"/>
              <w:right w:val="single" w:sz="4" w:space="0" w:color="000000"/>
            </w:tcBorders>
            <w:shd w:val="clear" w:color="000000" w:fill="FFFFFF"/>
            <w:hideMark/>
          </w:tcPr>
          <w:p w14:paraId="36F2D8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Finalizado el escrutinio, en las mesas de voto electrónico mixto, se entregarán copia del acta de escrutinio de la mesa a los testigos electorales, que podrá ser entregado en formato físico o digital.</w:t>
            </w:r>
          </w:p>
        </w:tc>
        <w:tc>
          <w:tcPr>
            <w:tcW w:w="1480" w:type="dxa"/>
            <w:tcBorders>
              <w:top w:val="nil"/>
              <w:left w:val="nil"/>
              <w:bottom w:val="nil"/>
              <w:right w:val="single" w:sz="4" w:space="0" w:color="000000"/>
            </w:tcBorders>
            <w:shd w:val="clear" w:color="000000" w:fill="FFFFFF"/>
            <w:hideMark/>
          </w:tcPr>
          <w:p w14:paraId="1D7B2B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147B8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B9CF90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La Registraduría Nacional del Estado Civil reglamentará el procedimiento cuando disponga de la utilización de soluciones tecnológicas para la identificación de los jurados y el desarrollo de sus funciones el día de las votaciones. </w:t>
            </w:r>
          </w:p>
        </w:tc>
        <w:tc>
          <w:tcPr>
            <w:tcW w:w="3798" w:type="dxa"/>
            <w:tcBorders>
              <w:top w:val="nil"/>
              <w:left w:val="nil"/>
              <w:bottom w:val="nil"/>
              <w:right w:val="single" w:sz="4" w:space="0" w:color="000000"/>
            </w:tcBorders>
            <w:shd w:val="clear" w:color="000000" w:fill="FFFFFF"/>
            <w:hideMark/>
          </w:tcPr>
          <w:p w14:paraId="100989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Registraduría Nacional del Estado Civil reglamentará el procedimiento cuando disponga de la utilización de soluciones tecnológicas para la identificación de los jurados y el desarrollo de sus funciones el día de las votaciones.</w:t>
            </w:r>
          </w:p>
        </w:tc>
        <w:tc>
          <w:tcPr>
            <w:tcW w:w="3798" w:type="dxa"/>
            <w:tcBorders>
              <w:top w:val="nil"/>
              <w:left w:val="nil"/>
              <w:bottom w:val="nil"/>
              <w:right w:val="single" w:sz="4" w:space="0" w:color="000000"/>
            </w:tcBorders>
            <w:shd w:val="clear" w:color="000000" w:fill="FFFFFF"/>
            <w:hideMark/>
          </w:tcPr>
          <w:p w14:paraId="58DEBB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Registraduría Nacional del Estado Civil reglamentará el procedimiento cuando disponga de la utilización de soluciones tecnológicas para la identificación de los jurados y el desarrollo de sus funciones el día de las votaciones.</w:t>
            </w:r>
          </w:p>
        </w:tc>
        <w:tc>
          <w:tcPr>
            <w:tcW w:w="1480" w:type="dxa"/>
            <w:tcBorders>
              <w:top w:val="nil"/>
              <w:left w:val="nil"/>
              <w:bottom w:val="nil"/>
              <w:right w:val="single" w:sz="4" w:space="0" w:color="000000"/>
            </w:tcBorders>
            <w:shd w:val="clear" w:color="000000" w:fill="FFFFFF"/>
            <w:hideMark/>
          </w:tcPr>
          <w:p w14:paraId="73BEFD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F7BD3F"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09D4B27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3FCEEB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garantizará la seguridad, pertinencia e idoneidad, viabilidad técnica, plena funcionalidad y transparencia de los sistemas y herramientas tecnológicas que se utilicen para la identificación de los jurados y el desarrollo de sus funciones. La Comisión Asesora para la Implementación Progresiva de los Sistemas de Asistencia Tecnológica en los Procesos Electorales podrá emitir recomendaciones por medio de conceptos.</w:t>
            </w:r>
          </w:p>
        </w:tc>
        <w:tc>
          <w:tcPr>
            <w:tcW w:w="3798" w:type="dxa"/>
            <w:tcBorders>
              <w:top w:val="nil"/>
              <w:left w:val="nil"/>
              <w:bottom w:val="single" w:sz="4" w:space="0" w:color="000000"/>
              <w:right w:val="single" w:sz="4" w:space="0" w:color="000000"/>
            </w:tcBorders>
            <w:shd w:val="clear" w:color="000000" w:fill="FFFFFF"/>
            <w:hideMark/>
          </w:tcPr>
          <w:p w14:paraId="001A42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garantizará la seguridad, pertinencia e idoneidad, viabilidad técnica, plena funcionalidad y transparencia de los sistemas y herramientas tecnológicas que se utilicen para la identificación de los jurados y el desarrollo de sus funciones. La Comisión Asesora para la Implementación Progresiva de los Sistemas de Asistencia Tecnológica en los Procesos Electorales podrá emitir recomendaciones por medio de conceptos.</w:t>
            </w:r>
          </w:p>
        </w:tc>
        <w:tc>
          <w:tcPr>
            <w:tcW w:w="1480" w:type="dxa"/>
            <w:tcBorders>
              <w:top w:val="nil"/>
              <w:left w:val="nil"/>
              <w:bottom w:val="single" w:sz="4" w:space="0" w:color="000000"/>
              <w:right w:val="single" w:sz="4" w:space="0" w:color="000000"/>
            </w:tcBorders>
            <w:shd w:val="clear" w:color="000000" w:fill="FFFFFF"/>
            <w:hideMark/>
          </w:tcPr>
          <w:p w14:paraId="0A7D60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FCF1CA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923C5C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123.- Exclusión de las listas de los jurados de votación.</w:t>
            </w:r>
            <w:r w:rsidRPr="00222F34">
              <w:rPr>
                <w:rFonts w:ascii="Calibri" w:eastAsia="Times New Roman" w:hAnsi="Calibri" w:cs="Calibri"/>
                <w:color w:val="000000"/>
                <w:lang w:val="es-CO" w:eastAsia="es-CO" w:bidi="ar-SA"/>
              </w:rPr>
              <w:t xml:space="preserve"> No podrán ser jurados de votación: </w:t>
            </w:r>
          </w:p>
        </w:tc>
        <w:tc>
          <w:tcPr>
            <w:tcW w:w="3798" w:type="dxa"/>
            <w:tcBorders>
              <w:top w:val="nil"/>
              <w:left w:val="nil"/>
              <w:bottom w:val="nil"/>
              <w:right w:val="single" w:sz="4" w:space="0" w:color="000000"/>
            </w:tcBorders>
            <w:shd w:val="clear" w:color="000000" w:fill="FFFFFF"/>
            <w:hideMark/>
          </w:tcPr>
          <w:p w14:paraId="1C678B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127. Exclusión de las listas de los jurados de votación.</w:t>
            </w:r>
            <w:r w:rsidRPr="00222F34">
              <w:rPr>
                <w:rFonts w:ascii="Calibri" w:eastAsia="Times New Roman" w:hAnsi="Calibri" w:cs="Calibri"/>
                <w:color w:val="000000"/>
                <w:lang w:val="es-CO" w:eastAsia="es-CO" w:bidi="ar-SA"/>
              </w:rPr>
              <w:t xml:space="preserve"> No podrán ser jurados de votación:</w:t>
            </w:r>
          </w:p>
        </w:tc>
        <w:tc>
          <w:tcPr>
            <w:tcW w:w="3798" w:type="dxa"/>
            <w:tcBorders>
              <w:top w:val="nil"/>
              <w:left w:val="nil"/>
              <w:bottom w:val="nil"/>
              <w:right w:val="single" w:sz="4" w:space="0" w:color="000000"/>
            </w:tcBorders>
            <w:shd w:val="clear" w:color="000000" w:fill="FFFFFF"/>
            <w:hideMark/>
          </w:tcPr>
          <w:p w14:paraId="4B60DF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127. Exclusión de las listas de los jurados de votación.</w:t>
            </w:r>
            <w:r w:rsidRPr="00222F34">
              <w:rPr>
                <w:rFonts w:ascii="Calibri" w:eastAsia="Times New Roman" w:hAnsi="Calibri" w:cs="Calibri"/>
                <w:color w:val="000000"/>
                <w:lang w:val="es-CO" w:eastAsia="es-CO" w:bidi="ar-SA"/>
              </w:rPr>
              <w:t xml:space="preserve"> No podrán ser jurados de votación:</w:t>
            </w:r>
          </w:p>
        </w:tc>
        <w:tc>
          <w:tcPr>
            <w:tcW w:w="1480" w:type="dxa"/>
            <w:tcBorders>
              <w:top w:val="nil"/>
              <w:left w:val="nil"/>
              <w:bottom w:val="nil"/>
              <w:right w:val="single" w:sz="4" w:space="0" w:color="000000"/>
            </w:tcBorders>
            <w:shd w:val="clear" w:color="000000" w:fill="FFFFFF"/>
            <w:hideMark/>
          </w:tcPr>
          <w:p w14:paraId="5E7313E5" w14:textId="6EBBBBE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376A32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78BBC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Los miembros de la Fuerza Pública. </w:t>
            </w:r>
          </w:p>
        </w:tc>
        <w:tc>
          <w:tcPr>
            <w:tcW w:w="3798" w:type="dxa"/>
            <w:tcBorders>
              <w:top w:val="nil"/>
              <w:left w:val="nil"/>
              <w:bottom w:val="nil"/>
              <w:right w:val="single" w:sz="4" w:space="0" w:color="000000"/>
            </w:tcBorders>
            <w:shd w:val="clear" w:color="000000" w:fill="FFFFFF"/>
            <w:hideMark/>
          </w:tcPr>
          <w:p w14:paraId="56C059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Los miembros de la Fuerza Pública. </w:t>
            </w:r>
          </w:p>
        </w:tc>
        <w:tc>
          <w:tcPr>
            <w:tcW w:w="3798" w:type="dxa"/>
            <w:tcBorders>
              <w:top w:val="nil"/>
              <w:left w:val="nil"/>
              <w:bottom w:val="nil"/>
              <w:right w:val="single" w:sz="4" w:space="0" w:color="000000"/>
            </w:tcBorders>
            <w:shd w:val="clear" w:color="000000" w:fill="FFFFFF"/>
            <w:hideMark/>
          </w:tcPr>
          <w:p w14:paraId="2C3B52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Los miembros de la Fuerza Pública. </w:t>
            </w:r>
          </w:p>
        </w:tc>
        <w:tc>
          <w:tcPr>
            <w:tcW w:w="1480" w:type="dxa"/>
            <w:tcBorders>
              <w:top w:val="nil"/>
              <w:left w:val="nil"/>
              <w:bottom w:val="nil"/>
              <w:right w:val="single" w:sz="4" w:space="0" w:color="000000"/>
            </w:tcBorders>
            <w:shd w:val="clear" w:color="000000" w:fill="FFFFFF"/>
            <w:hideMark/>
          </w:tcPr>
          <w:p w14:paraId="7ADAB5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EAA6F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95CE0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Quienes estén inhabilitados para el ejercicio de derechos y funciones públicas en virtud de decisiones judiciales o administrativas. </w:t>
            </w:r>
          </w:p>
        </w:tc>
        <w:tc>
          <w:tcPr>
            <w:tcW w:w="3798" w:type="dxa"/>
            <w:tcBorders>
              <w:top w:val="nil"/>
              <w:left w:val="nil"/>
              <w:bottom w:val="nil"/>
              <w:right w:val="single" w:sz="4" w:space="0" w:color="000000"/>
            </w:tcBorders>
            <w:shd w:val="clear" w:color="000000" w:fill="FFFFFF"/>
            <w:hideMark/>
          </w:tcPr>
          <w:p w14:paraId="2B2F0B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Quienes estén inhabilitados para el ejercicio de derechos y funciones públicas en virtud de decisiones judiciales o administrativas. </w:t>
            </w:r>
          </w:p>
        </w:tc>
        <w:tc>
          <w:tcPr>
            <w:tcW w:w="3798" w:type="dxa"/>
            <w:tcBorders>
              <w:top w:val="nil"/>
              <w:left w:val="nil"/>
              <w:bottom w:val="nil"/>
              <w:right w:val="single" w:sz="4" w:space="0" w:color="000000"/>
            </w:tcBorders>
            <w:shd w:val="clear" w:color="000000" w:fill="FFFFFF"/>
            <w:hideMark/>
          </w:tcPr>
          <w:p w14:paraId="46CB52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Quienes estén inhabilitados para el ejercicio de derechos y funciones públicas en virtud de decisiones judiciales o administrativas. </w:t>
            </w:r>
          </w:p>
        </w:tc>
        <w:tc>
          <w:tcPr>
            <w:tcW w:w="1480" w:type="dxa"/>
            <w:tcBorders>
              <w:top w:val="nil"/>
              <w:left w:val="nil"/>
              <w:bottom w:val="nil"/>
              <w:right w:val="single" w:sz="4" w:space="0" w:color="000000"/>
            </w:tcBorders>
            <w:shd w:val="clear" w:color="000000" w:fill="FFFFFF"/>
            <w:hideMark/>
          </w:tcPr>
          <w:p w14:paraId="01324E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0EA9FE"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2215219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Los registradores, de oficio o por solicitud de parte, excluirán de la lista a los ciudadanos con alguna discapacidad que les impida la prestación del servicio de jurados de votación. y a aquellos jurados que se encuentren en alguna de las causales consagradas en este código. </w:t>
            </w:r>
          </w:p>
        </w:tc>
        <w:tc>
          <w:tcPr>
            <w:tcW w:w="3798" w:type="dxa"/>
            <w:tcBorders>
              <w:top w:val="nil"/>
              <w:left w:val="nil"/>
              <w:bottom w:val="single" w:sz="4" w:space="0" w:color="000000"/>
              <w:right w:val="single" w:sz="4" w:space="0" w:color="000000"/>
            </w:tcBorders>
            <w:shd w:val="clear" w:color="000000" w:fill="FFFFFF"/>
            <w:hideMark/>
          </w:tcPr>
          <w:p w14:paraId="1FB554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registradores, de oficio o por solicitud de parte, excluirán de la lista a los ciudadanos con alguna discapacidad que les impida la prestación del servicio de jurados de votación. y a aquellos jurados que se encuentren en alguna de las causales consagradas en este código.</w:t>
            </w:r>
          </w:p>
        </w:tc>
        <w:tc>
          <w:tcPr>
            <w:tcW w:w="3798" w:type="dxa"/>
            <w:tcBorders>
              <w:top w:val="nil"/>
              <w:left w:val="nil"/>
              <w:bottom w:val="single" w:sz="4" w:space="0" w:color="000000"/>
              <w:right w:val="single" w:sz="4" w:space="0" w:color="000000"/>
            </w:tcBorders>
            <w:shd w:val="clear" w:color="000000" w:fill="FFFFFF"/>
            <w:hideMark/>
          </w:tcPr>
          <w:p w14:paraId="0A7CA8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registradores, de oficio o por solicitud de parte, excluirán de la lista a los ciudadanos con alguna discapacidad que les impida la prestación del servicio de jurados de votación. y a aquellos jurados que se encuentren en alguna de las causales consagradas en este código.</w:t>
            </w:r>
          </w:p>
        </w:tc>
        <w:tc>
          <w:tcPr>
            <w:tcW w:w="1480" w:type="dxa"/>
            <w:tcBorders>
              <w:top w:val="nil"/>
              <w:left w:val="nil"/>
              <w:bottom w:val="nil"/>
              <w:right w:val="single" w:sz="4" w:space="0" w:color="000000"/>
            </w:tcBorders>
            <w:shd w:val="clear" w:color="000000" w:fill="FFFFFF"/>
            <w:hideMark/>
          </w:tcPr>
          <w:p w14:paraId="6B60B5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B808591" w14:textId="77777777" w:rsidTr="00222F34">
        <w:trPr>
          <w:trHeight w:val="3990"/>
        </w:trPr>
        <w:tc>
          <w:tcPr>
            <w:tcW w:w="3798" w:type="dxa"/>
            <w:tcBorders>
              <w:top w:val="nil"/>
              <w:left w:val="single" w:sz="4" w:space="0" w:color="000000"/>
              <w:bottom w:val="nil"/>
              <w:right w:val="single" w:sz="4" w:space="0" w:color="000000"/>
            </w:tcBorders>
            <w:shd w:val="clear" w:color="000000" w:fill="FFFFFF"/>
            <w:hideMark/>
          </w:tcPr>
          <w:p w14:paraId="659C7E0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124.- Exención del carácter de jurado de votación.</w:t>
            </w:r>
            <w:r w:rsidRPr="00222F34">
              <w:rPr>
                <w:rFonts w:ascii="Calibri" w:eastAsia="Times New Roman" w:hAnsi="Calibri" w:cs="Calibri"/>
                <w:color w:val="000000"/>
                <w:lang w:val="es-CO" w:eastAsia="es-CO" w:bidi="ar-SA"/>
              </w:rPr>
              <w:t xml:space="preserve"> La Registraduría Nacional del Estado Civil no designará como jurado de votación, en virtud de su condición, cargo o función desempeñada, a las siguientes personas: </w:t>
            </w:r>
          </w:p>
        </w:tc>
        <w:tc>
          <w:tcPr>
            <w:tcW w:w="3798" w:type="dxa"/>
            <w:tcBorders>
              <w:top w:val="nil"/>
              <w:left w:val="nil"/>
              <w:bottom w:val="nil"/>
              <w:right w:val="single" w:sz="4" w:space="0" w:color="000000"/>
            </w:tcBorders>
            <w:shd w:val="clear" w:color="00FF00" w:fill="FFFFFF"/>
            <w:hideMark/>
          </w:tcPr>
          <w:p w14:paraId="3F9B4C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128. Exención del carácter de jurado de votación. </w:t>
            </w:r>
            <w:r w:rsidRPr="00222F34">
              <w:rPr>
                <w:rFonts w:ascii="Calibri" w:eastAsia="Times New Roman" w:hAnsi="Calibri" w:cs="Calibri"/>
                <w:color w:val="000000"/>
                <w:lang w:val="es-CO" w:eastAsia="es-CO" w:bidi="ar-SA"/>
              </w:rPr>
              <w:t>La Registraduría Nacional del Estado Civil no designará como jurado de votación, en virtud de su condición, cargo o función desempeñada, a las siguientes personas:</w:t>
            </w:r>
          </w:p>
        </w:tc>
        <w:tc>
          <w:tcPr>
            <w:tcW w:w="3798" w:type="dxa"/>
            <w:tcBorders>
              <w:top w:val="nil"/>
              <w:left w:val="nil"/>
              <w:bottom w:val="nil"/>
              <w:right w:val="single" w:sz="4" w:space="0" w:color="000000"/>
            </w:tcBorders>
            <w:shd w:val="clear" w:color="00FF00" w:fill="FFFFFF"/>
            <w:hideMark/>
          </w:tcPr>
          <w:p w14:paraId="43CBE3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128. Exención del carácter de jurado de votación. </w:t>
            </w:r>
            <w:r w:rsidRPr="00222F34">
              <w:rPr>
                <w:rFonts w:ascii="Calibri" w:eastAsia="Times New Roman" w:hAnsi="Calibri" w:cs="Calibri"/>
                <w:color w:val="000000"/>
                <w:lang w:val="es-CO" w:eastAsia="es-CO" w:bidi="ar-SA"/>
              </w:rPr>
              <w:t>La Registraduría Nacional del Estado Civil no designará como jurado de votación, en virtud de su condición, cargo o función desempeñada, a las siguientes personas:</w:t>
            </w:r>
          </w:p>
        </w:tc>
        <w:tc>
          <w:tcPr>
            <w:tcW w:w="1480" w:type="dxa"/>
            <w:tcBorders>
              <w:top w:val="single" w:sz="4" w:space="0" w:color="000000"/>
              <w:left w:val="nil"/>
              <w:bottom w:val="nil"/>
              <w:right w:val="single" w:sz="4" w:space="0" w:color="000000"/>
            </w:tcBorders>
            <w:shd w:val="clear" w:color="000000" w:fill="FFFFFF"/>
            <w:hideMark/>
          </w:tcPr>
          <w:p w14:paraId="7FD2F7FC" w14:textId="7A15421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incluyendo el numeral 18 que había sido aprobado en el Senado y manteniendo el nuevo numeral 18 aprobado en la Cámara. Se ajusta la numeración en consecuencia.</w:t>
            </w:r>
          </w:p>
        </w:tc>
      </w:tr>
      <w:tr w:rsidR="00CD4925" w:rsidRPr="00222F34" w14:paraId="7D0E97C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C90F1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Los ciudadanos con alguna discapacidad que les impida la prestación del servicio de jurados de votación, cuando medie solicitud de parte. </w:t>
            </w:r>
          </w:p>
        </w:tc>
        <w:tc>
          <w:tcPr>
            <w:tcW w:w="3798" w:type="dxa"/>
            <w:tcBorders>
              <w:top w:val="nil"/>
              <w:left w:val="nil"/>
              <w:bottom w:val="nil"/>
              <w:right w:val="single" w:sz="4" w:space="0" w:color="000000"/>
            </w:tcBorders>
            <w:shd w:val="clear" w:color="00FFFF" w:fill="FFFFFF"/>
            <w:hideMark/>
          </w:tcPr>
          <w:p w14:paraId="0F9935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Los ciudadanos con alguna discapacidad que les impida la prestación del servicio de jurados de votación, cuando medie solicitud de parte.</w:t>
            </w:r>
          </w:p>
        </w:tc>
        <w:tc>
          <w:tcPr>
            <w:tcW w:w="3798" w:type="dxa"/>
            <w:tcBorders>
              <w:top w:val="nil"/>
              <w:left w:val="nil"/>
              <w:bottom w:val="nil"/>
              <w:right w:val="single" w:sz="4" w:space="0" w:color="000000"/>
            </w:tcBorders>
            <w:shd w:val="clear" w:color="00FFFF" w:fill="FFFFFF"/>
            <w:hideMark/>
          </w:tcPr>
          <w:p w14:paraId="03A30B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Los ciudadanos con alguna discapacidad que les impida la prestación del servicio de jurados de votación, cuando medie solicitud de parte.</w:t>
            </w:r>
          </w:p>
        </w:tc>
        <w:tc>
          <w:tcPr>
            <w:tcW w:w="1480" w:type="dxa"/>
            <w:tcBorders>
              <w:top w:val="nil"/>
              <w:left w:val="nil"/>
              <w:bottom w:val="nil"/>
              <w:right w:val="single" w:sz="4" w:space="0" w:color="000000"/>
            </w:tcBorders>
            <w:shd w:val="clear" w:color="000000" w:fill="FFFFFF"/>
            <w:hideMark/>
          </w:tcPr>
          <w:p w14:paraId="2105F8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BF1DF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3E0DD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 </w:t>
            </w:r>
          </w:p>
        </w:tc>
        <w:tc>
          <w:tcPr>
            <w:tcW w:w="3798" w:type="dxa"/>
            <w:tcBorders>
              <w:top w:val="nil"/>
              <w:left w:val="nil"/>
              <w:bottom w:val="nil"/>
              <w:right w:val="single" w:sz="4" w:space="0" w:color="000000"/>
            </w:tcBorders>
            <w:shd w:val="clear" w:color="00FFFF" w:fill="FFFFFF"/>
            <w:hideMark/>
          </w:tcPr>
          <w:p w14:paraId="54957A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w:t>
            </w:r>
          </w:p>
        </w:tc>
        <w:tc>
          <w:tcPr>
            <w:tcW w:w="3798" w:type="dxa"/>
            <w:tcBorders>
              <w:top w:val="nil"/>
              <w:left w:val="nil"/>
              <w:bottom w:val="nil"/>
              <w:right w:val="single" w:sz="4" w:space="0" w:color="000000"/>
            </w:tcBorders>
            <w:shd w:val="clear" w:color="00FFFF" w:fill="FFFFFF"/>
            <w:hideMark/>
          </w:tcPr>
          <w:p w14:paraId="057E0A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w:t>
            </w:r>
          </w:p>
        </w:tc>
        <w:tc>
          <w:tcPr>
            <w:tcW w:w="1480" w:type="dxa"/>
            <w:tcBorders>
              <w:top w:val="nil"/>
              <w:left w:val="nil"/>
              <w:bottom w:val="nil"/>
              <w:right w:val="single" w:sz="4" w:space="0" w:color="000000"/>
            </w:tcBorders>
            <w:shd w:val="clear" w:color="000000" w:fill="FFFFFF"/>
            <w:hideMark/>
          </w:tcPr>
          <w:p w14:paraId="4F6333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03C68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DEC8A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Los representantes legales y directivos de los partidos y movimientos políticos, sus testigos electorales, auditores de sistema y quienes funjan como apoderados en el respectivo proceso electoral. </w:t>
            </w:r>
          </w:p>
        </w:tc>
        <w:tc>
          <w:tcPr>
            <w:tcW w:w="3798" w:type="dxa"/>
            <w:tcBorders>
              <w:top w:val="nil"/>
              <w:left w:val="nil"/>
              <w:bottom w:val="nil"/>
              <w:right w:val="single" w:sz="4" w:space="0" w:color="000000"/>
            </w:tcBorders>
            <w:shd w:val="clear" w:color="00FFFF" w:fill="FFFFFF"/>
            <w:hideMark/>
          </w:tcPr>
          <w:p w14:paraId="568D3C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Los representantes legales y directivos de los partidos y movimientos políticos, sus testigos electorales, auditores de sistema y quienes funjan como apoderados en el respectivo proceso electoral.</w:t>
            </w:r>
          </w:p>
        </w:tc>
        <w:tc>
          <w:tcPr>
            <w:tcW w:w="3798" w:type="dxa"/>
            <w:tcBorders>
              <w:top w:val="nil"/>
              <w:left w:val="nil"/>
              <w:bottom w:val="nil"/>
              <w:right w:val="single" w:sz="4" w:space="0" w:color="000000"/>
            </w:tcBorders>
            <w:shd w:val="clear" w:color="00FFFF" w:fill="FFFFFF"/>
            <w:hideMark/>
          </w:tcPr>
          <w:p w14:paraId="035370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Los representantes legales y directivos de los partidos y movimientos políticos, sus testigos electorales, auditores de sistema y quienes funjan como apoderados en el respectivo proceso electoral.</w:t>
            </w:r>
          </w:p>
        </w:tc>
        <w:tc>
          <w:tcPr>
            <w:tcW w:w="1480" w:type="dxa"/>
            <w:tcBorders>
              <w:top w:val="nil"/>
              <w:left w:val="nil"/>
              <w:bottom w:val="nil"/>
              <w:right w:val="single" w:sz="4" w:space="0" w:color="000000"/>
            </w:tcBorders>
            <w:shd w:val="clear" w:color="000000" w:fill="FFFFFF"/>
            <w:hideMark/>
          </w:tcPr>
          <w:p w14:paraId="331079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C74C7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DE3E3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 </w:t>
            </w:r>
          </w:p>
        </w:tc>
        <w:tc>
          <w:tcPr>
            <w:tcW w:w="3798" w:type="dxa"/>
            <w:tcBorders>
              <w:top w:val="nil"/>
              <w:left w:val="nil"/>
              <w:bottom w:val="nil"/>
              <w:right w:val="single" w:sz="4" w:space="0" w:color="000000"/>
            </w:tcBorders>
            <w:shd w:val="clear" w:color="00FFFF" w:fill="FFFFFF"/>
            <w:hideMark/>
          </w:tcPr>
          <w:p w14:paraId="4AA95F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w:t>
            </w:r>
          </w:p>
        </w:tc>
        <w:tc>
          <w:tcPr>
            <w:tcW w:w="3798" w:type="dxa"/>
            <w:tcBorders>
              <w:top w:val="nil"/>
              <w:left w:val="nil"/>
              <w:bottom w:val="nil"/>
              <w:right w:val="single" w:sz="4" w:space="0" w:color="000000"/>
            </w:tcBorders>
            <w:shd w:val="clear" w:color="00FFFF" w:fill="FFFFFF"/>
            <w:hideMark/>
          </w:tcPr>
          <w:p w14:paraId="5EBA6B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w:t>
            </w:r>
          </w:p>
        </w:tc>
        <w:tc>
          <w:tcPr>
            <w:tcW w:w="1480" w:type="dxa"/>
            <w:tcBorders>
              <w:top w:val="nil"/>
              <w:left w:val="nil"/>
              <w:bottom w:val="nil"/>
              <w:right w:val="single" w:sz="4" w:space="0" w:color="000000"/>
            </w:tcBorders>
            <w:shd w:val="clear" w:color="000000" w:fill="FFFFFF"/>
            <w:hideMark/>
          </w:tcPr>
          <w:p w14:paraId="30BE26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EB403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DCC64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Los gerentes de campaña, el tesorero, el contador, el auditor y los miembros del comité financiero acreditados ante la Organización Electoral. </w:t>
            </w:r>
          </w:p>
        </w:tc>
        <w:tc>
          <w:tcPr>
            <w:tcW w:w="3798" w:type="dxa"/>
            <w:tcBorders>
              <w:top w:val="nil"/>
              <w:left w:val="nil"/>
              <w:bottom w:val="nil"/>
              <w:right w:val="single" w:sz="4" w:space="0" w:color="000000"/>
            </w:tcBorders>
            <w:shd w:val="clear" w:color="00FFFF" w:fill="FFFFFF"/>
            <w:hideMark/>
          </w:tcPr>
          <w:p w14:paraId="654A30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Los gerentes de campaña, el tesorero, el contador, el auditor y los miembros del comité financiero acreditados ante la Organización Electoral.</w:t>
            </w:r>
          </w:p>
        </w:tc>
        <w:tc>
          <w:tcPr>
            <w:tcW w:w="3798" w:type="dxa"/>
            <w:tcBorders>
              <w:top w:val="nil"/>
              <w:left w:val="nil"/>
              <w:bottom w:val="nil"/>
              <w:right w:val="single" w:sz="4" w:space="0" w:color="000000"/>
            </w:tcBorders>
            <w:shd w:val="clear" w:color="00FFFF" w:fill="FFFFFF"/>
            <w:hideMark/>
          </w:tcPr>
          <w:p w14:paraId="6A2E81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Los gerentes de campaña, el tesorero, el contador, el auditor y los miembros del comité financiero acreditados ante la Organización Electoral.</w:t>
            </w:r>
          </w:p>
        </w:tc>
        <w:tc>
          <w:tcPr>
            <w:tcW w:w="1480" w:type="dxa"/>
            <w:tcBorders>
              <w:top w:val="nil"/>
              <w:left w:val="nil"/>
              <w:bottom w:val="nil"/>
              <w:right w:val="single" w:sz="4" w:space="0" w:color="000000"/>
            </w:tcBorders>
            <w:shd w:val="clear" w:color="000000" w:fill="FFFFFF"/>
            <w:hideMark/>
          </w:tcPr>
          <w:p w14:paraId="1535A44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C07984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D0B0E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Los candidatos a cargos y corporaciones de elección popular. </w:t>
            </w:r>
          </w:p>
        </w:tc>
        <w:tc>
          <w:tcPr>
            <w:tcW w:w="3798" w:type="dxa"/>
            <w:tcBorders>
              <w:top w:val="nil"/>
              <w:left w:val="nil"/>
              <w:bottom w:val="nil"/>
              <w:right w:val="single" w:sz="4" w:space="0" w:color="000000"/>
            </w:tcBorders>
            <w:shd w:val="clear" w:color="00FFFF" w:fill="FFFFFF"/>
            <w:hideMark/>
          </w:tcPr>
          <w:p w14:paraId="5C4AE2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candidatos a cargos y corporaciones de elección popular.</w:t>
            </w:r>
          </w:p>
        </w:tc>
        <w:tc>
          <w:tcPr>
            <w:tcW w:w="3798" w:type="dxa"/>
            <w:tcBorders>
              <w:top w:val="nil"/>
              <w:left w:val="nil"/>
              <w:bottom w:val="nil"/>
              <w:right w:val="single" w:sz="4" w:space="0" w:color="000000"/>
            </w:tcBorders>
            <w:shd w:val="clear" w:color="00FFFF" w:fill="FFFFFF"/>
            <w:hideMark/>
          </w:tcPr>
          <w:p w14:paraId="3FE67D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candidatos a cargos y corporaciones de elección popular.</w:t>
            </w:r>
          </w:p>
        </w:tc>
        <w:tc>
          <w:tcPr>
            <w:tcW w:w="1480" w:type="dxa"/>
            <w:tcBorders>
              <w:top w:val="nil"/>
              <w:left w:val="nil"/>
              <w:bottom w:val="nil"/>
              <w:right w:val="single" w:sz="4" w:space="0" w:color="000000"/>
            </w:tcBorders>
            <w:shd w:val="clear" w:color="000000" w:fill="FFFFFF"/>
            <w:hideMark/>
          </w:tcPr>
          <w:p w14:paraId="085D3D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E5E1F5"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A6911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se encuentren inscritos en la respectiva circunscripción donde ejercen sus funciones habitualmente. </w:t>
            </w:r>
          </w:p>
        </w:tc>
        <w:tc>
          <w:tcPr>
            <w:tcW w:w="3798" w:type="dxa"/>
            <w:tcBorders>
              <w:top w:val="nil"/>
              <w:left w:val="nil"/>
              <w:bottom w:val="nil"/>
              <w:right w:val="single" w:sz="4" w:space="0" w:color="000000"/>
            </w:tcBorders>
            <w:shd w:val="clear" w:color="00FFFF" w:fill="FFFFFF"/>
            <w:hideMark/>
          </w:tcPr>
          <w:p w14:paraId="3BDB54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parientes dentro del tercer grado de consanguinidad, segundo de afinidad, primero civil y cónyuge o compañero permanente del registrador nacional, registrador departamental y distritales, delegados seccionales, registradores especiales, municipales, auxiliares del Estado Civil, y de los servidores de la Organización Electoral que se encuentren inscritos en la respectiva circunscripción donde ejercen sus funciones habitualmente.</w:t>
            </w:r>
          </w:p>
        </w:tc>
        <w:tc>
          <w:tcPr>
            <w:tcW w:w="3798" w:type="dxa"/>
            <w:tcBorders>
              <w:top w:val="nil"/>
              <w:left w:val="nil"/>
              <w:bottom w:val="nil"/>
              <w:right w:val="single" w:sz="4" w:space="0" w:color="000000"/>
            </w:tcBorders>
            <w:shd w:val="clear" w:color="00FFFF" w:fill="FFFFFF"/>
            <w:hideMark/>
          </w:tcPr>
          <w:p w14:paraId="684024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se encuentren inscritos en la respectiva circunscripción donde ejercen sus funciones habitualmente.</w:t>
            </w:r>
          </w:p>
        </w:tc>
        <w:tc>
          <w:tcPr>
            <w:tcW w:w="1480" w:type="dxa"/>
            <w:tcBorders>
              <w:top w:val="nil"/>
              <w:left w:val="nil"/>
              <w:bottom w:val="nil"/>
              <w:right w:val="single" w:sz="4" w:space="0" w:color="000000"/>
            </w:tcBorders>
            <w:shd w:val="clear" w:color="000000" w:fill="FFFFFF"/>
            <w:hideMark/>
          </w:tcPr>
          <w:p w14:paraId="7FB92C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BE11B2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71A7F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Las primeras autoridades civiles en el orden nacional, departamental, distrital, municipal, corregidores, inspectores de policía y las que tienen funciones propiamente electorales. </w:t>
            </w:r>
          </w:p>
        </w:tc>
        <w:tc>
          <w:tcPr>
            <w:tcW w:w="3798" w:type="dxa"/>
            <w:tcBorders>
              <w:top w:val="nil"/>
              <w:left w:val="nil"/>
              <w:bottom w:val="nil"/>
              <w:right w:val="single" w:sz="4" w:space="0" w:color="000000"/>
            </w:tcBorders>
            <w:shd w:val="clear" w:color="00FFFF" w:fill="FFFFFF"/>
            <w:hideMark/>
          </w:tcPr>
          <w:p w14:paraId="4E9DD3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Las primeras autoridades civiles en el orden nacional, departamental, distrital, municipal, corregidores, inspectores de policía y las que tienen funciones propiamente electorales.</w:t>
            </w:r>
          </w:p>
        </w:tc>
        <w:tc>
          <w:tcPr>
            <w:tcW w:w="3798" w:type="dxa"/>
            <w:tcBorders>
              <w:top w:val="nil"/>
              <w:left w:val="nil"/>
              <w:bottom w:val="nil"/>
              <w:right w:val="single" w:sz="4" w:space="0" w:color="000000"/>
            </w:tcBorders>
            <w:shd w:val="clear" w:color="00FFFF" w:fill="FFFFFF"/>
            <w:hideMark/>
          </w:tcPr>
          <w:p w14:paraId="17C1AA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Las primeras autoridades civiles en el orden nacional, departamental, distrital, municipal, corregidores, inspectores de policía y las que tienen funciones propiamente electorales.</w:t>
            </w:r>
          </w:p>
        </w:tc>
        <w:tc>
          <w:tcPr>
            <w:tcW w:w="1480" w:type="dxa"/>
            <w:tcBorders>
              <w:top w:val="nil"/>
              <w:left w:val="nil"/>
              <w:bottom w:val="nil"/>
              <w:right w:val="single" w:sz="4" w:space="0" w:color="000000"/>
            </w:tcBorders>
            <w:shd w:val="clear" w:color="000000" w:fill="FFFFFF"/>
            <w:hideMark/>
          </w:tcPr>
          <w:p w14:paraId="7BC2D1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5EAAD1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5DB57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Los empleados de la Jurisdicción Contencioso Administrativa, que conocen de los procesos de nulidad electoral. </w:t>
            </w:r>
          </w:p>
        </w:tc>
        <w:tc>
          <w:tcPr>
            <w:tcW w:w="3798" w:type="dxa"/>
            <w:tcBorders>
              <w:top w:val="nil"/>
              <w:left w:val="nil"/>
              <w:bottom w:val="nil"/>
              <w:right w:val="single" w:sz="4" w:space="0" w:color="000000"/>
            </w:tcBorders>
            <w:shd w:val="clear" w:color="00FFFF" w:fill="FFFFFF"/>
            <w:hideMark/>
          </w:tcPr>
          <w:p w14:paraId="4AB883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Los empleados de la Jurisdicción Contencioso Administrativa, que conocen de los procesos de nulidad electoral.</w:t>
            </w:r>
          </w:p>
        </w:tc>
        <w:tc>
          <w:tcPr>
            <w:tcW w:w="3798" w:type="dxa"/>
            <w:tcBorders>
              <w:top w:val="nil"/>
              <w:left w:val="nil"/>
              <w:bottom w:val="nil"/>
              <w:right w:val="single" w:sz="4" w:space="0" w:color="000000"/>
            </w:tcBorders>
            <w:shd w:val="clear" w:color="00FFFF" w:fill="FFFFFF"/>
            <w:hideMark/>
          </w:tcPr>
          <w:p w14:paraId="238B09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Los empleados de la Jurisdicción Contencioso Administrativa, que conocen de los procesos de nulidad electoral.</w:t>
            </w:r>
          </w:p>
        </w:tc>
        <w:tc>
          <w:tcPr>
            <w:tcW w:w="1480" w:type="dxa"/>
            <w:tcBorders>
              <w:top w:val="nil"/>
              <w:left w:val="nil"/>
              <w:bottom w:val="nil"/>
              <w:right w:val="single" w:sz="4" w:space="0" w:color="000000"/>
            </w:tcBorders>
            <w:shd w:val="clear" w:color="000000" w:fill="FFFFFF"/>
            <w:hideMark/>
          </w:tcPr>
          <w:p w14:paraId="28072A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2FE93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6FFE9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Los magistrados y jueces de la República. </w:t>
            </w:r>
          </w:p>
        </w:tc>
        <w:tc>
          <w:tcPr>
            <w:tcW w:w="3798" w:type="dxa"/>
            <w:tcBorders>
              <w:top w:val="nil"/>
              <w:left w:val="nil"/>
              <w:bottom w:val="nil"/>
              <w:right w:val="single" w:sz="4" w:space="0" w:color="000000"/>
            </w:tcBorders>
            <w:shd w:val="clear" w:color="00FFFF" w:fill="FFFFFF"/>
            <w:hideMark/>
          </w:tcPr>
          <w:p w14:paraId="229CAE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Los magistrados y jueces de la República.</w:t>
            </w:r>
          </w:p>
        </w:tc>
        <w:tc>
          <w:tcPr>
            <w:tcW w:w="3798" w:type="dxa"/>
            <w:tcBorders>
              <w:top w:val="nil"/>
              <w:left w:val="nil"/>
              <w:bottom w:val="nil"/>
              <w:right w:val="single" w:sz="4" w:space="0" w:color="000000"/>
            </w:tcBorders>
            <w:shd w:val="clear" w:color="00FFFF" w:fill="FFFFFF"/>
            <w:hideMark/>
          </w:tcPr>
          <w:p w14:paraId="6FE9E9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Los magistrados y jueces de la República.</w:t>
            </w:r>
          </w:p>
        </w:tc>
        <w:tc>
          <w:tcPr>
            <w:tcW w:w="1480" w:type="dxa"/>
            <w:tcBorders>
              <w:top w:val="nil"/>
              <w:left w:val="nil"/>
              <w:bottom w:val="nil"/>
              <w:right w:val="single" w:sz="4" w:space="0" w:color="000000"/>
            </w:tcBorders>
            <w:shd w:val="clear" w:color="000000" w:fill="FFFFFF"/>
            <w:hideMark/>
          </w:tcPr>
          <w:p w14:paraId="7BA8F7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C621A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51309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Los miembros del cuerpo oficial de bomberos, así como los bomberos voluntarios y los integrantes de las instancias de orientación y coordinación del Sistema Nacional de Gestión del </w:t>
            </w:r>
            <w:r w:rsidRPr="00222F34">
              <w:rPr>
                <w:rFonts w:ascii="Calibri" w:eastAsia="Times New Roman" w:hAnsi="Calibri" w:cs="Calibri"/>
                <w:color w:val="000000"/>
                <w:lang w:val="es-CO" w:eastAsia="es-CO" w:bidi="ar-SA"/>
              </w:rPr>
              <w:lastRenderedPageBreak/>
              <w:t xml:space="preserve">Riesgo y de Desastres, o la entidad que haga sus veces. </w:t>
            </w:r>
          </w:p>
        </w:tc>
        <w:tc>
          <w:tcPr>
            <w:tcW w:w="3798" w:type="dxa"/>
            <w:tcBorders>
              <w:top w:val="nil"/>
              <w:left w:val="nil"/>
              <w:bottom w:val="nil"/>
              <w:right w:val="single" w:sz="4" w:space="0" w:color="000000"/>
            </w:tcBorders>
            <w:shd w:val="clear" w:color="00FFFF" w:fill="FFFFFF"/>
            <w:hideMark/>
          </w:tcPr>
          <w:p w14:paraId="766211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11. Los miembros del cuerpo oficial de bomberos, así como los bomberos voluntarios y los integrantes de las instancias de orientación y coordinación del Sistema Nacional de Gestión del </w:t>
            </w:r>
            <w:r w:rsidRPr="00222F34">
              <w:rPr>
                <w:rFonts w:ascii="Calibri" w:eastAsia="Times New Roman" w:hAnsi="Calibri" w:cs="Calibri"/>
                <w:color w:val="000000"/>
                <w:lang w:val="es-CO" w:eastAsia="es-CO" w:bidi="ar-SA"/>
              </w:rPr>
              <w:lastRenderedPageBreak/>
              <w:t>Riesgo y de Desastres, o la entidad que haga sus veces.</w:t>
            </w:r>
          </w:p>
        </w:tc>
        <w:tc>
          <w:tcPr>
            <w:tcW w:w="3798" w:type="dxa"/>
            <w:tcBorders>
              <w:top w:val="nil"/>
              <w:left w:val="nil"/>
              <w:bottom w:val="nil"/>
              <w:right w:val="single" w:sz="4" w:space="0" w:color="000000"/>
            </w:tcBorders>
            <w:shd w:val="clear" w:color="00FFFF" w:fill="FFFFFF"/>
            <w:hideMark/>
          </w:tcPr>
          <w:p w14:paraId="2B4767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11. Los miembros del cuerpo oficial de bomberos, así como los bomberos voluntarios y los integrantes de las instancias de orientación y coordinación del Sistema Nacional de Gestión del </w:t>
            </w:r>
            <w:r w:rsidRPr="00222F34">
              <w:rPr>
                <w:rFonts w:ascii="Calibri" w:eastAsia="Times New Roman" w:hAnsi="Calibri" w:cs="Calibri"/>
                <w:color w:val="000000"/>
                <w:lang w:val="es-CO" w:eastAsia="es-CO" w:bidi="ar-SA"/>
              </w:rPr>
              <w:lastRenderedPageBreak/>
              <w:t>Riesgo y de Desastres, o la entidad que haga sus veces.</w:t>
            </w:r>
          </w:p>
        </w:tc>
        <w:tc>
          <w:tcPr>
            <w:tcW w:w="1480" w:type="dxa"/>
            <w:tcBorders>
              <w:top w:val="nil"/>
              <w:left w:val="nil"/>
              <w:bottom w:val="nil"/>
              <w:right w:val="single" w:sz="4" w:space="0" w:color="000000"/>
            </w:tcBorders>
            <w:shd w:val="clear" w:color="000000" w:fill="FFFFFF"/>
            <w:hideMark/>
          </w:tcPr>
          <w:p w14:paraId="6D6B8B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28EE6C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905A6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12. Los funcionarios del Ministerio Público que realicen control e intervención ante las autoridades electorales el día de la votación. </w:t>
            </w:r>
          </w:p>
        </w:tc>
        <w:tc>
          <w:tcPr>
            <w:tcW w:w="3798" w:type="dxa"/>
            <w:tcBorders>
              <w:top w:val="nil"/>
              <w:left w:val="nil"/>
              <w:bottom w:val="nil"/>
              <w:right w:val="single" w:sz="4" w:space="0" w:color="000000"/>
            </w:tcBorders>
            <w:shd w:val="clear" w:color="00FFFF" w:fill="FFFFFF"/>
            <w:hideMark/>
          </w:tcPr>
          <w:p w14:paraId="28C075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Los funcionarios del Ministerio Público que realicen control e intervención ante las autoridades electorales el día de la votación.</w:t>
            </w:r>
          </w:p>
        </w:tc>
        <w:tc>
          <w:tcPr>
            <w:tcW w:w="3798" w:type="dxa"/>
            <w:tcBorders>
              <w:top w:val="nil"/>
              <w:left w:val="nil"/>
              <w:bottom w:val="nil"/>
              <w:right w:val="single" w:sz="4" w:space="0" w:color="000000"/>
            </w:tcBorders>
            <w:shd w:val="clear" w:color="00FFFF" w:fill="FFFFFF"/>
            <w:hideMark/>
          </w:tcPr>
          <w:p w14:paraId="7A6C5A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Los funcionarios del Ministerio Público que realicen control e intervención ante las autoridades electorales el día de la votación.</w:t>
            </w:r>
          </w:p>
        </w:tc>
        <w:tc>
          <w:tcPr>
            <w:tcW w:w="1480" w:type="dxa"/>
            <w:tcBorders>
              <w:top w:val="nil"/>
              <w:left w:val="nil"/>
              <w:bottom w:val="nil"/>
              <w:right w:val="single" w:sz="4" w:space="0" w:color="000000"/>
            </w:tcBorders>
            <w:shd w:val="clear" w:color="000000" w:fill="FFFFFF"/>
            <w:hideMark/>
          </w:tcPr>
          <w:p w14:paraId="29E649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0AC99E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F3817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Los funcionarios de la Fiscalía General de la Nación que desarrollen sus funciones judiciales el día de la votación. </w:t>
            </w:r>
          </w:p>
        </w:tc>
        <w:tc>
          <w:tcPr>
            <w:tcW w:w="3798" w:type="dxa"/>
            <w:tcBorders>
              <w:top w:val="nil"/>
              <w:left w:val="nil"/>
              <w:bottom w:val="nil"/>
              <w:right w:val="single" w:sz="4" w:space="0" w:color="000000"/>
            </w:tcBorders>
            <w:shd w:val="clear" w:color="00FFFF" w:fill="FFFFFF"/>
            <w:hideMark/>
          </w:tcPr>
          <w:p w14:paraId="65EDD7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Los funcionarios de la Fiscalía General de la Nación que desarrollen sus funciones judiciales el día de la votación.</w:t>
            </w:r>
          </w:p>
        </w:tc>
        <w:tc>
          <w:tcPr>
            <w:tcW w:w="3798" w:type="dxa"/>
            <w:tcBorders>
              <w:top w:val="nil"/>
              <w:left w:val="nil"/>
              <w:bottom w:val="nil"/>
              <w:right w:val="single" w:sz="4" w:space="0" w:color="000000"/>
            </w:tcBorders>
            <w:shd w:val="clear" w:color="00FFFF" w:fill="FFFFFF"/>
            <w:hideMark/>
          </w:tcPr>
          <w:p w14:paraId="7076B2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Los funcionarios de la Fiscalía General de la Nación que desarrollen sus funciones judiciales el día de la votación.</w:t>
            </w:r>
          </w:p>
        </w:tc>
        <w:tc>
          <w:tcPr>
            <w:tcW w:w="1480" w:type="dxa"/>
            <w:tcBorders>
              <w:top w:val="nil"/>
              <w:left w:val="nil"/>
              <w:bottom w:val="nil"/>
              <w:right w:val="single" w:sz="4" w:space="0" w:color="000000"/>
            </w:tcBorders>
            <w:shd w:val="clear" w:color="000000" w:fill="FFFFFF"/>
            <w:hideMark/>
          </w:tcPr>
          <w:p w14:paraId="14BCF9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BD69552" w14:textId="77777777" w:rsidTr="00222F34">
        <w:trPr>
          <w:trHeight w:val="660"/>
        </w:trPr>
        <w:tc>
          <w:tcPr>
            <w:tcW w:w="3798" w:type="dxa"/>
            <w:tcBorders>
              <w:top w:val="nil"/>
              <w:left w:val="single" w:sz="4" w:space="0" w:color="000000"/>
              <w:bottom w:val="nil"/>
              <w:right w:val="single" w:sz="4" w:space="0" w:color="000000"/>
            </w:tcBorders>
            <w:shd w:val="clear" w:color="000000" w:fill="FFFFFF"/>
            <w:hideMark/>
          </w:tcPr>
          <w:p w14:paraId="689A30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Los servidores públicos y contratistas de la Organización Electoral que presten labores en materia electoral y los terceros que cumplan funciones de logística electoral. </w:t>
            </w:r>
          </w:p>
        </w:tc>
        <w:tc>
          <w:tcPr>
            <w:tcW w:w="3798" w:type="dxa"/>
            <w:tcBorders>
              <w:top w:val="nil"/>
              <w:left w:val="nil"/>
              <w:bottom w:val="nil"/>
              <w:right w:val="single" w:sz="4" w:space="0" w:color="000000"/>
            </w:tcBorders>
            <w:shd w:val="clear" w:color="00FFFF" w:fill="FFFFFF"/>
            <w:hideMark/>
          </w:tcPr>
          <w:p w14:paraId="7E4768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Los servidores públicos y contratistas de la Organización Electoral que presten labores en materia electoral y los terceros que cumplan funciones de logística electoral.</w:t>
            </w:r>
          </w:p>
        </w:tc>
        <w:tc>
          <w:tcPr>
            <w:tcW w:w="3798" w:type="dxa"/>
            <w:tcBorders>
              <w:top w:val="nil"/>
              <w:left w:val="nil"/>
              <w:bottom w:val="nil"/>
              <w:right w:val="single" w:sz="4" w:space="0" w:color="000000"/>
            </w:tcBorders>
            <w:shd w:val="clear" w:color="00FFFF" w:fill="FFFFFF"/>
            <w:hideMark/>
          </w:tcPr>
          <w:p w14:paraId="147DE7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Los servidores públicos y contratistas de la Organización Electoral que presten labores en materia electoral y los terceros que cumplan funciones de logística electoral.</w:t>
            </w:r>
          </w:p>
        </w:tc>
        <w:tc>
          <w:tcPr>
            <w:tcW w:w="1480" w:type="dxa"/>
            <w:tcBorders>
              <w:top w:val="nil"/>
              <w:left w:val="nil"/>
              <w:bottom w:val="nil"/>
              <w:right w:val="single" w:sz="4" w:space="0" w:color="000000"/>
            </w:tcBorders>
            <w:shd w:val="clear" w:color="000000" w:fill="FFFFFF"/>
            <w:hideMark/>
          </w:tcPr>
          <w:p w14:paraId="3D2051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576CF2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22B35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Los miembros de los organismos de inteligencia del Estado. </w:t>
            </w:r>
          </w:p>
        </w:tc>
        <w:tc>
          <w:tcPr>
            <w:tcW w:w="3798" w:type="dxa"/>
            <w:tcBorders>
              <w:top w:val="nil"/>
              <w:left w:val="nil"/>
              <w:bottom w:val="nil"/>
              <w:right w:val="single" w:sz="4" w:space="0" w:color="000000"/>
            </w:tcBorders>
            <w:shd w:val="clear" w:color="00FFFF" w:fill="FFFFFF"/>
            <w:hideMark/>
          </w:tcPr>
          <w:p w14:paraId="1EA480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Los miembros de los organismos de inteligencia del Estado.</w:t>
            </w:r>
          </w:p>
        </w:tc>
        <w:tc>
          <w:tcPr>
            <w:tcW w:w="3798" w:type="dxa"/>
            <w:tcBorders>
              <w:top w:val="nil"/>
              <w:left w:val="nil"/>
              <w:bottom w:val="nil"/>
              <w:right w:val="single" w:sz="4" w:space="0" w:color="000000"/>
            </w:tcBorders>
            <w:shd w:val="clear" w:color="00FFFF" w:fill="FFFFFF"/>
            <w:hideMark/>
          </w:tcPr>
          <w:p w14:paraId="27EE16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Los miembros de los organismos de inteligencia del Estado.</w:t>
            </w:r>
          </w:p>
        </w:tc>
        <w:tc>
          <w:tcPr>
            <w:tcW w:w="1480" w:type="dxa"/>
            <w:tcBorders>
              <w:top w:val="nil"/>
              <w:left w:val="nil"/>
              <w:bottom w:val="nil"/>
              <w:right w:val="single" w:sz="4" w:space="0" w:color="000000"/>
            </w:tcBorders>
            <w:shd w:val="clear" w:color="000000" w:fill="FFFFFF"/>
            <w:hideMark/>
          </w:tcPr>
          <w:p w14:paraId="73EDD0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6BD3B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9F4E3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16. El personal médico y asistencial que se encuentre realizando labores propias de su cargo para el día de la elección. </w:t>
            </w:r>
          </w:p>
        </w:tc>
        <w:tc>
          <w:tcPr>
            <w:tcW w:w="3798" w:type="dxa"/>
            <w:tcBorders>
              <w:top w:val="nil"/>
              <w:left w:val="nil"/>
              <w:bottom w:val="nil"/>
              <w:right w:val="single" w:sz="4" w:space="0" w:color="000000"/>
            </w:tcBorders>
            <w:shd w:val="clear" w:color="00FFFF" w:fill="FFFFFF"/>
            <w:hideMark/>
          </w:tcPr>
          <w:p w14:paraId="02C4CC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El personal médico y asistencial que se encuentre realizando labores propias de su cargo para el día de la elección.</w:t>
            </w:r>
          </w:p>
        </w:tc>
        <w:tc>
          <w:tcPr>
            <w:tcW w:w="3798" w:type="dxa"/>
            <w:tcBorders>
              <w:top w:val="nil"/>
              <w:left w:val="nil"/>
              <w:bottom w:val="nil"/>
              <w:right w:val="single" w:sz="4" w:space="0" w:color="000000"/>
            </w:tcBorders>
            <w:shd w:val="clear" w:color="00FFFF" w:fill="FFFFFF"/>
            <w:hideMark/>
          </w:tcPr>
          <w:p w14:paraId="52D3C1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El personal médico y asistencial que se encuentre realizando labores propias de su cargo para el día de la elección.</w:t>
            </w:r>
          </w:p>
        </w:tc>
        <w:tc>
          <w:tcPr>
            <w:tcW w:w="1480" w:type="dxa"/>
            <w:tcBorders>
              <w:top w:val="nil"/>
              <w:left w:val="nil"/>
              <w:bottom w:val="nil"/>
              <w:right w:val="single" w:sz="4" w:space="0" w:color="000000"/>
            </w:tcBorders>
            <w:shd w:val="clear" w:color="000000" w:fill="FFFFFF"/>
            <w:hideMark/>
          </w:tcPr>
          <w:p w14:paraId="20AD2B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31C3C1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9A65F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17. Los observadores electorales acreditados por el Consejo Nacional Electoral. </w:t>
            </w:r>
          </w:p>
        </w:tc>
        <w:tc>
          <w:tcPr>
            <w:tcW w:w="3798" w:type="dxa"/>
            <w:tcBorders>
              <w:top w:val="nil"/>
              <w:left w:val="nil"/>
              <w:bottom w:val="nil"/>
              <w:right w:val="single" w:sz="4" w:space="0" w:color="000000"/>
            </w:tcBorders>
            <w:shd w:val="clear" w:color="00FFFF" w:fill="FFFFFF"/>
            <w:hideMark/>
          </w:tcPr>
          <w:p w14:paraId="7EB66E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Los observadores electorales acreditados por el Consejo Nacional Electoral.</w:t>
            </w:r>
          </w:p>
        </w:tc>
        <w:tc>
          <w:tcPr>
            <w:tcW w:w="3798" w:type="dxa"/>
            <w:tcBorders>
              <w:top w:val="nil"/>
              <w:left w:val="nil"/>
              <w:bottom w:val="nil"/>
              <w:right w:val="single" w:sz="4" w:space="0" w:color="000000"/>
            </w:tcBorders>
            <w:shd w:val="clear" w:color="00FFFF" w:fill="FFFFFF"/>
            <w:hideMark/>
          </w:tcPr>
          <w:p w14:paraId="37C775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Los observadores electorales acreditados por el Consejo Nacional Electoral.</w:t>
            </w:r>
          </w:p>
        </w:tc>
        <w:tc>
          <w:tcPr>
            <w:tcW w:w="1480" w:type="dxa"/>
            <w:tcBorders>
              <w:top w:val="nil"/>
              <w:left w:val="nil"/>
              <w:bottom w:val="nil"/>
              <w:right w:val="single" w:sz="4" w:space="0" w:color="000000"/>
            </w:tcBorders>
            <w:shd w:val="clear" w:color="000000" w:fill="FFFFFF"/>
            <w:hideMark/>
          </w:tcPr>
          <w:p w14:paraId="79ED63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7424E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D3B45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Los servidores públicos de libre nombramiento y remoción pertenecientes a las Unidades de Trabajo Legislativo y Unidades de Apoyo Normativo de las Corporaciones Públicas.</w:t>
            </w:r>
          </w:p>
        </w:tc>
        <w:tc>
          <w:tcPr>
            <w:tcW w:w="3798" w:type="dxa"/>
            <w:tcBorders>
              <w:top w:val="nil"/>
              <w:left w:val="nil"/>
              <w:bottom w:val="nil"/>
              <w:right w:val="single" w:sz="4" w:space="0" w:color="000000"/>
            </w:tcBorders>
            <w:shd w:val="clear" w:color="00FFFF" w:fill="FFFFFF"/>
            <w:hideMark/>
          </w:tcPr>
          <w:p w14:paraId="35E27F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4D5346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Los servidores públicos de libre nombramiento y remoción pertenecientes a las Unidades de Trabajo Legislativo y Unidades de Apoyo Normativo de las Corporaciones Públicas.</w:t>
            </w:r>
          </w:p>
        </w:tc>
        <w:tc>
          <w:tcPr>
            <w:tcW w:w="1480" w:type="dxa"/>
            <w:tcBorders>
              <w:top w:val="nil"/>
              <w:left w:val="nil"/>
              <w:bottom w:val="nil"/>
              <w:right w:val="single" w:sz="4" w:space="0" w:color="000000"/>
            </w:tcBorders>
            <w:shd w:val="clear" w:color="000000" w:fill="FFFFFF"/>
            <w:hideMark/>
          </w:tcPr>
          <w:p w14:paraId="0EC833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06BC3E" w14:textId="77777777" w:rsidTr="00222F34">
        <w:trPr>
          <w:trHeight w:val="900"/>
        </w:trPr>
        <w:tc>
          <w:tcPr>
            <w:tcW w:w="3798" w:type="dxa"/>
            <w:tcBorders>
              <w:top w:val="nil"/>
              <w:left w:val="single" w:sz="4" w:space="0" w:color="000000"/>
              <w:bottom w:val="nil"/>
              <w:right w:val="single" w:sz="4" w:space="0" w:color="000000"/>
            </w:tcBorders>
            <w:shd w:val="clear" w:color="000000" w:fill="FFFFFF"/>
            <w:noWrap/>
            <w:vAlign w:val="bottom"/>
            <w:hideMark/>
          </w:tcPr>
          <w:p w14:paraId="4FB7B7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FF" w:fill="FFFFFF"/>
            <w:hideMark/>
          </w:tcPr>
          <w:p w14:paraId="55FB72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El personal docente, directivo docente y administrativo de los establecimientos educativos oficiales, que de manera directa desempeñe funciones relacionadas con lo dispuesto en el artículo 124 de la presente Ley.</w:t>
            </w:r>
          </w:p>
        </w:tc>
        <w:tc>
          <w:tcPr>
            <w:tcW w:w="3798" w:type="dxa"/>
            <w:tcBorders>
              <w:top w:val="nil"/>
              <w:left w:val="nil"/>
              <w:bottom w:val="nil"/>
              <w:right w:val="single" w:sz="4" w:space="0" w:color="000000"/>
            </w:tcBorders>
            <w:shd w:val="clear" w:color="00FFFF" w:fill="FFFFFF"/>
            <w:hideMark/>
          </w:tcPr>
          <w:p w14:paraId="2A5306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strike/>
                <w:color w:val="000000"/>
                <w:lang w:val="es-CO" w:eastAsia="es-CO" w:bidi="ar-SA"/>
              </w:rPr>
              <w:t>18</w:t>
            </w:r>
            <w:r w:rsidRPr="00222F34">
              <w:rPr>
                <w:rFonts w:ascii="Calibri" w:eastAsia="Times New Roman" w:hAnsi="Calibri" w:cs="Calibri"/>
                <w:b/>
                <w:bCs/>
                <w:color w:val="000000"/>
                <w:u w:val="single"/>
                <w:lang w:val="es-CO" w:eastAsia="es-CO" w:bidi="ar-SA"/>
              </w:rPr>
              <w:t>19</w:t>
            </w:r>
            <w:r w:rsidRPr="00222F34">
              <w:rPr>
                <w:rFonts w:ascii="Calibri" w:eastAsia="Times New Roman" w:hAnsi="Calibri" w:cs="Calibri"/>
                <w:color w:val="000000"/>
                <w:lang w:val="es-CO" w:eastAsia="es-CO" w:bidi="ar-SA"/>
              </w:rPr>
              <w:t>. El personal docente, directivo docente y administrativo de los establecimientos educativos oficiales, que de manera directa desempeñe funciones relacionadas con lo dispuesto en el artículo 124 de la presente Ley.</w:t>
            </w:r>
          </w:p>
        </w:tc>
        <w:tc>
          <w:tcPr>
            <w:tcW w:w="1480" w:type="dxa"/>
            <w:tcBorders>
              <w:top w:val="nil"/>
              <w:left w:val="nil"/>
              <w:bottom w:val="nil"/>
              <w:right w:val="single" w:sz="4" w:space="0" w:color="000000"/>
            </w:tcBorders>
            <w:shd w:val="clear" w:color="000000" w:fill="FFFFFF"/>
            <w:hideMark/>
          </w:tcPr>
          <w:p w14:paraId="4E28B7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3AC1D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C705A0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registradores de oficio, o por solicitud de parte, podrán eximir de la lista a aquellos jurados que se encuentren en alguna de las causales consagradas en este código. </w:t>
            </w:r>
          </w:p>
        </w:tc>
        <w:tc>
          <w:tcPr>
            <w:tcW w:w="3798" w:type="dxa"/>
            <w:tcBorders>
              <w:top w:val="nil"/>
              <w:left w:val="nil"/>
              <w:bottom w:val="nil"/>
              <w:right w:val="single" w:sz="4" w:space="0" w:color="000000"/>
            </w:tcBorders>
            <w:shd w:val="clear" w:color="00FFFF" w:fill="FFFFFF"/>
            <w:hideMark/>
          </w:tcPr>
          <w:p w14:paraId="1D3AD8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Los registradores de oficio, o por solicitud de parte, podrán eximir de la lista a aquellos jurados que se encuentren en alguna de las causales consagradas en este código.</w:t>
            </w:r>
          </w:p>
        </w:tc>
        <w:tc>
          <w:tcPr>
            <w:tcW w:w="3798" w:type="dxa"/>
            <w:tcBorders>
              <w:top w:val="nil"/>
              <w:left w:val="nil"/>
              <w:bottom w:val="nil"/>
              <w:right w:val="single" w:sz="4" w:space="0" w:color="000000"/>
            </w:tcBorders>
            <w:shd w:val="clear" w:color="00FFFF" w:fill="FFFFFF"/>
            <w:hideMark/>
          </w:tcPr>
          <w:p w14:paraId="757D2B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Los registradores de oficio, o por solicitud de parte, podrán eximir de la lista a aquellos jurados que se encuentren en alguna de las causales consagradas en este código.</w:t>
            </w:r>
          </w:p>
        </w:tc>
        <w:tc>
          <w:tcPr>
            <w:tcW w:w="1480" w:type="dxa"/>
            <w:tcBorders>
              <w:top w:val="nil"/>
              <w:left w:val="nil"/>
              <w:bottom w:val="nil"/>
              <w:right w:val="single" w:sz="4" w:space="0" w:color="000000"/>
            </w:tcBorders>
            <w:shd w:val="clear" w:color="000000" w:fill="FFFFFF"/>
            <w:hideMark/>
          </w:tcPr>
          <w:p w14:paraId="5DF9B8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B2541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92A24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causal establecida en el numeral 1 solo operará a solicitud del ciudadano.</w:t>
            </w:r>
          </w:p>
        </w:tc>
        <w:tc>
          <w:tcPr>
            <w:tcW w:w="3798" w:type="dxa"/>
            <w:tcBorders>
              <w:top w:val="nil"/>
              <w:left w:val="nil"/>
              <w:bottom w:val="nil"/>
              <w:right w:val="single" w:sz="4" w:space="0" w:color="000000"/>
            </w:tcBorders>
            <w:shd w:val="clear" w:color="00FFFF" w:fill="FFFFFF"/>
            <w:hideMark/>
          </w:tcPr>
          <w:p w14:paraId="60CFB7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causal establecida en el numeral 1 solo operará a solicitud del ciudadano.</w:t>
            </w:r>
          </w:p>
        </w:tc>
        <w:tc>
          <w:tcPr>
            <w:tcW w:w="3798" w:type="dxa"/>
            <w:tcBorders>
              <w:top w:val="nil"/>
              <w:left w:val="nil"/>
              <w:bottom w:val="nil"/>
              <w:right w:val="single" w:sz="4" w:space="0" w:color="000000"/>
            </w:tcBorders>
            <w:shd w:val="clear" w:color="00FFFF" w:fill="FFFFFF"/>
            <w:hideMark/>
          </w:tcPr>
          <w:p w14:paraId="1BAF6D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causal establecida en el numeral 1 solo operará a solicitud del ciudadano.</w:t>
            </w:r>
          </w:p>
        </w:tc>
        <w:tc>
          <w:tcPr>
            <w:tcW w:w="1480" w:type="dxa"/>
            <w:tcBorders>
              <w:top w:val="nil"/>
              <w:left w:val="nil"/>
              <w:bottom w:val="nil"/>
              <w:right w:val="single" w:sz="4" w:space="0" w:color="000000"/>
            </w:tcBorders>
            <w:shd w:val="clear" w:color="000000" w:fill="FFFFFF"/>
            <w:hideMark/>
          </w:tcPr>
          <w:p w14:paraId="3405F5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578B8A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B51DCA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testigos electorales y observadores electorales podrán ser exentos para ser jurados de votación si la acreditación de estos se hace con anterioridad al sorteo de jurados de votación. </w:t>
            </w:r>
          </w:p>
        </w:tc>
        <w:tc>
          <w:tcPr>
            <w:tcW w:w="3798" w:type="dxa"/>
            <w:tcBorders>
              <w:top w:val="nil"/>
              <w:left w:val="nil"/>
              <w:bottom w:val="nil"/>
              <w:right w:val="single" w:sz="4" w:space="0" w:color="000000"/>
            </w:tcBorders>
            <w:shd w:val="clear" w:color="00FFFF" w:fill="FFFFFF"/>
            <w:hideMark/>
          </w:tcPr>
          <w:p w14:paraId="1E8B30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testigos electorales y observadores electorales podrán ser exentos para ser jurados de votación si la acreditación de estos se hace con anterioridad al sorteo de jurados de votación.</w:t>
            </w:r>
          </w:p>
        </w:tc>
        <w:tc>
          <w:tcPr>
            <w:tcW w:w="3798" w:type="dxa"/>
            <w:tcBorders>
              <w:top w:val="nil"/>
              <w:left w:val="nil"/>
              <w:bottom w:val="nil"/>
              <w:right w:val="single" w:sz="4" w:space="0" w:color="000000"/>
            </w:tcBorders>
            <w:shd w:val="clear" w:color="00FFFF" w:fill="FFFFFF"/>
            <w:hideMark/>
          </w:tcPr>
          <w:p w14:paraId="5CCEFC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testigos electorales y observadores electorales podrán ser exentos para ser jurados de votación si la acreditación de estos se hace con anterioridad al sorteo de jurados de votación.</w:t>
            </w:r>
          </w:p>
        </w:tc>
        <w:tc>
          <w:tcPr>
            <w:tcW w:w="1480" w:type="dxa"/>
            <w:tcBorders>
              <w:top w:val="nil"/>
              <w:left w:val="nil"/>
              <w:bottom w:val="nil"/>
              <w:right w:val="single" w:sz="4" w:space="0" w:color="000000"/>
            </w:tcBorders>
            <w:shd w:val="clear" w:color="000000" w:fill="FFFFFF"/>
            <w:hideMark/>
          </w:tcPr>
          <w:p w14:paraId="0BB4E3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2A887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34FD91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exenciones por parte de los ciudadanos seleccionados como jurados de votación. </w:t>
            </w:r>
          </w:p>
        </w:tc>
        <w:tc>
          <w:tcPr>
            <w:tcW w:w="3798" w:type="dxa"/>
            <w:tcBorders>
              <w:top w:val="nil"/>
              <w:left w:val="nil"/>
              <w:bottom w:val="nil"/>
              <w:right w:val="single" w:sz="4" w:space="0" w:color="000000"/>
            </w:tcBorders>
            <w:shd w:val="clear" w:color="00FFFF" w:fill="FFFFFF"/>
            <w:hideMark/>
          </w:tcPr>
          <w:p w14:paraId="594766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exenciones por parte de los ciudadanos seleccionados como jurados de votación.</w:t>
            </w:r>
          </w:p>
        </w:tc>
        <w:tc>
          <w:tcPr>
            <w:tcW w:w="3798" w:type="dxa"/>
            <w:tcBorders>
              <w:top w:val="nil"/>
              <w:left w:val="nil"/>
              <w:bottom w:val="nil"/>
              <w:right w:val="single" w:sz="4" w:space="0" w:color="000000"/>
            </w:tcBorders>
            <w:shd w:val="clear" w:color="00FFFF" w:fill="FFFFFF"/>
            <w:hideMark/>
          </w:tcPr>
          <w:p w14:paraId="2335EE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exenciones por parte de los ciudadanos seleccionados como jurados de votación.</w:t>
            </w:r>
          </w:p>
        </w:tc>
        <w:tc>
          <w:tcPr>
            <w:tcW w:w="1480" w:type="dxa"/>
            <w:tcBorders>
              <w:top w:val="nil"/>
              <w:left w:val="nil"/>
              <w:bottom w:val="nil"/>
              <w:right w:val="single" w:sz="4" w:space="0" w:color="000000"/>
            </w:tcBorders>
            <w:shd w:val="clear" w:color="000000" w:fill="FFFFFF"/>
            <w:hideMark/>
          </w:tcPr>
          <w:p w14:paraId="671E29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223484"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79C2E25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 xml:space="preserve">Si una persona con discapacidad es designada como jurado de votación y decide no ser exonerado del servicio, la Registraduría debe garantizar los apoyos y ajustes razonables necesarios para que pueda </w:t>
            </w:r>
            <w:r w:rsidRPr="00222F34">
              <w:rPr>
                <w:rFonts w:ascii="Calibri" w:eastAsia="Times New Roman" w:hAnsi="Calibri" w:cs="Calibri"/>
                <w:color w:val="000000"/>
                <w:lang w:val="es-CO" w:eastAsia="es-CO" w:bidi="ar-SA"/>
              </w:rPr>
              <w:lastRenderedPageBreak/>
              <w:t>desarrollar su función en condiciones de igualdad y de manera autónoma.</w:t>
            </w:r>
          </w:p>
        </w:tc>
        <w:tc>
          <w:tcPr>
            <w:tcW w:w="3798" w:type="dxa"/>
            <w:tcBorders>
              <w:top w:val="nil"/>
              <w:left w:val="nil"/>
              <w:bottom w:val="single" w:sz="4" w:space="0" w:color="000000"/>
              <w:right w:val="single" w:sz="4" w:space="0" w:color="000000"/>
            </w:tcBorders>
            <w:shd w:val="clear" w:color="00FFFF" w:fill="FFFFFF"/>
            <w:hideMark/>
          </w:tcPr>
          <w:p w14:paraId="447260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Si una persona con discapacidad es designada como jurado de votación y decide no ser exonerado del servicio, la Registraduría debe garantizar los apoyos y ajustes razonables necesarios para que pueda </w:t>
            </w:r>
            <w:r w:rsidRPr="00222F34">
              <w:rPr>
                <w:rFonts w:ascii="Calibri" w:eastAsia="Times New Roman" w:hAnsi="Calibri" w:cs="Calibri"/>
                <w:color w:val="000000"/>
                <w:lang w:val="es-CO" w:eastAsia="es-CO" w:bidi="ar-SA"/>
              </w:rPr>
              <w:lastRenderedPageBreak/>
              <w:t>desarrollar su función en condiciones de igualdad y de manera autónoma.</w:t>
            </w:r>
          </w:p>
        </w:tc>
        <w:tc>
          <w:tcPr>
            <w:tcW w:w="3798" w:type="dxa"/>
            <w:tcBorders>
              <w:top w:val="nil"/>
              <w:left w:val="nil"/>
              <w:bottom w:val="single" w:sz="4" w:space="0" w:color="000000"/>
              <w:right w:val="single" w:sz="4" w:space="0" w:color="000000"/>
            </w:tcBorders>
            <w:shd w:val="clear" w:color="00FFFF" w:fill="FFFFFF"/>
            <w:hideMark/>
          </w:tcPr>
          <w:p w14:paraId="72E725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Si una persona con discapacidad es designada como jurado de votación y decide no ser exonerado del servicio, la Registraduría debe garantizar los apoyos y ajustes razonables necesarios para que pueda </w:t>
            </w:r>
            <w:r w:rsidRPr="00222F34">
              <w:rPr>
                <w:rFonts w:ascii="Calibri" w:eastAsia="Times New Roman" w:hAnsi="Calibri" w:cs="Calibri"/>
                <w:color w:val="000000"/>
                <w:lang w:val="es-CO" w:eastAsia="es-CO" w:bidi="ar-SA"/>
              </w:rPr>
              <w:lastRenderedPageBreak/>
              <w:t>desarrollar su función en condiciones de igualdad y de manera autónoma.</w:t>
            </w:r>
          </w:p>
        </w:tc>
        <w:tc>
          <w:tcPr>
            <w:tcW w:w="1480" w:type="dxa"/>
            <w:tcBorders>
              <w:top w:val="nil"/>
              <w:left w:val="nil"/>
              <w:bottom w:val="single" w:sz="4" w:space="0" w:color="000000"/>
              <w:right w:val="single" w:sz="4" w:space="0" w:color="000000"/>
            </w:tcBorders>
            <w:shd w:val="clear" w:color="000000" w:fill="FFFFFF"/>
            <w:hideMark/>
          </w:tcPr>
          <w:p w14:paraId="289494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D12711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645A5C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125.- Causales de exoneración de la sanción.</w:t>
            </w:r>
            <w:r w:rsidRPr="00222F34">
              <w:rPr>
                <w:rFonts w:ascii="Calibri" w:eastAsia="Times New Roman" w:hAnsi="Calibri" w:cs="Calibri"/>
                <w:color w:val="000000"/>
                <w:lang w:val="es-CO" w:eastAsia="es-CO" w:bidi="ar-SA"/>
              </w:rPr>
              <w:t xml:space="preserve"> Son causales para la exoneración de la sanción por la no prestación de la función de jurado de votación:</w:t>
            </w:r>
          </w:p>
        </w:tc>
        <w:tc>
          <w:tcPr>
            <w:tcW w:w="3798" w:type="dxa"/>
            <w:tcBorders>
              <w:top w:val="nil"/>
              <w:left w:val="nil"/>
              <w:bottom w:val="nil"/>
              <w:right w:val="single" w:sz="4" w:space="0" w:color="000000"/>
            </w:tcBorders>
            <w:shd w:val="clear" w:color="000000" w:fill="FFFFFF"/>
            <w:hideMark/>
          </w:tcPr>
          <w:p w14:paraId="58F5F7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129. Causales de exoneración de la sanción.</w:t>
            </w:r>
            <w:r w:rsidRPr="00222F34">
              <w:rPr>
                <w:rFonts w:ascii="Calibri" w:eastAsia="Times New Roman" w:hAnsi="Calibri" w:cs="Calibri"/>
                <w:color w:val="000000"/>
                <w:lang w:val="es-CO" w:eastAsia="es-CO" w:bidi="ar-SA"/>
              </w:rPr>
              <w:t xml:space="preserve"> Son causales para la exoneración de la sanción por la no prestación de la función de jurado de votación:</w:t>
            </w:r>
          </w:p>
        </w:tc>
        <w:tc>
          <w:tcPr>
            <w:tcW w:w="3798" w:type="dxa"/>
            <w:tcBorders>
              <w:top w:val="nil"/>
              <w:left w:val="nil"/>
              <w:bottom w:val="nil"/>
              <w:right w:val="single" w:sz="4" w:space="0" w:color="000000"/>
            </w:tcBorders>
            <w:shd w:val="clear" w:color="000000" w:fill="FFFFFF"/>
            <w:hideMark/>
          </w:tcPr>
          <w:p w14:paraId="6F1917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129</w:t>
            </w:r>
            <w:r w:rsidRPr="00222F34">
              <w:rPr>
                <w:rFonts w:ascii="Calibri" w:eastAsia="Times New Roman" w:hAnsi="Calibri" w:cs="Calibri"/>
                <w:color w:val="000000"/>
                <w:lang w:val="es-CO" w:eastAsia="es-CO" w:bidi="ar-SA"/>
              </w:rPr>
              <w:t>. Causales de exoneración de la sanción. Son causales para la exoneración de la sanción por la no prestación de la función de jurado de votación:</w:t>
            </w:r>
          </w:p>
        </w:tc>
        <w:tc>
          <w:tcPr>
            <w:tcW w:w="1480" w:type="dxa"/>
            <w:tcBorders>
              <w:top w:val="nil"/>
              <w:left w:val="nil"/>
              <w:bottom w:val="nil"/>
              <w:right w:val="single" w:sz="4" w:space="0" w:color="000000"/>
            </w:tcBorders>
            <w:shd w:val="clear" w:color="000000" w:fill="FFFFFF"/>
            <w:hideMark/>
          </w:tcPr>
          <w:p w14:paraId="30AA3726" w14:textId="1423082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087E82B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7885E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Grave enfermedad del jurado o de su cónyuge, compañero o compañera permanente y parientes del primer grado de consanguinidad. </w:t>
            </w:r>
          </w:p>
        </w:tc>
        <w:tc>
          <w:tcPr>
            <w:tcW w:w="3798" w:type="dxa"/>
            <w:tcBorders>
              <w:top w:val="nil"/>
              <w:left w:val="nil"/>
              <w:bottom w:val="nil"/>
              <w:right w:val="single" w:sz="4" w:space="0" w:color="000000"/>
            </w:tcBorders>
            <w:shd w:val="clear" w:color="000000" w:fill="FFFFFF"/>
            <w:hideMark/>
          </w:tcPr>
          <w:p w14:paraId="65ABF4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Grave enfermedad del jurado o de su cónyuge, compañero o compañera permanente y parientes del primer grado de consanguinidad.</w:t>
            </w:r>
          </w:p>
        </w:tc>
        <w:tc>
          <w:tcPr>
            <w:tcW w:w="3798" w:type="dxa"/>
            <w:tcBorders>
              <w:top w:val="nil"/>
              <w:left w:val="nil"/>
              <w:bottom w:val="nil"/>
              <w:right w:val="single" w:sz="4" w:space="0" w:color="000000"/>
            </w:tcBorders>
            <w:shd w:val="clear" w:color="000000" w:fill="FFFFFF"/>
            <w:hideMark/>
          </w:tcPr>
          <w:p w14:paraId="10DF8A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Grave enfermedad del jurado o de su cónyuge, compañero o compañera permanente y parientes del primer grado de consanguinidad.</w:t>
            </w:r>
          </w:p>
        </w:tc>
        <w:tc>
          <w:tcPr>
            <w:tcW w:w="1480" w:type="dxa"/>
            <w:tcBorders>
              <w:top w:val="nil"/>
              <w:left w:val="nil"/>
              <w:bottom w:val="nil"/>
              <w:right w:val="single" w:sz="4" w:space="0" w:color="000000"/>
            </w:tcBorders>
            <w:shd w:val="clear" w:color="000000" w:fill="FFFFFF"/>
            <w:hideMark/>
          </w:tcPr>
          <w:p w14:paraId="6ACE54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10642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86912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Estado de embarazo en condiciones que inhabiliten físicamente a la gestante o en licencia de maternidad. </w:t>
            </w:r>
          </w:p>
        </w:tc>
        <w:tc>
          <w:tcPr>
            <w:tcW w:w="3798" w:type="dxa"/>
            <w:tcBorders>
              <w:top w:val="nil"/>
              <w:left w:val="nil"/>
              <w:bottom w:val="nil"/>
              <w:right w:val="single" w:sz="4" w:space="0" w:color="000000"/>
            </w:tcBorders>
            <w:shd w:val="clear" w:color="000000" w:fill="FFFFFF"/>
            <w:hideMark/>
          </w:tcPr>
          <w:p w14:paraId="71E559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Estado de embarazo en condiciones que inhabiliten físicamente a la gestante o en licencia de maternidad y padres en licencia de paternidad.</w:t>
            </w:r>
          </w:p>
        </w:tc>
        <w:tc>
          <w:tcPr>
            <w:tcW w:w="3798" w:type="dxa"/>
            <w:tcBorders>
              <w:top w:val="nil"/>
              <w:left w:val="nil"/>
              <w:bottom w:val="nil"/>
              <w:right w:val="single" w:sz="4" w:space="0" w:color="000000"/>
            </w:tcBorders>
            <w:shd w:val="clear" w:color="000000" w:fill="FFFFFF"/>
            <w:hideMark/>
          </w:tcPr>
          <w:p w14:paraId="06B3F8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Estado de embarazo en condiciones que inhabiliten físicamente a la gestante o en licencia de maternidad y padres en licencia de paternidad.</w:t>
            </w:r>
          </w:p>
        </w:tc>
        <w:tc>
          <w:tcPr>
            <w:tcW w:w="1480" w:type="dxa"/>
            <w:tcBorders>
              <w:top w:val="nil"/>
              <w:left w:val="nil"/>
              <w:bottom w:val="nil"/>
              <w:right w:val="single" w:sz="4" w:space="0" w:color="000000"/>
            </w:tcBorders>
            <w:shd w:val="clear" w:color="000000" w:fill="FFFFFF"/>
            <w:hideMark/>
          </w:tcPr>
          <w:p w14:paraId="414B62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3521E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3DE4C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Muerte de alguna de las personas mencionadas en el numeral 1 del presente artículo, ocurrida el día de las elecciones o dentro de los cinco (5) días anteriores a las mismas. </w:t>
            </w:r>
          </w:p>
        </w:tc>
        <w:tc>
          <w:tcPr>
            <w:tcW w:w="3798" w:type="dxa"/>
            <w:tcBorders>
              <w:top w:val="nil"/>
              <w:left w:val="nil"/>
              <w:bottom w:val="nil"/>
              <w:right w:val="single" w:sz="4" w:space="0" w:color="000000"/>
            </w:tcBorders>
            <w:shd w:val="clear" w:color="000000" w:fill="FFFFFF"/>
            <w:hideMark/>
          </w:tcPr>
          <w:p w14:paraId="023A4B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Muerte de algún familiar hasta el grado segundo de consanguinidad, primero de afinidad y primero civil, ocurrida el día de las elecciones o dentro de los cinco (5) días anteriores a las mismas.</w:t>
            </w:r>
          </w:p>
        </w:tc>
        <w:tc>
          <w:tcPr>
            <w:tcW w:w="3798" w:type="dxa"/>
            <w:tcBorders>
              <w:top w:val="nil"/>
              <w:left w:val="nil"/>
              <w:bottom w:val="nil"/>
              <w:right w:val="single" w:sz="4" w:space="0" w:color="000000"/>
            </w:tcBorders>
            <w:shd w:val="clear" w:color="000000" w:fill="FFFFFF"/>
            <w:hideMark/>
          </w:tcPr>
          <w:p w14:paraId="117C10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Muerte de algún familiar hasta el grado segundo de consanguinidad, primero de afinidad y primero civil, ocurrida el día de las elecciones o dentro de los cinco (5) días anteriores a las mismas.</w:t>
            </w:r>
          </w:p>
        </w:tc>
        <w:tc>
          <w:tcPr>
            <w:tcW w:w="1480" w:type="dxa"/>
            <w:tcBorders>
              <w:top w:val="nil"/>
              <w:left w:val="nil"/>
              <w:bottom w:val="nil"/>
              <w:right w:val="single" w:sz="4" w:space="0" w:color="000000"/>
            </w:tcBorders>
            <w:shd w:val="clear" w:color="000000" w:fill="FFFFFF"/>
            <w:hideMark/>
          </w:tcPr>
          <w:p w14:paraId="5F9214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87CE1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B62EA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Los asuntos que apliquen por fuerza mayor o caso fortuito. Casos que regulará la Registraduría Nacional del Estado Civil.  </w:t>
            </w:r>
          </w:p>
        </w:tc>
        <w:tc>
          <w:tcPr>
            <w:tcW w:w="3798" w:type="dxa"/>
            <w:tcBorders>
              <w:top w:val="nil"/>
              <w:left w:val="nil"/>
              <w:bottom w:val="nil"/>
              <w:right w:val="single" w:sz="4" w:space="0" w:color="000000"/>
            </w:tcBorders>
            <w:shd w:val="clear" w:color="000000" w:fill="FFFFFF"/>
            <w:hideMark/>
          </w:tcPr>
          <w:p w14:paraId="2CC13D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asuntos que apliquen por fuerza mayor o caso fortuito. Casos que regulará la Registraduría Nacional del Estado Civil.</w:t>
            </w:r>
          </w:p>
        </w:tc>
        <w:tc>
          <w:tcPr>
            <w:tcW w:w="3798" w:type="dxa"/>
            <w:tcBorders>
              <w:top w:val="nil"/>
              <w:left w:val="nil"/>
              <w:bottom w:val="nil"/>
              <w:right w:val="single" w:sz="4" w:space="0" w:color="000000"/>
            </w:tcBorders>
            <w:shd w:val="clear" w:color="000000" w:fill="FFFFFF"/>
            <w:hideMark/>
          </w:tcPr>
          <w:p w14:paraId="0C5C1E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asuntos que apliquen por fuerza mayor o caso fortuito. Casos que regulará la Registraduría Nacional del Estado Civil.</w:t>
            </w:r>
          </w:p>
        </w:tc>
        <w:tc>
          <w:tcPr>
            <w:tcW w:w="1480" w:type="dxa"/>
            <w:tcBorders>
              <w:top w:val="nil"/>
              <w:left w:val="nil"/>
              <w:bottom w:val="nil"/>
              <w:right w:val="single" w:sz="4" w:space="0" w:color="000000"/>
            </w:tcBorders>
            <w:shd w:val="clear" w:color="000000" w:fill="FFFFFF"/>
            <w:hideMark/>
          </w:tcPr>
          <w:p w14:paraId="4514C9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06B506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9FA80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Las personas que sean designadas como jurados de votación y se encuentren dentro de alguna de las </w:t>
            </w:r>
            <w:r w:rsidRPr="00222F34">
              <w:rPr>
                <w:rFonts w:ascii="Calibri" w:eastAsia="Times New Roman" w:hAnsi="Calibri" w:cs="Calibri"/>
                <w:color w:val="000000"/>
                <w:lang w:val="es-CO" w:eastAsia="es-CO" w:bidi="ar-SA"/>
              </w:rPr>
              <w:lastRenderedPageBreak/>
              <w:t>causales de exención contempladas en el artículo 125.</w:t>
            </w:r>
          </w:p>
        </w:tc>
        <w:tc>
          <w:tcPr>
            <w:tcW w:w="3798" w:type="dxa"/>
            <w:tcBorders>
              <w:top w:val="nil"/>
              <w:left w:val="nil"/>
              <w:bottom w:val="nil"/>
              <w:right w:val="single" w:sz="4" w:space="0" w:color="000000"/>
            </w:tcBorders>
            <w:shd w:val="clear" w:color="000000" w:fill="FFFFFF"/>
            <w:hideMark/>
          </w:tcPr>
          <w:p w14:paraId="1A1347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Las personas que sean designadas como jurados de votación y se encuentren dentro de alguna de las </w:t>
            </w:r>
            <w:r w:rsidRPr="00222F34">
              <w:rPr>
                <w:rFonts w:ascii="Calibri" w:eastAsia="Times New Roman" w:hAnsi="Calibri" w:cs="Calibri"/>
                <w:color w:val="000000"/>
                <w:lang w:val="es-CO" w:eastAsia="es-CO" w:bidi="ar-SA"/>
              </w:rPr>
              <w:lastRenderedPageBreak/>
              <w:t>causales de exención contempladas en el artículo 128.</w:t>
            </w:r>
          </w:p>
        </w:tc>
        <w:tc>
          <w:tcPr>
            <w:tcW w:w="3798" w:type="dxa"/>
            <w:tcBorders>
              <w:top w:val="nil"/>
              <w:left w:val="nil"/>
              <w:bottom w:val="nil"/>
              <w:right w:val="single" w:sz="4" w:space="0" w:color="000000"/>
            </w:tcBorders>
            <w:shd w:val="clear" w:color="000000" w:fill="FFFFFF"/>
            <w:hideMark/>
          </w:tcPr>
          <w:p w14:paraId="70B103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Las personas que sean designadas como jurados de votación y se encuentren dentro de alguna de las </w:t>
            </w:r>
            <w:r w:rsidRPr="00222F34">
              <w:rPr>
                <w:rFonts w:ascii="Calibri" w:eastAsia="Times New Roman" w:hAnsi="Calibri" w:cs="Calibri"/>
                <w:color w:val="000000"/>
                <w:lang w:val="es-CO" w:eastAsia="es-CO" w:bidi="ar-SA"/>
              </w:rPr>
              <w:lastRenderedPageBreak/>
              <w:t>causales de exención contempladas en el artículo 128.</w:t>
            </w:r>
          </w:p>
        </w:tc>
        <w:tc>
          <w:tcPr>
            <w:tcW w:w="1480" w:type="dxa"/>
            <w:tcBorders>
              <w:top w:val="nil"/>
              <w:left w:val="nil"/>
              <w:bottom w:val="nil"/>
              <w:right w:val="single" w:sz="4" w:space="0" w:color="000000"/>
            </w:tcBorders>
            <w:shd w:val="clear" w:color="000000" w:fill="FFFFFF"/>
            <w:hideMark/>
          </w:tcPr>
          <w:p w14:paraId="51CDD4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8ACD91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FF7D1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6. Ser cuidador de una persona cuya discapacidad esté debidamente certificada por la autoridad competente.</w:t>
            </w:r>
          </w:p>
        </w:tc>
        <w:tc>
          <w:tcPr>
            <w:tcW w:w="3798" w:type="dxa"/>
            <w:tcBorders>
              <w:top w:val="nil"/>
              <w:left w:val="nil"/>
              <w:bottom w:val="nil"/>
              <w:right w:val="single" w:sz="4" w:space="0" w:color="000000"/>
            </w:tcBorders>
            <w:shd w:val="clear" w:color="000000" w:fill="FFFFFF"/>
            <w:hideMark/>
          </w:tcPr>
          <w:p w14:paraId="313514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Ser cuidador de una persona cuya discapacidad esté debidamente certificada por la autoridad competente.</w:t>
            </w:r>
          </w:p>
        </w:tc>
        <w:tc>
          <w:tcPr>
            <w:tcW w:w="3798" w:type="dxa"/>
            <w:tcBorders>
              <w:top w:val="nil"/>
              <w:left w:val="nil"/>
              <w:bottom w:val="nil"/>
              <w:right w:val="single" w:sz="4" w:space="0" w:color="000000"/>
            </w:tcBorders>
            <w:shd w:val="clear" w:color="000000" w:fill="FFFFFF"/>
            <w:hideMark/>
          </w:tcPr>
          <w:p w14:paraId="5C6417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Ser cuidador de una persona cuya discapacidad esté debidamente certificada por la autoridad competente.</w:t>
            </w:r>
          </w:p>
        </w:tc>
        <w:tc>
          <w:tcPr>
            <w:tcW w:w="1480" w:type="dxa"/>
            <w:tcBorders>
              <w:top w:val="nil"/>
              <w:left w:val="nil"/>
              <w:bottom w:val="nil"/>
              <w:right w:val="single" w:sz="4" w:space="0" w:color="000000"/>
            </w:tcBorders>
            <w:shd w:val="clear" w:color="000000" w:fill="FFFFFF"/>
            <w:hideMark/>
          </w:tcPr>
          <w:p w14:paraId="06E5CB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8731E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A10455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causales establecidas en los numerales 1 y 2 solo podrán acreditarse con la presentación de certificado médico expedido por una EPS acreditada, y la causal del numeral 3, con el certificado de defunción o el registro civil de defunción.  </w:t>
            </w:r>
          </w:p>
        </w:tc>
        <w:tc>
          <w:tcPr>
            <w:tcW w:w="3798" w:type="dxa"/>
            <w:tcBorders>
              <w:top w:val="nil"/>
              <w:left w:val="nil"/>
              <w:bottom w:val="nil"/>
              <w:right w:val="single" w:sz="4" w:space="0" w:color="000000"/>
            </w:tcBorders>
            <w:shd w:val="clear" w:color="000000" w:fill="FFFFFF"/>
            <w:hideMark/>
          </w:tcPr>
          <w:p w14:paraId="3D4188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causales establecidas en los numerales 1 y 2 sólo podrán acreditarse con la presentación de certificado médico expedido por una EPS acreditada, y la causal del numeral 3, con el certificado de defunción o el registro civil de defunción.</w:t>
            </w:r>
          </w:p>
        </w:tc>
        <w:tc>
          <w:tcPr>
            <w:tcW w:w="3798" w:type="dxa"/>
            <w:tcBorders>
              <w:top w:val="nil"/>
              <w:left w:val="nil"/>
              <w:bottom w:val="nil"/>
              <w:right w:val="single" w:sz="4" w:space="0" w:color="000000"/>
            </w:tcBorders>
            <w:shd w:val="clear" w:color="000000" w:fill="FFFFFF"/>
            <w:hideMark/>
          </w:tcPr>
          <w:p w14:paraId="1615EB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causales establecidas en los numerales 1 y 2 sólo podrán acreditarse con la presentación de certificado médico expedido por una EPS acreditada, y la causal del numeral 3, con el certificado de defunción o el registro civil de defunción.</w:t>
            </w:r>
          </w:p>
        </w:tc>
        <w:tc>
          <w:tcPr>
            <w:tcW w:w="1480" w:type="dxa"/>
            <w:tcBorders>
              <w:top w:val="nil"/>
              <w:left w:val="nil"/>
              <w:bottom w:val="nil"/>
              <w:right w:val="single" w:sz="4" w:space="0" w:color="000000"/>
            </w:tcBorders>
            <w:shd w:val="clear" w:color="000000" w:fill="FFFFFF"/>
            <w:hideMark/>
          </w:tcPr>
          <w:p w14:paraId="6208BE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BDBF3C"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519198C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exoneraciones como jurados de votación de los ciudadanos seleccionados. </w:t>
            </w:r>
          </w:p>
        </w:tc>
        <w:tc>
          <w:tcPr>
            <w:tcW w:w="3798" w:type="dxa"/>
            <w:tcBorders>
              <w:top w:val="nil"/>
              <w:left w:val="nil"/>
              <w:bottom w:val="single" w:sz="4" w:space="0" w:color="000000"/>
              <w:right w:val="single" w:sz="4" w:space="0" w:color="000000"/>
            </w:tcBorders>
            <w:shd w:val="clear" w:color="000000" w:fill="FFFFFF"/>
            <w:hideMark/>
          </w:tcPr>
          <w:p w14:paraId="599FA0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exoneraciones como jurados de votación de los ciudadanos seleccionados.</w:t>
            </w:r>
          </w:p>
        </w:tc>
        <w:tc>
          <w:tcPr>
            <w:tcW w:w="3798" w:type="dxa"/>
            <w:tcBorders>
              <w:top w:val="nil"/>
              <w:left w:val="nil"/>
              <w:bottom w:val="single" w:sz="4" w:space="0" w:color="000000"/>
              <w:right w:val="single" w:sz="4" w:space="0" w:color="000000"/>
            </w:tcBorders>
            <w:shd w:val="clear" w:color="000000" w:fill="FFFFFF"/>
            <w:hideMark/>
          </w:tcPr>
          <w:p w14:paraId="5BEE78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exoneraciones como jurados de votación de los ciudadanos seleccionados.</w:t>
            </w:r>
          </w:p>
        </w:tc>
        <w:tc>
          <w:tcPr>
            <w:tcW w:w="1480" w:type="dxa"/>
            <w:tcBorders>
              <w:top w:val="nil"/>
              <w:left w:val="nil"/>
              <w:bottom w:val="single" w:sz="4" w:space="0" w:color="000000"/>
              <w:right w:val="single" w:sz="4" w:space="0" w:color="000000"/>
            </w:tcBorders>
            <w:shd w:val="clear" w:color="000000" w:fill="FFFFFF"/>
            <w:hideMark/>
          </w:tcPr>
          <w:p w14:paraId="668322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BBD0057"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D5E465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126.- Jurados de votación remanentes.</w:t>
            </w:r>
            <w:r w:rsidRPr="00222F34">
              <w:rPr>
                <w:rFonts w:ascii="Calibri" w:eastAsia="Times New Roman" w:hAnsi="Calibri" w:cs="Calibri"/>
                <w:color w:val="000000"/>
                <w:lang w:val="es-CO" w:eastAsia="es-CO" w:bidi="ar-SA"/>
              </w:rPr>
              <w:t xml:space="preserve"> 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 </w:t>
            </w:r>
          </w:p>
        </w:tc>
        <w:tc>
          <w:tcPr>
            <w:tcW w:w="3798" w:type="dxa"/>
            <w:tcBorders>
              <w:top w:val="nil"/>
              <w:left w:val="nil"/>
              <w:bottom w:val="nil"/>
              <w:right w:val="single" w:sz="4" w:space="0" w:color="000000"/>
            </w:tcBorders>
            <w:shd w:val="clear" w:color="000000" w:fill="FFFFFF"/>
            <w:hideMark/>
          </w:tcPr>
          <w:p w14:paraId="64BCBC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130. Jurados de votación remanentes.</w:t>
            </w:r>
            <w:r w:rsidRPr="00222F34">
              <w:rPr>
                <w:rFonts w:ascii="Calibri" w:eastAsia="Times New Roman" w:hAnsi="Calibri" w:cs="Calibri"/>
                <w:color w:val="000000"/>
                <w:lang w:val="es-CO" w:eastAsia="es-CO" w:bidi="ar-SA"/>
              </w:rPr>
              <w:t xml:space="preserve"> 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p>
        </w:tc>
        <w:tc>
          <w:tcPr>
            <w:tcW w:w="3798" w:type="dxa"/>
            <w:tcBorders>
              <w:top w:val="nil"/>
              <w:left w:val="nil"/>
              <w:bottom w:val="nil"/>
              <w:right w:val="single" w:sz="4" w:space="0" w:color="000000"/>
            </w:tcBorders>
            <w:shd w:val="clear" w:color="000000" w:fill="FFFFFF"/>
            <w:hideMark/>
          </w:tcPr>
          <w:p w14:paraId="37A074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130. Jurados de votación remanentes.</w:t>
            </w:r>
            <w:r w:rsidRPr="00222F34">
              <w:rPr>
                <w:rFonts w:ascii="Calibri" w:eastAsia="Times New Roman" w:hAnsi="Calibri" w:cs="Calibri"/>
                <w:color w:val="000000"/>
                <w:lang w:val="es-CO" w:eastAsia="es-CO" w:bidi="ar-SA"/>
              </w:rPr>
              <w:t xml:space="preserve"> 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p>
        </w:tc>
        <w:tc>
          <w:tcPr>
            <w:tcW w:w="1480" w:type="dxa"/>
            <w:tcBorders>
              <w:top w:val="nil"/>
              <w:left w:val="nil"/>
              <w:bottom w:val="nil"/>
              <w:right w:val="single" w:sz="4" w:space="0" w:color="000000"/>
            </w:tcBorders>
            <w:shd w:val="clear" w:color="000000" w:fill="FFFFFF"/>
            <w:hideMark/>
          </w:tcPr>
          <w:p w14:paraId="21AD986B" w14:textId="3D5AF30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C23586E"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3CC2B75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El porcentaje de jurados de votación remanentes será determinado por el registrador delegado en lo electoral. </w:t>
            </w:r>
          </w:p>
        </w:tc>
        <w:tc>
          <w:tcPr>
            <w:tcW w:w="3798" w:type="dxa"/>
            <w:tcBorders>
              <w:top w:val="nil"/>
              <w:left w:val="nil"/>
              <w:bottom w:val="single" w:sz="4" w:space="0" w:color="000000"/>
              <w:right w:val="single" w:sz="4" w:space="0" w:color="000000"/>
            </w:tcBorders>
            <w:shd w:val="clear" w:color="000000" w:fill="FFFFFF"/>
            <w:hideMark/>
          </w:tcPr>
          <w:p w14:paraId="14FF4A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porcentaje de jurados de votación remanentes será determinado por el registrador delegado en lo electoral.</w:t>
            </w:r>
          </w:p>
        </w:tc>
        <w:tc>
          <w:tcPr>
            <w:tcW w:w="3798" w:type="dxa"/>
            <w:tcBorders>
              <w:top w:val="nil"/>
              <w:left w:val="nil"/>
              <w:bottom w:val="single" w:sz="4" w:space="0" w:color="000000"/>
              <w:right w:val="single" w:sz="4" w:space="0" w:color="000000"/>
            </w:tcBorders>
            <w:shd w:val="clear" w:color="000000" w:fill="FFFFFF"/>
            <w:hideMark/>
          </w:tcPr>
          <w:p w14:paraId="20D0A9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porcentaje de jurados de votación remanentes será determinado por el registrador delegado en lo electoral.</w:t>
            </w:r>
          </w:p>
        </w:tc>
        <w:tc>
          <w:tcPr>
            <w:tcW w:w="1480" w:type="dxa"/>
            <w:tcBorders>
              <w:top w:val="nil"/>
              <w:left w:val="nil"/>
              <w:bottom w:val="single" w:sz="4" w:space="0" w:color="000000"/>
              <w:right w:val="single" w:sz="4" w:space="0" w:color="000000"/>
            </w:tcBorders>
            <w:shd w:val="clear" w:color="000000" w:fill="FFFFFF"/>
            <w:hideMark/>
          </w:tcPr>
          <w:p w14:paraId="000E35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544A43B" w14:textId="77777777" w:rsidTr="00222F34">
        <w:trPr>
          <w:trHeight w:val="945"/>
        </w:trPr>
        <w:tc>
          <w:tcPr>
            <w:tcW w:w="3798" w:type="dxa"/>
            <w:tcBorders>
              <w:top w:val="nil"/>
              <w:left w:val="single" w:sz="4" w:space="0" w:color="000000"/>
              <w:bottom w:val="nil"/>
              <w:right w:val="single" w:sz="4" w:space="0" w:color="000000"/>
            </w:tcBorders>
            <w:shd w:val="clear" w:color="000000" w:fill="FFFFFF"/>
            <w:hideMark/>
          </w:tcPr>
          <w:p w14:paraId="33044DA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127.- Integración de la lista de jurados de votación.</w:t>
            </w:r>
            <w:r w:rsidRPr="00222F34">
              <w:rPr>
                <w:rFonts w:ascii="Calibri" w:eastAsia="Times New Roman" w:hAnsi="Calibri" w:cs="Calibri"/>
                <w:color w:val="000000"/>
                <w:lang w:val="es-CO" w:eastAsia="es-CO" w:bidi="ar-SA"/>
              </w:rPr>
              <w:t xml:space="preserve"> La Registraduría Nacional del Estado Civil adelantará el proceso de selección y sorteo para la designación de jurados de votación a través de una plataforma tecnológica, conforme a las siguientes reglas:</w:t>
            </w:r>
          </w:p>
        </w:tc>
        <w:tc>
          <w:tcPr>
            <w:tcW w:w="3798" w:type="dxa"/>
            <w:tcBorders>
              <w:top w:val="nil"/>
              <w:left w:val="nil"/>
              <w:bottom w:val="nil"/>
              <w:right w:val="single" w:sz="4" w:space="0" w:color="000000"/>
            </w:tcBorders>
            <w:shd w:val="clear" w:color="000000" w:fill="FFFFFF"/>
            <w:hideMark/>
          </w:tcPr>
          <w:p w14:paraId="4723D1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131. Integración de la lista de jurados de votación. </w:t>
            </w:r>
            <w:r w:rsidRPr="00222F34">
              <w:rPr>
                <w:rFonts w:ascii="Calibri" w:eastAsia="Times New Roman" w:hAnsi="Calibri" w:cs="Calibri"/>
                <w:color w:val="000000"/>
                <w:lang w:val="es-CO" w:eastAsia="es-CO" w:bidi="ar-SA"/>
              </w:rPr>
              <w:t>La Registraduría Nacional del Estado Civil adelantará el proceso de selección y sorteo para la designación de jurados de votación a través de una plataforma tecnológica, conforme a las siguientes reglas:</w:t>
            </w:r>
          </w:p>
        </w:tc>
        <w:tc>
          <w:tcPr>
            <w:tcW w:w="3798" w:type="dxa"/>
            <w:tcBorders>
              <w:top w:val="nil"/>
              <w:left w:val="nil"/>
              <w:bottom w:val="nil"/>
              <w:right w:val="single" w:sz="4" w:space="0" w:color="000000"/>
            </w:tcBorders>
            <w:shd w:val="clear" w:color="000000" w:fill="FFFFFF"/>
            <w:hideMark/>
          </w:tcPr>
          <w:p w14:paraId="441750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131. Integración de la lista de jurados de votación. </w:t>
            </w:r>
            <w:r w:rsidRPr="00222F34">
              <w:rPr>
                <w:rFonts w:ascii="Calibri" w:eastAsia="Times New Roman" w:hAnsi="Calibri" w:cs="Calibri"/>
                <w:color w:val="000000"/>
                <w:lang w:val="es-CO" w:eastAsia="es-CO" w:bidi="ar-SA"/>
              </w:rPr>
              <w:t>La Registraduría Nacional del Estado Civil adelantará el proceso de selección y sorteo para la designación de jurados de votación a través de una plataforma tecnológica, conforme a las siguientes reglas:</w:t>
            </w:r>
          </w:p>
        </w:tc>
        <w:tc>
          <w:tcPr>
            <w:tcW w:w="1480" w:type="dxa"/>
            <w:tcBorders>
              <w:top w:val="nil"/>
              <w:left w:val="nil"/>
              <w:bottom w:val="nil"/>
              <w:right w:val="single" w:sz="4" w:space="0" w:color="000000"/>
            </w:tcBorders>
            <w:shd w:val="clear" w:color="000000" w:fill="FFFFFF"/>
            <w:hideMark/>
          </w:tcPr>
          <w:p w14:paraId="4D78904C" w14:textId="0B2A947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64CD008"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55D1F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 </w:t>
            </w:r>
          </w:p>
        </w:tc>
        <w:tc>
          <w:tcPr>
            <w:tcW w:w="3798" w:type="dxa"/>
            <w:tcBorders>
              <w:top w:val="nil"/>
              <w:left w:val="nil"/>
              <w:bottom w:val="nil"/>
              <w:right w:val="single" w:sz="4" w:space="0" w:color="000000"/>
            </w:tcBorders>
            <w:shd w:val="clear" w:color="000000" w:fill="FFFFFF"/>
            <w:hideMark/>
          </w:tcPr>
          <w:p w14:paraId="708041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w:t>
            </w:r>
          </w:p>
        </w:tc>
        <w:tc>
          <w:tcPr>
            <w:tcW w:w="3798" w:type="dxa"/>
            <w:tcBorders>
              <w:top w:val="nil"/>
              <w:left w:val="nil"/>
              <w:bottom w:val="nil"/>
              <w:right w:val="single" w:sz="4" w:space="0" w:color="000000"/>
            </w:tcBorders>
            <w:shd w:val="clear" w:color="000000" w:fill="FFFFFF"/>
            <w:hideMark/>
          </w:tcPr>
          <w:p w14:paraId="036E14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w:t>
            </w:r>
          </w:p>
        </w:tc>
        <w:tc>
          <w:tcPr>
            <w:tcW w:w="1480" w:type="dxa"/>
            <w:tcBorders>
              <w:top w:val="nil"/>
              <w:left w:val="nil"/>
              <w:bottom w:val="nil"/>
              <w:right w:val="single" w:sz="4" w:space="0" w:color="000000"/>
            </w:tcBorders>
            <w:shd w:val="clear" w:color="000000" w:fill="FFFFFF"/>
            <w:hideMark/>
          </w:tcPr>
          <w:p w14:paraId="3114CE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4729D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BD577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En el caso que dentro de la circunscripción electoral no se encuentren las cantidades necesarias de ciudadanos que cumplan con las calidades para ser jurados de votación, la Registraduría Nacional del Estado Civil podrá designar ciudadanos de otra </w:t>
            </w:r>
            <w:r w:rsidRPr="00222F34">
              <w:rPr>
                <w:rFonts w:ascii="Calibri" w:eastAsia="Times New Roman" w:hAnsi="Calibri" w:cs="Calibri"/>
                <w:color w:val="000000"/>
                <w:lang w:val="es-CO" w:eastAsia="es-CO" w:bidi="ar-SA"/>
              </w:rPr>
              <w:lastRenderedPageBreak/>
              <w:t xml:space="preserve">circunscripción, siempre y cuando en la votación se elijan cargos o corporaciones del ámbito nacional y no territorial. </w:t>
            </w:r>
          </w:p>
        </w:tc>
        <w:tc>
          <w:tcPr>
            <w:tcW w:w="3798" w:type="dxa"/>
            <w:tcBorders>
              <w:top w:val="nil"/>
              <w:left w:val="nil"/>
              <w:bottom w:val="nil"/>
              <w:right w:val="single" w:sz="4" w:space="0" w:color="000000"/>
            </w:tcBorders>
            <w:shd w:val="clear" w:color="000000" w:fill="FFFFFF"/>
            <w:hideMark/>
          </w:tcPr>
          <w:p w14:paraId="57539D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En el caso que dentro de la circunscripción electoral no se encuentren las cantidades necesarias de ciudadanos que cumplan con las calidades para ser jurados de votación, la Registraduría Nacional del Estado Civil podrá designar ciudadanos de otra </w:t>
            </w:r>
            <w:r w:rsidRPr="00222F34">
              <w:rPr>
                <w:rFonts w:ascii="Calibri" w:eastAsia="Times New Roman" w:hAnsi="Calibri" w:cs="Calibri"/>
                <w:color w:val="000000"/>
                <w:lang w:val="es-CO" w:eastAsia="es-CO" w:bidi="ar-SA"/>
              </w:rPr>
              <w:lastRenderedPageBreak/>
              <w:t>circunscripción, siempre y cuando en la votación se elijan cargos o corporaciones del ámbito nacional y no territorial.</w:t>
            </w:r>
          </w:p>
        </w:tc>
        <w:tc>
          <w:tcPr>
            <w:tcW w:w="3798" w:type="dxa"/>
            <w:tcBorders>
              <w:top w:val="nil"/>
              <w:left w:val="nil"/>
              <w:bottom w:val="nil"/>
              <w:right w:val="single" w:sz="4" w:space="0" w:color="000000"/>
            </w:tcBorders>
            <w:shd w:val="clear" w:color="000000" w:fill="FFFFFF"/>
            <w:hideMark/>
          </w:tcPr>
          <w:p w14:paraId="3DCCA4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En el caso que dentro de la circunscripción electoral no se encuentren las cantidades necesarias de ciudadanos que cumplan con las calidades para ser jurados de votación, la Registraduría Nacional del Estado Civil podrá designar ciudadanos de otra </w:t>
            </w:r>
            <w:r w:rsidRPr="00222F34">
              <w:rPr>
                <w:rFonts w:ascii="Calibri" w:eastAsia="Times New Roman" w:hAnsi="Calibri" w:cs="Calibri"/>
                <w:color w:val="000000"/>
                <w:lang w:val="es-CO" w:eastAsia="es-CO" w:bidi="ar-SA"/>
              </w:rPr>
              <w:lastRenderedPageBreak/>
              <w:t>circunscripción, siempre y cuando en la votación se elijan cargos o corporaciones del ámbito nacional y no territorial.</w:t>
            </w:r>
          </w:p>
        </w:tc>
        <w:tc>
          <w:tcPr>
            <w:tcW w:w="1480" w:type="dxa"/>
            <w:tcBorders>
              <w:top w:val="nil"/>
              <w:left w:val="nil"/>
              <w:bottom w:val="nil"/>
              <w:right w:val="single" w:sz="4" w:space="0" w:color="000000"/>
            </w:tcBorders>
            <w:shd w:val="clear" w:color="000000" w:fill="FFFFFF"/>
            <w:hideMark/>
          </w:tcPr>
          <w:p w14:paraId="6EC77E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54BA8C2"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31E2E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 </w:t>
            </w:r>
          </w:p>
        </w:tc>
        <w:tc>
          <w:tcPr>
            <w:tcW w:w="3798" w:type="dxa"/>
            <w:tcBorders>
              <w:top w:val="nil"/>
              <w:left w:val="nil"/>
              <w:bottom w:val="nil"/>
              <w:right w:val="single" w:sz="4" w:space="0" w:color="000000"/>
            </w:tcBorders>
            <w:shd w:val="clear" w:color="000000" w:fill="FFFFFF"/>
            <w:hideMark/>
          </w:tcPr>
          <w:p w14:paraId="57EA99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w:t>
            </w:r>
          </w:p>
        </w:tc>
        <w:tc>
          <w:tcPr>
            <w:tcW w:w="3798" w:type="dxa"/>
            <w:tcBorders>
              <w:top w:val="nil"/>
              <w:left w:val="nil"/>
              <w:bottom w:val="nil"/>
              <w:right w:val="single" w:sz="4" w:space="0" w:color="000000"/>
            </w:tcBorders>
            <w:shd w:val="clear" w:color="000000" w:fill="FFFFFF"/>
            <w:hideMark/>
          </w:tcPr>
          <w:p w14:paraId="5E1FE0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w:t>
            </w:r>
          </w:p>
        </w:tc>
        <w:tc>
          <w:tcPr>
            <w:tcW w:w="1480" w:type="dxa"/>
            <w:tcBorders>
              <w:top w:val="nil"/>
              <w:left w:val="nil"/>
              <w:bottom w:val="nil"/>
              <w:right w:val="single" w:sz="4" w:space="0" w:color="000000"/>
            </w:tcBorders>
            <w:shd w:val="clear" w:color="000000" w:fill="FFFFFF"/>
            <w:hideMark/>
          </w:tcPr>
          <w:p w14:paraId="07E633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289F65"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295D7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 </w:t>
            </w:r>
          </w:p>
        </w:tc>
        <w:tc>
          <w:tcPr>
            <w:tcW w:w="3798" w:type="dxa"/>
            <w:tcBorders>
              <w:top w:val="nil"/>
              <w:left w:val="nil"/>
              <w:bottom w:val="nil"/>
              <w:right w:val="single" w:sz="4" w:space="0" w:color="000000"/>
            </w:tcBorders>
            <w:shd w:val="clear" w:color="000000" w:fill="FFFFFF"/>
            <w:hideMark/>
          </w:tcPr>
          <w:p w14:paraId="29750B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w:t>
            </w:r>
          </w:p>
        </w:tc>
        <w:tc>
          <w:tcPr>
            <w:tcW w:w="3798" w:type="dxa"/>
            <w:tcBorders>
              <w:top w:val="nil"/>
              <w:left w:val="nil"/>
              <w:bottom w:val="nil"/>
              <w:right w:val="single" w:sz="4" w:space="0" w:color="000000"/>
            </w:tcBorders>
            <w:shd w:val="clear" w:color="000000" w:fill="FFFFFF"/>
            <w:hideMark/>
          </w:tcPr>
          <w:p w14:paraId="0A3483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w:t>
            </w:r>
          </w:p>
        </w:tc>
        <w:tc>
          <w:tcPr>
            <w:tcW w:w="1480" w:type="dxa"/>
            <w:tcBorders>
              <w:top w:val="nil"/>
              <w:left w:val="nil"/>
              <w:bottom w:val="nil"/>
              <w:right w:val="single" w:sz="4" w:space="0" w:color="000000"/>
            </w:tcBorders>
            <w:shd w:val="clear" w:color="000000" w:fill="FFFFFF"/>
            <w:hideMark/>
          </w:tcPr>
          <w:p w14:paraId="1BAC5A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3768B9"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777BE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A más tardar el día siguiente a la realización del sorteo, los registradores del Estado Civil publicarán en la sede de la Registraduría y/o Embajada o Consulado de la respectiva circunscripción, el acto administrativo de 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 </w:t>
            </w:r>
          </w:p>
        </w:tc>
        <w:tc>
          <w:tcPr>
            <w:tcW w:w="3798" w:type="dxa"/>
            <w:tcBorders>
              <w:top w:val="nil"/>
              <w:left w:val="nil"/>
              <w:bottom w:val="nil"/>
              <w:right w:val="single" w:sz="4" w:space="0" w:color="000000"/>
            </w:tcBorders>
            <w:shd w:val="clear" w:color="000000" w:fill="FFFFFF"/>
            <w:hideMark/>
          </w:tcPr>
          <w:p w14:paraId="07C4F8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 más tardar el día siguiente a la realización del sorteo, los registradores del Estado Civil publicarán en la sede de la Registraduría y/o Embajada o Consulado de la respectiva circunscripción, el acto administrativo de 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w:t>
            </w:r>
          </w:p>
        </w:tc>
        <w:tc>
          <w:tcPr>
            <w:tcW w:w="3798" w:type="dxa"/>
            <w:tcBorders>
              <w:top w:val="nil"/>
              <w:left w:val="nil"/>
              <w:bottom w:val="nil"/>
              <w:right w:val="single" w:sz="4" w:space="0" w:color="000000"/>
            </w:tcBorders>
            <w:shd w:val="clear" w:color="000000" w:fill="FFFFFF"/>
            <w:hideMark/>
          </w:tcPr>
          <w:p w14:paraId="2A7F7A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 más tardar el día siguiente a la realización del sorteo, los registradores del Estado Civil publicarán en la sede de la Registraduría y/o Embajada o Consulado de la respectiva circunscripción, el acto administrativo de 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w:t>
            </w:r>
          </w:p>
        </w:tc>
        <w:tc>
          <w:tcPr>
            <w:tcW w:w="1480" w:type="dxa"/>
            <w:tcBorders>
              <w:top w:val="nil"/>
              <w:left w:val="nil"/>
              <w:bottom w:val="nil"/>
              <w:right w:val="single" w:sz="4" w:space="0" w:color="000000"/>
            </w:tcBorders>
            <w:shd w:val="clear" w:color="000000" w:fill="FFFFFF"/>
            <w:hideMark/>
          </w:tcPr>
          <w:p w14:paraId="779445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6440D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EB92E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Cumplida alguna de estas actividades se entenderá como comunicado el acto de y notificación respectiva al ciudadano. </w:t>
            </w:r>
          </w:p>
        </w:tc>
        <w:tc>
          <w:tcPr>
            <w:tcW w:w="3798" w:type="dxa"/>
            <w:tcBorders>
              <w:top w:val="nil"/>
              <w:left w:val="nil"/>
              <w:bottom w:val="nil"/>
              <w:right w:val="single" w:sz="4" w:space="0" w:color="000000"/>
            </w:tcBorders>
            <w:shd w:val="clear" w:color="000000" w:fill="FFFFFF"/>
            <w:hideMark/>
          </w:tcPr>
          <w:p w14:paraId="2140F9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Cumplida alguna de estas actividades se entenderá como comunicado el acto de y notificación respectiva al ciudadano.</w:t>
            </w:r>
          </w:p>
        </w:tc>
        <w:tc>
          <w:tcPr>
            <w:tcW w:w="3798" w:type="dxa"/>
            <w:tcBorders>
              <w:top w:val="nil"/>
              <w:left w:val="nil"/>
              <w:bottom w:val="nil"/>
              <w:right w:val="single" w:sz="4" w:space="0" w:color="000000"/>
            </w:tcBorders>
            <w:shd w:val="clear" w:color="000000" w:fill="FFFFFF"/>
            <w:hideMark/>
          </w:tcPr>
          <w:p w14:paraId="54B406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Cumplida alguna de estas actividades se entenderá como comunicado el acto de y notificación respectiva al ciudadano.</w:t>
            </w:r>
          </w:p>
        </w:tc>
        <w:tc>
          <w:tcPr>
            <w:tcW w:w="1480" w:type="dxa"/>
            <w:tcBorders>
              <w:top w:val="nil"/>
              <w:left w:val="nil"/>
              <w:bottom w:val="nil"/>
              <w:right w:val="single" w:sz="4" w:space="0" w:color="000000"/>
            </w:tcBorders>
            <w:shd w:val="clear" w:color="000000" w:fill="FFFFFF"/>
            <w:hideMark/>
          </w:tcPr>
          <w:p w14:paraId="195DAA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50F29A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617F6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Durante los cinco (5) días calendarios siguientes a la comunicación de la resolución de designación de jurados, los registradores del Estado Civil recibirán y aplicarán las exenciones o exoneraciones pertinentes, de acuerdo con las causales esbozadas en el presente código. </w:t>
            </w:r>
          </w:p>
        </w:tc>
        <w:tc>
          <w:tcPr>
            <w:tcW w:w="3798" w:type="dxa"/>
            <w:tcBorders>
              <w:top w:val="nil"/>
              <w:left w:val="nil"/>
              <w:bottom w:val="nil"/>
              <w:right w:val="single" w:sz="4" w:space="0" w:color="000000"/>
            </w:tcBorders>
            <w:shd w:val="clear" w:color="000000" w:fill="FFFFFF"/>
            <w:hideMark/>
          </w:tcPr>
          <w:p w14:paraId="7067FF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Durante los cinco (5) días calendarios siguientes a la comunicación de la resolución de designación de jurados, los registradores del Estado Civil recibirán y aplicarán las exenciones o exoneraciones pertinentes, de acuerdo con las causales esbozadas en el presente código.</w:t>
            </w:r>
          </w:p>
        </w:tc>
        <w:tc>
          <w:tcPr>
            <w:tcW w:w="3798" w:type="dxa"/>
            <w:tcBorders>
              <w:top w:val="nil"/>
              <w:left w:val="nil"/>
              <w:bottom w:val="nil"/>
              <w:right w:val="single" w:sz="4" w:space="0" w:color="000000"/>
            </w:tcBorders>
            <w:shd w:val="clear" w:color="000000" w:fill="FFFFFF"/>
            <w:hideMark/>
          </w:tcPr>
          <w:p w14:paraId="60C9FC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Durante los cinco (5) días calendarios siguientes a la comunicación de la resolución de designación de jurados, los registradores del Estado Civil recibirán y aplicarán las exenciones o exoneraciones pertinentes, de acuerdo con las causales esbozadas en el presente código.</w:t>
            </w:r>
          </w:p>
        </w:tc>
        <w:tc>
          <w:tcPr>
            <w:tcW w:w="1480" w:type="dxa"/>
            <w:tcBorders>
              <w:top w:val="nil"/>
              <w:left w:val="nil"/>
              <w:bottom w:val="nil"/>
              <w:right w:val="single" w:sz="4" w:space="0" w:color="000000"/>
            </w:tcBorders>
            <w:shd w:val="clear" w:color="000000" w:fill="FFFFFF"/>
            <w:hideMark/>
          </w:tcPr>
          <w:p w14:paraId="3FF13F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8612AD"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1BED2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 </w:t>
            </w:r>
          </w:p>
        </w:tc>
        <w:tc>
          <w:tcPr>
            <w:tcW w:w="3798" w:type="dxa"/>
            <w:tcBorders>
              <w:top w:val="nil"/>
              <w:left w:val="nil"/>
              <w:bottom w:val="nil"/>
              <w:right w:val="single" w:sz="4" w:space="0" w:color="000000"/>
            </w:tcBorders>
            <w:shd w:val="clear" w:color="000000" w:fill="FFFFFF"/>
            <w:hideMark/>
          </w:tcPr>
          <w:p w14:paraId="209E4D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w:t>
            </w:r>
          </w:p>
        </w:tc>
        <w:tc>
          <w:tcPr>
            <w:tcW w:w="3798" w:type="dxa"/>
            <w:tcBorders>
              <w:top w:val="nil"/>
              <w:left w:val="nil"/>
              <w:bottom w:val="nil"/>
              <w:right w:val="single" w:sz="4" w:space="0" w:color="000000"/>
            </w:tcBorders>
            <w:shd w:val="clear" w:color="000000" w:fill="FFFFFF"/>
            <w:hideMark/>
          </w:tcPr>
          <w:p w14:paraId="74148D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w:t>
            </w:r>
          </w:p>
        </w:tc>
        <w:tc>
          <w:tcPr>
            <w:tcW w:w="1480" w:type="dxa"/>
            <w:tcBorders>
              <w:top w:val="nil"/>
              <w:left w:val="nil"/>
              <w:bottom w:val="nil"/>
              <w:right w:val="single" w:sz="4" w:space="0" w:color="000000"/>
            </w:tcBorders>
            <w:shd w:val="clear" w:color="000000" w:fill="FFFFFF"/>
            <w:hideMark/>
          </w:tcPr>
          <w:p w14:paraId="53825F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08E3774"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187483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 </w:t>
            </w:r>
          </w:p>
        </w:tc>
        <w:tc>
          <w:tcPr>
            <w:tcW w:w="3798" w:type="dxa"/>
            <w:tcBorders>
              <w:top w:val="nil"/>
              <w:left w:val="nil"/>
              <w:bottom w:val="nil"/>
              <w:right w:val="single" w:sz="4" w:space="0" w:color="000000"/>
            </w:tcBorders>
            <w:shd w:val="clear" w:color="000000" w:fill="FFFFFF"/>
            <w:hideMark/>
          </w:tcPr>
          <w:p w14:paraId="6DEA70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w:t>
            </w:r>
          </w:p>
        </w:tc>
        <w:tc>
          <w:tcPr>
            <w:tcW w:w="3798" w:type="dxa"/>
            <w:tcBorders>
              <w:top w:val="nil"/>
              <w:left w:val="nil"/>
              <w:bottom w:val="nil"/>
              <w:right w:val="single" w:sz="4" w:space="0" w:color="000000"/>
            </w:tcBorders>
            <w:shd w:val="clear" w:color="000000" w:fill="FFFFFF"/>
            <w:hideMark/>
          </w:tcPr>
          <w:p w14:paraId="55E019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w:t>
            </w:r>
          </w:p>
        </w:tc>
        <w:tc>
          <w:tcPr>
            <w:tcW w:w="1480" w:type="dxa"/>
            <w:tcBorders>
              <w:top w:val="nil"/>
              <w:left w:val="nil"/>
              <w:bottom w:val="nil"/>
              <w:right w:val="single" w:sz="4" w:space="0" w:color="000000"/>
            </w:tcBorders>
            <w:shd w:val="clear" w:color="000000" w:fill="FFFFFF"/>
            <w:hideMark/>
          </w:tcPr>
          <w:p w14:paraId="113EC8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2C865F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AF2199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ciudadanos que omitan o aporten información falsa, en el momento de la actualización en el censo electoral, serán sancionados de conformidad con lo establecido en este código. </w:t>
            </w:r>
          </w:p>
        </w:tc>
        <w:tc>
          <w:tcPr>
            <w:tcW w:w="3798" w:type="dxa"/>
            <w:tcBorders>
              <w:top w:val="nil"/>
              <w:left w:val="nil"/>
              <w:bottom w:val="nil"/>
              <w:right w:val="single" w:sz="4" w:space="0" w:color="000000"/>
            </w:tcBorders>
            <w:shd w:val="clear" w:color="000000" w:fill="FFFFFF"/>
            <w:hideMark/>
          </w:tcPr>
          <w:p w14:paraId="14CD3F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ciudadanos que omitan o aporten información falsa, en el momento de la actualización en el censo electoral, serán sancionados de conformidad con lo establecido en este código.</w:t>
            </w:r>
          </w:p>
        </w:tc>
        <w:tc>
          <w:tcPr>
            <w:tcW w:w="3798" w:type="dxa"/>
            <w:tcBorders>
              <w:top w:val="nil"/>
              <w:left w:val="nil"/>
              <w:bottom w:val="nil"/>
              <w:right w:val="single" w:sz="4" w:space="0" w:color="000000"/>
            </w:tcBorders>
            <w:shd w:val="clear" w:color="000000" w:fill="FFFFFF"/>
            <w:hideMark/>
          </w:tcPr>
          <w:p w14:paraId="210BE1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ciudadanos que omitan o aporten información falsa, en el momento de la actualización en el censo electoral, serán sancionados de conformidad con lo establecido en este código.</w:t>
            </w:r>
          </w:p>
        </w:tc>
        <w:tc>
          <w:tcPr>
            <w:tcW w:w="1480" w:type="dxa"/>
            <w:tcBorders>
              <w:top w:val="nil"/>
              <w:left w:val="nil"/>
              <w:bottom w:val="nil"/>
              <w:right w:val="single" w:sz="4" w:space="0" w:color="000000"/>
            </w:tcBorders>
            <w:shd w:val="clear" w:color="000000" w:fill="FFFFFF"/>
            <w:hideMark/>
          </w:tcPr>
          <w:p w14:paraId="5FE297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801AD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CFCBC0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 </w:t>
            </w:r>
          </w:p>
        </w:tc>
        <w:tc>
          <w:tcPr>
            <w:tcW w:w="3798" w:type="dxa"/>
            <w:tcBorders>
              <w:top w:val="nil"/>
              <w:left w:val="nil"/>
              <w:bottom w:val="nil"/>
              <w:right w:val="single" w:sz="4" w:space="0" w:color="000000"/>
            </w:tcBorders>
            <w:shd w:val="clear" w:color="000000" w:fill="FFFFFF"/>
            <w:hideMark/>
          </w:tcPr>
          <w:p w14:paraId="76C71A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w:t>
            </w:r>
          </w:p>
        </w:tc>
        <w:tc>
          <w:tcPr>
            <w:tcW w:w="3798" w:type="dxa"/>
            <w:tcBorders>
              <w:top w:val="nil"/>
              <w:left w:val="nil"/>
              <w:bottom w:val="nil"/>
              <w:right w:val="single" w:sz="4" w:space="0" w:color="000000"/>
            </w:tcBorders>
            <w:shd w:val="clear" w:color="000000" w:fill="FFFFFF"/>
            <w:hideMark/>
          </w:tcPr>
          <w:p w14:paraId="4F455B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w:t>
            </w:r>
          </w:p>
        </w:tc>
        <w:tc>
          <w:tcPr>
            <w:tcW w:w="1480" w:type="dxa"/>
            <w:tcBorders>
              <w:top w:val="nil"/>
              <w:left w:val="nil"/>
              <w:bottom w:val="nil"/>
              <w:right w:val="single" w:sz="4" w:space="0" w:color="000000"/>
            </w:tcBorders>
            <w:shd w:val="clear" w:color="000000" w:fill="FFFFFF"/>
            <w:hideMark/>
          </w:tcPr>
          <w:p w14:paraId="32C63F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352C6B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F93CE6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 </w:t>
            </w:r>
          </w:p>
        </w:tc>
        <w:tc>
          <w:tcPr>
            <w:tcW w:w="3798" w:type="dxa"/>
            <w:tcBorders>
              <w:top w:val="nil"/>
              <w:left w:val="nil"/>
              <w:bottom w:val="nil"/>
              <w:right w:val="single" w:sz="4" w:space="0" w:color="000000"/>
            </w:tcBorders>
            <w:shd w:val="clear" w:color="000000" w:fill="FFFFFF"/>
            <w:hideMark/>
          </w:tcPr>
          <w:p w14:paraId="046132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w:t>
            </w:r>
          </w:p>
        </w:tc>
        <w:tc>
          <w:tcPr>
            <w:tcW w:w="3798" w:type="dxa"/>
            <w:tcBorders>
              <w:top w:val="nil"/>
              <w:left w:val="nil"/>
              <w:bottom w:val="nil"/>
              <w:right w:val="single" w:sz="4" w:space="0" w:color="000000"/>
            </w:tcBorders>
            <w:shd w:val="clear" w:color="000000" w:fill="FFFFFF"/>
            <w:hideMark/>
          </w:tcPr>
          <w:p w14:paraId="1FD4D1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w:t>
            </w:r>
          </w:p>
        </w:tc>
        <w:tc>
          <w:tcPr>
            <w:tcW w:w="1480" w:type="dxa"/>
            <w:tcBorders>
              <w:top w:val="nil"/>
              <w:left w:val="nil"/>
              <w:bottom w:val="nil"/>
              <w:right w:val="single" w:sz="4" w:space="0" w:color="000000"/>
            </w:tcBorders>
            <w:shd w:val="clear" w:color="000000" w:fill="FFFFFF"/>
            <w:hideMark/>
          </w:tcPr>
          <w:p w14:paraId="4278E7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AA3C03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99F3CD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Para la realización de la selección de la lista de jurados de votación a través de plataforma tecnológica, se aplicará los mecanismos de auditoría informática electoral y auditoría técnica que contiene este Código. </w:t>
            </w:r>
          </w:p>
        </w:tc>
        <w:tc>
          <w:tcPr>
            <w:tcW w:w="3798" w:type="dxa"/>
            <w:tcBorders>
              <w:top w:val="nil"/>
              <w:left w:val="nil"/>
              <w:bottom w:val="nil"/>
              <w:right w:val="single" w:sz="4" w:space="0" w:color="000000"/>
            </w:tcBorders>
            <w:shd w:val="clear" w:color="000000" w:fill="FFFFFF"/>
            <w:hideMark/>
          </w:tcPr>
          <w:p w14:paraId="3CECF6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Para la realización de la selección de la lista de jurados de votación a través de plataforma tecnológica, se aplicará los mecanismos de auditoría informática electoral y auditoría técnica que contiene este Código.</w:t>
            </w:r>
          </w:p>
        </w:tc>
        <w:tc>
          <w:tcPr>
            <w:tcW w:w="3798" w:type="dxa"/>
            <w:tcBorders>
              <w:top w:val="nil"/>
              <w:left w:val="nil"/>
              <w:bottom w:val="nil"/>
              <w:right w:val="single" w:sz="4" w:space="0" w:color="000000"/>
            </w:tcBorders>
            <w:shd w:val="clear" w:color="000000" w:fill="FFFFFF"/>
            <w:hideMark/>
          </w:tcPr>
          <w:p w14:paraId="69CA4D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Para la realización de la selección de la lista de jurados de votación a través de plataforma tecnológica, se aplicará los mecanismos de auditoría informática electoral y auditoría técnica que contiene este Código.</w:t>
            </w:r>
          </w:p>
        </w:tc>
        <w:tc>
          <w:tcPr>
            <w:tcW w:w="1480" w:type="dxa"/>
            <w:tcBorders>
              <w:top w:val="nil"/>
              <w:left w:val="nil"/>
              <w:bottom w:val="nil"/>
              <w:right w:val="single" w:sz="4" w:space="0" w:color="000000"/>
            </w:tcBorders>
            <w:shd w:val="clear" w:color="000000" w:fill="FFFFFF"/>
            <w:hideMark/>
          </w:tcPr>
          <w:p w14:paraId="11043C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34616EB"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71130A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Lo dispuesto en este artículo podrá implementarse gradualmente de acuerdo con la transitoriedad establecida para lo referido a las normas de progresividad previstas en este código. </w:t>
            </w:r>
          </w:p>
        </w:tc>
        <w:tc>
          <w:tcPr>
            <w:tcW w:w="3798" w:type="dxa"/>
            <w:tcBorders>
              <w:top w:val="nil"/>
              <w:left w:val="nil"/>
              <w:bottom w:val="single" w:sz="4" w:space="0" w:color="000000"/>
              <w:right w:val="single" w:sz="4" w:space="0" w:color="000000"/>
            </w:tcBorders>
            <w:shd w:val="clear" w:color="000000" w:fill="FFFFFF"/>
            <w:hideMark/>
          </w:tcPr>
          <w:p w14:paraId="598465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Lo dispuesto en este artículo podrá implementarse gradualmente de acuerdo con la transitoriedad establecida para lo referido a las normas de progresividad previstas en este código.</w:t>
            </w:r>
          </w:p>
        </w:tc>
        <w:tc>
          <w:tcPr>
            <w:tcW w:w="3798" w:type="dxa"/>
            <w:tcBorders>
              <w:top w:val="nil"/>
              <w:left w:val="nil"/>
              <w:bottom w:val="single" w:sz="4" w:space="0" w:color="000000"/>
              <w:right w:val="single" w:sz="4" w:space="0" w:color="000000"/>
            </w:tcBorders>
            <w:shd w:val="clear" w:color="000000" w:fill="FFFFFF"/>
            <w:hideMark/>
          </w:tcPr>
          <w:p w14:paraId="473638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Lo dispuesto en este artículo podrá implementarse gradualmente de acuerdo con la transitoriedad establecida para lo referido a las normas de progresividad previstas en este código.</w:t>
            </w:r>
          </w:p>
        </w:tc>
        <w:tc>
          <w:tcPr>
            <w:tcW w:w="1480" w:type="dxa"/>
            <w:tcBorders>
              <w:top w:val="nil"/>
              <w:left w:val="nil"/>
              <w:bottom w:val="single" w:sz="4" w:space="0" w:color="000000"/>
              <w:right w:val="single" w:sz="4" w:space="0" w:color="000000"/>
            </w:tcBorders>
            <w:shd w:val="clear" w:color="000000" w:fill="FFFFFF"/>
            <w:hideMark/>
          </w:tcPr>
          <w:p w14:paraId="06298E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6D6A1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2E9E62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128.- Jurados en el exterior.</w:t>
            </w:r>
            <w:r w:rsidRPr="00222F34">
              <w:rPr>
                <w:rFonts w:ascii="Calibri" w:eastAsia="Times New Roman" w:hAnsi="Calibri" w:cs="Calibri"/>
                <w:color w:val="000000"/>
                <w:lang w:val="es-CO" w:eastAsia="es-CO" w:bidi="ar-SA"/>
              </w:rPr>
              <w:t xml:space="preserve"> La lista de los jurados para las votaciones en el exterior estará integrada por cinco (5) ciudadanos colombianos en ejercicio y será elaborada por el funcionario diplomático o consular correspondiente, quien establecerá el, o los días, en que deberá prestar el servicio.  </w:t>
            </w:r>
          </w:p>
        </w:tc>
        <w:tc>
          <w:tcPr>
            <w:tcW w:w="3798" w:type="dxa"/>
            <w:tcBorders>
              <w:top w:val="nil"/>
              <w:left w:val="nil"/>
              <w:bottom w:val="nil"/>
              <w:right w:val="single" w:sz="4" w:space="0" w:color="000000"/>
            </w:tcBorders>
            <w:shd w:val="clear" w:color="000000" w:fill="FFFFFF"/>
            <w:hideMark/>
          </w:tcPr>
          <w:p w14:paraId="522F23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132.- Jurados en el exterior</w:t>
            </w:r>
            <w:r w:rsidRPr="00222F34">
              <w:rPr>
                <w:rFonts w:ascii="Calibri" w:eastAsia="Times New Roman" w:hAnsi="Calibri" w:cs="Calibri"/>
                <w:color w:val="000000"/>
                <w:lang w:val="es-CO" w:eastAsia="es-CO" w:bidi="ar-SA"/>
              </w:rPr>
              <w:t>. La lista de los jurados para las votaciones en el exterior estará integrada por cinco (5) ciudadanos colombianos en ejercicio y será elaborada por el funcionario diplomático o consular correspondiente, quien establecerá el, o los días, en que deberá prestar el servicio.</w:t>
            </w:r>
          </w:p>
        </w:tc>
        <w:tc>
          <w:tcPr>
            <w:tcW w:w="3798" w:type="dxa"/>
            <w:tcBorders>
              <w:top w:val="nil"/>
              <w:left w:val="nil"/>
              <w:bottom w:val="nil"/>
              <w:right w:val="single" w:sz="4" w:space="0" w:color="000000"/>
            </w:tcBorders>
            <w:shd w:val="clear" w:color="000000" w:fill="FFFFFF"/>
            <w:hideMark/>
          </w:tcPr>
          <w:p w14:paraId="7564C7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132.- Jurados en el exterior</w:t>
            </w:r>
            <w:r w:rsidRPr="00222F34">
              <w:rPr>
                <w:rFonts w:ascii="Calibri" w:eastAsia="Times New Roman" w:hAnsi="Calibri" w:cs="Calibri"/>
                <w:color w:val="000000"/>
                <w:lang w:val="es-CO" w:eastAsia="es-CO" w:bidi="ar-SA"/>
              </w:rPr>
              <w:t>. La lista de los jurados para las votaciones en el exterior estará integrada por cinco (5) ciudadanos colombianos en ejercicio y será elaborada por el funcionario diplomático o consular correspondiente, quien establecerá el, o los días, en que deberá prestar el servicio.</w:t>
            </w:r>
          </w:p>
        </w:tc>
        <w:tc>
          <w:tcPr>
            <w:tcW w:w="1480" w:type="dxa"/>
            <w:tcBorders>
              <w:top w:val="nil"/>
              <w:left w:val="nil"/>
              <w:bottom w:val="nil"/>
              <w:right w:val="single" w:sz="4" w:space="0" w:color="000000"/>
            </w:tcBorders>
            <w:shd w:val="clear" w:color="000000" w:fill="FFFFFF"/>
            <w:hideMark/>
          </w:tcPr>
          <w:p w14:paraId="363A80D6" w14:textId="7F31175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298B603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98B87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funcionarios electorales o consulares podrán, para la votación en el exterior, motivar mediante acto administrativo, el ejercicio de los jurados de votación hasta los 62 años cumplidos. </w:t>
            </w:r>
          </w:p>
        </w:tc>
        <w:tc>
          <w:tcPr>
            <w:tcW w:w="3798" w:type="dxa"/>
            <w:tcBorders>
              <w:top w:val="nil"/>
              <w:left w:val="nil"/>
              <w:bottom w:val="nil"/>
              <w:right w:val="single" w:sz="4" w:space="0" w:color="000000"/>
            </w:tcBorders>
            <w:shd w:val="clear" w:color="000000" w:fill="FFFFFF"/>
            <w:hideMark/>
          </w:tcPr>
          <w:p w14:paraId="28D5C0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electorales o consulares podrán, para la votación en el exterior, motivar mediante acto administrativo, el ejercicio de los jurados de votación hasta los sesenta (60) años cumplidos.</w:t>
            </w:r>
          </w:p>
        </w:tc>
        <w:tc>
          <w:tcPr>
            <w:tcW w:w="3798" w:type="dxa"/>
            <w:tcBorders>
              <w:top w:val="nil"/>
              <w:left w:val="nil"/>
              <w:bottom w:val="nil"/>
              <w:right w:val="single" w:sz="4" w:space="0" w:color="000000"/>
            </w:tcBorders>
            <w:shd w:val="clear" w:color="000000" w:fill="FFFFFF"/>
            <w:hideMark/>
          </w:tcPr>
          <w:p w14:paraId="2B3B39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electorales o consulares podrán, para la votación en el exterior, motivar mediante acto administrativo, el ejercicio de los jurados de votación hasta los sesenta (60) años cumplidos.</w:t>
            </w:r>
          </w:p>
        </w:tc>
        <w:tc>
          <w:tcPr>
            <w:tcW w:w="1480" w:type="dxa"/>
            <w:tcBorders>
              <w:top w:val="nil"/>
              <w:left w:val="nil"/>
              <w:bottom w:val="nil"/>
              <w:right w:val="single" w:sz="4" w:space="0" w:color="000000"/>
            </w:tcBorders>
            <w:shd w:val="clear" w:color="000000" w:fill="FFFFFF"/>
            <w:hideMark/>
          </w:tcPr>
          <w:p w14:paraId="1A0E16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FD1B16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2F7457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 </w:t>
            </w:r>
          </w:p>
        </w:tc>
        <w:tc>
          <w:tcPr>
            <w:tcW w:w="3798" w:type="dxa"/>
            <w:tcBorders>
              <w:top w:val="nil"/>
              <w:left w:val="nil"/>
              <w:bottom w:val="nil"/>
              <w:right w:val="single" w:sz="4" w:space="0" w:color="000000"/>
            </w:tcBorders>
            <w:shd w:val="clear" w:color="000000" w:fill="FFFFFF"/>
            <w:hideMark/>
          </w:tcPr>
          <w:p w14:paraId="432FFE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p>
        </w:tc>
        <w:tc>
          <w:tcPr>
            <w:tcW w:w="3798" w:type="dxa"/>
            <w:tcBorders>
              <w:top w:val="nil"/>
              <w:left w:val="nil"/>
              <w:bottom w:val="nil"/>
              <w:right w:val="single" w:sz="4" w:space="0" w:color="000000"/>
            </w:tcBorders>
            <w:shd w:val="clear" w:color="000000" w:fill="FFFFFF"/>
            <w:hideMark/>
          </w:tcPr>
          <w:p w14:paraId="2355B1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p>
        </w:tc>
        <w:tc>
          <w:tcPr>
            <w:tcW w:w="1480" w:type="dxa"/>
            <w:tcBorders>
              <w:top w:val="nil"/>
              <w:left w:val="nil"/>
              <w:bottom w:val="nil"/>
              <w:right w:val="single" w:sz="4" w:space="0" w:color="000000"/>
            </w:tcBorders>
            <w:shd w:val="clear" w:color="000000" w:fill="FFFFFF"/>
            <w:hideMark/>
          </w:tcPr>
          <w:p w14:paraId="2986B4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DF82D2"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A905D7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habilitará medios electrónicos para que ciudadanos que deseen postularse para ser jurados de votación puedan hacerlo. </w:t>
            </w:r>
          </w:p>
        </w:tc>
        <w:tc>
          <w:tcPr>
            <w:tcW w:w="3798" w:type="dxa"/>
            <w:tcBorders>
              <w:top w:val="nil"/>
              <w:left w:val="nil"/>
              <w:bottom w:val="single" w:sz="4" w:space="0" w:color="000000"/>
              <w:right w:val="single" w:sz="4" w:space="0" w:color="000000"/>
            </w:tcBorders>
            <w:shd w:val="clear" w:color="000000" w:fill="FFFFFF"/>
            <w:hideMark/>
          </w:tcPr>
          <w:p w14:paraId="2F5F7B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Registraduría Nacional del Estado Civil habilitará medios electrónicos para que ciudadanos que deseen postularse para ser jurados de votación puedan hacerlo.</w:t>
            </w:r>
          </w:p>
        </w:tc>
        <w:tc>
          <w:tcPr>
            <w:tcW w:w="3798" w:type="dxa"/>
            <w:tcBorders>
              <w:top w:val="nil"/>
              <w:left w:val="nil"/>
              <w:bottom w:val="single" w:sz="4" w:space="0" w:color="000000"/>
              <w:right w:val="single" w:sz="4" w:space="0" w:color="000000"/>
            </w:tcBorders>
            <w:shd w:val="clear" w:color="000000" w:fill="FFFFFF"/>
            <w:hideMark/>
          </w:tcPr>
          <w:p w14:paraId="7D1C1B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Registraduría Nacional del Estado Civil habilitará medios electrónicos para que ciudadanos que deseen postularse para ser jurados de votación puedan hacerlo.</w:t>
            </w:r>
          </w:p>
        </w:tc>
        <w:tc>
          <w:tcPr>
            <w:tcW w:w="1480" w:type="dxa"/>
            <w:tcBorders>
              <w:top w:val="nil"/>
              <w:left w:val="nil"/>
              <w:bottom w:val="single" w:sz="4" w:space="0" w:color="000000"/>
              <w:right w:val="single" w:sz="4" w:space="0" w:color="000000"/>
            </w:tcBorders>
            <w:shd w:val="clear" w:color="000000" w:fill="FFFFFF"/>
            <w:hideMark/>
          </w:tcPr>
          <w:p w14:paraId="3A69C6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C2AF9EC"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47AA583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129.- Capacitación de los jurados de votación.</w:t>
            </w:r>
            <w:r w:rsidRPr="00222F34">
              <w:rPr>
                <w:rFonts w:ascii="Calibri" w:eastAsia="Times New Roman" w:hAnsi="Calibri" w:cs="Calibri"/>
                <w:color w:val="000000"/>
                <w:lang w:val="es-CO" w:eastAsia="es-CO" w:bidi="ar-SA"/>
              </w:rPr>
              <w:t xml:space="preserve"> 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 La concurrencia a estas capacitaciones será obligatoria para el desarrollo de su función, so pena de incurrir en la sanción contemplada en este código.  </w:t>
            </w:r>
          </w:p>
        </w:tc>
        <w:tc>
          <w:tcPr>
            <w:tcW w:w="3798" w:type="dxa"/>
            <w:tcBorders>
              <w:top w:val="nil"/>
              <w:left w:val="nil"/>
              <w:bottom w:val="nil"/>
              <w:right w:val="single" w:sz="4" w:space="0" w:color="000000"/>
            </w:tcBorders>
            <w:shd w:val="clear" w:color="000000" w:fill="FFFFFF"/>
            <w:hideMark/>
          </w:tcPr>
          <w:p w14:paraId="6D0699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133.- Capacitación de los jurados de votación. </w:t>
            </w:r>
            <w:r w:rsidRPr="00222F34">
              <w:rPr>
                <w:rFonts w:ascii="Calibri" w:eastAsia="Times New Roman" w:hAnsi="Calibri" w:cs="Calibri"/>
                <w:color w:val="000000"/>
                <w:lang w:val="es-CO" w:eastAsia="es-CO" w:bidi="ar-SA"/>
              </w:rPr>
              <w:t>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 La concurrencia a estas capacitaciones será obligatoria para el desarrollo de su función, so pena de incurrir en la sanción contemplada en este código.</w:t>
            </w:r>
          </w:p>
        </w:tc>
        <w:tc>
          <w:tcPr>
            <w:tcW w:w="3798" w:type="dxa"/>
            <w:tcBorders>
              <w:top w:val="nil"/>
              <w:left w:val="nil"/>
              <w:bottom w:val="nil"/>
              <w:right w:val="single" w:sz="4" w:space="0" w:color="000000"/>
            </w:tcBorders>
            <w:shd w:val="clear" w:color="000000" w:fill="FFFFFF"/>
            <w:hideMark/>
          </w:tcPr>
          <w:p w14:paraId="313349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133.- Capacitación de los jurados de votación. </w:t>
            </w:r>
            <w:r w:rsidRPr="00222F34">
              <w:rPr>
                <w:rFonts w:ascii="Calibri" w:eastAsia="Times New Roman" w:hAnsi="Calibri" w:cs="Calibri"/>
                <w:color w:val="000000"/>
                <w:lang w:val="es-CO" w:eastAsia="es-CO" w:bidi="ar-SA"/>
              </w:rPr>
              <w:t>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 La concurrencia a estas capacitaciones será obligatoria para el desarrollo de su función, so pena de incurrir en la sanción contemplada en este código.</w:t>
            </w:r>
          </w:p>
        </w:tc>
        <w:tc>
          <w:tcPr>
            <w:tcW w:w="1480" w:type="dxa"/>
            <w:tcBorders>
              <w:top w:val="nil"/>
              <w:left w:val="nil"/>
              <w:bottom w:val="nil"/>
              <w:right w:val="single" w:sz="4" w:space="0" w:color="000000"/>
            </w:tcBorders>
            <w:shd w:val="clear" w:color="000000" w:fill="FFFFFF"/>
            <w:hideMark/>
          </w:tcPr>
          <w:p w14:paraId="1799A3BB" w14:textId="0756287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80F2388" w14:textId="77777777" w:rsidTr="00222F34">
        <w:trPr>
          <w:trHeight w:val="1590"/>
        </w:trPr>
        <w:tc>
          <w:tcPr>
            <w:tcW w:w="3798" w:type="dxa"/>
            <w:tcBorders>
              <w:top w:val="nil"/>
              <w:left w:val="single" w:sz="4" w:space="0" w:color="000000"/>
              <w:bottom w:val="nil"/>
              <w:right w:val="single" w:sz="4" w:space="0" w:color="000000"/>
            </w:tcBorders>
            <w:shd w:val="clear" w:color="000000" w:fill="FFFFFF"/>
            <w:hideMark/>
          </w:tcPr>
          <w:p w14:paraId="17C2CD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hará uso durante un (1) mes antes de la realización de la elección, del espectro electromagnético destinado a los concesionarios y operadores privados de radio y televisión, en los espacios asignados por la autoridad competente:, con el propósito de difundir tanto las capacitaciones a los jurados de votación designados como </w:t>
            </w:r>
            <w:r w:rsidRPr="00222F34">
              <w:rPr>
                <w:rFonts w:ascii="Calibri" w:eastAsia="Times New Roman" w:hAnsi="Calibri" w:cs="Calibri"/>
                <w:color w:val="000000"/>
                <w:lang w:val="es-CO" w:eastAsia="es-CO" w:bidi="ar-SA"/>
              </w:rPr>
              <w:lastRenderedPageBreak/>
              <w:t xml:space="preserve">toda información útil para desempeñar esta función. </w:t>
            </w:r>
          </w:p>
        </w:tc>
        <w:tc>
          <w:tcPr>
            <w:tcW w:w="3798" w:type="dxa"/>
            <w:tcBorders>
              <w:top w:val="nil"/>
              <w:left w:val="nil"/>
              <w:bottom w:val="nil"/>
              <w:right w:val="single" w:sz="4" w:space="0" w:color="000000"/>
            </w:tcBorders>
            <w:shd w:val="clear" w:color="000000" w:fill="FFFFFF"/>
            <w:hideMark/>
          </w:tcPr>
          <w:p w14:paraId="274E5C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hará uso durante un (1) mes antes de la realización de la elección, del espectro electromagnético destinado a los concesionarios y operadores privados de radio y televisión, en los espacios asignados por la autoridad competente:, con el propósito de difundir tanto las capacitaciones a los jurados de votación designados como </w:t>
            </w:r>
            <w:r w:rsidRPr="00222F34">
              <w:rPr>
                <w:rFonts w:ascii="Calibri" w:eastAsia="Times New Roman" w:hAnsi="Calibri" w:cs="Calibri"/>
                <w:color w:val="000000"/>
                <w:lang w:val="es-CO" w:eastAsia="es-CO" w:bidi="ar-SA"/>
              </w:rPr>
              <w:lastRenderedPageBreak/>
              <w:t>toda información útil para desempeñar esta función.</w:t>
            </w:r>
          </w:p>
        </w:tc>
        <w:tc>
          <w:tcPr>
            <w:tcW w:w="3798" w:type="dxa"/>
            <w:tcBorders>
              <w:top w:val="nil"/>
              <w:left w:val="nil"/>
              <w:bottom w:val="nil"/>
              <w:right w:val="single" w:sz="4" w:space="0" w:color="000000"/>
            </w:tcBorders>
            <w:shd w:val="clear" w:color="000000" w:fill="FFFFFF"/>
            <w:hideMark/>
          </w:tcPr>
          <w:p w14:paraId="043F9F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hará uso durante un (1) mes antes de la realización de la elección, del espectro electromagnético destinado a los concesionarios y operadores privados de radio y televisión, en los espacios asignados por la autoridad competente:, con el propósito de difundir tanto las capacitaciones a los jurados de votación designados como </w:t>
            </w:r>
            <w:r w:rsidRPr="00222F34">
              <w:rPr>
                <w:rFonts w:ascii="Calibri" w:eastAsia="Times New Roman" w:hAnsi="Calibri" w:cs="Calibri"/>
                <w:color w:val="000000"/>
                <w:lang w:val="es-CO" w:eastAsia="es-CO" w:bidi="ar-SA"/>
              </w:rPr>
              <w:lastRenderedPageBreak/>
              <w:t>toda información útil para desempeñar esta función.</w:t>
            </w:r>
          </w:p>
        </w:tc>
        <w:tc>
          <w:tcPr>
            <w:tcW w:w="1480" w:type="dxa"/>
            <w:tcBorders>
              <w:top w:val="nil"/>
              <w:left w:val="nil"/>
              <w:bottom w:val="nil"/>
              <w:right w:val="single" w:sz="4" w:space="0" w:color="000000"/>
            </w:tcBorders>
            <w:shd w:val="clear" w:color="000000" w:fill="FFFFFF"/>
            <w:hideMark/>
          </w:tcPr>
          <w:p w14:paraId="17CE15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4A19E7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7D2FD7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Cuando la Registraduría Nacional del Estado Civil implemente soluciones tecnológicas con el fin de asistir el ejercido del derecho al voto, capacitará y brindará apoyo técnico a los jurados de votación en el manejo de las herramientas para el desarrollo satisfactorio de sus funciones. </w:t>
            </w:r>
          </w:p>
        </w:tc>
        <w:tc>
          <w:tcPr>
            <w:tcW w:w="3798" w:type="dxa"/>
            <w:tcBorders>
              <w:top w:val="nil"/>
              <w:left w:val="nil"/>
              <w:bottom w:val="nil"/>
              <w:right w:val="single" w:sz="4" w:space="0" w:color="000000"/>
            </w:tcBorders>
            <w:shd w:val="clear" w:color="000000" w:fill="FFFFFF"/>
            <w:hideMark/>
          </w:tcPr>
          <w:p w14:paraId="545359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la Registraduría Nacional del Estado Civil implemente soluciones tecnológicas con el fin de asistir el ejercido del derecho al voto, capacitará y brindará apoyo técnico a los jurados de votación en el manejo de las herramientas para el desarrollo satisfactorio de sus funciones.</w:t>
            </w:r>
          </w:p>
        </w:tc>
        <w:tc>
          <w:tcPr>
            <w:tcW w:w="3798" w:type="dxa"/>
            <w:tcBorders>
              <w:top w:val="nil"/>
              <w:left w:val="nil"/>
              <w:bottom w:val="nil"/>
              <w:right w:val="single" w:sz="4" w:space="0" w:color="000000"/>
            </w:tcBorders>
            <w:shd w:val="clear" w:color="000000" w:fill="FFFFFF"/>
            <w:hideMark/>
          </w:tcPr>
          <w:p w14:paraId="1C904E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la Registraduría Nacional del Estado Civil implemente soluciones tecnológicas con el fin de asistir el ejercido del derecho al voto, capacitará y brindará apoyo técnico a los jurados de votación en el manejo de las herramientas para el desarrollo satisfactorio de sus funciones.</w:t>
            </w:r>
          </w:p>
        </w:tc>
        <w:tc>
          <w:tcPr>
            <w:tcW w:w="1480" w:type="dxa"/>
            <w:tcBorders>
              <w:top w:val="nil"/>
              <w:left w:val="nil"/>
              <w:bottom w:val="nil"/>
              <w:right w:val="single" w:sz="4" w:space="0" w:color="000000"/>
            </w:tcBorders>
            <w:shd w:val="clear" w:color="000000" w:fill="FFFFFF"/>
            <w:hideMark/>
          </w:tcPr>
          <w:p w14:paraId="67312D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1B2D4BF"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749B14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empleadores tienen la obligación de conceder permiso remunerado a los trabajadores que cumplan con la función de jurados de votación para asistir a la correspondiente capacitación y a la jornada del día de la elección. </w:t>
            </w:r>
          </w:p>
        </w:tc>
        <w:tc>
          <w:tcPr>
            <w:tcW w:w="3798" w:type="dxa"/>
            <w:tcBorders>
              <w:top w:val="nil"/>
              <w:left w:val="nil"/>
              <w:bottom w:val="single" w:sz="4" w:space="0" w:color="000000"/>
              <w:right w:val="single" w:sz="4" w:space="0" w:color="000000"/>
            </w:tcBorders>
            <w:shd w:val="clear" w:color="000000" w:fill="FFFFFF"/>
            <w:hideMark/>
          </w:tcPr>
          <w:p w14:paraId="512377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empleadores tienen la obligación de conceder permiso remunerado a los trabajadores que cumplan con la función de jurados de votación para asistir a la correspondiente capacitación y a la jornada del día de la elección.</w:t>
            </w:r>
          </w:p>
        </w:tc>
        <w:tc>
          <w:tcPr>
            <w:tcW w:w="3798" w:type="dxa"/>
            <w:tcBorders>
              <w:top w:val="nil"/>
              <w:left w:val="nil"/>
              <w:bottom w:val="single" w:sz="4" w:space="0" w:color="000000"/>
              <w:right w:val="single" w:sz="4" w:space="0" w:color="000000"/>
            </w:tcBorders>
            <w:shd w:val="clear" w:color="000000" w:fill="FFFFFF"/>
            <w:hideMark/>
          </w:tcPr>
          <w:p w14:paraId="58AED0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empleadores tienen la obligación de conceder permiso remunerado a los trabajadores que cumplan con la función de jurados de votación para asistir a la correspondiente capacitación y a la jornada del día de la elección.</w:t>
            </w:r>
          </w:p>
        </w:tc>
        <w:tc>
          <w:tcPr>
            <w:tcW w:w="1480" w:type="dxa"/>
            <w:tcBorders>
              <w:top w:val="nil"/>
              <w:left w:val="nil"/>
              <w:bottom w:val="single" w:sz="4" w:space="0" w:color="000000"/>
              <w:right w:val="single" w:sz="4" w:space="0" w:color="000000"/>
            </w:tcBorders>
            <w:shd w:val="clear" w:color="000000" w:fill="FFFFFF"/>
            <w:hideMark/>
          </w:tcPr>
          <w:p w14:paraId="456FEB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5163C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4989A9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130.- Estímulos a los jurados de votación.</w:t>
            </w:r>
            <w:r w:rsidRPr="00222F34">
              <w:rPr>
                <w:rFonts w:ascii="Calibri" w:eastAsia="Times New Roman" w:hAnsi="Calibri" w:cs="Calibri"/>
                <w:color w:val="000000"/>
                <w:lang w:val="es-CO" w:eastAsia="es-CO" w:bidi="ar-SA"/>
              </w:rPr>
              <w:t xml:space="preserve"> Los ciudadanos que ejerzan el cargo de jurado de votación y que cumplan debidamente todas las funciones correspondientes, tendrán derecho a un (1) día de descanso remunerado.  </w:t>
            </w:r>
          </w:p>
        </w:tc>
        <w:tc>
          <w:tcPr>
            <w:tcW w:w="3798" w:type="dxa"/>
            <w:tcBorders>
              <w:top w:val="nil"/>
              <w:left w:val="nil"/>
              <w:bottom w:val="nil"/>
              <w:right w:val="single" w:sz="4" w:space="0" w:color="000000"/>
            </w:tcBorders>
            <w:shd w:val="clear" w:color="000000" w:fill="FFFFFF"/>
            <w:hideMark/>
          </w:tcPr>
          <w:p w14:paraId="1D6FB9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134.- Estímulos a los jurados de votación</w:t>
            </w:r>
            <w:r w:rsidRPr="00222F34">
              <w:rPr>
                <w:rFonts w:ascii="Calibri" w:eastAsia="Times New Roman" w:hAnsi="Calibri" w:cs="Calibri"/>
                <w:color w:val="000000"/>
                <w:lang w:val="es-CO" w:eastAsia="es-CO" w:bidi="ar-SA"/>
              </w:rPr>
              <w:t>. Los ciudadanos que ejerzan el cargo de jurado de votación y que cumplan debidamente todas las funciones correspondientes, tendrán derecho a dos (2) días de descanso remunerado.</w:t>
            </w:r>
          </w:p>
        </w:tc>
        <w:tc>
          <w:tcPr>
            <w:tcW w:w="3798" w:type="dxa"/>
            <w:tcBorders>
              <w:top w:val="nil"/>
              <w:left w:val="nil"/>
              <w:bottom w:val="nil"/>
              <w:right w:val="single" w:sz="4" w:space="0" w:color="000000"/>
            </w:tcBorders>
            <w:shd w:val="clear" w:color="000000" w:fill="FFFFFF"/>
            <w:hideMark/>
          </w:tcPr>
          <w:p w14:paraId="621DB67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134.- Estímulos a los jurados de votación.</w:t>
            </w:r>
            <w:r w:rsidRPr="00222F34">
              <w:rPr>
                <w:rFonts w:ascii="Calibri" w:eastAsia="Times New Roman" w:hAnsi="Calibri" w:cs="Calibri"/>
                <w:color w:val="000000"/>
                <w:lang w:val="es-CO" w:eastAsia="es-CO" w:bidi="ar-SA"/>
              </w:rPr>
              <w:t xml:space="preserve"> Los ciudadanos que ejerzan el cargo de jurado de votación y que cumplan debidamente todas las funciones correspondientes, tendrán derecho a un (1) día de descanso remunerado.  </w:t>
            </w:r>
          </w:p>
        </w:tc>
        <w:tc>
          <w:tcPr>
            <w:tcW w:w="1480" w:type="dxa"/>
            <w:tcBorders>
              <w:top w:val="nil"/>
              <w:left w:val="nil"/>
              <w:bottom w:val="nil"/>
              <w:right w:val="single" w:sz="4" w:space="0" w:color="000000"/>
            </w:tcBorders>
            <w:shd w:val="clear" w:color="000000" w:fill="FFFFFF"/>
            <w:hideMark/>
          </w:tcPr>
          <w:p w14:paraId="28EF16FB" w14:textId="1F77E97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r w:rsidRPr="00222F34">
              <w:rPr>
                <w:rFonts w:ascii="Calibri" w:eastAsia="Times New Roman" w:hAnsi="Calibri" w:cs="Calibri"/>
                <w:color w:val="000000"/>
                <w:lang w:val="es-CO" w:eastAsia="es-CO" w:bidi="ar-SA"/>
              </w:rPr>
              <w:t xml:space="preserve"> </w:t>
            </w:r>
          </w:p>
        </w:tc>
      </w:tr>
      <w:tr w:rsidR="00CD4925" w:rsidRPr="00222F34" w14:paraId="29E9AE1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86E16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jurados remanentes que habiéndose presentado oportunamente para prestar el servicio, y no fue necesaria su designación, tendrán derecho a medio día de descanso remunerado. Este beneficio podrá hacerse efectivo dentro de los cuarenta y cinco (45) días hábiles siguientes a la votación y acumularse con el periodo de vacaciones. </w:t>
            </w:r>
          </w:p>
        </w:tc>
        <w:tc>
          <w:tcPr>
            <w:tcW w:w="3798" w:type="dxa"/>
            <w:tcBorders>
              <w:top w:val="nil"/>
              <w:left w:val="nil"/>
              <w:bottom w:val="nil"/>
              <w:right w:val="single" w:sz="4" w:space="0" w:color="000000"/>
            </w:tcBorders>
            <w:shd w:val="clear" w:color="000000" w:fill="FFFFFF"/>
            <w:hideMark/>
          </w:tcPr>
          <w:p w14:paraId="0265B9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jurados remanentes que habiéndose presentado oportunamente para prestar el servicio, y no fue necesaria su designación, tendrán derecho a medio día de descanso remunerado.</w:t>
            </w:r>
          </w:p>
        </w:tc>
        <w:tc>
          <w:tcPr>
            <w:tcW w:w="3798" w:type="dxa"/>
            <w:tcBorders>
              <w:top w:val="nil"/>
              <w:left w:val="nil"/>
              <w:bottom w:val="nil"/>
              <w:right w:val="single" w:sz="4" w:space="0" w:color="000000"/>
            </w:tcBorders>
            <w:shd w:val="clear" w:color="000000" w:fill="FFFFFF"/>
            <w:hideMark/>
          </w:tcPr>
          <w:p w14:paraId="139326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jurados remanentes que habiéndose presentado oportunamente para prestar el servicio, y no fue necesaria su designación, tendrán derecho a medio día de descanso remunerado. Este beneficio podrá hacerse efectivo dentro de los cuarenta y cinco (45) días hábiles siguientes a la votación y acumularse con el periodo de vacaciones. </w:t>
            </w:r>
          </w:p>
        </w:tc>
        <w:tc>
          <w:tcPr>
            <w:tcW w:w="1480" w:type="dxa"/>
            <w:tcBorders>
              <w:top w:val="nil"/>
              <w:left w:val="nil"/>
              <w:bottom w:val="nil"/>
              <w:right w:val="single" w:sz="4" w:space="0" w:color="000000"/>
            </w:tcBorders>
            <w:shd w:val="clear" w:color="000000" w:fill="FFFFFF"/>
            <w:hideMark/>
          </w:tcPr>
          <w:p w14:paraId="0F28C3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F314129"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04C82A9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0E1741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Estos beneficios podrán hacerse efectivos dentro de los cuarenta y cinco (45) días hábiles siguientes a la votación y acumularse con el periodo de vacaciones.</w:t>
            </w:r>
          </w:p>
        </w:tc>
        <w:tc>
          <w:tcPr>
            <w:tcW w:w="3798" w:type="dxa"/>
            <w:tcBorders>
              <w:top w:val="nil"/>
              <w:left w:val="nil"/>
              <w:bottom w:val="nil"/>
              <w:right w:val="single" w:sz="4" w:space="0" w:color="000000"/>
            </w:tcBorders>
            <w:shd w:val="clear" w:color="000000" w:fill="FFFFFF"/>
            <w:hideMark/>
          </w:tcPr>
          <w:p w14:paraId="2D2625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2B8A99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5952F9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F9DAF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expedirá la constancia que acredite el ejercicio del cargo como jurado de votación o como jurado de votación remanente y reglamentará el procedimiento correspondiente. </w:t>
            </w:r>
          </w:p>
        </w:tc>
        <w:tc>
          <w:tcPr>
            <w:tcW w:w="3798" w:type="dxa"/>
            <w:tcBorders>
              <w:top w:val="nil"/>
              <w:left w:val="nil"/>
              <w:bottom w:val="nil"/>
              <w:right w:val="single" w:sz="4" w:space="0" w:color="000000"/>
            </w:tcBorders>
            <w:shd w:val="clear" w:color="000000" w:fill="FFFFFF"/>
            <w:hideMark/>
          </w:tcPr>
          <w:p w14:paraId="7F68EA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expedirá la constancia que acredite el ejercicio del cargo como jurado de votación o como jurado de votación remanente y reglamentará el procedimiento correspondiente.</w:t>
            </w:r>
          </w:p>
        </w:tc>
        <w:tc>
          <w:tcPr>
            <w:tcW w:w="3798" w:type="dxa"/>
            <w:tcBorders>
              <w:top w:val="nil"/>
              <w:left w:val="nil"/>
              <w:bottom w:val="nil"/>
              <w:right w:val="single" w:sz="4" w:space="0" w:color="000000"/>
            </w:tcBorders>
            <w:shd w:val="clear" w:color="000000" w:fill="FFFFFF"/>
            <w:hideMark/>
          </w:tcPr>
          <w:p w14:paraId="76FE86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expedirá la constancia que acredite el ejercicio del cargo como jurado de votación o como jurado de votación remanente y reglamentará el procedimiento correspondiente. </w:t>
            </w:r>
          </w:p>
        </w:tc>
        <w:tc>
          <w:tcPr>
            <w:tcW w:w="1480" w:type="dxa"/>
            <w:tcBorders>
              <w:top w:val="nil"/>
              <w:left w:val="nil"/>
              <w:bottom w:val="nil"/>
              <w:right w:val="single" w:sz="4" w:space="0" w:color="000000"/>
            </w:tcBorders>
            <w:shd w:val="clear" w:color="000000" w:fill="FFFFFF"/>
            <w:hideMark/>
          </w:tcPr>
          <w:p w14:paraId="1D71E6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FC49EA3"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37506E6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empleadores tienen la obligación de conceder este permiso remunerado a los trabajadores que cumplieron con la función de jurados de votación tanto en calidad principal como remanente.   </w:t>
            </w:r>
          </w:p>
        </w:tc>
        <w:tc>
          <w:tcPr>
            <w:tcW w:w="3798" w:type="dxa"/>
            <w:tcBorders>
              <w:top w:val="nil"/>
              <w:left w:val="nil"/>
              <w:bottom w:val="single" w:sz="4" w:space="0" w:color="000000"/>
              <w:right w:val="single" w:sz="4" w:space="0" w:color="000000"/>
            </w:tcBorders>
            <w:shd w:val="clear" w:color="000000" w:fill="FFFFFF"/>
            <w:hideMark/>
          </w:tcPr>
          <w:p w14:paraId="23A853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empleadores tienen la obligación de conceder este permiso remunerado a los trabajadores que cumplieron con la función de jurados de votación tanto en calidad principal como remanente.</w:t>
            </w:r>
          </w:p>
        </w:tc>
        <w:tc>
          <w:tcPr>
            <w:tcW w:w="3798" w:type="dxa"/>
            <w:tcBorders>
              <w:top w:val="nil"/>
              <w:left w:val="nil"/>
              <w:bottom w:val="single" w:sz="4" w:space="0" w:color="000000"/>
              <w:right w:val="single" w:sz="4" w:space="0" w:color="000000"/>
            </w:tcBorders>
            <w:shd w:val="clear" w:color="000000" w:fill="FFFFFF"/>
            <w:hideMark/>
          </w:tcPr>
          <w:p w14:paraId="0B97B5B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empleadores tienen la obligación de conceder este permiso remunerado a los trabajadores que cumplieron con la función de jurados de votación tanto en calidad principal como remanente.   </w:t>
            </w:r>
          </w:p>
        </w:tc>
        <w:tc>
          <w:tcPr>
            <w:tcW w:w="1480" w:type="dxa"/>
            <w:tcBorders>
              <w:top w:val="nil"/>
              <w:left w:val="nil"/>
              <w:bottom w:val="single" w:sz="4" w:space="0" w:color="000000"/>
              <w:right w:val="single" w:sz="4" w:space="0" w:color="000000"/>
            </w:tcBorders>
            <w:shd w:val="clear" w:color="000000" w:fill="FFFFFF"/>
            <w:hideMark/>
          </w:tcPr>
          <w:p w14:paraId="5623A0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E269A5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506A73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131.- Conductas sancionables con multa a los jurados de votación.</w:t>
            </w:r>
            <w:r w:rsidRPr="00222F34">
              <w:rPr>
                <w:rFonts w:ascii="Calibri" w:eastAsia="Times New Roman" w:hAnsi="Calibri" w:cs="Calibri"/>
                <w:color w:val="000000"/>
                <w:lang w:val="es-CO" w:eastAsia="es-CO" w:bidi="ar-SA"/>
              </w:rPr>
              <w:t xml:space="preserve"> Son conductas dolosas y gravemente culposas sancionables con </w:t>
            </w:r>
            <w:r w:rsidRPr="00222F34">
              <w:rPr>
                <w:rFonts w:ascii="Calibri" w:eastAsia="Times New Roman" w:hAnsi="Calibri" w:cs="Calibri"/>
                <w:color w:val="000000"/>
                <w:lang w:val="es-CO" w:eastAsia="es-CO" w:bidi="ar-SA"/>
              </w:rPr>
              <w:lastRenderedPageBreak/>
              <w:t xml:space="preserve">multas a los ciudadanos designados como jurados de votación, cuando: </w:t>
            </w:r>
          </w:p>
        </w:tc>
        <w:tc>
          <w:tcPr>
            <w:tcW w:w="3798" w:type="dxa"/>
            <w:tcBorders>
              <w:top w:val="nil"/>
              <w:left w:val="nil"/>
              <w:bottom w:val="nil"/>
              <w:right w:val="single" w:sz="4" w:space="0" w:color="000000"/>
            </w:tcBorders>
            <w:shd w:val="clear" w:color="000000" w:fill="FFFFFF"/>
            <w:hideMark/>
          </w:tcPr>
          <w:p w14:paraId="0B498D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135.- Conductas sancionables con multa a los jurados de votación.</w:t>
            </w:r>
            <w:r w:rsidRPr="00222F34">
              <w:rPr>
                <w:rFonts w:ascii="Calibri" w:eastAsia="Times New Roman" w:hAnsi="Calibri" w:cs="Calibri"/>
                <w:color w:val="000000"/>
                <w:lang w:val="es-CO" w:eastAsia="es-CO" w:bidi="ar-SA"/>
              </w:rPr>
              <w:t xml:space="preserve"> Son conductas sancionables con multas a los ciudadanos designados como jurados de votación, cuando:</w:t>
            </w:r>
          </w:p>
        </w:tc>
        <w:tc>
          <w:tcPr>
            <w:tcW w:w="3798" w:type="dxa"/>
            <w:tcBorders>
              <w:top w:val="nil"/>
              <w:left w:val="nil"/>
              <w:bottom w:val="nil"/>
              <w:right w:val="single" w:sz="4" w:space="0" w:color="000000"/>
            </w:tcBorders>
            <w:shd w:val="clear" w:color="000000" w:fill="FFFFFF"/>
            <w:hideMark/>
          </w:tcPr>
          <w:p w14:paraId="1FD37F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135.- Conductas sancionables con multa a los jurados de votación.</w:t>
            </w:r>
            <w:r w:rsidRPr="00222F34">
              <w:rPr>
                <w:rFonts w:ascii="Calibri" w:eastAsia="Times New Roman" w:hAnsi="Calibri" w:cs="Calibri"/>
                <w:color w:val="000000"/>
                <w:lang w:val="es-CO" w:eastAsia="es-CO" w:bidi="ar-SA"/>
              </w:rPr>
              <w:t xml:space="preserve"> Son conductas sancionables con multas a los ciudadanos designados como jurados de votación, cuando:</w:t>
            </w:r>
          </w:p>
        </w:tc>
        <w:tc>
          <w:tcPr>
            <w:tcW w:w="1480" w:type="dxa"/>
            <w:tcBorders>
              <w:top w:val="nil"/>
              <w:left w:val="nil"/>
              <w:bottom w:val="nil"/>
              <w:right w:val="single" w:sz="4" w:space="0" w:color="000000"/>
            </w:tcBorders>
            <w:shd w:val="clear" w:color="000000" w:fill="FFFFFF"/>
            <w:hideMark/>
          </w:tcPr>
          <w:p w14:paraId="0FCB1D10" w14:textId="10F6BEF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2442D76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9FC10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Omita o entregue información falsa en el momento de la actualización del censo electoral. </w:t>
            </w:r>
          </w:p>
        </w:tc>
        <w:tc>
          <w:tcPr>
            <w:tcW w:w="3798" w:type="dxa"/>
            <w:tcBorders>
              <w:top w:val="nil"/>
              <w:left w:val="nil"/>
              <w:bottom w:val="nil"/>
              <w:right w:val="single" w:sz="4" w:space="0" w:color="000000"/>
            </w:tcBorders>
            <w:shd w:val="clear" w:color="000000" w:fill="FFFFFF"/>
            <w:hideMark/>
          </w:tcPr>
          <w:p w14:paraId="4608C2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Omita o entregue información falsa en el momento de la actualización del censo electoral</w:t>
            </w:r>
          </w:p>
        </w:tc>
        <w:tc>
          <w:tcPr>
            <w:tcW w:w="3798" w:type="dxa"/>
            <w:tcBorders>
              <w:top w:val="nil"/>
              <w:left w:val="nil"/>
              <w:bottom w:val="nil"/>
              <w:right w:val="single" w:sz="4" w:space="0" w:color="000000"/>
            </w:tcBorders>
            <w:shd w:val="clear" w:color="000000" w:fill="FFFFFF"/>
            <w:hideMark/>
          </w:tcPr>
          <w:p w14:paraId="591D01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Omita o entregue información falsa en el momento de la actualización del censo electoral</w:t>
            </w:r>
          </w:p>
        </w:tc>
        <w:tc>
          <w:tcPr>
            <w:tcW w:w="1480" w:type="dxa"/>
            <w:tcBorders>
              <w:top w:val="nil"/>
              <w:left w:val="nil"/>
              <w:bottom w:val="nil"/>
              <w:right w:val="single" w:sz="4" w:space="0" w:color="000000"/>
            </w:tcBorders>
            <w:shd w:val="clear" w:color="000000" w:fill="FFFFFF"/>
            <w:hideMark/>
          </w:tcPr>
          <w:p w14:paraId="48D166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353E8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34F71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No asista o abandone las capacitaciones presenciales, o remotas programadas por la Registraduría Nacional del Estado Civil. </w:t>
            </w:r>
          </w:p>
        </w:tc>
        <w:tc>
          <w:tcPr>
            <w:tcW w:w="3798" w:type="dxa"/>
            <w:tcBorders>
              <w:top w:val="nil"/>
              <w:left w:val="nil"/>
              <w:bottom w:val="nil"/>
              <w:right w:val="single" w:sz="4" w:space="0" w:color="000000"/>
            </w:tcBorders>
            <w:shd w:val="clear" w:color="000000" w:fill="FFFFFF"/>
            <w:hideMark/>
          </w:tcPr>
          <w:p w14:paraId="09B2B9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No asista o abandone las capacitaciones presenciales, o remotas programadas por la Registraduría Nacional del Estado Civil.</w:t>
            </w:r>
          </w:p>
        </w:tc>
        <w:tc>
          <w:tcPr>
            <w:tcW w:w="3798" w:type="dxa"/>
            <w:tcBorders>
              <w:top w:val="nil"/>
              <w:left w:val="nil"/>
              <w:bottom w:val="nil"/>
              <w:right w:val="single" w:sz="4" w:space="0" w:color="000000"/>
            </w:tcBorders>
            <w:shd w:val="clear" w:color="000000" w:fill="FFFFFF"/>
            <w:hideMark/>
          </w:tcPr>
          <w:p w14:paraId="28881E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No asista o abandone las capacitaciones presenciales, o remotas programadas por la Registraduría Nacional del Estado Civil.</w:t>
            </w:r>
          </w:p>
        </w:tc>
        <w:tc>
          <w:tcPr>
            <w:tcW w:w="1480" w:type="dxa"/>
            <w:tcBorders>
              <w:top w:val="nil"/>
              <w:left w:val="nil"/>
              <w:bottom w:val="nil"/>
              <w:right w:val="single" w:sz="4" w:space="0" w:color="000000"/>
            </w:tcBorders>
            <w:shd w:val="clear" w:color="000000" w:fill="FFFFFF"/>
            <w:hideMark/>
          </w:tcPr>
          <w:p w14:paraId="0902D8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DE052C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EACFA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No asista o abandone la mesa de votación asignada para desempeñar las funciones de jurado de votación. </w:t>
            </w:r>
          </w:p>
        </w:tc>
        <w:tc>
          <w:tcPr>
            <w:tcW w:w="3798" w:type="dxa"/>
            <w:tcBorders>
              <w:top w:val="nil"/>
              <w:left w:val="nil"/>
              <w:bottom w:val="nil"/>
              <w:right w:val="single" w:sz="4" w:space="0" w:color="000000"/>
            </w:tcBorders>
            <w:shd w:val="clear" w:color="000000" w:fill="FFFFFF"/>
            <w:hideMark/>
          </w:tcPr>
          <w:p w14:paraId="1D0F9C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 asista o abandone la mesa de votación asignada para desempeñar las funciones de jurado de votación, salvo en los casos de fuerza mayor o caso fortuito que puedan presentarse durante la jornada de elecciones, casos en los que deberán informar la situación al delegado del puesto de votación.</w:t>
            </w:r>
          </w:p>
        </w:tc>
        <w:tc>
          <w:tcPr>
            <w:tcW w:w="3798" w:type="dxa"/>
            <w:tcBorders>
              <w:top w:val="nil"/>
              <w:left w:val="nil"/>
              <w:bottom w:val="nil"/>
              <w:right w:val="single" w:sz="4" w:space="0" w:color="000000"/>
            </w:tcBorders>
            <w:shd w:val="clear" w:color="000000" w:fill="FFFFFF"/>
            <w:hideMark/>
          </w:tcPr>
          <w:p w14:paraId="7B0264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 asista o abandone la mesa de votación asignada para desempeñar las funciones de jurado de votación, salvo en los casos de fuerza mayor o caso fortuito que puedan presentarse durante la jornada de elecciones, casos en los que deberán informar la situación al delegado del puesto de votación.</w:t>
            </w:r>
          </w:p>
        </w:tc>
        <w:tc>
          <w:tcPr>
            <w:tcW w:w="1480" w:type="dxa"/>
            <w:tcBorders>
              <w:top w:val="nil"/>
              <w:left w:val="nil"/>
              <w:bottom w:val="nil"/>
              <w:right w:val="single" w:sz="4" w:space="0" w:color="000000"/>
            </w:tcBorders>
            <w:shd w:val="clear" w:color="000000" w:fill="FFFFFF"/>
            <w:hideMark/>
          </w:tcPr>
          <w:p w14:paraId="25E644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F233F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1D369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No firme las actas y documentos utilizados a partir del inicio del cumplimiento de la función pública transitoria como jurado de votación. </w:t>
            </w:r>
          </w:p>
        </w:tc>
        <w:tc>
          <w:tcPr>
            <w:tcW w:w="3798" w:type="dxa"/>
            <w:tcBorders>
              <w:top w:val="nil"/>
              <w:left w:val="nil"/>
              <w:bottom w:val="nil"/>
              <w:right w:val="single" w:sz="4" w:space="0" w:color="000000"/>
            </w:tcBorders>
            <w:shd w:val="clear" w:color="000000" w:fill="FFFFFF"/>
            <w:hideMark/>
          </w:tcPr>
          <w:p w14:paraId="568F37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No firme las actas y documentos utilizados a partir del inicio del cumplimiento de la función pública transitoria como jurado de votación.</w:t>
            </w:r>
          </w:p>
        </w:tc>
        <w:tc>
          <w:tcPr>
            <w:tcW w:w="3798" w:type="dxa"/>
            <w:tcBorders>
              <w:top w:val="nil"/>
              <w:left w:val="nil"/>
              <w:bottom w:val="nil"/>
              <w:right w:val="single" w:sz="4" w:space="0" w:color="000000"/>
            </w:tcBorders>
            <w:shd w:val="clear" w:color="000000" w:fill="FFFFFF"/>
            <w:hideMark/>
          </w:tcPr>
          <w:p w14:paraId="4F432D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No firme las actas y documentos utilizados a partir del inicio del cumplimiento de la función pública transitoria como jurado de votación.</w:t>
            </w:r>
          </w:p>
        </w:tc>
        <w:tc>
          <w:tcPr>
            <w:tcW w:w="1480" w:type="dxa"/>
            <w:tcBorders>
              <w:top w:val="nil"/>
              <w:left w:val="nil"/>
              <w:bottom w:val="nil"/>
              <w:right w:val="single" w:sz="4" w:space="0" w:color="000000"/>
            </w:tcBorders>
            <w:shd w:val="clear" w:color="000000" w:fill="FFFFFF"/>
            <w:hideMark/>
          </w:tcPr>
          <w:p w14:paraId="5F2914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7B107A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7C0B2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Incurran en tachaduras, borrones o enmendaduras en las actas o documentos, sin la debida aclaración en el espacio designado para tal fin. </w:t>
            </w:r>
          </w:p>
        </w:tc>
        <w:tc>
          <w:tcPr>
            <w:tcW w:w="3798" w:type="dxa"/>
            <w:tcBorders>
              <w:top w:val="nil"/>
              <w:left w:val="nil"/>
              <w:bottom w:val="nil"/>
              <w:right w:val="single" w:sz="4" w:space="0" w:color="000000"/>
            </w:tcBorders>
            <w:shd w:val="clear" w:color="000000" w:fill="FFFFFF"/>
            <w:hideMark/>
          </w:tcPr>
          <w:p w14:paraId="36951F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Incurran en tachaduras, borrones o enmendaduras en las actas o documentos, sin la debida aclaración en el espacio designado para tal fin.</w:t>
            </w:r>
          </w:p>
        </w:tc>
        <w:tc>
          <w:tcPr>
            <w:tcW w:w="3798" w:type="dxa"/>
            <w:tcBorders>
              <w:top w:val="nil"/>
              <w:left w:val="nil"/>
              <w:bottom w:val="nil"/>
              <w:right w:val="single" w:sz="4" w:space="0" w:color="000000"/>
            </w:tcBorders>
            <w:shd w:val="clear" w:color="000000" w:fill="FFFFFF"/>
            <w:hideMark/>
          </w:tcPr>
          <w:p w14:paraId="11F2B9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Incurran en tachaduras, borrones o enmendaduras en las actas o documentos, sin la debida aclaración en el espacio designado para tal fin.</w:t>
            </w:r>
          </w:p>
        </w:tc>
        <w:tc>
          <w:tcPr>
            <w:tcW w:w="1480" w:type="dxa"/>
            <w:tcBorders>
              <w:top w:val="nil"/>
              <w:left w:val="nil"/>
              <w:bottom w:val="nil"/>
              <w:right w:val="single" w:sz="4" w:space="0" w:color="000000"/>
            </w:tcBorders>
            <w:shd w:val="clear" w:color="000000" w:fill="FFFFFF"/>
            <w:hideMark/>
          </w:tcPr>
          <w:p w14:paraId="27C4E5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644AA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D7F2F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No entrega o entrega por fuera de los plazos previstos en este código el acta de escrutinio o cualquier otro documento electoral. </w:t>
            </w:r>
          </w:p>
        </w:tc>
        <w:tc>
          <w:tcPr>
            <w:tcW w:w="3798" w:type="dxa"/>
            <w:tcBorders>
              <w:top w:val="nil"/>
              <w:left w:val="nil"/>
              <w:bottom w:val="nil"/>
              <w:right w:val="single" w:sz="4" w:space="0" w:color="000000"/>
            </w:tcBorders>
            <w:shd w:val="clear" w:color="000000" w:fill="FFFFFF"/>
            <w:hideMark/>
          </w:tcPr>
          <w:p w14:paraId="435932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No entrega o entrega por fuera de los plazos previstos en este código el acta de escrutinio o cualquier otro documento electoral.</w:t>
            </w:r>
          </w:p>
        </w:tc>
        <w:tc>
          <w:tcPr>
            <w:tcW w:w="3798" w:type="dxa"/>
            <w:tcBorders>
              <w:top w:val="nil"/>
              <w:left w:val="nil"/>
              <w:bottom w:val="nil"/>
              <w:right w:val="single" w:sz="4" w:space="0" w:color="000000"/>
            </w:tcBorders>
            <w:shd w:val="clear" w:color="000000" w:fill="FFFFFF"/>
            <w:hideMark/>
          </w:tcPr>
          <w:p w14:paraId="500545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No entrega o entrega por fuera de los plazos previstos en este código el acta de escrutinio o cualquier otro documento electoral.</w:t>
            </w:r>
          </w:p>
        </w:tc>
        <w:tc>
          <w:tcPr>
            <w:tcW w:w="1480" w:type="dxa"/>
            <w:tcBorders>
              <w:top w:val="nil"/>
              <w:left w:val="nil"/>
              <w:bottom w:val="nil"/>
              <w:right w:val="single" w:sz="4" w:space="0" w:color="000000"/>
            </w:tcBorders>
            <w:shd w:val="clear" w:color="000000" w:fill="FFFFFF"/>
            <w:hideMark/>
          </w:tcPr>
          <w:p w14:paraId="753B13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AB7CE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08FF8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Cuando se inobserven las reglas previstas en este código </w:t>
            </w:r>
          </w:p>
        </w:tc>
        <w:tc>
          <w:tcPr>
            <w:tcW w:w="3798" w:type="dxa"/>
            <w:tcBorders>
              <w:top w:val="nil"/>
              <w:left w:val="nil"/>
              <w:bottom w:val="nil"/>
              <w:right w:val="single" w:sz="4" w:space="0" w:color="000000"/>
            </w:tcBorders>
            <w:shd w:val="clear" w:color="000000" w:fill="FFFFFF"/>
            <w:hideMark/>
          </w:tcPr>
          <w:p w14:paraId="2E31A4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se inobserven las reglas previstas en este código</w:t>
            </w:r>
          </w:p>
        </w:tc>
        <w:tc>
          <w:tcPr>
            <w:tcW w:w="3798" w:type="dxa"/>
            <w:tcBorders>
              <w:top w:val="nil"/>
              <w:left w:val="nil"/>
              <w:bottom w:val="nil"/>
              <w:right w:val="single" w:sz="4" w:space="0" w:color="000000"/>
            </w:tcBorders>
            <w:shd w:val="clear" w:color="000000" w:fill="FFFFFF"/>
            <w:hideMark/>
          </w:tcPr>
          <w:p w14:paraId="41734E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se inobserven las reglas previstas en este código</w:t>
            </w:r>
          </w:p>
        </w:tc>
        <w:tc>
          <w:tcPr>
            <w:tcW w:w="1480" w:type="dxa"/>
            <w:tcBorders>
              <w:top w:val="nil"/>
              <w:left w:val="nil"/>
              <w:bottom w:val="nil"/>
              <w:right w:val="single" w:sz="4" w:space="0" w:color="000000"/>
            </w:tcBorders>
            <w:shd w:val="clear" w:color="000000" w:fill="FFFFFF"/>
            <w:hideMark/>
          </w:tcPr>
          <w:p w14:paraId="7F852A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3DFD4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7E49D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Incurrir en falsedad en la información plasmada en los documentos electorales. </w:t>
            </w:r>
          </w:p>
        </w:tc>
        <w:tc>
          <w:tcPr>
            <w:tcW w:w="3798" w:type="dxa"/>
            <w:tcBorders>
              <w:top w:val="nil"/>
              <w:left w:val="nil"/>
              <w:bottom w:val="nil"/>
              <w:right w:val="single" w:sz="4" w:space="0" w:color="000000"/>
            </w:tcBorders>
            <w:shd w:val="clear" w:color="000000" w:fill="FFFFFF"/>
            <w:hideMark/>
          </w:tcPr>
          <w:p w14:paraId="187A94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Incurrir en falsedad en la información plasmada en los documentos electorales.</w:t>
            </w:r>
          </w:p>
        </w:tc>
        <w:tc>
          <w:tcPr>
            <w:tcW w:w="3798" w:type="dxa"/>
            <w:tcBorders>
              <w:top w:val="nil"/>
              <w:left w:val="nil"/>
              <w:bottom w:val="nil"/>
              <w:right w:val="single" w:sz="4" w:space="0" w:color="000000"/>
            </w:tcBorders>
            <w:shd w:val="clear" w:color="000000" w:fill="FFFFFF"/>
            <w:hideMark/>
          </w:tcPr>
          <w:p w14:paraId="31AE7F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Incurrir en falsedad en la información plasmada en los documentos electorales.</w:t>
            </w:r>
          </w:p>
        </w:tc>
        <w:tc>
          <w:tcPr>
            <w:tcW w:w="1480" w:type="dxa"/>
            <w:tcBorders>
              <w:top w:val="nil"/>
              <w:left w:val="nil"/>
              <w:bottom w:val="nil"/>
              <w:right w:val="single" w:sz="4" w:space="0" w:color="000000"/>
            </w:tcBorders>
            <w:shd w:val="clear" w:color="000000" w:fill="FFFFFF"/>
            <w:hideMark/>
          </w:tcPr>
          <w:p w14:paraId="0E5418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DB16FC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42AB8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Impida o entorpezca la labor de los testigos u observadores electorales.  </w:t>
            </w:r>
          </w:p>
        </w:tc>
        <w:tc>
          <w:tcPr>
            <w:tcW w:w="3798" w:type="dxa"/>
            <w:tcBorders>
              <w:top w:val="nil"/>
              <w:left w:val="nil"/>
              <w:bottom w:val="single" w:sz="4" w:space="0" w:color="000000"/>
              <w:right w:val="single" w:sz="4" w:space="0" w:color="000000"/>
            </w:tcBorders>
            <w:shd w:val="clear" w:color="000000" w:fill="FFFFFF"/>
            <w:hideMark/>
          </w:tcPr>
          <w:p w14:paraId="15EA79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Impida o entorpezca la labor de los testigos u observadores electorales.</w:t>
            </w:r>
          </w:p>
        </w:tc>
        <w:tc>
          <w:tcPr>
            <w:tcW w:w="3798" w:type="dxa"/>
            <w:tcBorders>
              <w:top w:val="nil"/>
              <w:left w:val="nil"/>
              <w:bottom w:val="single" w:sz="4" w:space="0" w:color="000000"/>
              <w:right w:val="single" w:sz="4" w:space="0" w:color="000000"/>
            </w:tcBorders>
            <w:shd w:val="clear" w:color="000000" w:fill="FFFFFF"/>
            <w:hideMark/>
          </w:tcPr>
          <w:p w14:paraId="5F4B2F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Impida o entorpezca la labor de los testigos u observadores electorales.</w:t>
            </w:r>
          </w:p>
        </w:tc>
        <w:tc>
          <w:tcPr>
            <w:tcW w:w="1480" w:type="dxa"/>
            <w:tcBorders>
              <w:top w:val="nil"/>
              <w:left w:val="nil"/>
              <w:bottom w:val="single" w:sz="4" w:space="0" w:color="000000"/>
              <w:right w:val="single" w:sz="4" w:space="0" w:color="000000"/>
            </w:tcBorders>
            <w:shd w:val="clear" w:color="000000" w:fill="FFFFFF"/>
            <w:hideMark/>
          </w:tcPr>
          <w:p w14:paraId="6256F9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39738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B1A8E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132.- Procedimiento para sancionar con multa a los jurados de votación.</w:t>
            </w:r>
            <w:r w:rsidRPr="00222F34">
              <w:rPr>
                <w:rFonts w:ascii="Calibri" w:eastAsia="Times New Roman" w:hAnsi="Calibri" w:cs="Calibri"/>
                <w:color w:val="000000"/>
                <w:lang w:val="es-CO" w:eastAsia="es-CO" w:bidi="ar-SA"/>
              </w:rPr>
              <w:t xml:space="preserve"> 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 </w:t>
            </w:r>
          </w:p>
        </w:tc>
        <w:tc>
          <w:tcPr>
            <w:tcW w:w="3798" w:type="dxa"/>
            <w:tcBorders>
              <w:top w:val="nil"/>
              <w:left w:val="nil"/>
              <w:bottom w:val="nil"/>
              <w:right w:val="single" w:sz="4" w:space="0" w:color="000000"/>
            </w:tcBorders>
            <w:shd w:val="clear" w:color="000000" w:fill="FFFFFF"/>
            <w:hideMark/>
          </w:tcPr>
          <w:p w14:paraId="24CA16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136.- Procedimiento para sancionar con multa a los jurados de votación.</w:t>
            </w:r>
            <w:r w:rsidRPr="00222F34">
              <w:rPr>
                <w:rFonts w:ascii="Calibri" w:eastAsia="Times New Roman" w:hAnsi="Calibri" w:cs="Calibri"/>
                <w:color w:val="000000"/>
                <w:lang w:val="es-CO" w:eastAsia="es-CO" w:bidi="ar-SA"/>
              </w:rPr>
              <w:t xml:space="preserve"> 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w:t>
            </w:r>
          </w:p>
        </w:tc>
        <w:tc>
          <w:tcPr>
            <w:tcW w:w="3798" w:type="dxa"/>
            <w:tcBorders>
              <w:top w:val="nil"/>
              <w:left w:val="nil"/>
              <w:bottom w:val="nil"/>
              <w:right w:val="single" w:sz="4" w:space="0" w:color="000000"/>
            </w:tcBorders>
            <w:shd w:val="clear" w:color="000000" w:fill="FFFFFF"/>
            <w:hideMark/>
          </w:tcPr>
          <w:p w14:paraId="77C52F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136.- Procedimiento para sancionar con multa a los jurados de votación.</w:t>
            </w:r>
            <w:r w:rsidRPr="00222F34">
              <w:rPr>
                <w:rFonts w:ascii="Calibri" w:eastAsia="Times New Roman" w:hAnsi="Calibri" w:cs="Calibri"/>
                <w:color w:val="000000"/>
                <w:lang w:val="es-CO" w:eastAsia="es-CO" w:bidi="ar-SA"/>
              </w:rPr>
              <w:t xml:space="preserve"> 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w:t>
            </w:r>
          </w:p>
        </w:tc>
        <w:tc>
          <w:tcPr>
            <w:tcW w:w="1480" w:type="dxa"/>
            <w:tcBorders>
              <w:top w:val="nil"/>
              <w:left w:val="nil"/>
              <w:bottom w:val="nil"/>
              <w:right w:val="single" w:sz="4" w:space="0" w:color="000000"/>
            </w:tcBorders>
            <w:shd w:val="clear" w:color="000000" w:fill="FFFFFF"/>
            <w:hideMark/>
          </w:tcPr>
          <w:p w14:paraId="62CD8A24" w14:textId="6C66EB5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BE30FC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110C8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incumplimiento del pago de la multa dentro del plazo previsto en el respectivo acto administrativo, la Registraduría Nacional del Estado Civil realizará el cobro por jurisdicción coactiva. </w:t>
            </w:r>
          </w:p>
        </w:tc>
        <w:tc>
          <w:tcPr>
            <w:tcW w:w="3798" w:type="dxa"/>
            <w:tcBorders>
              <w:top w:val="nil"/>
              <w:left w:val="nil"/>
              <w:bottom w:val="nil"/>
              <w:right w:val="single" w:sz="4" w:space="0" w:color="000000"/>
            </w:tcBorders>
            <w:shd w:val="clear" w:color="000000" w:fill="FFFFFF"/>
            <w:hideMark/>
          </w:tcPr>
          <w:p w14:paraId="2BFAB9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incumplimiento del pago de la multa dentro del plazo previsto en el respectivo acto administrativo, la Registraduría Nacional del Estado Civil realizará el cobro por jurisdicción coactiva.</w:t>
            </w:r>
          </w:p>
        </w:tc>
        <w:tc>
          <w:tcPr>
            <w:tcW w:w="3798" w:type="dxa"/>
            <w:tcBorders>
              <w:top w:val="nil"/>
              <w:left w:val="nil"/>
              <w:bottom w:val="nil"/>
              <w:right w:val="single" w:sz="4" w:space="0" w:color="000000"/>
            </w:tcBorders>
            <w:shd w:val="clear" w:color="000000" w:fill="FFFFFF"/>
            <w:hideMark/>
          </w:tcPr>
          <w:p w14:paraId="4CA281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incumplimiento del pago de la multa dentro del plazo previsto en el respectivo acto administrativo, la Registraduría Nacional del Estado Civil realizará el cobro por jurisdicción coactiva.</w:t>
            </w:r>
          </w:p>
        </w:tc>
        <w:tc>
          <w:tcPr>
            <w:tcW w:w="1480" w:type="dxa"/>
            <w:tcBorders>
              <w:top w:val="nil"/>
              <w:left w:val="nil"/>
              <w:bottom w:val="nil"/>
              <w:right w:val="single" w:sz="4" w:space="0" w:color="000000"/>
            </w:tcBorders>
            <w:shd w:val="clear" w:color="000000" w:fill="FFFFFF"/>
            <w:hideMark/>
          </w:tcPr>
          <w:p w14:paraId="114E17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33DC38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0E1C3C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el caso del numeral 2 del artículo anterior, que contempla las conductas sancionables relacionadas con la capacitación a los ciudadanos que fueron designados como jurados de votación, la sanción será hasta de diez </w:t>
            </w:r>
            <w:r w:rsidRPr="00222F34">
              <w:rPr>
                <w:rFonts w:ascii="Calibri" w:eastAsia="Times New Roman" w:hAnsi="Calibri" w:cs="Calibri"/>
                <w:color w:val="000000"/>
                <w:lang w:val="es-CO" w:eastAsia="es-CO" w:bidi="ar-SA"/>
              </w:rPr>
              <w:lastRenderedPageBreak/>
              <w:t xml:space="preserve">(10) salarios mínimos diarios legales vigentes.  </w:t>
            </w:r>
          </w:p>
        </w:tc>
        <w:tc>
          <w:tcPr>
            <w:tcW w:w="3798" w:type="dxa"/>
            <w:tcBorders>
              <w:top w:val="nil"/>
              <w:left w:val="nil"/>
              <w:bottom w:val="nil"/>
              <w:right w:val="single" w:sz="4" w:space="0" w:color="000000"/>
            </w:tcBorders>
            <w:shd w:val="clear" w:color="000000" w:fill="FFFFFF"/>
            <w:hideMark/>
          </w:tcPr>
          <w:p w14:paraId="001F70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1. </w:t>
            </w:r>
            <w:r w:rsidRPr="00222F34">
              <w:rPr>
                <w:rFonts w:ascii="Calibri" w:eastAsia="Times New Roman" w:hAnsi="Calibri" w:cs="Calibri"/>
                <w:color w:val="000000"/>
                <w:lang w:val="es-CO" w:eastAsia="es-CO" w:bidi="ar-SA"/>
              </w:rPr>
              <w:t xml:space="preserve">En el caso del numeral 2 del artículo anterior, que contempla las conductas sancionables relacionadas con la capacitación a los ciudadanos que fueron designados como jurados de votación, la sanción será hasta de diez </w:t>
            </w:r>
            <w:r w:rsidRPr="00222F34">
              <w:rPr>
                <w:rFonts w:ascii="Calibri" w:eastAsia="Times New Roman" w:hAnsi="Calibri" w:cs="Calibri"/>
                <w:color w:val="000000"/>
                <w:lang w:val="es-CO" w:eastAsia="es-CO" w:bidi="ar-SA"/>
              </w:rPr>
              <w:lastRenderedPageBreak/>
              <w:t>(10) salarios mínimos diarios legales vigentes.</w:t>
            </w:r>
          </w:p>
        </w:tc>
        <w:tc>
          <w:tcPr>
            <w:tcW w:w="3798" w:type="dxa"/>
            <w:tcBorders>
              <w:top w:val="nil"/>
              <w:left w:val="nil"/>
              <w:bottom w:val="nil"/>
              <w:right w:val="single" w:sz="4" w:space="0" w:color="000000"/>
            </w:tcBorders>
            <w:shd w:val="clear" w:color="000000" w:fill="FFFFFF"/>
            <w:hideMark/>
          </w:tcPr>
          <w:p w14:paraId="513ADA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1. </w:t>
            </w:r>
            <w:r w:rsidRPr="00222F34">
              <w:rPr>
                <w:rFonts w:ascii="Calibri" w:eastAsia="Times New Roman" w:hAnsi="Calibri" w:cs="Calibri"/>
                <w:color w:val="000000"/>
                <w:lang w:val="es-CO" w:eastAsia="es-CO" w:bidi="ar-SA"/>
              </w:rPr>
              <w:t xml:space="preserve">En el caso del numeral 2 del artículo anterior, que contempla las conductas sancionables relacionadas con la capacitación a los ciudadanos que fueron designados como jurados de votación, la sanción será hasta de diez </w:t>
            </w:r>
            <w:r w:rsidRPr="00222F34">
              <w:rPr>
                <w:rFonts w:ascii="Calibri" w:eastAsia="Times New Roman" w:hAnsi="Calibri" w:cs="Calibri"/>
                <w:color w:val="000000"/>
                <w:lang w:val="es-CO" w:eastAsia="es-CO" w:bidi="ar-SA"/>
              </w:rPr>
              <w:lastRenderedPageBreak/>
              <w:t>(10) salarios mínimos diarios legales vigentes.</w:t>
            </w:r>
          </w:p>
        </w:tc>
        <w:tc>
          <w:tcPr>
            <w:tcW w:w="1480" w:type="dxa"/>
            <w:tcBorders>
              <w:top w:val="nil"/>
              <w:left w:val="nil"/>
              <w:bottom w:val="nil"/>
              <w:right w:val="single" w:sz="4" w:space="0" w:color="000000"/>
            </w:tcBorders>
            <w:shd w:val="clear" w:color="000000" w:fill="FFFFFF"/>
            <w:hideMark/>
          </w:tcPr>
          <w:p w14:paraId="59D7B4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280B6C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382D81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 </w:t>
            </w:r>
          </w:p>
        </w:tc>
        <w:tc>
          <w:tcPr>
            <w:tcW w:w="3798" w:type="dxa"/>
            <w:tcBorders>
              <w:top w:val="nil"/>
              <w:left w:val="nil"/>
              <w:bottom w:val="nil"/>
              <w:right w:val="single" w:sz="4" w:space="0" w:color="000000"/>
            </w:tcBorders>
            <w:shd w:val="clear" w:color="000000" w:fill="FFFFFF"/>
            <w:hideMark/>
          </w:tcPr>
          <w:p w14:paraId="3DA930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w:t>
            </w:r>
          </w:p>
        </w:tc>
        <w:tc>
          <w:tcPr>
            <w:tcW w:w="3798" w:type="dxa"/>
            <w:tcBorders>
              <w:top w:val="nil"/>
              <w:left w:val="nil"/>
              <w:bottom w:val="nil"/>
              <w:right w:val="single" w:sz="4" w:space="0" w:color="000000"/>
            </w:tcBorders>
            <w:shd w:val="clear" w:color="000000" w:fill="FFFFFF"/>
            <w:hideMark/>
          </w:tcPr>
          <w:p w14:paraId="1EC668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w:t>
            </w:r>
          </w:p>
        </w:tc>
        <w:tc>
          <w:tcPr>
            <w:tcW w:w="1480" w:type="dxa"/>
            <w:tcBorders>
              <w:top w:val="nil"/>
              <w:left w:val="nil"/>
              <w:bottom w:val="nil"/>
              <w:right w:val="single" w:sz="4" w:space="0" w:color="000000"/>
            </w:tcBorders>
            <w:shd w:val="clear" w:color="000000" w:fill="FFFFFF"/>
            <w:hideMark/>
          </w:tcPr>
          <w:p w14:paraId="3C97B1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A4D48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EF14D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Sin importar la concurrencia de uno o varios numerales del artículo anterior, la sanción no podrá superar un (1) salario mínimo mensual legal vigente. </w:t>
            </w:r>
          </w:p>
        </w:tc>
        <w:tc>
          <w:tcPr>
            <w:tcW w:w="3798" w:type="dxa"/>
            <w:tcBorders>
              <w:top w:val="nil"/>
              <w:left w:val="nil"/>
              <w:bottom w:val="nil"/>
              <w:right w:val="single" w:sz="4" w:space="0" w:color="000000"/>
            </w:tcBorders>
            <w:shd w:val="clear" w:color="000000" w:fill="FFFFFF"/>
            <w:hideMark/>
          </w:tcPr>
          <w:p w14:paraId="4A4788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Sin importar la concurrencia de uno o varios numerales del artículo anterior, la sanción no podrá superar un (1) salario mínimo mensual legal vigente.</w:t>
            </w:r>
          </w:p>
        </w:tc>
        <w:tc>
          <w:tcPr>
            <w:tcW w:w="3798" w:type="dxa"/>
            <w:tcBorders>
              <w:top w:val="nil"/>
              <w:left w:val="nil"/>
              <w:bottom w:val="nil"/>
              <w:right w:val="single" w:sz="4" w:space="0" w:color="000000"/>
            </w:tcBorders>
            <w:shd w:val="clear" w:color="000000" w:fill="FFFFFF"/>
            <w:hideMark/>
          </w:tcPr>
          <w:p w14:paraId="354DF1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Sin importar la concurrencia de uno o varios numerales del artículo anterior, la sanción no podrá superar un (1) salario mínimo mensual legal vigente.</w:t>
            </w:r>
          </w:p>
        </w:tc>
        <w:tc>
          <w:tcPr>
            <w:tcW w:w="1480" w:type="dxa"/>
            <w:tcBorders>
              <w:top w:val="nil"/>
              <w:left w:val="nil"/>
              <w:bottom w:val="nil"/>
              <w:right w:val="single" w:sz="4" w:space="0" w:color="000000"/>
            </w:tcBorders>
            <w:shd w:val="clear" w:color="000000" w:fill="FFFFFF"/>
            <w:hideMark/>
          </w:tcPr>
          <w:p w14:paraId="0A2CD2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7FE99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279C6E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los casos donde el ciudadano logre probar que carece de recursos para el pago de la multa se impondrá una sanción de trabajo comunitario y promoción de los derechos civiles y políticos. </w:t>
            </w:r>
          </w:p>
        </w:tc>
        <w:tc>
          <w:tcPr>
            <w:tcW w:w="3798" w:type="dxa"/>
            <w:tcBorders>
              <w:top w:val="nil"/>
              <w:left w:val="nil"/>
              <w:bottom w:val="nil"/>
              <w:right w:val="single" w:sz="4" w:space="0" w:color="000000"/>
            </w:tcBorders>
            <w:shd w:val="clear" w:color="000000" w:fill="FFFFFF"/>
            <w:hideMark/>
          </w:tcPr>
          <w:p w14:paraId="44D0B5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En los casos donde el ciudadano logre probar que carece de recursos para el pago de la multa se impondrá una sanción de trabajo comunitario y promoción de los derechos civiles y políticos.</w:t>
            </w:r>
          </w:p>
        </w:tc>
        <w:tc>
          <w:tcPr>
            <w:tcW w:w="3798" w:type="dxa"/>
            <w:tcBorders>
              <w:top w:val="nil"/>
              <w:left w:val="nil"/>
              <w:bottom w:val="nil"/>
              <w:right w:val="single" w:sz="4" w:space="0" w:color="000000"/>
            </w:tcBorders>
            <w:shd w:val="clear" w:color="000000" w:fill="FFFFFF"/>
            <w:hideMark/>
          </w:tcPr>
          <w:p w14:paraId="15C94B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En los casos donde el ciudadano logre probar que carece de recursos para el pago de la multa se impondrá una sanción de trabajo comunitario y promoción de los derechos civiles y políticos.</w:t>
            </w:r>
          </w:p>
        </w:tc>
        <w:tc>
          <w:tcPr>
            <w:tcW w:w="1480" w:type="dxa"/>
            <w:tcBorders>
              <w:top w:val="nil"/>
              <w:left w:val="nil"/>
              <w:bottom w:val="single" w:sz="4" w:space="0" w:color="000000"/>
              <w:right w:val="single" w:sz="4" w:space="0" w:color="000000"/>
            </w:tcBorders>
            <w:shd w:val="clear" w:color="000000" w:fill="FFFFFF"/>
            <w:hideMark/>
          </w:tcPr>
          <w:p w14:paraId="6670D3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41FD78A" w14:textId="77777777" w:rsidTr="00222F34">
        <w:trPr>
          <w:trHeight w:val="1500"/>
        </w:trPr>
        <w:tc>
          <w:tcPr>
            <w:tcW w:w="3798" w:type="dxa"/>
            <w:tcBorders>
              <w:top w:val="single" w:sz="4" w:space="0" w:color="000000"/>
              <w:left w:val="single" w:sz="4" w:space="0" w:color="000000"/>
              <w:bottom w:val="nil"/>
              <w:right w:val="single" w:sz="4" w:space="0" w:color="000000"/>
            </w:tcBorders>
            <w:shd w:val="clear" w:color="000000" w:fill="FFFFFF"/>
            <w:hideMark/>
          </w:tcPr>
          <w:p w14:paraId="7332322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133.- Otras conductas sancionables de los jurados de votación.</w:t>
            </w:r>
            <w:r w:rsidRPr="00222F34">
              <w:rPr>
                <w:rFonts w:ascii="Calibri" w:eastAsia="Times New Roman" w:hAnsi="Calibri" w:cs="Calibri"/>
                <w:color w:val="000000"/>
                <w:lang w:val="es-CO" w:eastAsia="es-CO" w:bidi="ar-SA"/>
              </w:rPr>
              <w:t xml:space="preserve"> El ciudadano que, teniendo conocimiento de encontrarse incurso en alguna de las causales de exención o exclusión consagradas en el presente Código, acepte tal designación y, </w:t>
            </w:r>
            <w:r w:rsidRPr="00222F34">
              <w:rPr>
                <w:rFonts w:ascii="Calibri" w:eastAsia="Times New Roman" w:hAnsi="Calibri" w:cs="Calibri"/>
                <w:color w:val="000000"/>
                <w:lang w:val="es-CO" w:eastAsia="es-CO" w:bidi="ar-SA"/>
              </w:rPr>
              <w:lastRenderedPageBreak/>
              <w:t xml:space="preserve">además, ejerza la función, será investigado y sancionado de conformidad con la legislación vigente. </w:t>
            </w:r>
          </w:p>
        </w:tc>
        <w:tc>
          <w:tcPr>
            <w:tcW w:w="3798" w:type="dxa"/>
            <w:tcBorders>
              <w:top w:val="single" w:sz="4" w:space="0" w:color="000000"/>
              <w:left w:val="nil"/>
              <w:bottom w:val="nil"/>
              <w:right w:val="single" w:sz="4" w:space="0" w:color="000000"/>
            </w:tcBorders>
            <w:shd w:val="clear" w:color="000000" w:fill="FFFFFF"/>
            <w:hideMark/>
          </w:tcPr>
          <w:p w14:paraId="67BB07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137.- Otras conductas sancionables de los jurados de votación. </w:t>
            </w:r>
            <w:r w:rsidRPr="00222F34">
              <w:rPr>
                <w:rFonts w:ascii="Calibri" w:eastAsia="Times New Roman" w:hAnsi="Calibri" w:cs="Calibri"/>
                <w:color w:val="000000"/>
                <w:lang w:val="es-CO" w:eastAsia="es-CO" w:bidi="ar-SA"/>
              </w:rPr>
              <w:t xml:space="preserve">El ciudadano que, teniendo conocimiento de encontrarse incurso en alguna de las causales de exención o exclusión consagradas en el presente Código, acepte tal designación y, </w:t>
            </w:r>
            <w:r w:rsidRPr="00222F34">
              <w:rPr>
                <w:rFonts w:ascii="Calibri" w:eastAsia="Times New Roman" w:hAnsi="Calibri" w:cs="Calibri"/>
                <w:color w:val="000000"/>
                <w:lang w:val="es-CO" w:eastAsia="es-CO" w:bidi="ar-SA"/>
              </w:rPr>
              <w:lastRenderedPageBreak/>
              <w:t>además, ejerza la función, será investigado y sancionado de conformidad con la legislación vigente.</w:t>
            </w:r>
          </w:p>
        </w:tc>
        <w:tc>
          <w:tcPr>
            <w:tcW w:w="3798" w:type="dxa"/>
            <w:tcBorders>
              <w:top w:val="single" w:sz="4" w:space="0" w:color="000000"/>
              <w:left w:val="nil"/>
              <w:bottom w:val="nil"/>
              <w:right w:val="single" w:sz="4" w:space="0" w:color="000000"/>
            </w:tcBorders>
            <w:shd w:val="clear" w:color="000000" w:fill="FFFFFF"/>
            <w:hideMark/>
          </w:tcPr>
          <w:p w14:paraId="0D1FFF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137.- Otras conductas sancionables de los jurados de votación. </w:t>
            </w:r>
            <w:r w:rsidRPr="00222F34">
              <w:rPr>
                <w:rFonts w:ascii="Calibri" w:eastAsia="Times New Roman" w:hAnsi="Calibri" w:cs="Calibri"/>
                <w:color w:val="000000"/>
                <w:lang w:val="es-CO" w:eastAsia="es-CO" w:bidi="ar-SA"/>
              </w:rPr>
              <w:t xml:space="preserve">El ciudadano que, teniendo conocimiento de encontrarse incurso en alguna de las causales de exención o exclusión consagradas en el presente Código, acepte tal designación y, </w:t>
            </w:r>
            <w:r w:rsidRPr="00222F34">
              <w:rPr>
                <w:rFonts w:ascii="Calibri" w:eastAsia="Times New Roman" w:hAnsi="Calibri" w:cs="Calibri"/>
                <w:color w:val="000000"/>
                <w:lang w:val="es-CO" w:eastAsia="es-CO" w:bidi="ar-SA"/>
              </w:rPr>
              <w:lastRenderedPageBreak/>
              <w:t>además, ejerza la función, será investigado y sancionado de conformidad con la legislación vigente.</w:t>
            </w:r>
          </w:p>
        </w:tc>
        <w:tc>
          <w:tcPr>
            <w:tcW w:w="1480" w:type="dxa"/>
            <w:tcBorders>
              <w:top w:val="nil"/>
              <w:left w:val="nil"/>
              <w:bottom w:val="nil"/>
              <w:right w:val="single" w:sz="4" w:space="0" w:color="000000"/>
            </w:tcBorders>
            <w:shd w:val="clear" w:color="000000" w:fill="FFFFFF"/>
            <w:hideMark/>
          </w:tcPr>
          <w:p w14:paraId="1F8E60AF" w14:textId="68547A7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3D24ECF1"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449CAB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 </w:t>
            </w:r>
          </w:p>
        </w:tc>
        <w:tc>
          <w:tcPr>
            <w:tcW w:w="3798" w:type="dxa"/>
            <w:tcBorders>
              <w:top w:val="nil"/>
              <w:left w:val="nil"/>
              <w:bottom w:val="single" w:sz="4" w:space="0" w:color="000000"/>
              <w:right w:val="single" w:sz="4" w:space="0" w:color="000000"/>
            </w:tcBorders>
            <w:shd w:val="clear" w:color="000000" w:fill="FFFFFF"/>
            <w:hideMark/>
          </w:tcPr>
          <w:p w14:paraId="49640D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w:t>
            </w:r>
          </w:p>
        </w:tc>
        <w:tc>
          <w:tcPr>
            <w:tcW w:w="3798" w:type="dxa"/>
            <w:tcBorders>
              <w:top w:val="nil"/>
              <w:left w:val="nil"/>
              <w:bottom w:val="single" w:sz="4" w:space="0" w:color="000000"/>
              <w:right w:val="single" w:sz="4" w:space="0" w:color="000000"/>
            </w:tcBorders>
            <w:shd w:val="clear" w:color="000000" w:fill="FFFFFF"/>
            <w:hideMark/>
          </w:tcPr>
          <w:p w14:paraId="1E7141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w:t>
            </w:r>
          </w:p>
        </w:tc>
        <w:tc>
          <w:tcPr>
            <w:tcW w:w="1480" w:type="dxa"/>
            <w:tcBorders>
              <w:top w:val="nil"/>
              <w:left w:val="nil"/>
              <w:bottom w:val="single" w:sz="4" w:space="0" w:color="000000"/>
              <w:right w:val="single" w:sz="4" w:space="0" w:color="000000"/>
            </w:tcBorders>
            <w:shd w:val="clear" w:color="000000" w:fill="FFFFFF"/>
            <w:hideMark/>
          </w:tcPr>
          <w:p w14:paraId="79E0B8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6017C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CA2B44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18EB537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16ED311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1480" w:type="dxa"/>
            <w:tcBorders>
              <w:top w:val="nil"/>
              <w:left w:val="nil"/>
              <w:bottom w:val="nil"/>
              <w:right w:val="single" w:sz="4" w:space="0" w:color="000000"/>
            </w:tcBorders>
            <w:shd w:val="clear" w:color="000000" w:fill="FFFFFF"/>
            <w:hideMark/>
          </w:tcPr>
          <w:p w14:paraId="24809E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0B7C16C"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027C9B7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testigos electorales</w:t>
            </w:r>
          </w:p>
        </w:tc>
        <w:tc>
          <w:tcPr>
            <w:tcW w:w="3798" w:type="dxa"/>
            <w:tcBorders>
              <w:top w:val="nil"/>
              <w:left w:val="nil"/>
              <w:bottom w:val="single" w:sz="4" w:space="0" w:color="000000"/>
              <w:right w:val="single" w:sz="4" w:space="0" w:color="000000"/>
            </w:tcBorders>
            <w:shd w:val="clear" w:color="000000" w:fill="FFFFFF"/>
            <w:hideMark/>
          </w:tcPr>
          <w:p w14:paraId="0164CF0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testigos electorales</w:t>
            </w:r>
          </w:p>
        </w:tc>
        <w:tc>
          <w:tcPr>
            <w:tcW w:w="3798" w:type="dxa"/>
            <w:tcBorders>
              <w:top w:val="nil"/>
              <w:left w:val="nil"/>
              <w:bottom w:val="single" w:sz="4" w:space="0" w:color="000000"/>
              <w:right w:val="single" w:sz="4" w:space="0" w:color="000000"/>
            </w:tcBorders>
            <w:shd w:val="clear" w:color="000000" w:fill="FFFFFF"/>
            <w:hideMark/>
          </w:tcPr>
          <w:p w14:paraId="13669B6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testigos electorales</w:t>
            </w:r>
          </w:p>
        </w:tc>
        <w:tc>
          <w:tcPr>
            <w:tcW w:w="1480" w:type="dxa"/>
            <w:tcBorders>
              <w:top w:val="nil"/>
              <w:left w:val="nil"/>
              <w:bottom w:val="single" w:sz="4" w:space="0" w:color="000000"/>
              <w:right w:val="single" w:sz="4" w:space="0" w:color="000000"/>
            </w:tcBorders>
            <w:shd w:val="clear" w:color="000000" w:fill="FFFFFF"/>
            <w:hideMark/>
          </w:tcPr>
          <w:p w14:paraId="6265A6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6063B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4842D5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134.- Testigos electorales.</w:t>
            </w:r>
            <w:r w:rsidRPr="00222F34">
              <w:rPr>
                <w:rFonts w:ascii="Calibri" w:eastAsia="Times New Roman" w:hAnsi="Calibri" w:cs="Calibri"/>
                <w:color w:val="000000"/>
                <w:lang w:val="es-CO" w:eastAsia="es-CO" w:bidi="ar-SA"/>
              </w:rPr>
              <w:t xml:space="preserve"> 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w:t>
            </w:r>
            <w:r w:rsidRPr="00222F34">
              <w:rPr>
                <w:rFonts w:ascii="Calibri" w:eastAsia="Times New Roman" w:hAnsi="Calibri" w:cs="Calibri"/>
                <w:color w:val="000000"/>
                <w:lang w:val="es-CO" w:eastAsia="es-CO" w:bidi="ar-SA"/>
              </w:rPr>
              <w:lastRenderedPageBreak/>
              <w:t xml:space="preserve">opciones en los mecanismos de participación ciudadana. </w:t>
            </w:r>
          </w:p>
        </w:tc>
        <w:tc>
          <w:tcPr>
            <w:tcW w:w="3798" w:type="dxa"/>
            <w:tcBorders>
              <w:top w:val="nil"/>
              <w:left w:val="nil"/>
              <w:bottom w:val="nil"/>
              <w:right w:val="single" w:sz="4" w:space="0" w:color="000000"/>
            </w:tcBorders>
            <w:shd w:val="clear" w:color="00FF00" w:fill="FFFFFF"/>
            <w:hideMark/>
          </w:tcPr>
          <w:p w14:paraId="6DCC4C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138.- Testigos electorales. </w:t>
            </w:r>
            <w:r w:rsidRPr="00222F34">
              <w:rPr>
                <w:rFonts w:ascii="Calibri" w:eastAsia="Times New Roman" w:hAnsi="Calibri" w:cs="Calibri"/>
                <w:color w:val="000000"/>
                <w:lang w:val="es-CO" w:eastAsia="es-CO" w:bidi="ar-SA"/>
              </w:rPr>
              <w:t xml:space="preserve">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w:t>
            </w:r>
            <w:r w:rsidRPr="00222F34">
              <w:rPr>
                <w:rFonts w:ascii="Calibri" w:eastAsia="Times New Roman" w:hAnsi="Calibri" w:cs="Calibri"/>
                <w:color w:val="000000"/>
                <w:lang w:val="es-CO" w:eastAsia="es-CO" w:bidi="ar-SA"/>
              </w:rPr>
              <w:lastRenderedPageBreak/>
              <w:t>opciones en los mecanismos de participación ciudadana.</w:t>
            </w:r>
          </w:p>
        </w:tc>
        <w:tc>
          <w:tcPr>
            <w:tcW w:w="3798" w:type="dxa"/>
            <w:tcBorders>
              <w:top w:val="nil"/>
              <w:left w:val="nil"/>
              <w:bottom w:val="nil"/>
              <w:right w:val="single" w:sz="4" w:space="0" w:color="000000"/>
            </w:tcBorders>
            <w:shd w:val="clear" w:color="00FF00" w:fill="FFFFFF"/>
            <w:hideMark/>
          </w:tcPr>
          <w:p w14:paraId="518D98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138.- Testigos electorales. </w:t>
            </w:r>
            <w:r w:rsidRPr="00222F34">
              <w:rPr>
                <w:rFonts w:ascii="Calibri" w:eastAsia="Times New Roman" w:hAnsi="Calibri" w:cs="Calibri"/>
                <w:color w:val="000000"/>
                <w:lang w:val="es-CO" w:eastAsia="es-CO" w:bidi="ar-SA"/>
              </w:rPr>
              <w:t xml:space="preserve">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w:t>
            </w:r>
            <w:r w:rsidRPr="00222F34">
              <w:rPr>
                <w:rFonts w:ascii="Calibri" w:eastAsia="Times New Roman" w:hAnsi="Calibri" w:cs="Calibri"/>
                <w:color w:val="000000"/>
                <w:lang w:val="es-CO" w:eastAsia="es-CO" w:bidi="ar-SA"/>
              </w:rPr>
              <w:lastRenderedPageBreak/>
              <w:t>opciones en los mecanismos de participación ciudadana.</w:t>
            </w:r>
          </w:p>
        </w:tc>
        <w:tc>
          <w:tcPr>
            <w:tcW w:w="1480" w:type="dxa"/>
            <w:tcBorders>
              <w:top w:val="nil"/>
              <w:left w:val="nil"/>
              <w:bottom w:val="nil"/>
              <w:right w:val="single" w:sz="4" w:space="0" w:color="000000"/>
            </w:tcBorders>
            <w:shd w:val="clear" w:color="000000" w:fill="FFFFFF"/>
            <w:hideMark/>
          </w:tcPr>
          <w:p w14:paraId="401435CA" w14:textId="4528A9E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CD4925" w:rsidRPr="00222F34" w14:paraId="61C32E6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6DF564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Los mayores de catorce (14) años podrán ser testigos electorales en las elecciones previstas en la ley para los jóvenes. </w:t>
            </w:r>
          </w:p>
        </w:tc>
        <w:tc>
          <w:tcPr>
            <w:tcW w:w="3798" w:type="dxa"/>
            <w:tcBorders>
              <w:top w:val="nil"/>
              <w:left w:val="nil"/>
              <w:bottom w:val="nil"/>
              <w:right w:val="single" w:sz="4" w:space="0" w:color="000000"/>
            </w:tcBorders>
            <w:shd w:val="clear" w:color="00FF00" w:fill="FFFFFF"/>
            <w:hideMark/>
          </w:tcPr>
          <w:p w14:paraId="60FE9F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mayores de catorce (14) años podrán ser testigos electorales en las elecciones previstas en la ley para los jóvenes.</w:t>
            </w:r>
          </w:p>
        </w:tc>
        <w:tc>
          <w:tcPr>
            <w:tcW w:w="3798" w:type="dxa"/>
            <w:tcBorders>
              <w:top w:val="nil"/>
              <w:left w:val="nil"/>
              <w:bottom w:val="nil"/>
              <w:right w:val="single" w:sz="4" w:space="0" w:color="000000"/>
            </w:tcBorders>
            <w:shd w:val="clear" w:color="00FF00" w:fill="FFFFFF"/>
            <w:hideMark/>
          </w:tcPr>
          <w:p w14:paraId="23395E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mayores de catorce (14) años podrán ser testigos electorales en las elecciones previstas en la ley para los jóvenes.</w:t>
            </w:r>
          </w:p>
        </w:tc>
        <w:tc>
          <w:tcPr>
            <w:tcW w:w="1480" w:type="dxa"/>
            <w:tcBorders>
              <w:top w:val="nil"/>
              <w:left w:val="nil"/>
              <w:bottom w:val="nil"/>
              <w:right w:val="single" w:sz="4" w:space="0" w:color="000000"/>
            </w:tcBorders>
            <w:shd w:val="clear" w:color="000000" w:fill="FFFFFF"/>
            <w:hideMark/>
          </w:tcPr>
          <w:p w14:paraId="6AE156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670BDF"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7D7052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testigos electorales durante las jornadas de escrutinio en mesa y en comisión.</w:t>
            </w:r>
          </w:p>
        </w:tc>
        <w:tc>
          <w:tcPr>
            <w:tcW w:w="3798" w:type="dxa"/>
            <w:tcBorders>
              <w:top w:val="nil"/>
              <w:left w:val="nil"/>
              <w:bottom w:val="nil"/>
              <w:right w:val="single" w:sz="4" w:space="0" w:color="000000"/>
            </w:tcBorders>
            <w:shd w:val="clear" w:color="000000" w:fill="FFFFFF"/>
            <w:hideMark/>
          </w:tcPr>
          <w:p w14:paraId="2EED485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testigos electorales durante las jornadas de escrutinio en mesa y en comisión.</w:t>
            </w:r>
          </w:p>
        </w:tc>
        <w:tc>
          <w:tcPr>
            <w:tcW w:w="3798" w:type="dxa"/>
            <w:tcBorders>
              <w:top w:val="nil"/>
              <w:left w:val="nil"/>
              <w:bottom w:val="nil"/>
              <w:right w:val="single" w:sz="4" w:space="0" w:color="000000"/>
            </w:tcBorders>
            <w:shd w:val="clear" w:color="000000" w:fill="FFFFFF"/>
            <w:hideMark/>
          </w:tcPr>
          <w:p w14:paraId="5FFCFAA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testigos electorales durante las jornadas de escrutinio en mesa y en comisión.</w:t>
            </w:r>
          </w:p>
        </w:tc>
        <w:tc>
          <w:tcPr>
            <w:tcW w:w="1480" w:type="dxa"/>
            <w:tcBorders>
              <w:top w:val="nil"/>
              <w:left w:val="nil"/>
              <w:bottom w:val="nil"/>
              <w:right w:val="single" w:sz="4" w:space="0" w:color="000000"/>
            </w:tcBorders>
            <w:shd w:val="clear" w:color="000000" w:fill="FFFFFF"/>
            <w:hideMark/>
          </w:tcPr>
          <w:p w14:paraId="072903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82FD0F"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4B3F576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FF00" w:fill="FFFFFF"/>
            <w:hideMark/>
          </w:tcPr>
          <w:p w14:paraId="580912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w:t>
            </w:r>
            <w:r w:rsidRPr="00222F34">
              <w:rPr>
                <w:rFonts w:ascii="Calibri" w:eastAsia="Times New Roman" w:hAnsi="Calibri" w:cs="Calibri"/>
                <w:b/>
                <w:bCs/>
                <w:color w:val="000000"/>
                <w:lang w:val="es-CO" w:eastAsia="es-CO" w:bidi="ar-SA"/>
              </w:rPr>
              <w:t>rágrafo Transitorio:</w:t>
            </w:r>
            <w:r w:rsidRPr="00222F34">
              <w:rPr>
                <w:rFonts w:ascii="Calibri" w:eastAsia="Times New Roman" w:hAnsi="Calibri" w:cs="Calibri"/>
                <w:color w:val="000000"/>
                <w:lang w:val="es-CO" w:eastAsia="es-CO" w:bidi="ar-SA"/>
              </w:rPr>
              <w:t xml:space="preserve"> Frente a las disposiciones contenidas en el presente artículo se tendrán en cuenta las organizaciones, consejos comunitarios, resguardos y/o autoridades indígenas y las kumpañy legalmente constituidas que trata el acto legislativo 02 de 2021, </w:t>
            </w:r>
            <w:r w:rsidRPr="00222F34">
              <w:rPr>
                <w:rFonts w:ascii="Calibri" w:eastAsia="Times New Roman" w:hAnsi="Calibri" w:cs="Calibri"/>
                <w:color w:val="000000"/>
                <w:lang w:val="es-CO" w:eastAsia="es-CO" w:bidi="ar-SA"/>
              </w:rPr>
              <w:lastRenderedPageBreak/>
              <w:t>por medio del cual se crean 16 Circunscripciones Transitorias especiales de paz para la Cámara de Representantes, en los periodos 2022-2026 y 2026-2030.</w:t>
            </w:r>
          </w:p>
        </w:tc>
        <w:tc>
          <w:tcPr>
            <w:tcW w:w="3798" w:type="dxa"/>
            <w:tcBorders>
              <w:top w:val="nil"/>
              <w:left w:val="nil"/>
              <w:bottom w:val="single" w:sz="4" w:space="0" w:color="000000"/>
              <w:right w:val="single" w:sz="4" w:space="0" w:color="000000"/>
            </w:tcBorders>
            <w:shd w:val="clear" w:color="00FF00" w:fill="FFFFFF"/>
            <w:hideMark/>
          </w:tcPr>
          <w:p w14:paraId="6F08BA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Pa</w:t>
            </w:r>
            <w:r w:rsidRPr="00222F34">
              <w:rPr>
                <w:rFonts w:ascii="Calibri" w:eastAsia="Times New Roman" w:hAnsi="Calibri" w:cs="Calibri"/>
                <w:b/>
                <w:bCs/>
                <w:color w:val="000000"/>
                <w:lang w:val="es-CO" w:eastAsia="es-CO" w:bidi="ar-SA"/>
              </w:rPr>
              <w:t>rágrafo Transitorio:</w:t>
            </w:r>
            <w:r w:rsidRPr="00222F34">
              <w:rPr>
                <w:rFonts w:ascii="Calibri" w:eastAsia="Times New Roman" w:hAnsi="Calibri" w:cs="Calibri"/>
                <w:color w:val="000000"/>
                <w:lang w:val="es-CO" w:eastAsia="es-CO" w:bidi="ar-SA"/>
              </w:rPr>
              <w:t xml:space="preserve"> Frente a las disposiciones contenidas en el presente artículo se tendrán en cuenta las organizaciones, consejos comunitarios, resguardos y/o autoridades indígenas y las kumpañy legalmente constituidas que trata el acto legislativo 02 de 2021, </w:t>
            </w:r>
            <w:r w:rsidRPr="00222F34">
              <w:rPr>
                <w:rFonts w:ascii="Calibri" w:eastAsia="Times New Roman" w:hAnsi="Calibri" w:cs="Calibri"/>
                <w:color w:val="000000"/>
                <w:lang w:val="es-CO" w:eastAsia="es-CO" w:bidi="ar-SA"/>
              </w:rPr>
              <w:lastRenderedPageBreak/>
              <w:t>por medio del cual se crean 16 Circunscripciones Transitorias especiales de paz para la Cámara de Representantes, en los periodos 2022-2026 y 2026-2030.</w:t>
            </w:r>
          </w:p>
        </w:tc>
        <w:tc>
          <w:tcPr>
            <w:tcW w:w="1480" w:type="dxa"/>
            <w:tcBorders>
              <w:top w:val="nil"/>
              <w:left w:val="nil"/>
              <w:bottom w:val="single" w:sz="4" w:space="0" w:color="000000"/>
              <w:right w:val="single" w:sz="4" w:space="0" w:color="000000"/>
            </w:tcBorders>
            <w:shd w:val="clear" w:color="000000" w:fill="FFFFFF"/>
            <w:hideMark/>
          </w:tcPr>
          <w:p w14:paraId="3CE7A3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BA7A13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532F44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135.- Postulación y acreditación de testigos electorales.</w:t>
            </w:r>
            <w:r w:rsidRPr="00222F34">
              <w:rPr>
                <w:rFonts w:ascii="Calibri" w:eastAsia="Times New Roman" w:hAnsi="Calibri" w:cs="Calibri"/>
                <w:color w:val="000000"/>
                <w:lang w:val="es-CO" w:eastAsia="es-CO" w:bidi="ar-SA"/>
              </w:rPr>
              <w:t xml:space="preserve"> La Registraduría Nacional del Estado Civil o quien esta delegue, será el competente de la acreditación a razón de un (1) testigo electoral por cada mesa de votación o por cada comisión escrutadora, y, así mismo, por partido o movimiento político, grupo significativo de ciudadanos, coaliciones o agrupaciones políticas.</w:t>
            </w:r>
          </w:p>
        </w:tc>
        <w:tc>
          <w:tcPr>
            <w:tcW w:w="3798" w:type="dxa"/>
            <w:tcBorders>
              <w:top w:val="nil"/>
              <w:left w:val="nil"/>
              <w:bottom w:val="nil"/>
              <w:right w:val="single" w:sz="4" w:space="0" w:color="000000"/>
            </w:tcBorders>
            <w:shd w:val="clear" w:color="000000" w:fill="FFFFFF"/>
            <w:hideMark/>
          </w:tcPr>
          <w:p w14:paraId="4ED21A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139.- Postulación y acreditación de testigos electorales.</w:t>
            </w:r>
            <w:r w:rsidRPr="00222F34">
              <w:rPr>
                <w:rFonts w:ascii="Calibri" w:eastAsia="Times New Roman" w:hAnsi="Calibri" w:cs="Calibri"/>
                <w:color w:val="000000"/>
                <w:lang w:val="es-CO" w:eastAsia="es-CO" w:bidi="ar-SA"/>
              </w:rPr>
              <w:t xml:space="preserve"> La Registraduría Nacional del Estado Civil o quien ésta delegue, será el competente de la acreditación a razón de un (1) testigo electoral por cada mesa de votación o por cada comisión escrutadora, y, así mismo, por partido o movimiento político, grupo significativo de ciudadanos, organizaciones étnicas y coaliciones o agrupaciones políticas.</w:t>
            </w:r>
          </w:p>
        </w:tc>
        <w:tc>
          <w:tcPr>
            <w:tcW w:w="3798" w:type="dxa"/>
            <w:tcBorders>
              <w:top w:val="nil"/>
              <w:left w:val="nil"/>
              <w:bottom w:val="nil"/>
              <w:right w:val="single" w:sz="4" w:space="0" w:color="000000"/>
            </w:tcBorders>
            <w:shd w:val="clear" w:color="000000" w:fill="FFFFFF"/>
            <w:hideMark/>
          </w:tcPr>
          <w:p w14:paraId="6D58A1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139.- Postulación y acreditación de testigos electorales.</w:t>
            </w:r>
            <w:r w:rsidRPr="00222F34">
              <w:rPr>
                <w:rFonts w:ascii="Calibri" w:eastAsia="Times New Roman" w:hAnsi="Calibri" w:cs="Calibri"/>
                <w:color w:val="000000"/>
                <w:lang w:val="es-CO" w:eastAsia="es-CO" w:bidi="ar-SA"/>
              </w:rPr>
              <w:t xml:space="preserve"> La Registraduría Nacional del Estado Civil o quien ésta delegue, será el competente de la acreditación a razón de un (1) testigo electoral por cada mesa de votación o por cada comisión escrutadora, y, así mismo, por partido o movimiento político, grupo significativo de ciudadanos, organizaciones étnicas y coaliciones o agrupaciones políticas.</w:t>
            </w:r>
          </w:p>
        </w:tc>
        <w:tc>
          <w:tcPr>
            <w:tcW w:w="1480" w:type="dxa"/>
            <w:tcBorders>
              <w:top w:val="nil"/>
              <w:left w:val="nil"/>
              <w:bottom w:val="nil"/>
              <w:right w:val="single" w:sz="4" w:space="0" w:color="000000"/>
            </w:tcBorders>
            <w:shd w:val="clear" w:color="000000" w:fill="FFFFFF"/>
            <w:hideMark/>
          </w:tcPr>
          <w:p w14:paraId="7C358120" w14:textId="15DCF95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2989202F"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8DF6B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relación de los ciudadanos postulados como testigos electorales deberá ser presentada por el representante legal o por quien este delegue, desde la fecha que para el efecto establezca el respectivo calendario electoral y a más tardar tres (3) días calendario antes de la fecha de la elección, fecha improrrogable; si se trata de los partidos y movimientos políticos con personería jurídica o coaliciones, organizaciones étnicas, o por el comité inscriptor o su vocero, en el caso de grupos </w:t>
            </w:r>
            <w:r w:rsidRPr="00222F34">
              <w:rPr>
                <w:rFonts w:ascii="Calibri" w:eastAsia="Times New Roman" w:hAnsi="Calibri" w:cs="Calibri"/>
                <w:color w:val="000000"/>
                <w:lang w:val="es-CO" w:eastAsia="es-CO" w:bidi="ar-SA"/>
              </w:rPr>
              <w:lastRenderedPageBreak/>
              <w:t>significativos de ciudadanos, de campañas del voto en blanco y mecanismos de participación ciudadana.</w:t>
            </w:r>
          </w:p>
        </w:tc>
        <w:tc>
          <w:tcPr>
            <w:tcW w:w="3798" w:type="dxa"/>
            <w:tcBorders>
              <w:top w:val="nil"/>
              <w:left w:val="nil"/>
              <w:bottom w:val="nil"/>
              <w:right w:val="single" w:sz="4" w:space="0" w:color="000000"/>
            </w:tcBorders>
            <w:shd w:val="clear" w:color="000000" w:fill="FFFFFF"/>
            <w:hideMark/>
          </w:tcPr>
          <w:p w14:paraId="0E3D4E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relación de los ciudadanos postulados como testigos electorales deberá ser presentada por el representante legal o por quien este delegue, desde la fecha que para el efecto establezca el respectivo calendario electoral y a más tardar tres (3) días calendario antes de la fecha de la elección, fecha improrrogable; si se trata de los partidos y movimientos políticos con personería jurídica o coaliciones, organizaciones étnicas, o por el comité inscriptor o su vocero, en el caso de grupos </w:t>
            </w:r>
            <w:r w:rsidRPr="00222F34">
              <w:rPr>
                <w:rFonts w:ascii="Calibri" w:eastAsia="Times New Roman" w:hAnsi="Calibri" w:cs="Calibri"/>
                <w:color w:val="000000"/>
                <w:lang w:val="es-CO" w:eastAsia="es-CO" w:bidi="ar-SA"/>
              </w:rPr>
              <w:lastRenderedPageBreak/>
              <w:t>significativos de ciudadanos, de campañas del voto en blanco y mecanismos de participación ciudadana.</w:t>
            </w:r>
          </w:p>
        </w:tc>
        <w:tc>
          <w:tcPr>
            <w:tcW w:w="3798" w:type="dxa"/>
            <w:tcBorders>
              <w:top w:val="nil"/>
              <w:left w:val="nil"/>
              <w:bottom w:val="nil"/>
              <w:right w:val="single" w:sz="4" w:space="0" w:color="000000"/>
            </w:tcBorders>
            <w:shd w:val="clear" w:color="000000" w:fill="FFFFFF"/>
            <w:hideMark/>
          </w:tcPr>
          <w:p w14:paraId="60F39C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relación de los ciudadanos postulados como testigos electorales deberá ser presentada por el representante legal o por quien este delegue, desde la fecha que para el efecto establezca el respectivo calendario electoral y a más tardar tres (3) días calendario antes de la fecha de la elección, fecha improrrogable; si se trata de los partidos y movimientos políticos con personería jurídica o coaliciones, organizaciones étnicas, o por el comité inscriptor o su vocero, en el caso de grupos </w:t>
            </w:r>
            <w:r w:rsidRPr="00222F34">
              <w:rPr>
                <w:rFonts w:ascii="Calibri" w:eastAsia="Times New Roman" w:hAnsi="Calibri" w:cs="Calibri"/>
                <w:color w:val="000000"/>
                <w:lang w:val="es-CO" w:eastAsia="es-CO" w:bidi="ar-SA"/>
              </w:rPr>
              <w:lastRenderedPageBreak/>
              <w:t>significativos de ciudadanos, de campañas del voto en blanco y mecanismos de participación ciudadana.</w:t>
            </w:r>
          </w:p>
        </w:tc>
        <w:tc>
          <w:tcPr>
            <w:tcW w:w="1480" w:type="dxa"/>
            <w:tcBorders>
              <w:top w:val="nil"/>
              <w:left w:val="nil"/>
              <w:bottom w:val="nil"/>
              <w:right w:val="single" w:sz="4" w:space="0" w:color="000000"/>
            </w:tcBorders>
            <w:shd w:val="clear" w:color="000000" w:fill="FFFFFF"/>
            <w:hideMark/>
          </w:tcPr>
          <w:p w14:paraId="7CD8F0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F8FF30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CA478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la zona, el puesto y mesa para el que ha sido acreditado y firma digital o electrónica de la autoridad electoral que la expide.</w:t>
            </w:r>
          </w:p>
        </w:tc>
        <w:tc>
          <w:tcPr>
            <w:tcW w:w="3798" w:type="dxa"/>
            <w:tcBorders>
              <w:top w:val="nil"/>
              <w:left w:val="nil"/>
              <w:bottom w:val="nil"/>
              <w:right w:val="single" w:sz="4" w:space="0" w:color="000000"/>
            </w:tcBorders>
            <w:shd w:val="clear" w:color="000000" w:fill="FFFFFF"/>
            <w:hideMark/>
          </w:tcPr>
          <w:p w14:paraId="1CA32C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la zona, el puesto y mesa para el que ha sido acreditado y firma digital o electrónica de la autoridad electoral que la expide.</w:t>
            </w:r>
          </w:p>
        </w:tc>
        <w:tc>
          <w:tcPr>
            <w:tcW w:w="3798" w:type="dxa"/>
            <w:tcBorders>
              <w:top w:val="nil"/>
              <w:left w:val="nil"/>
              <w:bottom w:val="nil"/>
              <w:right w:val="single" w:sz="4" w:space="0" w:color="000000"/>
            </w:tcBorders>
            <w:shd w:val="clear" w:color="000000" w:fill="FFFFFF"/>
            <w:hideMark/>
          </w:tcPr>
          <w:p w14:paraId="3AF559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la zona, el puesto y mesa para el que ha sido acreditado y firma digital o electrónica de la autoridad electoral que la expide.</w:t>
            </w:r>
          </w:p>
        </w:tc>
        <w:tc>
          <w:tcPr>
            <w:tcW w:w="1480" w:type="dxa"/>
            <w:tcBorders>
              <w:top w:val="nil"/>
              <w:left w:val="nil"/>
              <w:bottom w:val="nil"/>
              <w:right w:val="single" w:sz="4" w:space="0" w:color="000000"/>
            </w:tcBorders>
            <w:shd w:val="clear" w:color="000000" w:fill="FFFFFF"/>
            <w:hideMark/>
          </w:tcPr>
          <w:p w14:paraId="716B61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F97397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06A6B9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partidos y movimientos políticos, grupos significativos de ciudadanos, coalición o comité promotor podrán solicitar la acreditación de testigos remanentes, de acuerdo con la reglamentación que expida el Consejo Nacional Electoral.</w:t>
            </w:r>
          </w:p>
        </w:tc>
        <w:tc>
          <w:tcPr>
            <w:tcW w:w="3798" w:type="dxa"/>
            <w:tcBorders>
              <w:top w:val="nil"/>
              <w:left w:val="nil"/>
              <w:bottom w:val="nil"/>
              <w:right w:val="single" w:sz="4" w:space="0" w:color="000000"/>
            </w:tcBorders>
            <w:shd w:val="clear" w:color="000000" w:fill="FFFFFF"/>
            <w:hideMark/>
          </w:tcPr>
          <w:p w14:paraId="5DAF68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Los partidos y movimientos políticos, grupos significativos de ciudadanos, coalición o comité promotor podrán solicitar la acreditación de testigos remanentes, de acuerdo con la reglamentación que expida el Consejo Nacional Electoral.</w:t>
            </w:r>
          </w:p>
        </w:tc>
        <w:tc>
          <w:tcPr>
            <w:tcW w:w="3798" w:type="dxa"/>
            <w:tcBorders>
              <w:top w:val="nil"/>
              <w:left w:val="nil"/>
              <w:bottom w:val="nil"/>
              <w:right w:val="single" w:sz="4" w:space="0" w:color="000000"/>
            </w:tcBorders>
            <w:shd w:val="clear" w:color="000000" w:fill="FFFFFF"/>
            <w:hideMark/>
          </w:tcPr>
          <w:p w14:paraId="2D50DF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Los partidos y movimientos políticos, grupos significativos de ciudadanos, coalición o comité promotor podrán solicitar la acreditación de testigos remanentes, de acuerdo con la reglamentación que expida el Consejo Nacional Electoral.</w:t>
            </w:r>
          </w:p>
        </w:tc>
        <w:tc>
          <w:tcPr>
            <w:tcW w:w="1480" w:type="dxa"/>
            <w:tcBorders>
              <w:top w:val="nil"/>
              <w:left w:val="nil"/>
              <w:bottom w:val="nil"/>
              <w:right w:val="single" w:sz="4" w:space="0" w:color="000000"/>
            </w:tcBorders>
            <w:shd w:val="clear" w:color="000000" w:fill="FFFFFF"/>
            <w:hideMark/>
          </w:tcPr>
          <w:p w14:paraId="129D82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9CC2830"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78514A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el caso de las votaciones en el exterior los testigos electorales serán postulados a más tardar tres (3) días calendario antes de </w:t>
            </w:r>
            <w:r w:rsidRPr="00222F34">
              <w:rPr>
                <w:rFonts w:ascii="Calibri" w:eastAsia="Times New Roman" w:hAnsi="Calibri" w:cs="Calibri"/>
                <w:color w:val="000000"/>
                <w:lang w:val="es-CO" w:eastAsia="es-CO" w:bidi="ar-SA"/>
              </w:rPr>
              <w:lastRenderedPageBreak/>
              <w:t>la fecha de la elección, fecha improrrogable.</w:t>
            </w:r>
          </w:p>
        </w:tc>
        <w:tc>
          <w:tcPr>
            <w:tcW w:w="3798" w:type="dxa"/>
            <w:tcBorders>
              <w:top w:val="nil"/>
              <w:left w:val="nil"/>
              <w:bottom w:val="single" w:sz="4" w:space="0" w:color="000000"/>
              <w:right w:val="single" w:sz="4" w:space="0" w:color="000000"/>
            </w:tcBorders>
            <w:shd w:val="clear" w:color="000000" w:fill="FFFFFF"/>
            <w:hideMark/>
          </w:tcPr>
          <w:p w14:paraId="377707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Para el caso de las votaciones en el exterior los testigos electorales serán postulados a más tardar tres (3) días calendario antes de </w:t>
            </w:r>
            <w:r w:rsidRPr="00222F34">
              <w:rPr>
                <w:rFonts w:ascii="Calibri" w:eastAsia="Times New Roman" w:hAnsi="Calibri" w:cs="Calibri"/>
                <w:color w:val="000000"/>
                <w:lang w:val="es-CO" w:eastAsia="es-CO" w:bidi="ar-SA"/>
              </w:rPr>
              <w:lastRenderedPageBreak/>
              <w:t>la fecha de la elección, fecha improrrogable.</w:t>
            </w:r>
          </w:p>
        </w:tc>
        <w:tc>
          <w:tcPr>
            <w:tcW w:w="3798" w:type="dxa"/>
            <w:tcBorders>
              <w:top w:val="nil"/>
              <w:left w:val="nil"/>
              <w:bottom w:val="single" w:sz="4" w:space="0" w:color="000000"/>
              <w:right w:val="single" w:sz="4" w:space="0" w:color="000000"/>
            </w:tcBorders>
            <w:shd w:val="clear" w:color="000000" w:fill="FFFFFF"/>
            <w:hideMark/>
          </w:tcPr>
          <w:p w14:paraId="6C6359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Para el caso de las votaciones en el exterior los testigos electorales serán postulados a más tardar tres (3) días calendario antes de </w:t>
            </w:r>
            <w:r w:rsidRPr="00222F34">
              <w:rPr>
                <w:rFonts w:ascii="Calibri" w:eastAsia="Times New Roman" w:hAnsi="Calibri" w:cs="Calibri"/>
                <w:color w:val="000000"/>
                <w:lang w:val="es-CO" w:eastAsia="es-CO" w:bidi="ar-SA"/>
              </w:rPr>
              <w:lastRenderedPageBreak/>
              <w:t>la fecha de la elección, fecha improrrogable.</w:t>
            </w:r>
          </w:p>
        </w:tc>
        <w:tc>
          <w:tcPr>
            <w:tcW w:w="1480" w:type="dxa"/>
            <w:tcBorders>
              <w:top w:val="nil"/>
              <w:left w:val="nil"/>
              <w:bottom w:val="single" w:sz="4" w:space="0" w:color="000000"/>
              <w:right w:val="single" w:sz="4" w:space="0" w:color="000000"/>
            </w:tcBorders>
            <w:shd w:val="clear" w:color="000000" w:fill="FFFFFF"/>
            <w:hideMark/>
          </w:tcPr>
          <w:p w14:paraId="3A65AD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08BC0F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82EB40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ARTICULO 136.- Acreditación de testigos electorales.</w:t>
            </w:r>
            <w:r w:rsidRPr="00222F34">
              <w:rPr>
                <w:rFonts w:ascii="Calibri" w:eastAsia="Times New Roman" w:hAnsi="Calibri" w:cs="Calibri"/>
                <w:color w:val="000000"/>
                <w:lang w:val="es-CO" w:eastAsia="es-CO" w:bidi="ar-SA"/>
              </w:rPr>
              <w:t xml:space="preserve"> La Registraduría Nacional del Estado Civil será la encargada de la acreditación en los términos que establece el artículo anterior.  </w:t>
            </w:r>
          </w:p>
        </w:tc>
        <w:tc>
          <w:tcPr>
            <w:tcW w:w="3798" w:type="dxa"/>
            <w:tcBorders>
              <w:top w:val="nil"/>
              <w:left w:val="nil"/>
              <w:bottom w:val="nil"/>
              <w:right w:val="single" w:sz="4" w:space="0" w:color="000000"/>
            </w:tcBorders>
            <w:shd w:val="clear" w:color="000000" w:fill="FFFFFF"/>
            <w:hideMark/>
          </w:tcPr>
          <w:p w14:paraId="12BD03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140.- Acreditación de testigos electorales</w:t>
            </w:r>
            <w:r w:rsidRPr="00222F34">
              <w:rPr>
                <w:rFonts w:ascii="Calibri" w:eastAsia="Times New Roman" w:hAnsi="Calibri" w:cs="Calibri"/>
                <w:color w:val="000000"/>
                <w:lang w:val="es-CO" w:eastAsia="es-CO" w:bidi="ar-SA"/>
              </w:rPr>
              <w:t>. La Registraduría Nacional del Estado Civil será la encargada de la acreditación en los términos que establece el artículo anterior.</w:t>
            </w:r>
          </w:p>
        </w:tc>
        <w:tc>
          <w:tcPr>
            <w:tcW w:w="3798" w:type="dxa"/>
            <w:tcBorders>
              <w:top w:val="nil"/>
              <w:left w:val="nil"/>
              <w:bottom w:val="nil"/>
              <w:right w:val="single" w:sz="4" w:space="0" w:color="000000"/>
            </w:tcBorders>
            <w:shd w:val="clear" w:color="000000" w:fill="FFFFFF"/>
            <w:hideMark/>
          </w:tcPr>
          <w:p w14:paraId="784D5C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140.- Acreditación de testigos electorales</w:t>
            </w:r>
            <w:r w:rsidRPr="00222F34">
              <w:rPr>
                <w:rFonts w:ascii="Calibri" w:eastAsia="Times New Roman" w:hAnsi="Calibri" w:cs="Calibri"/>
                <w:color w:val="000000"/>
                <w:lang w:val="es-CO" w:eastAsia="es-CO" w:bidi="ar-SA"/>
              </w:rPr>
              <w:t>. La Registraduría Nacional del Estado Civil será la encargada de la acreditación en los términos que establece el artículo anterior.</w:t>
            </w:r>
          </w:p>
        </w:tc>
        <w:tc>
          <w:tcPr>
            <w:tcW w:w="1480" w:type="dxa"/>
            <w:tcBorders>
              <w:top w:val="nil"/>
              <w:left w:val="nil"/>
              <w:bottom w:val="nil"/>
              <w:right w:val="single" w:sz="4" w:space="0" w:color="000000"/>
            </w:tcBorders>
            <w:shd w:val="clear" w:color="000000" w:fill="FFFFFF"/>
            <w:hideMark/>
          </w:tcPr>
          <w:p w14:paraId="4AEF7C98" w14:textId="787D011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97C1EE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C7787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acreditación de los ciudadanos postulados como testigos electorales tanto en las votaciones en territorio nacional como en el exterior deberá ser efectuada a más tardar el jueves antes de la fecha de elección termino improrrogable   </w:t>
            </w:r>
          </w:p>
        </w:tc>
        <w:tc>
          <w:tcPr>
            <w:tcW w:w="3798" w:type="dxa"/>
            <w:tcBorders>
              <w:top w:val="nil"/>
              <w:left w:val="nil"/>
              <w:bottom w:val="nil"/>
              <w:right w:val="single" w:sz="4" w:space="0" w:color="000000"/>
            </w:tcBorders>
            <w:shd w:val="clear" w:color="000000" w:fill="FFFFFF"/>
            <w:hideMark/>
          </w:tcPr>
          <w:p w14:paraId="409E87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acreditación de los ciudadanos postulados como testigos electorales tanto en las votaciones en territorio nacional como en el exterior deberá ser efectuada a más tardar el jueves antes de la fecha de elección término improrrogable.</w:t>
            </w:r>
          </w:p>
        </w:tc>
        <w:tc>
          <w:tcPr>
            <w:tcW w:w="3798" w:type="dxa"/>
            <w:tcBorders>
              <w:top w:val="nil"/>
              <w:left w:val="nil"/>
              <w:bottom w:val="nil"/>
              <w:right w:val="single" w:sz="4" w:space="0" w:color="000000"/>
            </w:tcBorders>
            <w:shd w:val="clear" w:color="000000" w:fill="FFFFFF"/>
            <w:hideMark/>
          </w:tcPr>
          <w:p w14:paraId="1CC3AA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acreditación de los ciudadanos postulados como testigos electorales tanto en las votaciones en territorio nacional como en el exterior deberá ser efectuada a más tardar el jueves antes de la fecha de elección término improrrogable.</w:t>
            </w:r>
          </w:p>
        </w:tc>
        <w:tc>
          <w:tcPr>
            <w:tcW w:w="1480" w:type="dxa"/>
            <w:tcBorders>
              <w:top w:val="nil"/>
              <w:left w:val="nil"/>
              <w:bottom w:val="nil"/>
              <w:right w:val="single" w:sz="4" w:space="0" w:color="000000"/>
            </w:tcBorders>
            <w:shd w:val="clear" w:color="000000" w:fill="FFFFFF"/>
            <w:hideMark/>
          </w:tcPr>
          <w:p w14:paraId="198048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84AB8D"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9BA17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podrá implementar una plataforma tecnológica que permitirá su acreditación digital, sin perjuicio que la misma sea en formato físico;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 </w:t>
            </w:r>
          </w:p>
        </w:tc>
        <w:tc>
          <w:tcPr>
            <w:tcW w:w="3798" w:type="dxa"/>
            <w:tcBorders>
              <w:top w:val="nil"/>
              <w:left w:val="nil"/>
              <w:bottom w:val="nil"/>
              <w:right w:val="single" w:sz="4" w:space="0" w:color="000000"/>
            </w:tcBorders>
            <w:shd w:val="clear" w:color="000000" w:fill="FFFFFF"/>
            <w:hideMark/>
          </w:tcPr>
          <w:p w14:paraId="533785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podrá implementar una plataforma tecnológica que permitirá su acreditación digital, sin perjuicio que la misma sea en formato físico;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w:t>
            </w:r>
          </w:p>
        </w:tc>
        <w:tc>
          <w:tcPr>
            <w:tcW w:w="3798" w:type="dxa"/>
            <w:tcBorders>
              <w:top w:val="nil"/>
              <w:left w:val="nil"/>
              <w:bottom w:val="nil"/>
              <w:right w:val="single" w:sz="4" w:space="0" w:color="000000"/>
            </w:tcBorders>
            <w:shd w:val="clear" w:color="000000" w:fill="FFFFFF"/>
            <w:hideMark/>
          </w:tcPr>
          <w:p w14:paraId="140B4B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podrá implementar una plataforma tecnológica que permitirá su acreditación digital, sin perjuicio que la misma sea en formato físico;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w:t>
            </w:r>
          </w:p>
        </w:tc>
        <w:tc>
          <w:tcPr>
            <w:tcW w:w="1480" w:type="dxa"/>
            <w:tcBorders>
              <w:top w:val="nil"/>
              <w:left w:val="nil"/>
              <w:bottom w:val="nil"/>
              <w:right w:val="single" w:sz="4" w:space="0" w:color="000000"/>
            </w:tcBorders>
            <w:shd w:val="clear" w:color="000000" w:fill="FFFFFF"/>
            <w:hideMark/>
          </w:tcPr>
          <w:p w14:paraId="106EF3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4D38194"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7BB5E7B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w:t>
            </w:r>
          </w:p>
        </w:tc>
        <w:tc>
          <w:tcPr>
            <w:tcW w:w="3798" w:type="dxa"/>
            <w:tcBorders>
              <w:top w:val="nil"/>
              <w:left w:val="nil"/>
              <w:bottom w:val="single" w:sz="4" w:space="0" w:color="000000"/>
              <w:right w:val="single" w:sz="4" w:space="0" w:color="000000"/>
            </w:tcBorders>
            <w:shd w:val="clear" w:color="000000" w:fill="FFFFFF"/>
            <w:hideMark/>
          </w:tcPr>
          <w:p w14:paraId="0C8700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w:t>
            </w:r>
          </w:p>
        </w:tc>
        <w:tc>
          <w:tcPr>
            <w:tcW w:w="3798" w:type="dxa"/>
            <w:tcBorders>
              <w:top w:val="nil"/>
              <w:left w:val="nil"/>
              <w:bottom w:val="single" w:sz="4" w:space="0" w:color="000000"/>
              <w:right w:val="single" w:sz="4" w:space="0" w:color="000000"/>
            </w:tcBorders>
            <w:shd w:val="clear" w:color="000000" w:fill="FFFFFF"/>
            <w:hideMark/>
          </w:tcPr>
          <w:p w14:paraId="3226DD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w:t>
            </w:r>
          </w:p>
        </w:tc>
        <w:tc>
          <w:tcPr>
            <w:tcW w:w="1480" w:type="dxa"/>
            <w:tcBorders>
              <w:top w:val="nil"/>
              <w:left w:val="nil"/>
              <w:bottom w:val="single" w:sz="4" w:space="0" w:color="000000"/>
              <w:right w:val="single" w:sz="4" w:space="0" w:color="000000"/>
            </w:tcBorders>
            <w:shd w:val="clear" w:color="000000" w:fill="FFFFFF"/>
            <w:hideMark/>
          </w:tcPr>
          <w:p w14:paraId="17FB75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5EE89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11ED5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137.- Facultades de los testigos electorales.</w:t>
            </w:r>
            <w:r w:rsidRPr="00222F34">
              <w:rPr>
                <w:rFonts w:ascii="Calibri" w:eastAsia="Times New Roman" w:hAnsi="Calibri" w:cs="Calibri"/>
                <w:color w:val="000000"/>
                <w:lang w:val="es-CO" w:eastAsia="es-CO" w:bidi="ar-SA"/>
              </w:rPr>
              <w:t xml:space="preserve"> Los testigos electorales vigilarán el proceso de las votaciones y podrán formular reclamaciones ante jurados de votación y comisiones escrutadoras, de acuerdo con lo señalado en este código. </w:t>
            </w:r>
          </w:p>
        </w:tc>
        <w:tc>
          <w:tcPr>
            <w:tcW w:w="3798" w:type="dxa"/>
            <w:tcBorders>
              <w:top w:val="nil"/>
              <w:left w:val="nil"/>
              <w:bottom w:val="nil"/>
              <w:right w:val="single" w:sz="4" w:space="0" w:color="000000"/>
            </w:tcBorders>
            <w:shd w:val="clear" w:color="000000" w:fill="FFFFFF"/>
            <w:hideMark/>
          </w:tcPr>
          <w:p w14:paraId="76E1DA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141.- Facultades de los testigos electorales.</w:t>
            </w:r>
            <w:r w:rsidRPr="00222F34">
              <w:rPr>
                <w:rFonts w:ascii="Calibri" w:eastAsia="Times New Roman" w:hAnsi="Calibri" w:cs="Calibri"/>
                <w:color w:val="000000"/>
                <w:lang w:val="es-CO" w:eastAsia="es-CO" w:bidi="ar-SA"/>
              </w:rPr>
              <w:t xml:space="preserve"> Los testigos electorales vigilarán el proceso de las votaciones y podrán formular reclamaciones ante jurados de votación y comisiones escrutadoras, de acuerdo con lo señalado en este código.</w:t>
            </w:r>
          </w:p>
        </w:tc>
        <w:tc>
          <w:tcPr>
            <w:tcW w:w="3798" w:type="dxa"/>
            <w:tcBorders>
              <w:top w:val="nil"/>
              <w:left w:val="nil"/>
              <w:bottom w:val="nil"/>
              <w:right w:val="single" w:sz="4" w:space="0" w:color="000000"/>
            </w:tcBorders>
            <w:shd w:val="clear" w:color="000000" w:fill="FFFFFF"/>
            <w:hideMark/>
          </w:tcPr>
          <w:p w14:paraId="5191DA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141.- Facultades de los testigos electorales.</w:t>
            </w:r>
            <w:r w:rsidRPr="00222F34">
              <w:rPr>
                <w:rFonts w:ascii="Calibri" w:eastAsia="Times New Roman" w:hAnsi="Calibri" w:cs="Calibri"/>
                <w:color w:val="000000"/>
                <w:lang w:val="es-CO" w:eastAsia="es-CO" w:bidi="ar-SA"/>
              </w:rPr>
              <w:t xml:space="preserve"> Los testigos electorales vigilarán el proceso de las votaciones y podrán formular reclamaciones ante jurados de votación y comisiones escrutadoras, de acuerdo con lo señalado en este código.</w:t>
            </w:r>
          </w:p>
        </w:tc>
        <w:tc>
          <w:tcPr>
            <w:tcW w:w="1480" w:type="dxa"/>
            <w:tcBorders>
              <w:top w:val="nil"/>
              <w:left w:val="nil"/>
              <w:bottom w:val="nil"/>
              <w:right w:val="single" w:sz="4" w:space="0" w:color="000000"/>
            </w:tcBorders>
            <w:shd w:val="clear" w:color="000000" w:fill="FFFFFF"/>
            <w:hideMark/>
          </w:tcPr>
          <w:p w14:paraId="636CF0CE" w14:textId="0859DFB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3482642" w14:textId="77777777" w:rsidTr="00222F34">
        <w:trPr>
          <w:trHeight w:val="1035"/>
        </w:trPr>
        <w:tc>
          <w:tcPr>
            <w:tcW w:w="3798" w:type="dxa"/>
            <w:tcBorders>
              <w:top w:val="nil"/>
              <w:left w:val="single" w:sz="4" w:space="0" w:color="000000"/>
              <w:bottom w:val="nil"/>
              <w:right w:val="single" w:sz="4" w:space="0" w:color="000000"/>
            </w:tcBorders>
            <w:shd w:val="clear" w:color="000000" w:fill="FFFFFF"/>
            <w:hideMark/>
          </w:tcPr>
          <w:p w14:paraId="050E26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testigos electorales están facultados para solicitar la intervención de las autoridades correspondientes cuando las reclamaciones no sean resueltas de fondo y de manera inmediata para que se tomen las medidas preventivas y correctivas pertinentes. </w:t>
            </w:r>
          </w:p>
        </w:tc>
        <w:tc>
          <w:tcPr>
            <w:tcW w:w="3798" w:type="dxa"/>
            <w:tcBorders>
              <w:top w:val="nil"/>
              <w:left w:val="nil"/>
              <w:bottom w:val="nil"/>
              <w:right w:val="single" w:sz="4" w:space="0" w:color="000000"/>
            </w:tcBorders>
            <w:shd w:val="clear" w:color="000000" w:fill="FFFFFF"/>
            <w:hideMark/>
          </w:tcPr>
          <w:p w14:paraId="0AED8B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testigos electorales están facultados para solicitar la intervención de las autoridades correspondientes cuando las reclamaciones no sean resueltas de fondo y de manera inmediata para que se tomen las medidas preventivas y correctivas pertinentes.</w:t>
            </w:r>
          </w:p>
        </w:tc>
        <w:tc>
          <w:tcPr>
            <w:tcW w:w="3798" w:type="dxa"/>
            <w:tcBorders>
              <w:top w:val="nil"/>
              <w:left w:val="nil"/>
              <w:bottom w:val="nil"/>
              <w:right w:val="single" w:sz="4" w:space="0" w:color="000000"/>
            </w:tcBorders>
            <w:shd w:val="clear" w:color="000000" w:fill="FFFFFF"/>
            <w:hideMark/>
          </w:tcPr>
          <w:p w14:paraId="56199E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testigos electorales están facultados para solicitar la intervención de las autoridades correspondientes cuando las reclamaciones no sean resueltas de fondo y de manera inmediata para que se tomen las medidas preventivas y correctivas pertinentes.</w:t>
            </w:r>
          </w:p>
        </w:tc>
        <w:tc>
          <w:tcPr>
            <w:tcW w:w="1480" w:type="dxa"/>
            <w:tcBorders>
              <w:top w:val="nil"/>
              <w:left w:val="nil"/>
              <w:bottom w:val="nil"/>
              <w:right w:val="single" w:sz="4" w:space="0" w:color="000000"/>
            </w:tcBorders>
            <w:shd w:val="clear" w:color="000000" w:fill="FFFFFF"/>
            <w:hideMark/>
          </w:tcPr>
          <w:p w14:paraId="2FED07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03801A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1F090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testigos podrán acreditarse para vigilar más de una mesa o comisión escrutadora. En ninguna mesa de votación o comisión escrutadora actuará más de un testigo electoral por partido, movimiento político, grupo significativo </w:t>
            </w:r>
            <w:r w:rsidRPr="00222F34">
              <w:rPr>
                <w:rFonts w:ascii="Calibri" w:eastAsia="Times New Roman" w:hAnsi="Calibri" w:cs="Calibri"/>
                <w:color w:val="000000"/>
                <w:lang w:val="es-CO" w:eastAsia="es-CO" w:bidi="ar-SA"/>
              </w:rPr>
              <w:lastRenderedPageBreak/>
              <w:t xml:space="preserve">de ciudadanos, coalición o comité promotor. </w:t>
            </w:r>
          </w:p>
        </w:tc>
        <w:tc>
          <w:tcPr>
            <w:tcW w:w="3798" w:type="dxa"/>
            <w:tcBorders>
              <w:top w:val="nil"/>
              <w:left w:val="nil"/>
              <w:bottom w:val="nil"/>
              <w:right w:val="single" w:sz="4" w:space="0" w:color="000000"/>
            </w:tcBorders>
            <w:shd w:val="clear" w:color="000000" w:fill="FFFFFF"/>
            <w:hideMark/>
          </w:tcPr>
          <w:p w14:paraId="34F6F9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testigos podrán acreditarse para vigilar más de una mesa o comisión escrutadora. En ninguna mesa de votación o comisión escrutadora actuará más de un testigo electoral por partido, movimiento político, grupo significativo </w:t>
            </w:r>
            <w:r w:rsidRPr="00222F34">
              <w:rPr>
                <w:rFonts w:ascii="Calibri" w:eastAsia="Times New Roman" w:hAnsi="Calibri" w:cs="Calibri"/>
                <w:color w:val="000000"/>
                <w:lang w:val="es-CO" w:eastAsia="es-CO" w:bidi="ar-SA"/>
              </w:rPr>
              <w:lastRenderedPageBreak/>
              <w:t>de ciudadanos, coalición o comité promotor.</w:t>
            </w:r>
          </w:p>
        </w:tc>
        <w:tc>
          <w:tcPr>
            <w:tcW w:w="3798" w:type="dxa"/>
            <w:tcBorders>
              <w:top w:val="nil"/>
              <w:left w:val="nil"/>
              <w:bottom w:val="nil"/>
              <w:right w:val="single" w:sz="4" w:space="0" w:color="000000"/>
            </w:tcBorders>
            <w:shd w:val="clear" w:color="000000" w:fill="FFFFFF"/>
            <w:hideMark/>
          </w:tcPr>
          <w:p w14:paraId="01D52B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testigos podrán acreditarse para vigilar más de una mesa o comisión escrutadora. En ninguna mesa de votación o comisión escrutadora actuará más de un testigo electoral por partido, movimiento político, grupo significativo </w:t>
            </w:r>
            <w:r w:rsidRPr="00222F34">
              <w:rPr>
                <w:rFonts w:ascii="Calibri" w:eastAsia="Times New Roman" w:hAnsi="Calibri" w:cs="Calibri"/>
                <w:color w:val="000000"/>
                <w:lang w:val="es-CO" w:eastAsia="es-CO" w:bidi="ar-SA"/>
              </w:rPr>
              <w:lastRenderedPageBreak/>
              <w:t>de ciudadanos, coalición o comité promotor.</w:t>
            </w:r>
          </w:p>
        </w:tc>
        <w:tc>
          <w:tcPr>
            <w:tcW w:w="1480" w:type="dxa"/>
            <w:tcBorders>
              <w:top w:val="nil"/>
              <w:left w:val="nil"/>
              <w:bottom w:val="nil"/>
              <w:right w:val="single" w:sz="4" w:space="0" w:color="000000"/>
            </w:tcBorders>
            <w:shd w:val="clear" w:color="000000" w:fill="FFFFFF"/>
            <w:hideMark/>
          </w:tcPr>
          <w:p w14:paraId="69F2BC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381C1BB"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1FA551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Se prohíbe a los testigos obstaculizar el ejercicio de las funciones propias de los jurados de votación y de los miembros de la comisión escrutadora.  </w:t>
            </w:r>
          </w:p>
        </w:tc>
        <w:tc>
          <w:tcPr>
            <w:tcW w:w="3798" w:type="dxa"/>
            <w:tcBorders>
              <w:top w:val="nil"/>
              <w:left w:val="nil"/>
              <w:bottom w:val="single" w:sz="4" w:space="0" w:color="000000"/>
              <w:right w:val="single" w:sz="4" w:space="0" w:color="000000"/>
            </w:tcBorders>
            <w:shd w:val="clear" w:color="000000" w:fill="FFFFFF"/>
            <w:hideMark/>
          </w:tcPr>
          <w:p w14:paraId="242A99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prohíbe a los testigos obstaculizar el ejercicio de las funciones propias de los jurados de votación y de los miembros de la comisión escrutadora.</w:t>
            </w:r>
          </w:p>
        </w:tc>
        <w:tc>
          <w:tcPr>
            <w:tcW w:w="3798" w:type="dxa"/>
            <w:tcBorders>
              <w:top w:val="nil"/>
              <w:left w:val="nil"/>
              <w:bottom w:val="single" w:sz="4" w:space="0" w:color="000000"/>
              <w:right w:val="single" w:sz="4" w:space="0" w:color="000000"/>
            </w:tcBorders>
            <w:shd w:val="clear" w:color="000000" w:fill="FFFFFF"/>
            <w:hideMark/>
          </w:tcPr>
          <w:p w14:paraId="1161FF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prohíbe a los testigos obstaculizar el ejercicio de las funciones propias de los jurados de votación y de los miembros de la comisión escrutadora.</w:t>
            </w:r>
          </w:p>
        </w:tc>
        <w:tc>
          <w:tcPr>
            <w:tcW w:w="1480" w:type="dxa"/>
            <w:tcBorders>
              <w:top w:val="nil"/>
              <w:left w:val="nil"/>
              <w:bottom w:val="single" w:sz="4" w:space="0" w:color="000000"/>
              <w:right w:val="single" w:sz="4" w:space="0" w:color="000000"/>
            </w:tcBorders>
            <w:shd w:val="clear" w:color="000000" w:fill="FFFFFF"/>
            <w:hideMark/>
          </w:tcPr>
          <w:p w14:paraId="7796E9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F740A3C" w14:textId="77777777" w:rsidTr="00222F34">
        <w:trPr>
          <w:trHeight w:val="2505"/>
        </w:trPr>
        <w:tc>
          <w:tcPr>
            <w:tcW w:w="3798" w:type="dxa"/>
            <w:tcBorders>
              <w:top w:val="nil"/>
              <w:left w:val="single" w:sz="4" w:space="0" w:color="000000"/>
              <w:bottom w:val="nil"/>
              <w:right w:val="single" w:sz="4" w:space="0" w:color="000000"/>
            </w:tcBorders>
            <w:shd w:val="clear" w:color="000000" w:fill="FFFFFF"/>
            <w:hideMark/>
          </w:tcPr>
          <w:p w14:paraId="53F2262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138.- Capacitación de testigos electorales.</w:t>
            </w:r>
            <w:r w:rsidRPr="00222F34">
              <w:rPr>
                <w:rFonts w:ascii="Calibri" w:eastAsia="Times New Roman" w:hAnsi="Calibri" w:cs="Calibri"/>
                <w:color w:val="000000"/>
                <w:lang w:val="es-CO" w:eastAsia="es-CO" w:bidi="ar-SA"/>
              </w:rPr>
              <w:t xml:space="preserve"> La Registraduría Nacional del Estado Civil dispondrá de material de apoyo y de un módulo presencial o remoto de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del módulo diseñado será impreso en número suficiente para la labor de formación de las organizaciones políticas y sus testigos electorales.</w:t>
            </w:r>
          </w:p>
        </w:tc>
        <w:tc>
          <w:tcPr>
            <w:tcW w:w="3798" w:type="dxa"/>
            <w:tcBorders>
              <w:top w:val="nil"/>
              <w:left w:val="nil"/>
              <w:bottom w:val="nil"/>
              <w:right w:val="single" w:sz="4" w:space="0" w:color="000000"/>
            </w:tcBorders>
            <w:shd w:val="clear" w:color="000000" w:fill="FFFFFF"/>
            <w:hideMark/>
          </w:tcPr>
          <w:p w14:paraId="0BADC2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142.- Capacitación de testigos electorales. </w:t>
            </w:r>
            <w:r w:rsidRPr="00222F34">
              <w:rPr>
                <w:rFonts w:ascii="Calibri" w:eastAsia="Times New Roman" w:hAnsi="Calibri" w:cs="Calibri"/>
                <w:color w:val="000000"/>
                <w:lang w:val="es-CO" w:eastAsia="es-CO" w:bidi="ar-SA"/>
              </w:rPr>
              <w:t>La Registraduría Nacional del Estado Civil dispondrá de material de apoyo y de un módulo presencial o remoto de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del módulo diseñado será impreso en número suficiente para la labor de formación de las organizaciones políticas y sus testigos electorales.</w:t>
            </w:r>
          </w:p>
        </w:tc>
        <w:tc>
          <w:tcPr>
            <w:tcW w:w="3798" w:type="dxa"/>
            <w:tcBorders>
              <w:top w:val="nil"/>
              <w:left w:val="nil"/>
              <w:bottom w:val="nil"/>
              <w:right w:val="single" w:sz="4" w:space="0" w:color="000000"/>
            </w:tcBorders>
            <w:shd w:val="clear" w:color="000000" w:fill="FFFFFF"/>
            <w:hideMark/>
          </w:tcPr>
          <w:p w14:paraId="240365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142.- Capacitación de testigos electorales. </w:t>
            </w:r>
            <w:r w:rsidRPr="00222F34">
              <w:rPr>
                <w:rFonts w:ascii="Calibri" w:eastAsia="Times New Roman" w:hAnsi="Calibri" w:cs="Calibri"/>
                <w:color w:val="000000"/>
                <w:lang w:val="es-CO" w:eastAsia="es-CO" w:bidi="ar-SA"/>
              </w:rPr>
              <w:t>La Registraduría Nacional del Estado Civil dispondrá de material de apoyo y de un módulo presencial o remoto de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del módulo diseñado será impreso en número suficiente para la labor de formación de las organizaciones políticas y sus testigos electorales.</w:t>
            </w:r>
          </w:p>
        </w:tc>
        <w:tc>
          <w:tcPr>
            <w:tcW w:w="1480" w:type="dxa"/>
            <w:tcBorders>
              <w:top w:val="nil"/>
              <w:left w:val="nil"/>
              <w:bottom w:val="nil"/>
              <w:right w:val="single" w:sz="4" w:space="0" w:color="000000"/>
            </w:tcBorders>
            <w:shd w:val="clear" w:color="000000" w:fill="FFFFFF"/>
            <w:hideMark/>
          </w:tcPr>
          <w:p w14:paraId="31673549" w14:textId="13A0752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E1E95E0"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1B97C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Previo a la fecha de inicio de acreditación de los testigos el Consejo Nacional Electoral adelantará una </w:t>
            </w:r>
            <w:r w:rsidRPr="00222F34">
              <w:rPr>
                <w:rFonts w:ascii="Calibri" w:eastAsia="Times New Roman" w:hAnsi="Calibri" w:cs="Calibri"/>
                <w:color w:val="000000"/>
                <w:lang w:val="es-CO" w:eastAsia="es-CO" w:bidi="ar-SA"/>
              </w:rPr>
              <w:lastRenderedPageBreak/>
              <w:t xml:space="preserve">campaña publicitaria en medios de comunicación públicos, acerca de la importancia para la democracia de la labor de los testigos electorales. </w:t>
            </w:r>
          </w:p>
        </w:tc>
        <w:tc>
          <w:tcPr>
            <w:tcW w:w="3798" w:type="dxa"/>
            <w:tcBorders>
              <w:top w:val="nil"/>
              <w:left w:val="nil"/>
              <w:bottom w:val="single" w:sz="4" w:space="0" w:color="000000"/>
              <w:right w:val="single" w:sz="4" w:space="0" w:color="000000"/>
            </w:tcBorders>
            <w:shd w:val="clear" w:color="000000" w:fill="FFFFFF"/>
            <w:hideMark/>
          </w:tcPr>
          <w:p w14:paraId="43D82F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Previo a la fecha de inicio de acreditación de los testigos el Consejo Nacional Electoral adelantará una </w:t>
            </w:r>
            <w:r w:rsidRPr="00222F34">
              <w:rPr>
                <w:rFonts w:ascii="Calibri" w:eastAsia="Times New Roman" w:hAnsi="Calibri" w:cs="Calibri"/>
                <w:color w:val="000000"/>
                <w:lang w:val="es-CO" w:eastAsia="es-CO" w:bidi="ar-SA"/>
              </w:rPr>
              <w:lastRenderedPageBreak/>
              <w:t>campaña publicitaria en medios de comunicación públicos, acerca de la importancia para la democracia de la labor de los testigos electorales.</w:t>
            </w:r>
          </w:p>
        </w:tc>
        <w:tc>
          <w:tcPr>
            <w:tcW w:w="3798" w:type="dxa"/>
            <w:tcBorders>
              <w:top w:val="nil"/>
              <w:left w:val="nil"/>
              <w:bottom w:val="single" w:sz="4" w:space="0" w:color="000000"/>
              <w:right w:val="single" w:sz="4" w:space="0" w:color="000000"/>
            </w:tcBorders>
            <w:shd w:val="clear" w:color="000000" w:fill="FFFFFF"/>
            <w:hideMark/>
          </w:tcPr>
          <w:p w14:paraId="57ACA1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Previo a la fecha de inicio de acreditación de los testigos el Consejo Nacional Electoral adelantará una </w:t>
            </w:r>
            <w:r w:rsidRPr="00222F34">
              <w:rPr>
                <w:rFonts w:ascii="Calibri" w:eastAsia="Times New Roman" w:hAnsi="Calibri" w:cs="Calibri"/>
                <w:color w:val="000000"/>
                <w:lang w:val="es-CO" w:eastAsia="es-CO" w:bidi="ar-SA"/>
              </w:rPr>
              <w:lastRenderedPageBreak/>
              <w:t>campaña publicitaria en medios de comunicación públicos, acerca de la importancia para la democracia de la labor de los testigos electorales.</w:t>
            </w:r>
          </w:p>
        </w:tc>
        <w:tc>
          <w:tcPr>
            <w:tcW w:w="1480" w:type="dxa"/>
            <w:tcBorders>
              <w:top w:val="nil"/>
              <w:left w:val="nil"/>
              <w:bottom w:val="single" w:sz="4" w:space="0" w:color="000000"/>
              <w:right w:val="single" w:sz="4" w:space="0" w:color="000000"/>
            </w:tcBorders>
            <w:shd w:val="clear" w:color="000000" w:fill="FFFFFF"/>
            <w:hideMark/>
          </w:tcPr>
          <w:p w14:paraId="14B711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A875FD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6689E5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139.- Garantías a la función de los testigos electorales.</w:t>
            </w:r>
            <w:r w:rsidRPr="00222F34">
              <w:rPr>
                <w:rFonts w:ascii="Calibri" w:eastAsia="Times New Roman" w:hAnsi="Calibri" w:cs="Calibri"/>
                <w:color w:val="000000"/>
                <w:lang w:val="es-CO" w:eastAsia="es-CO" w:bidi="ar-SA"/>
              </w:rPr>
              <w:t xml:space="preserve"> Los registradores del Estado Civil o sus delegados, los jurados de votación, los miembros de las comisiones escrutadoras y las demás autoridades que intervengan en el proceso electoral tienen los siguientes deberes en relación con los testigos: </w:t>
            </w:r>
          </w:p>
        </w:tc>
        <w:tc>
          <w:tcPr>
            <w:tcW w:w="3798" w:type="dxa"/>
            <w:tcBorders>
              <w:top w:val="nil"/>
              <w:left w:val="nil"/>
              <w:bottom w:val="nil"/>
              <w:right w:val="single" w:sz="4" w:space="0" w:color="000000"/>
            </w:tcBorders>
            <w:shd w:val="clear" w:color="000000" w:fill="FFFFFF"/>
            <w:hideMark/>
          </w:tcPr>
          <w:p w14:paraId="768F8C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143.- Garantías a la función de los testigos electorales. </w:t>
            </w:r>
            <w:r w:rsidRPr="00222F34">
              <w:rPr>
                <w:rFonts w:ascii="Calibri" w:eastAsia="Times New Roman" w:hAnsi="Calibri" w:cs="Calibri"/>
                <w:color w:val="000000"/>
                <w:lang w:val="es-CO" w:eastAsia="es-CO" w:bidi="ar-SA"/>
              </w:rPr>
              <w:t>Los registradores del Estado Civil o sus delegados, los jurados de votación, los miembros de las comisiones escrutadoras y las demás autoridades que intervengan en el proceso electoral tienen los siguientes deberes en relación con los testigos:</w:t>
            </w:r>
          </w:p>
        </w:tc>
        <w:tc>
          <w:tcPr>
            <w:tcW w:w="3798" w:type="dxa"/>
            <w:tcBorders>
              <w:top w:val="nil"/>
              <w:left w:val="nil"/>
              <w:bottom w:val="nil"/>
              <w:right w:val="single" w:sz="4" w:space="0" w:color="000000"/>
            </w:tcBorders>
            <w:shd w:val="clear" w:color="000000" w:fill="FFFFFF"/>
            <w:hideMark/>
          </w:tcPr>
          <w:p w14:paraId="7C0858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143.- Garantías a la función de los testigos electorales. </w:t>
            </w:r>
            <w:r w:rsidRPr="00222F34">
              <w:rPr>
                <w:rFonts w:ascii="Calibri" w:eastAsia="Times New Roman" w:hAnsi="Calibri" w:cs="Calibri"/>
                <w:color w:val="000000"/>
                <w:lang w:val="es-CO" w:eastAsia="es-CO" w:bidi="ar-SA"/>
              </w:rPr>
              <w:t>Los registradores del Estado Civil o sus delegados, los jurados de votación, los miembros de las comisiones escrutadoras y las demás autoridades que intervengan en el proceso electoral tienen los siguientes deberes en relación con los testigos:</w:t>
            </w:r>
          </w:p>
        </w:tc>
        <w:tc>
          <w:tcPr>
            <w:tcW w:w="1480" w:type="dxa"/>
            <w:tcBorders>
              <w:top w:val="nil"/>
              <w:left w:val="nil"/>
              <w:bottom w:val="nil"/>
              <w:right w:val="single" w:sz="4" w:space="0" w:color="000000"/>
            </w:tcBorders>
            <w:shd w:val="clear" w:color="000000" w:fill="FFFFFF"/>
            <w:hideMark/>
          </w:tcPr>
          <w:p w14:paraId="673BC1D1" w14:textId="4C4B1B1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0E3620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674B10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 Durante las votaciones y escrutinios de mesa: </w:t>
            </w:r>
          </w:p>
        </w:tc>
        <w:tc>
          <w:tcPr>
            <w:tcW w:w="3798" w:type="dxa"/>
            <w:tcBorders>
              <w:top w:val="nil"/>
              <w:left w:val="nil"/>
              <w:bottom w:val="nil"/>
              <w:right w:val="single" w:sz="4" w:space="0" w:color="000000"/>
            </w:tcBorders>
            <w:shd w:val="clear" w:color="000000" w:fill="FFFFFF"/>
            <w:hideMark/>
          </w:tcPr>
          <w:p w14:paraId="35B8C93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 Durante las votaciones y escrutinios de mesa: </w:t>
            </w:r>
          </w:p>
        </w:tc>
        <w:tc>
          <w:tcPr>
            <w:tcW w:w="3798" w:type="dxa"/>
            <w:tcBorders>
              <w:top w:val="nil"/>
              <w:left w:val="nil"/>
              <w:bottom w:val="nil"/>
              <w:right w:val="single" w:sz="4" w:space="0" w:color="000000"/>
            </w:tcBorders>
            <w:shd w:val="clear" w:color="000000" w:fill="FFFFFF"/>
            <w:hideMark/>
          </w:tcPr>
          <w:p w14:paraId="0D0D05A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 Durante las votaciones y escrutinios de mesa: </w:t>
            </w:r>
          </w:p>
        </w:tc>
        <w:tc>
          <w:tcPr>
            <w:tcW w:w="1480" w:type="dxa"/>
            <w:tcBorders>
              <w:top w:val="nil"/>
              <w:left w:val="nil"/>
              <w:bottom w:val="nil"/>
              <w:right w:val="single" w:sz="4" w:space="0" w:color="000000"/>
            </w:tcBorders>
            <w:shd w:val="clear" w:color="000000" w:fill="FFFFFF"/>
            <w:hideMark/>
          </w:tcPr>
          <w:p w14:paraId="479D84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4CFED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E3541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 </w:t>
            </w:r>
          </w:p>
        </w:tc>
        <w:tc>
          <w:tcPr>
            <w:tcW w:w="3798" w:type="dxa"/>
            <w:tcBorders>
              <w:top w:val="nil"/>
              <w:left w:val="nil"/>
              <w:bottom w:val="nil"/>
              <w:right w:val="single" w:sz="4" w:space="0" w:color="000000"/>
            </w:tcBorders>
            <w:shd w:val="clear" w:color="000000" w:fill="FFFFFF"/>
            <w:hideMark/>
          </w:tcPr>
          <w:p w14:paraId="4C2633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w:t>
            </w:r>
          </w:p>
        </w:tc>
        <w:tc>
          <w:tcPr>
            <w:tcW w:w="3798" w:type="dxa"/>
            <w:tcBorders>
              <w:top w:val="nil"/>
              <w:left w:val="nil"/>
              <w:bottom w:val="nil"/>
              <w:right w:val="single" w:sz="4" w:space="0" w:color="000000"/>
            </w:tcBorders>
            <w:shd w:val="clear" w:color="000000" w:fill="FFFFFF"/>
            <w:hideMark/>
          </w:tcPr>
          <w:p w14:paraId="7096ED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w:t>
            </w:r>
          </w:p>
        </w:tc>
        <w:tc>
          <w:tcPr>
            <w:tcW w:w="1480" w:type="dxa"/>
            <w:tcBorders>
              <w:top w:val="nil"/>
              <w:left w:val="nil"/>
              <w:bottom w:val="nil"/>
              <w:right w:val="single" w:sz="4" w:space="0" w:color="000000"/>
            </w:tcBorders>
            <w:shd w:val="clear" w:color="000000" w:fill="FFFFFF"/>
            <w:hideMark/>
          </w:tcPr>
          <w:p w14:paraId="6917D4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A90E8C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EDA5E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Permitir durante el escrutinio de mesa el uso de medios tecnológicos, tales como celulares, grabadoras, cámaras fotográficas o de video, para el registro del desarrollo del mismo. </w:t>
            </w:r>
          </w:p>
        </w:tc>
        <w:tc>
          <w:tcPr>
            <w:tcW w:w="3798" w:type="dxa"/>
            <w:tcBorders>
              <w:top w:val="nil"/>
              <w:left w:val="nil"/>
              <w:bottom w:val="nil"/>
              <w:right w:val="single" w:sz="4" w:space="0" w:color="000000"/>
            </w:tcBorders>
            <w:shd w:val="clear" w:color="000000" w:fill="FFFFFF"/>
            <w:hideMark/>
          </w:tcPr>
          <w:p w14:paraId="4A650B8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Permitir durante el escrutinio de mesa el uso de medios tecnológicos, tales como celulares, grabadoras, cámaras fotográficas o de video, para el registro del desarrollo del mismo.</w:t>
            </w:r>
          </w:p>
        </w:tc>
        <w:tc>
          <w:tcPr>
            <w:tcW w:w="3798" w:type="dxa"/>
            <w:tcBorders>
              <w:top w:val="nil"/>
              <w:left w:val="nil"/>
              <w:bottom w:val="nil"/>
              <w:right w:val="single" w:sz="4" w:space="0" w:color="000000"/>
            </w:tcBorders>
            <w:shd w:val="clear" w:color="000000" w:fill="FFFFFF"/>
            <w:hideMark/>
          </w:tcPr>
          <w:p w14:paraId="21793A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Permitir durante el escrutinio de mesa el uso de medios tecnológicos, tales como celulares, grabadoras, cámaras fotográficas o de video, para el registro del desarrollo del mismo.</w:t>
            </w:r>
          </w:p>
        </w:tc>
        <w:tc>
          <w:tcPr>
            <w:tcW w:w="1480" w:type="dxa"/>
            <w:tcBorders>
              <w:top w:val="nil"/>
              <w:left w:val="nil"/>
              <w:bottom w:val="nil"/>
              <w:right w:val="single" w:sz="4" w:space="0" w:color="000000"/>
            </w:tcBorders>
            <w:shd w:val="clear" w:color="000000" w:fill="FFFFFF"/>
            <w:hideMark/>
          </w:tcPr>
          <w:p w14:paraId="42D759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10E982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43DED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Permitir acercarse a la mesa de votación a una distancia prudente a fin de verificar el procedimiento del escrutinio, observar la calificación de los votos, el correcto diligenciamiento del acta y las demás acciones orientadas a velar por la transparencia y verdad electoral. </w:t>
            </w:r>
          </w:p>
        </w:tc>
        <w:tc>
          <w:tcPr>
            <w:tcW w:w="3798" w:type="dxa"/>
            <w:tcBorders>
              <w:top w:val="nil"/>
              <w:left w:val="nil"/>
              <w:bottom w:val="nil"/>
              <w:right w:val="single" w:sz="4" w:space="0" w:color="000000"/>
            </w:tcBorders>
            <w:shd w:val="clear" w:color="000000" w:fill="FFFFFF"/>
            <w:hideMark/>
          </w:tcPr>
          <w:p w14:paraId="56CD73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Permitir acercarse a la mesa de votación a una distancia prudente a fin de verificar el procedimiento del escrutinio, observar la calificación de los votos, el correcto diligenciamiento del acta y las demás acciones orientadas a velar por la transparencia y verdad electoral.</w:t>
            </w:r>
          </w:p>
        </w:tc>
        <w:tc>
          <w:tcPr>
            <w:tcW w:w="3798" w:type="dxa"/>
            <w:tcBorders>
              <w:top w:val="nil"/>
              <w:left w:val="nil"/>
              <w:bottom w:val="nil"/>
              <w:right w:val="single" w:sz="4" w:space="0" w:color="000000"/>
            </w:tcBorders>
            <w:shd w:val="clear" w:color="000000" w:fill="FFFFFF"/>
            <w:hideMark/>
          </w:tcPr>
          <w:p w14:paraId="22CD8A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Permitir acercarse a la mesa de votación a una distancia prudente a fin de verificar el procedimiento del escrutinio, observar la calificación de los votos, el correcto diligenciamiento del acta y las demás acciones orientadas a velar por la transparencia y verdad electoral.</w:t>
            </w:r>
          </w:p>
        </w:tc>
        <w:tc>
          <w:tcPr>
            <w:tcW w:w="1480" w:type="dxa"/>
            <w:tcBorders>
              <w:top w:val="nil"/>
              <w:left w:val="nil"/>
              <w:bottom w:val="nil"/>
              <w:right w:val="single" w:sz="4" w:space="0" w:color="000000"/>
            </w:tcBorders>
            <w:shd w:val="clear" w:color="000000" w:fill="FFFFFF"/>
            <w:hideMark/>
          </w:tcPr>
          <w:p w14:paraId="425279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9B7922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7EEE5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Recibir y resolver las solicitudes de recuentos de votos y las reclamaciones; y tramitar los recursos de apelación. </w:t>
            </w:r>
          </w:p>
        </w:tc>
        <w:tc>
          <w:tcPr>
            <w:tcW w:w="3798" w:type="dxa"/>
            <w:tcBorders>
              <w:top w:val="nil"/>
              <w:left w:val="nil"/>
              <w:bottom w:val="nil"/>
              <w:right w:val="single" w:sz="4" w:space="0" w:color="000000"/>
            </w:tcBorders>
            <w:shd w:val="clear" w:color="000000" w:fill="FFFFFF"/>
            <w:hideMark/>
          </w:tcPr>
          <w:p w14:paraId="02E3A2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Recibir y resolver las solicitudes de recuentos de votos y las reclamaciones; y tramitar los recursos de apelación.</w:t>
            </w:r>
          </w:p>
        </w:tc>
        <w:tc>
          <w:tcPr>
            <w:tcW w:w="3798" w:type="dxa"/>
            <w:tcBorders>
              <w:top w:val="nil"/>
              <w:left w:val="nil"/>
              <w:bottom w:val="nil"/>
              <w:right w:val="single" w:sz="4" w:space="0" w:color="000000"/>
            </w:tcBorders>
            <w:shd w:val="clear" w:color="000000" w:fill="FFFFFF"/>
            <w:hideMark/>
          </w:tcPr>
          <w:p w14:paraId="71D502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Recibir y resolver las solicitudes de recuentos de votos y las reclamaciones; y tramitar los recursos de apelación.</w:t>
            </w:r>
          </w:p>
        </w:tc>
        <w:tc>
          <w:tcPr>
            <w:tcW w:w="1480" w:type="dxa"/>
            <w:tcBorders>
              <w:top w:val="nil"/>
              <w:left w:val="nil"/>
              <w:bottom w:val="nil"/>
              <w:right w:val="single" w:sz="4" w:space="0" w:color="000000"/>
            </w:tcBorders>
            <w:shd w:val="clear" w:color="000000" w:fill="FFFFFF"/>
            <w:hideMark/>
          </w:tcPr>
          <w:p w14:paraId="13D126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FE4562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26F63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 </w:t>
            </w:r>
          </w:p>
        </w:tc>
        <w:tc>
          <w:tcPr>
            <w:tcW w:w="3798" w:type="dxa"/>
            <w:tcBorders>
              <w:top w:val="nil"/>
              <w:left w:val="nil"/>
              <w:bottom w:val="nil"/>
              <w:right w:val="single" w:sz="4" w:space="0" w:color="000000"/>
            </w:tcBorders>
            <w:shd w:val="clear" w:color="000000" w:fill="FFFFFF"/>
            <w:hideMark/>
          </w:tcPr>
          <w:p w14:paraId="365928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w:t>
            </w:r>
          </w:p>
        </w:tc>
        <w:tc>
          <w:tcPr>
            <w:tcW w:w="3798" w:type="dxa"/>
            <w:tcBorders>
              <w:top w:val="nil"/>
              <w:left w:val="nil"/>
              <w:bottom w:val="nil"/>
              <w:right w:val="single" w:sz="4" w:space="0" w:color="000000"/>
            </w:tcBorders>
            <w:shd w:val="clear" w:color="000000" w:fill="FFFFFF"/>
            <w:hideMark/>
          </w:tcPr>
          <w:p w14:paraId="157699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w:t>
            </w:r>
          </w:p>
        </w:tc>
        <w:tc>
          <w:tcPr>
            <w:tcW w:w="1480" w:type="dxa"/>
            <w:tcBorders>
              <w:top w:val="nil"/>
              <w:left w:val="nil"/>
              <w:bottom w:val="nil"/>
              <w:right w:val="single" w:sz="4" w:space="0" w:color="000000"/>
            </w:tcBorders>
            <w:shd w:val="clear" w:color="000000" w:fill="FFFFFF"/>
            <w:hideMark/>
          </w:tcPr>
          <w:p w14:paraId="01EB6D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C14223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5C97C6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B. Durante los escrutinios por las comisiones: </w:t>
            </w:r>
          </w:p>
        </w:tc>
        <w:tc>
          <w:tcPr>
            <w:tcW w:w="3798" w:type="dxa"/>
            <w:tcBorders>
              <w:top w:val="nil"/>
              <w:left w:val="nil"/>
              <w:bottom w:val="nil"/>
              <w:right w:val="single" w:sz="4" w:space="0" w:color="000000"/>
            </w:tcBorders>
            <w:shd w:val="clear" w:color="000000" w:fill="FFFFFF"/>
            <w:hideMark/>
          </w:tcPr>
          <w:p w14:paraId="0DB60CF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B. Durante los escrutinios por las comisiones: </w:t>
            </w:r>
          </w:p>
        </w:tc>
        <w:tc>
          <w:tcPr>
            <w:tcW w:w="3798" w:type="dxa"/>
            <w:tcBorders>
              <w:top w:val="nil"/>
              <w:left w:val="nil"/>
              <w:bottom w:val="nil"/>
              <w:right w:val="single" w:sz="4" w:space="0" w:color="000000"/>
            </w:tcBorders>
            <w:shd w:val="clear" w:color="000000" w:fill="FFFFFF"/>
            <w:hideMark/>
          </w:tcPr>
          <w:p w14:paraId="1C1BB37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B. Durante los escrutinios por las comisiones: </w:t>
            </w:r>
          </w:p>
        </w:tc>
        <w:tc>
          <w:tcPr>
            <w:tcW w:w="1480" w:type="dxa"/>
            <w:tcBorders>
              <w:top w:val="nil"/>
              <w:left w:val="nil"/>
              <w:bottom w:val="nil"/>
              <w:right w:val="single" w:sz="4" w:space="0" w:color="000000"/>
            </w:tcBorders>
            <w:shd w:val="clear" w:color="000000" w:fill="FFFFFF"/>
            <w:hideMark/>
          </w:tcPr>
          <w:p w14:paraId="6DC00F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56FF9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B71A0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Permitir el acceso oportuno y la permanencia en las zonas autorizados para realizar los escrutinios. </w:t>
            </w:r>
          </w:p>
        </w:tc>
        <w:tc>
          <w:tcPr>
            <w:tcW w:w="3798" w:type="dxa"/>
            <w:tcBorders>
              <w:top w:val="nil"/>
              <w:left w:val="nil"/>
              <w:bottom w:val="nil"/>
              <w:right w:val="single" w:sz="4" w:space="0" w:color="000000"/>
            </w:tcBorders>
            <w:shd w:val="clear" w:color="000000" w:fill="FFFFFF"/>
            <w:hideMark/>
          </w:tcPr>
          <w:p w14:paraId="412A06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Permitir el acceso oportuno y la permanencia en las zonas autorizados para realizar los escrutinios.</w:t>
            </w:r>
          </w:p>
        </w:tc>
        <w:tc>
          <w:tcPr>
            <w:tcW w:w="3798" w:type="dxa"/>
            <w:tcBorders>
              <w:top w:val="nil"/>
              <w:left w:val="nil"/>
              <w:bottom w:val="nil"/>
              <w:right w:val="single" w:sz="4" w:space="0" w:color="000000"/>
            </w:tcBorders>
            <w:shd w:val="clear" w:color="000000" w:fill="FFFFFF"/>
            <w:hideMark/>
          </w:tcPr>
          <w:p w14:paraId="0441F0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Permitir el acceso oportuno y la permanencia en las zonas autorizados para realizar los escrutinios.</w:t>
            </w:r>
          </w:p>
        </w:tc>
        <w:tc>
          <w:tcPr>
            <w:tcW w:w="1480" w:type="dxa"/>
            <w:tcBorders>
              <w:top w:val="nil"/>
              <w:left w:val="nil"/>
              <w:bottom w:val="nil"/>
              <w:right w:val="single" w:sz="4" w:space="0" w:color="000000"/>
            </w:tcBorders>
            <w:shd w:val="clear" w:color="000000" w:fill="FFFFFF"/>
            <w:hideMark/>
          </w:tcPr>
          <w:p w14:paraId="70B06D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3BCE6A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39879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Verificar la autenticación de los escrutadores, secretarios y demás intervinientes.  </w:t>
            </w:r>
          </w:p>
        </w:tc>
        <w:tc>
          <w:tcPr>
            <w:tcW w:w="3798" w:type="dxa"/>
            <w:tcBorders>
              <w:top w:val="nil"/>
              <w:left w:val="nil"/>
              <w:bottom w:val="nil"/>
              <w:right w:val="single" w:sz="4" w:space="0" w:color="000000"/>
            </w:tcBorders>
            <w:shd w:val="clear" w:color="000000" w:fill="FFFFFF"/>
            <w:hideMark/>
          </w:tcPr>
          <w:p w14:paraId="5B7669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Verificar la autenticación de los escrutadores, secretarios y demás intervinientes.</w:t>
            </w:r>
          </w:p>
        </w:tc>
        <w:tc>
          <w:tcPr>
            <w:tcW w:w="3798" w:type="dxa"/>
            <w:tcBorders>
              <w:top w:val="nil"/>
              <w:left w:val="nil"/>
              <w:bottom w:val="nil"/>
              <w:right w:val="single" w:sz="4" w:space="0" w:color="000000"/>
            </w:tcBorders>
            <w:shd w:val="clear" w:color="000000" w:fill="FFFFFF"/>
            <w:hideMark/>
          </w:tcPr>
          <w:p w14:paraId="68A891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Verificar la autenticación de los escrutadores, secretarios y demás intervinientes.</w:t>
            </w:r>
          </w:p>
        </w:tc>
        <w:tc>
          <w:tcPr>
            <w:tcW w:w="1480" w:type="dxa"/>
            <w:tcBorders>
              <w:top w:val="nil"/>
              <w:left w:val="nil"/>
              <w:bottom w:val="nil"/>
              <w:right w:val="single" w:sz="4" w:space="0" w:color="000000"/>
            </w:tcBorders>
            <w:shd w:val="clear" w:color="000000" w:fill="FFFFFF"/>
            <w:hideMark/>
          </w:tcPr>
          <w:p w14:paraId="25EE58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162A7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0EA10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Facilitar el acceso a los documentos electorales, a los registros de los escrutinios y entregar en audiencia pública, en igualdad de condiciones, copias de resultados parciales y finales, en medio físico o digital y en formato de datos abiertos. </w:t>
            </w:r>
          </w:p>
        </w:tc>
        <w:tc>
          <w:tcPr>
            <w:tcW w:w="3798" w:type="dxa"/>
            <w:tcBorders>
              <w:top w:val="nil"/>
              <w:left w:val="nil"/>
              <w:bottom w:val="nil"/>
              <w:right w:val="single" w:sz="4" w:space="0" w:color="000000"/>
            </w:tcBorders>
            <w:shd w:val="clear" w:color="000000" w:fill="FFFFFF"/>
            <w:hideMark/>
          </w:tcPr>
          <w:p w14:paraId="6E7F4B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Facilitar el acceso a los documentos electorales, a los registros de los escrutinios y entregar en audiencia pública, en igualdad de condiciones, copias de resultados parciales y finales, en medio físico o digital y en formato de datos abiertos. </w:t>
            </w:r>
          </w:p>
        </w:tc>
        <w:tc>
          <w:tcPr>
            <w:tcW w:w="3798" w:type="dxa"/>
            <w:tcBorders>
              <w:top w:val="nil"/>
              <w:left w:val="nil"/>
              <w:bottom w:val="nil"/>
              <w:right w:val="single" w:sz="4" w:space="0" w:color="000000"/>
            </w:tcBorders>
            <w:shd w:val="clear" w:color="000000" w:fill="FFFFFF"/>
            <w:hideMark/>
          </w:tcPr>
          <w:p w14:paraId="248754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Facilitar el acceso a los documentos electorales, a los registros de los escrutinios y entregar en audiencia pública, en igualdad de condiciones, copias de resultados parciales y finales, en medio físico o digital y en formato de datos abiertos. </w:t>
            </w:r>
          </w:p>
        </w:tc>
        <w:tc>
          <w:tcPr>
            <w:tcW w:w="1480" w:type="dxa"/>
            <w:tcBorders>
              <w:top w:val="nil"/>
              <w:left w:val="nil"/>
              <w:bottom w:val="nil"/>
              <w:right w:val="single" w:sz="4" w:space="0" w:color="000000"/>
            </w:tcBorders>
            <w:shd w:val="clear" w:color="000000" w:fill="FFFFFF"/>
            <w:hideMark/>
          </w:tcPr>
          <w:p w14:paraId="76D059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BF9F4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768FE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Facilitar su labor de verificación del estado en que se recibieron los sobres dirigidos a la comisión escrutadora, fecha y hora de recibido de los documentos electorales y su custodia en debida forma una vez escrutados. </w:t>
            </w:r>
          </w:p>
        </w:tc>
        <w:tc>
          <w:tcPr>
            <w:tcW w:w="3798" w:type="dxa"/>
            <w:tcBorders>
              <w:top w:val="nil"/>
              <w:left w:val="nil"/>
              <w:bottom w:val="nil"/>
              <w:right w:val="single" w:sz="4" w:space="0" w:color="000000"/>
            </w:tcBorders>
            <w:shd w:val="clear" w:color="000000" w:fill="FFFFFF"/>
            <w:hideMark/>
          </w:tcPr>
          <w:p w14:paraId="31F8C0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Facilitar su labor de verificación del estado en que se recibieron los sobres dirigidos a la comisión escrutadora, fecha y hora de recibido de los documentos electorales y su custodia en debida forma una vez escrutados.</w:t>
            </w:r>
          </w:p>
        </w:tc>
        <w:tc>
          <w:tcPr>
            <w:tcW w:w="3798" w:type="dxa"/>
            <w:tcBorders>
              <w:top w:val="nil"/>
              <w:left w:val="nil"/>
              <w:bottom w:val="nil"/>
              <w:right w:val="single" w:sz="4" w:space="0" w:color="000000"/>
            </w:tcBorders>
            <w:shd w:val="clear" w:color="000000" w:fill="FFFFFF"/>
            <w:hideMark/>
          </w:tcPr>
          <w:p w14:paraId="2EF08C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Facilitar su labor de verificación del estado en que se recibieron los sobres dirigidos a la comisión escrutadora, fecha y hora de recibido de los documentos electorales y su custodia en debida forma una vez escrutados.</w:t>
            </w:r>
          </w:p>
        </w:tc>
        <w:tc>
          <w:tcPr>
            <w:tcW w:w="1480" w:type="dxa"/>
            <w:tcBorders>
              <w:top w:val="nil"/>
              <w:left w:val="nil"/>
              <w:bottom w:val="nil"/>
              <w:right w:val="single" w:sz="4" w:space="0" w:color="000000"/>
            </w:tcBorders>
            <w:shd w:val="clear" w:color="000000" w:fill="FFFFFF"/>
            <w:hideMark/>
          </w:tcPr>
          <w:p w14:paraId="5D579A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C3F80B" w14:textId="77777777" w:rsidTr="00222F34">
        <w:trPr>
          <w:trHeight w:val="720"/>
        </w:trPr>
        <w:tc>
          <w:tcPr>
            <w:tcW w:w="3798" w:type="dxa"/>
            <w:tcBorders>
              <w:top w:val="nil"/>
              <w:left w:val="single" w:sz="4" w:space="0" w:color="000000"/>
              <w:bottom w:val="nil"/>
              <w:right w:val="single" w:sz="4" w:space="0" w:color="000000"/>
            </w:tcBorders>
            <w:shd w:val="clear" w:color="000000" w:fill="FFFFFF"/>
            <w:hideMark/>
          </w:tcPr>
          <w:p w14:paraId="464F2E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Permitir que se corrobore la correcta digitación de las votaciones en el software de escrutinios, y verificar que quede constancia de los recuentos de votos en el acta general. </w:t>
            </w:r>
          </w:p>
        </w:tc>
        <w:tc>
          <w:tcPr>
            <w:tcW w:w="3798" w:type="dxa"/>
            <w:tcBorders>
              <w:top w:val="nil"/>
              <w:left w:val="nil"/>
              <w:bottom w:val="nil"/>
              <w:right w:val="single" w:sz="4" w:space="0" w:color="000000"/>
            </w:tcBorders>
            <w:shd w:val="clear" w:color="000000" w:fill="FFFFFF"/>
            <w:hideMark/>
          </w:tcPr>
          <w:p w14:paraId="66AD5E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Permitir que se corrobore la correcta digitación de las votaciones en el software de escrutinios, y verificar que quede constancia de los recuentos de votos en el acta general.</w:t>
            </w:r>
          </w:p>
        </w:tc>
        <w:tc>
          <w:tcPr>
            <w:tcW w:w="3798" w:type="dxa"/>
            <w:tcBorders>
              <w:top w:val="nil"/>
              <w:left w:val="nil"/>
              <w:bottom w:val="nil"/>
              <w:right w:val="single" w:sz="4" w:space="0" w:color="000000"/>
            </w:tcBorders>
            <w:shd w:val="clear" w:color="000000" w:fill="FFFFFF"/>
            <w:hideMark/>
          </w:tcPr>
          <w:p w14:paraId="240C89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Permitir que se corrobore la correcta digitación de las votaciones en el software de escrutinios, y verificar que quede constancia de los recuentos de votos en el acta general.</w:t>
            </w:r>
          </w:p>
        </w:tc>
        <w:tc>
          <w:tcPr>
            <w:tcW w:w="1480" w:type="dxa"/>
            <w:tcBorders>
              <w:top w:val="nil"/>
              <w:left w:val="nil"/>
              <w:bottom w:val="nil"/>
              <w:right w:val="single" w:sz="4" w:space="0" w:color="000000"/>
            </w:tcBorders>
            <w:shd w:val="clear" w:color="000000" w:fill="FFFFFF"/>
            <w:hideMark/>
          </w:tcPr>
          <w:p w14:paraId="0FFE81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BFDB4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60F83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Facilitar, recibir y tramitar que presenten las peticiones, reclamaciones, recursos o solicitudes, que se presenten. </w:t>
            </w:r>
          </w:p>
        </w:tc>
        <w:tc>
          <w:tcPr>
            <w:tcW w:w="3798" w:type="dxa"/>
            <w:tcBorders>
              <w:top w:val="nil"/>
              <w:left w:val="nil"/>
              <w:bottom w:val="nil"/>
              <w:right w:val="single" w:sz="4" w:space="0" w:color="000000"/>
            </w:tcBorders>
            <w:shd w:val="clear" w:color="000000" w:fill="FFFFFF"/>
            <w:hideMark/>
          </w:tcPr>
          <w:p w14:paraId="5C2D21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Facilitar, recibir y tramitar que presenten las peticiones, reclamaciones, recursos o solicitudes, que se presenten.</w:t>
            </w:r>
          </w:p>
        </w:tc>
        <w:tc>
          <w:tcPr>
            <w:tcW w:w="3798" w:type="dxa"/>
            <w:tcBorders>
              <w:top w:val="nil"/>
              <w:left w:val="nil"/>
              <w:bottom w:val="nil"/>
              <w:right w:val="single" w:sz="4" w:space="0" w:color="000000"/>
            </w:tcBorders>
            <w:shd w:val="clear" w:color="000000" w:fill="FFFFFF"/>
            <w:hideMark/>
          </w:tcPr>
          <w:p w14:paraId="4A786B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Facilitar, recibir y tramitar que presenten las peticiones, reclamaciones, recursos o solicitudes, que se presenten.</w:t>
            </w:r>
          </w:p>
        </w:tc>
        <w:tc>
          <w:tcPr>
            <w:tcW w:w="1480" w:type="dxa"/>
            <w:tcBorders>
              <w:top w:val="nil"/>
              <w:left w:val="nil"/>
              <w:bottom w:val="nil"/>
              <w:right w:val="single" w:sz="4" w:space="0" w:color="000000"/>
            </w:tcBorders>
            <w:shd w:val="clear" w:color="000000" w:fill="FFFFFF"/>
            <w:hideMark/>
          </w:tcPr>
          <w:p w14:paraId="08CE8B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53ADE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94D11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Permitir que, en caso de que se suspenda la audiencia, se corrobore que se tomen las medidas de seguridad informática y físicas adecuadas conforme a los protocolos establecidos. </w:t>
            </w:r>
          </w:p>
        </w:tc>
        <w:tc>
          <w:tcPr>
            <w:tcW w:w="3798" w:type="dxa"/>
            <w:tcBorders>
              <w:top w:val="nil"/>
              <w:left w:val="nil"/>
              <w:bottom w:val="nil"/>
              <w:right w:val="single" w:sz="4" w:space="0" w:color="000000"/>
            </w:tcBorders>
            <w:shd w:val="clear" w:color="000000" w:fill="FFFFFF"/>
            <w:hideMark/>
          </w:tcPr>
          <w:p w14:paraId="5CAF11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Permitir que, en caso de que se suspenda la audiencia, se corrobore que se tomen las medidas de seguridad informática y físicas adecuadas conforme a los protocolos establecidos.</w:t>
            </w:r>
          </w:p>
        </w:tc>
        <w:tc>
          <w:tcPr>
            <w:tcW w:w="3798" w:type="dxa"/>
            <w:tcBorders>
              <w:top w:val="nil"/>
              <w:left w:val="nil"/>
              <w:bottom w:val="nil"/>
              <w:right w:val="single" w:sz="4" w:space="0" w:color="000000"/>
            </w:tcBorders>
            <w:shd w:val="clear" w:color="000000" w:fill="FFFFFF"/>
            <w:hideMark/>
          </w:tcPr>
          <w:p w14:paraId="434B97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Permitir que, en caso de que se suspenda la audiencia, se corrobore que se tomen las medidas de seguridad informática y físicas adecuadas conforme a los protocolos establecidos.</w:t>
            </w:r>
          </w:p>
        </w:tc>
        <w:tc>
          <w:tcPr>
            <w:tcW w:w="1480" w:type="dxa"/>
            <w:tcBorders>
              <w:top w:val="nil"/>
              <w:left w:val="nil"/>
              <w:bottom w:val="nil"/>
              <w:right w:val="single" w:sz="4" w:space="0" w:color="000000"/>
            </w:tcBorders>
            <w:shd w:val="clear" w:color="000000" w:fill="FFFFFF"/>
            <w:hideMark/>
          </w:tcPr>
          <w:p w14:paraId="45EDDD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D65449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2436F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Permitir presentar solicitudes de recuento de votos de conformidad con las causales previstas en este código.  </w:t>
            </w:r>
          </w:p>
        </w:tc>
        <w:tc>
          <w:tcPr>
            <w:tcW w:w="3798" w:type="dxa"/>
            <w:tcBorders>
              <w:top w:val="nil"/>
              <w:left w:val="nil"/>
              <w:bottom w:val="nil"/>
              <w:right w:val="single" w:sz="4" w:space="0" w:color="000000"/>
            </w:tcBorders>
            <w:shd w:val="clear" w:color="000000" w:fill="FFFFFF"/>
            <w:hideMark/>
          </w:tcPr>
          <w:p w14:paraId="4029BE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8.Permitir presentar solicitudes de recuento de votos de conformidad con las causales previstas en este código.</w:t>
            </w:r>
          </w:p>
        </w:tc>
        <w:tc>
          <w:tcPr>
            <w:tcW w:w="3798" w:type="dxa"/>
            <w:tcBorders>
              <w:top w:val="nil"/>
              <w:left w:val="nil"/>
              <w:bottom w:val="nil"/>
              <w:right w:val="single" w:sz="4" w:space="0" w:color="000000"/>
            </w:tcBorders>
            <w:shd w:val="clear" w:color="000000" w:fill="FFFFFF"/>
            <w:hideMark/>
          </w:tcPr>
          <w:p w14:paraId="1C7841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8.Permitir presentar solicitudes de recuento de votos de conformidad con las causales previstas en este código.</w:t>
            </w:r>
          </w:p>
        </w:tc>
        <w:tc>
          <w:tcPr>
            <w:tcW w:w="1480" w:type="dxa"/>
            <w:tcBorders>
              <w:top w:val="nil"/>
              <w:left w:val="nil"/>
              <w:bottom w:val="nil"/>
              <w:right w:val="single" w:sz="4" w:space="0" w:color="000000"/>
            </w:tcBorders>
            <w:shd w:val="clear" w:color="000000" w:fill="FFFFFF"/>
            <w:hideMark/>
          </w:tcPr>
          <w:p w14:paraId="4C7DB3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3AB7553" w14:textId="77777777" w:rsidTr="00222F34">
        <w:trPr>
          <w:trHeight w:val="600"/>
        </w:trPr>
        <w:tc>
          <w:tcPr>
            <w:tcW w:w="3798" w:type="dxa"/>
            <w:tcBorders>
              <w:top w:val="single" w:sz="4" w:space="0" w:color="auto"/>
              <w:left w:val="single" w:sz="4" w:space="0" w:color="000000"/>
              <w:bottom w:val="nil"/>
              <w:right w:val="single" w:sz="4" w:space="0" w:color="000000"/>
            </w:tcBorders>
            <w:shd w:val="clear" w:color="000000" w:fill="FFFFFF"/>
            <w:hideMark/>
          </w:tcPr>
          <w:p w14:paraId="0104E9B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140.- Prohibiciones de los testigos electorales.</w:t>
            </w:r>
            <w:r w:rsidRPr="00222F34">
              <w:rPr>
                <w:rFonts w:ascii="Calibri" w:eastAsia="Times New Roman" w:hAnsi="Calibri" w:cs="Calibri"/>
                <w:color w:val="000000"/>
                <w:lang w:val="es-CO" w:eastAsia="es-CO" w:bidi="ar-SA"/>
              </w:rPr>
              <w:t xml:space="preserve"> Mientras ejerzan la función pública transitoria de testigo electoral, les queda prohibido: </w:t>
            </w:r>
          </w:p>
        </w:tc>
        <w:tc>
          <w:tcPr>
            <w:tcW w:w="3798" w:type="dxa"/>
            <w:tcBorders>
              <w:top w:val="single" w:sz="4" w:space="0" w:color="auto"/>
              <w:left w:val="nil"/>
              <w:bottom w:val="nil"/>
              <w:right w:val="single" w:sz="4" w:space="0" w:color="000000"/>
            </w:tcBorders>
            <w:shd w:val="clear" w:color="000000" w:fill="FFFFFF"/>
            <w:hideMark/>
          </w:tcPr>
          <w:p w14:paraId="3485CB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144.- Prohibiciones de los testigos electorales. </w:t>
            </w:r>
            <w:r w:rsidRPr="00222F34">
              <w:rPr>
                <w:rFonts w:ascii="Calibri" w:eastAsia="Times New Roman" w:hAnsi="Calibri" w:cs="Calibri"/>
                <w:color w:val="000000"/>
                <w:lang w:val="es-CO" w:eastAsia="es-CO" w:bidi="ar-SA"/>
              </w:rPr>
              <w:t>Mientras ejerzan la función pública transitoria de testigo electoral, les queda prohibido:</w:t>
            </w:r>
          </w:p>
        </w:tc>
        <w:tc>
          <w:tcPr>
            <w:tcW w:w="3798" w:type="dxa"/>
            <w:tcBorders>
              <w:top w:val="single" w:sz="4" w:space="0" w:color="auto"/>
              <w:left w:val="nil"/>
              <w:bottom w:val="nil"/>
              <w:right w:val="single" w:sz="4" w:space="0" w:color="000000"/>
            </w:tcBorders>
            <w:shd w:val="clear" w:color="000000" w:fill="FFFFFF"/>
            <w:hideMark/>
          </w:tcPr>
          <w:p w14:paraId="0BDAAB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144.- Prohibiciones de los testigos electorales. </w:t>
            </w:r>
            <w:r w:rsidRPr="00222F34">
              <w:rPr>
                <w:rFonts w:ascii="Calibri" w:eastAsia="Times New Roman" w:hAnsi="Calibri" w:cs="Calibri"/>
                <w:color w:val="000000"/>
                <w:lang w:val="es-CO" w:eastAsia="es-CO" w:bidi="ar-SA"/>
              </w:rPr>
              <w:t>Mientras ejerzan la función pública transitoria de testigo electoral, les queda prohibido:</w:t>
            </w:r>
          </w:p>
        </w:tc>
        <w:tc>
          <w:tcPr>
            <w:tcW w:w="1480" w:type="dxa"/>
            <w:tcBorders>
              <w:top w:val="single" w:sz="4" w:space="0" w:color="000000"/>
              <w:left w:val="nil"/>
              <w:bottom w:val="nil"/>
              <w:right w:val="single" w:sz="4" w:space="0" w:color="000000"/>
            </w:tcBorders>
            <w:shd w:val="clear" w:color="000000" w:fill="FFFFFF"/>
            <w:hideMark/>
          </w:tcPr>
          <w:p w14:paraId="5EEBB5D4" w14:textId="02F1896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26412C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3C0B1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Portar prendas de vestir o distintivos que contengan propaganda electoral o divulgación política. </w:t>
            </w:r>
          </w:p>
        </w:tc>
        <w:tc>
          <w:tcPr>
            <w:tcW w:w="3798" w:type="dxa"/>
            <w:tcBorders>
              <w:top w:val="nil"/>
              <w:left w:val="nil"/>
              <w:bottom w:val="nil"/>
              <w:right w:val="single" w:sz="4" w:space="0" w:color="000000"/>
            </w:tcBorders>
            <w:shd w:val="clear" w:color="000000" w:fill="FFFFFF"/>
            <w:hideMark/>
          </w:tcPr>
          <w:p w14:paraId="025890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Portar prendas de vestir o distintivos que contengan propaganda electoral o divulgación política.</w:t>
            </w:r>
          </w:p>
        </w:tc>
        <w:tc>
          <w:tcPr>
            <w:tcW w:w="3798" w:type="dxa"/>
            <w:tcBorders>
              <w:top w:val="nil"/>
              <w:left w:val="nil"/>
              <w:bottom w:val="nil"/>
              <w:right w:val="single" w:sz="4" w:space="0" w:color="000000"/>
            </w:tcBorders>
            <w:shd w:val="clear" w:color="000000" w:fill="FFFFFF"/>
            <w:hideMark/>
          </w:tcPr>
          <w:p w14:paraId="1AAEC0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Portar prendas de vestir o distintivos que contengan propaganda electoral o divulgación política.</w:t>
            </w:r>
          </w:p>
        </w:tc>
        <w:tc>
          <w:tcPr>
            <w:tcW w:w="1480" w:type="dxa"/>
            <w:tcBorders>
              <w:top w:val="nil"/>
              <w:left w:val="nil"/>
              <w:bottom w:val="nil"/>
              <w:right w:val="single" w:sz="4" w:space="0" w:color="000000"/>
            </w:tcBorders>
            <w:shd w:val="clear" w:color="000000" w:fill="FFFFFF"/>
            <w:hideMark/>
          </w:tcPr>
          <w:p w14:paraId="3D098C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09DEEF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430B7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Realizar actos de proselitismo político. </w:t>
            </w:r>
          </w:p>
        </w:tc>
        <w:tc>
          <w:tcPr>
            <w:tcW w:w="3798" w:type="dxa"/>
            <w:tcBorders>
              <w:top w:val="nil"/>
              <w:left w:val="nil"/>
              <w:bottom w:val="nil"/>
              <w:right w:val="single" w:sz="4" w:space="0" w:color="000000"/>
            </w:tcBorders>
            <w:shd w:val="clear" w:color="000000" w:fill="FFFFFF"/>
            <w:hideMark/>
          </w:tcPr>
          <w:p w14:paraId="1C0542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Realizar actos de proselitismo político.</w:t>
            </w:r>
          </w:p>
        </w:tc>
        <w:tc>
          <w:tcPr>
            <w:tcW w:w="3798" w:type="dxa"/>
            <w:tcBorders>
              <w:top w:val="nil"/>
              <w:left w:val="nil"/>
              <w:bottom w:val="nil"/>
              <w:right w:val="single" w:sz="4" w:space="0" w:color="000000"/>
            </w:tcBorders>
            <w:shd w:val="clear" w:color="000000" w:fill="FFFFFF"/>
            <w:hideMark/>
          </w:tcPr>
          <w:p w14:paraId="10C95A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Realizar actos de proselitismo político.</w:t>
            </w:r>
          </w:p>
        </w:tc>
        <w:tc>
          <w:tcPr>
            <w:tcW w:w="1480" w:type="dxa"/>
            <w:tcBorders>
              <w:top w:val="nil"/>
              <w:left w:val="nil"/>
              <w:bottom w:val="nil"/>
              <w:right w:val="single" w:sz="4" w:space="0" w:color="000000"/>
            </w:tcBorders>
            <w:shd w:val="clear" w:color="000000" w:fill="FFFFFF"/>
            <w:hideMark/>
          </w:tcPr>
          <w:p w14:paraId="178F54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565173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5E523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Actuar como acompañantes o guías electorales, y hacer sugerencias o insinuaciones sobre el voto a los electores o a los jurados. </w:t>
            </w:r>
          </w:p>
        </w:tc>
        <w:tc>
          <w:tcPr>
            <w:tcW w:w="3798" w:type="dxa"/>
            <w:tcBorders>
              <w:top w:val="nil"/>
              <w:left w:val="nil"/>
              <w:bottom w:val="nil"/>
              <w:right w:val="single" w:sz="4" w:space="0" w:color="000000"/>
            </w:tcBorders>
            <w:shd w:val="clear" w:color="000000" w:fill="FFFFFF"/>
            <w:hideMark/>
          </w:tcPr>
          <w:p w14:paraId="7288AD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Actuar como acompañantes o guías electorales, y hacer sugerencias o insinuaciones sobre el voto a los electores o a los jurados.</w:t>
            </w:r>
          </w:p>
        </w:tc>
        <w:tc>
          <w:tcPr>
            <w:tcW w:w="3798" w:type="dxa"/>
            <w:tcBorders>
              <w:top w:val="nil"/>
              <w:left w:val="nil"/>
              <w:bottom w:val="nil"/>
              <w:right w:val="single" w:sz="4" w:space="0" w:color="000000"/>
            </w:tcBorders>
            <w:shd w:val="clear" w:color="000000" w:fill="FFFFFF"/>
            <w:hideMark/>
          </w:tcPr>
          <w:p w14:paraId="006472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Actuar como acompañantes o guías electorales, y hacer sugerencias o insinuaciones sobre el voto a los electores o a los jurados.</w:t>
            </w:r>
          </w:p>
        </w:tc>
        <w:tc>
          <w:tcPr>
            <w:tcW w:w="1480" w:type="dxa"/>
            <w:tcBorders>
              <w:top w:val="nil"/>
              <w:left w:val="nil"/>
              <w:bottom w:val="nil"/>
              <w:right w:val="single" w:sz="4" w:space="0" w:color="000000"/>
            </w:tcBorders>
            <w:shd w:val="clear" w:color="000000" w:fill="FFFFFF"/>
            <w:hideMark/>
          </w:tcPr>
          <w:p w14:paraId="289774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B42A6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238DB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Manipular los documentos electorales. </w:t>
            </w:r>
          </w:p>
        </w:tc>
        <w:tc>
          <w:tcPr>
            <w:tcW w:w="3798" w:type="dxa"/>
            <w:tcBorders>
              <w:top w:val="nil"/>
              <w:left w:val="nil"/>
              <w:bottom w:val="nil"/>
              <w:right w:val="single" w:sz="4" w:space="0" w:color="000000"/>
            </w:tcBorders>
            <w:shd w:val="clear" w:color="000000" w:fill="FFFFFF"/>
            <w:hideMark/>
          </w:tcPr>
          <w:p w14:paraId="7A40BF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Manipular los documentos electorales.</w:t>
            </w:r>
          </w:p>
        </w:tc>
        <w:tc>
          <w:tcPr>
            <w:tcW w:w="3798" w:type="dxa"/>
            <w:tcBorders>
              <w:top w:val="nil"/>
              <w:left w:val="nil"/>
              <w:bottom w:val="nil"/>
              <w:right w:val="single" w:sz="4" w:space="0" w:color="000000"/>
            </w:tcBorders>
            <w:shd w:val="clear" w:color="000000" w:fill="FFFFFF"/>
            <w:hideMark/>
          </w:tcPr>
          <w:p w14:paraId="210659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Manipular los documentos electorales.</w:t>
            </w:r>
          </w:p>
        </w:tc>
        <w:tc>
          <w:tcPr>
            <w:tcW w:w="1480" w:type="dxa"/>
            <w:tcBorders>
              <w:top w:val="nil"/>
              <w:left w:val="nil"/>
              <w:bottom w:val="nil"/>
              <w:right w:val="single" w:sz="4" w:space="0" w:color="000000"/>
            </w:tcBorders>
            <w:shd w:val="clear" w:color="000000" w:fill="FFFFFF"/>
            <w:hideMark/>
          </w:tcPr>
          <w:p w14:paraId="0B9E44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55441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7CB36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Transferir a terceros la credencial de testigo electoral. </w:t>
            </w:r>
          </w:p>
        </w:tc>
        <w:tc>
          <w:tcPr>
            <w:tcW w:w="3798" w:type="dxa"/>
            <w:tcBorders>
              <w:top w:val="nil"/>
              <w:left w:val="nil"/>
              <w:bottom w:val="nil"/>
              <w:right w:val="single" w:sz="4" w:space="0" w:color="000000"/>
            </w:tcBorders>
            <w:shd w:val="clear" w:color="000000" w:fill="FFFFFF"/>
            <w:hideMark/>
          </w:tcPr>
          <w:p w14:paraId="1A0586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Transferir a terceros la credencial de testigo electoral.</w:t>
            </w:r>
          </w:p>
        </w:tc>
        <w:tc>
          <w:tcPr>
            <w:tcW w:w="3798" w:type="dxa"/>
            <w:tcBorders>
              <w:top w:val="nil"/>
              <w:left w:val="nil"/>
              <w:bottom w:val="nil"/>
              <w:right w:val="single" w:sz="4" w:space="0" w:color="000000"/>
            </w:tcBorders>
            <w:shd w:val="clear" w:color="000000" w:fill="FFFFFF"/>
            <w:hideMark/>
          </w:tcPr>
          <w:p w14:paraId="60FCDC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Transferir a terceros la credencial de testigo electoral.</w:t>
            </w:r>
          </w:p>
        </w:tc>
        <w:tc>
          <w:tcPr>
            <w:tcW w:w="1480" w:type="dxa"/>
            <w:tcBorders>
              <w:top w:val="nil"/>
              <w:left w:val="nil"/>
              <w:bottom w:val="nil"/>
              <w:right w:val="single" w:sz="4" w:space="0" w:color="000000"/>
            </w:tcBorders>
            <w:shd w:val="clear" w:color="000000" w:fill="FFFFFF"/>
            <w:hideMark/>
          </w:tcPr>
          <w:p w14:paraId="5FAFBF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DC1249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62210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Interferir en las votaciones, en los escrutinios de los jurados de votación y en los escrutinios de las comisiones escrutadoras. </w:t>
            </w:r>
          </w:p>
        </w:tc>
        <w:tc>
          <w:tcPr>
            <w:tcW w:w="3798" w:type="dxa"/>
            <w:tcBorders>
              <w:top w:val="nil"/>
              <w:left w:val="nil"/>
              <w:bottom w:val="nil"/>
              <w:right w:val="single" w:sz="4" w:space="0" w:color="000000"/>
            </w:tcBorders>
            <w:shd w:val="clear" w:color="000000" w:fill="FFFFFF"/>
            <w:hideMark/>
          </w:tcPr>
          <w:p w14:paraId="63DE13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Interferir en las votaciones, en los escrutinios de los jurados de votación y en los escrutinios de las comisiones escrutadoras.</w:t>
            </w:r>
          </w:p>
        </w:tc>
        <w:tc>
          <w:tcPr>
            <w:tcW w:w="3798" w:type="dxa"/>
            <w:tcBorders>
              <w:top w:val="nil"/>
              <w:left w:val="nil"/>
              <w:bottom w:val="nil"/>
              <w:right w:val="single" w:sz="4" w:space="0" w:color="000000"/>
            </w:tcBorders>
            <w:shd w:val="clear" w:color="000000" w:fill="FFFFFF"/>
            <w:hideMark/>
          </w:tcPr>
          <w:p w14:paraId="59A960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Interferir en las votaciones, en los escrutinios de los jurados de votación y en los escrutinios de las comisiones escrutadoras.</w:t>
            </w:r>
          </w:p>
        </w:tc>
        <w:tc>
          <w:tcPr>
            <w:tcW w:w="1480" w:type="dxa"/>
            <w:tcBorders>
              <w:top w:val="nil"/>
              <w:left w:val="nil"/>
              <w:bottom w:val="nil"/>
              <w:right w:val="single" w:sz="4" w:space="0" w:color="000000"/>
            </w:tcBorders>
            <w:shd w:val="clear" w:color="000000" w:fill="FFFFFF"/>
            <w:hideMark/>
          </w:tcPr>
          <w:p w14:paraId="51E448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CC704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5A591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Revelar resultados parciales en las votaciones en que participan los colombianos en el exterior. </w:t>
            </w:r>
          </w:p>
        </w:tc>
        <w:tc>
          <w:tcPr>
            <w:tcW w:w="3798" w:type="dxa"/>
            <w:tcBorders>
              <w:top w:val="nil"/>
              <w:left w:val="nil"/>
              <w:bottom w:val="nil"/>
              <w:right w:val="single" w:sz="4" w:space="0" w:color="000000"/>
            </w:tcBorders>
            <w:shd w:val="clear" w:color="000000" w:fill="FFFFFF"/>
            <w:hideMark/>
          </w:tcPr>
          <w:p w14:paraId="2BDE8E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Revelar resultados parciales en las votaciones en que participan los colombianos en el exterior.</w:t>
            </w:r>
          </w:p>
        </w:tc>
        <w:tc>
          <w:tcPr>
            <w:tcW w:w="3798" w:type="dxa"/>
            <w:tcBorders>
              <w:top w:val="nil"/>
              <w:left w:val="nil"/>
              <w:bottom w:val="nil"/>
              <w:right w:val="single" w:sz="4" w:space="0" w:color="000000"/>
            </w:tcBorders>
            <w:shd w:val="clear" w:color="000000" w:fill="FFFFFF"/>
            <w:hideMark/>
          </w:tcPr>
          <w:p w14:paraId="141333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Revelar resultados parciales en las votaciones en que participan los colombianos en el exterior.</w:t>
            </w:r>
          </w:p>
        </w:tc>
        <w:tc>
          <w:tcPr>
            <w:tcW w:w="1480" w:type="dxa"/>
            <w:tcBorders>
              <w:top w:val="nil"/>
              <w:left w:val="nil"/>
              <w:bottom w:val="nil"/>
              <w:right w:val="single" w:sz="4" w:space="0" w:color="000000"/>
            </w:tcBorders>
            <w:shd w:val="clear" w:color="000000" w:fill="FFFFFF"/>
            <w:hideMark/>
          </w:tcPr>
          <w:p w14:paraId="3FB7DE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9BD68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CFB47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Expresar cualquier tipo de ofensa, difamación o calumnia en contra de las instituciones, autoridades electorales, partidos políticos o candidatos. </w:t>
            </w:r>
          </w:p>
        </w:tc>
        <w:tc>
          <w:tcPr>
            <w:tcW w:w="3798" w:type="dxa"/>
            <w:tcBorders>
              <w:top w:val="nil"/>
              <w:left w:val="nil"/>
              <w:bottom w:val="nil"/>
              <w:right w:val="single" w:sz="4" w:space="0" w:color="000000"/>
            </w:tcBorders>
            <w:shd w:val="clear" w:color="000000" w:fill="FFFFFF"/>
            <w:hideMark/>
          </w:tcPr>
          <w:p w14:paraId="0EF99E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Expresar cualquier tipo de ofensa, difamación o calumnia en contra de las instituciones, autoridades electorales, partidos políticos o candidatos.</w:t>
            </w:r>
          </w:p>
        </w:tc>
        <w:tc>
          <w:tcPr>
            <w:tcW w:w="3798" w:type="dxa"/>
            <w:tcBorders>
              <w:top w:val="nil"/>
              <w:left w:val="nil"/>
              <w:bottom w:val="nil"/>
              <w:right w:val="single" w:sz="4" w:space="0" w:color="000000"/>
            </w:tcBorders>
            <w:shd w:val="clear" w:color="000000" w:fill="FFFFFF"/>
            <w:hideMark/>
          </w:tcPr>
          <w:p w14:paraId="193F88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Expresar cualquier tipo de ofensa, difamación o calumnia en contra de las instituciones, autoridades electorales, partidos políticos o candidatos.</w:t>
            </w:r>
          </w:p>
        </w:tc>
        <w:tc>
          <w:tcPr>
            <w:tcW w:w="1480" w:type="dxa"/>
            <w:tcBorders>
              <w:top w:val="nil"/>
              <w:left w:val="nil"/>
              <w:bottom w:val="nil"/>
              <w:right w:val="single" w:sz="4" w:space="0" w:color="000000"/>
            </w:tcBorders>
            <w:shd w:val="clear" w:color="000000" w:fill="FFFFFF"/>
            <w:hideMark/>
          </w:tcPr>
          <w:p w14:paraId="356931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CC7DBF" w14:textId="77777777" w:rsidTr="00222F34">
        <w:trPr>
          <w:trHeight w:val="1500"/>
        </w:trPr>
        <w:tc>
          <w:tcPr>
            <w:tcW w:w="3798" w:type="dxa"/>
            <w:tcBorders>
              <w:top w:val="nil"/>
              <w:left w:val="single" w:sz="4" w:space="0" w:color="000000"/>
              <w:bottom w:val="nil"/>
              <w:right w:val="single" w:sz="4" w:space="0" w:color="000000"/>
            </w:tcBorders>
            <w:shd w:val="clear" w:color="FFC000" w:fill="FFFFFF"/>
            <w:hideMark/>
          </w:tcPr>
          <w:p w14:paraId="388114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 </w:t>
            </w:r>
          </w:p>
        </w:tc>
        <w:tc>
          <w:tcPr>
            <w:tcW w:w="3798" w:type="dxa"/>
            <w:tcBorders>
              <w:top w:val="nil"/>
              <w:left w:val="nil"/>
              <w:bottom w:val="nil"/>
              <w:right w:val="single" w:sz="4" w:space="0" w:color="000000"/>
            </w:tcBorders>
            <w:shd w:val="clear" w:color="000000" w:fill="FFFFFF"/>
            <w:hideMark/>
          </w:tcPr>
          <w:p w14:paraId="4AED83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Usar teléfonos celulares o dispositivos semejantes, cámaras de fotografía o video dentro del puesto electoral durante la jornada de votación y antes del escrutinio; salvo que sea para registrar posibles delitos electorales. Estará expresamente prohibido este uso de elementos en la mesa y/o cubículo de votación que atente la inviolabilidad del voto y el ejercicio de las funciones de los jurados de votación o delegados de puesto.</w:t>
            </w:r>
          </w:p>
        </w:tc>
        <w:tc>
          <w:tcPr>
            <w:tcW w:w="3798" w:type="dxa"/>
            <w:tcBorders>
              <w:top w:val="nil"/>
              <w:left w:val="nil"/>
              <w:bottom w:val="nil"/>
              <w:right w:val="single" w:sz="4" w:space="0" w:color="000000"/>
            </w:tcBorders>
            <w:shd w:val="clear" w:color="000000" w:fill="FFFFFF"/>
            <w:hideMark/>
          </w:tcPr>
          <w:p w14:paraId="14C8DC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auto"/>
              <w:right w:val="single" w:sz="4" w:space="0" w:color="000000"/>
            </w:tcBorders>
            <w:shd w:val="clear" w:color="000000" w:fill="FFFFFF"/>
            <w:hideMark/>
          </w:tcPr>
          <w:p w14:paraId="78C745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C97C200" w14:textId="77777777" w:rsidTr="00222F34">
        <w:trPr>
          <w:trHeight w:val="1500"/>
        </w:trPr>
        <w:tc>
          <w:tcPr>
            <w:tcW w:w="3798" w:type="dxa"/>
            <w:tcBorders>
              <w:top w:val="single" w:sz="4" w:space="0" w:color="000000"/>
              <w:left w:val="single" w:sz="4" w:space="0" w:color="000000"/>
              <w:bottom w:val="single" w:sz="4" w:space="0" w:color="000000"/>
              <w:right w:val="single" w:sz="4" w:space="0" w:color="000000"/>
            </w:tcBorders>
            <w:shd w:val="clear" w:color="000000" w:fill="FFFFFF"/>
            <w:hideMark/>
          </w:tcPr>
          <w:p w14:paraId="3300C08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141.- Sanciones a testigos electorales.</w:t>
            </w:r>
            <w:r w:rsidRPr="00222F34">
              <w:rPr>
                <w:rFonts w:ascii="Calibri" w:eastAsia="Times New Roman" w:hAnsi="Calibri" w:cs="Calibri"/>
                <w:color w:val="000000"/>
                <w:lang w:val="es-CO" w:eastAsia="es-CO" w:bidi="ar-SA"/>
              </w:rPr>
              <w:t xml:space="preserve"> El incumplimiento por parte de los testigos electorales de las disposiciones consagradas en el capítulo “De los testigos electorales” dará lugar a la pérdida de la credencial, al retiro del puesto de votación y a las de carácter policivo según el Código Nacional de Seguridad y Convivencia Ciudadana o la norma que lo modifique, sustituya o adicione.</w:t>
            </w:r>
          </w:p>
        </w:tc>
        <w:tc>
          <w:tcPr>
            <w:tcW w:w="3798" w:type="dxa"/>
            <w:tcBorders>
              <w:top w:val="single" w:sz="4" w:space="0" w:color="000000"/>
              <w:left w:val="nil"/>
              <w:bottom w:val="single" w:sz="4" w:space="0" w:color="000000"/>
              <w:right w:val="single" w:sz="4" w:space="0" w:color="000000"/>
            </w:tcBorders>
            <w:shd w:val="clear" w:color="000000" w:fill="FFFFFF"/>
            <w:hideMark/>
          </w:tcPr>
          <w:p w14:paraId="3EE616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145.- Sanciones a testigos electorales.</w:t>
            </w:r>
            <w:r w:rsidRPr="00222F34">
              <w:rPr>
                <w:rFonts w:ascii="Calibri" w:eastAsia="Times New Roman" w:hAnsi="Calibri" w:cs="Calibri"/>
                <w:color w:val="000000"/>
                <w:lang w:val="es-CO" w:eastAsia="es-CO" w:bidi="ar-SA"/>
              </w:rPr>
              <w:t xml:space="preserve"> El incumplimiento por parte de los testigos electorales de las disposiciones consagradas en el capítulo “De los testigos electorales” dará lugar a la pérdida de la credencial, al retiro del recinto del puesto de votación.</w:t>
            </w:r>
          </w:p>
        </w:tc>
        <w:tc>
          <w:tcPr>
            <w:tcW w:w="3798" w:type="dxa"/>
            <w:tcBorders>
              <w:top w:val="single" w:sz="4" w:space="0" w:color="000000"/>
              <w:left w:val="nil"/>
              <w:bottom w:val="single" w:sz="4" w:space="0" w:color="000000"/>
              <w:right w:val="single" w:sz="4" w:space="0" w:color="000000"/>
            </w:tcBorders>
            <w:shd w:val="clear" w:color="000000" w:fill="FFFFFF"/>
            <w:hideMark/>
          </w:tcPr>
          <w:p w14:paraId="1C0ADB9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145.- Sanciones a testigos electorales.</w:t>
            </w:r>
            <w:r w:rsidRPr="00222F34">
              <w:rPr>
                <w:rFonts w:ascii="Calibri" w:eastAsia="Times New Roman" w:hAnsi="Calibri" w:cs="Calibri"/>
                <w:color w:val="000000"/>
                <w:lang w:val="es-CO" w:eastAsia="es-CO" w:bidi="ar-SA"/>
              </w:rPr>
              <w:t xml:space="preserve"> El incumplimiento por parte de los testigos electorales de las disposiciones consagradas en el capítulo “De los testigos electorales” dará lugar a la pérdida de la credencial, al retiro del puesto de votación y a las de carácter policivo según el Código Nacional de Seguridad y Convivencia Ciudadana o la norma que lo modifique, sustituya o adicione.</w:t>
            </w:r>
          </w:p>
        </w:tc>
        <w:tc>
          <w:tcPr>
            <w:tcW w:w="1480" w:type="dxa"/>
            <w:tcBorders>
              <w:top w:val="nil"/>
              <w:left w:val="nil"/>
              <w:bottom w:val="single" w:sz="4" w:space="0" w:color="auto"/>
              <w:right w:val="single" w:sz="4" w:space="0" w:color="000000"/>
            </w:tcBorders>
            <w:shd w:val="clear" w:color="000000" w:fill="FFFFFF"/>
            <w:hideMark/>
          </w:tcPr>
          <w:p w14:paraId="6797FB7C" w14:textId="6383139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FC636F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4FA60C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3798" w:type="dxa"/>
            <w:tcBorders>
              <w:top w:val="nil"/>
              <w:left w:val="nil"/>
              <w:bottom w:val="nil"/>
              <w:right w:val="single" w:sz="4" w:space="0" w:color="000000"/>
            </w:tcBorders>
            <w:shd w:val="clear" w:color="000000" w:fill="FFFFFF"/>
            <w:hideMark/>
          </w:tcPr>
          <w:p w14:paraId="44607A6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3798" w:type="dxa"/>
            <w:tcBorders>
              <w:top w:val="nil"/>
              <w:left w:val="nil"/>
              <w:bottom w:val="nil"/>
              <w:right w:val="single" w:sz="4" w:space="0" w:color="000000"/>
            </w:tcBorders>
            <w:shd w:val="clear" w:color="000000" w:fill="FFFFFF"/>
            <w:hideMark/>
          </w:tcPr>
          <w:p w14:paraId="4444AAD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1480" w:type="dxa"/>
            <w:tcBorders>
              <w:top w:val="nil"/>
              <w:left w:val="nil"/>
              <w:bottom w:val="nil"/>
              <w:right w:val="single" w:sz="4" w:space="0" w:color="000000"/>
            </w:tcBorders>
            <w:shd w:val="clear" w:color="000000" w:fill="FFFFFF"/>
            <w:hideMark/>
          </w:tcPr>
          <w:p w14:paraId="195AE9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A9401F"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0236FE1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observación electoral</w:t>
            </w:r>
          </w:p>
        </w:tc>
        <w:tc>
          <w:tcPr>
            <w:tcW w:w="3798" w:type="dxa"/>
            <w:tcBorders>
              <w:top w:val="nil"/>
              <w:left w:val="nil"/>
              <w:bottom w:val="single" w:sz="4" w:space="0" w:color="000000"/>
              <w:right w:val="single" w:sz="4" w:space="0" w:color="000000"/>
            </w:tcBorders>
            <w:shd w:val="clear" w:color="000000" w:fill="FFFFFF"/>
            <w:hideMark/>
          </w:tcPr>
          <w:p w14:paraId="12BD9A5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observación electoral</w:t>
            </w:r>
          </w:p>
        </w:tc>
        <w:tc>
          <w:tcPr>
            <w:tcW w:w="3798" w:type="dxa"/>
            <w:tcBorders>
              <w:top w:val="nil"/>
              <w:left w:val="nil"/>
              <w:bottom w:val="single" w:sz="4" w:space="0" w:color="000000"/>
              <w:right w:val="single" w:sz="4" w:space="0" w:color="000000"/>
            </w:tcBorders>
            <w:shd w:val="clear" w:color="000000" w:fill="FFFFFF"/>
            <w:hideMark/>
          </w:tcPr>
          <w:p w14:paraId="0ED685A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observación electoral</w:t>
            </w:r>
          </w:p>
        </w:tc>
        <w:tc>
          <w:tcPr>
            <w:tcW w:w="1480" w:type="dxa"/>
            <w:tcBorders>
              <w:top w:val="nil"/>
              <w:left w:val="nil"/>
              <w:bottom w:val="single" w:sz="4" w:space="0" w:color="000000"/>
              <w:right w:val="single" w:sz="4" w:space="0" w:color="000000"/>
            </w:tcBorders>
            <w:shd w:val="clear" w:color="000000" w:fill="FFFFFF"/>
            <w:hideMark/>
          </w:tcPr>
          <w:p w14:paraId="56D208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19EA12" w14:textId="77777777" w:rsidTr="00222F34">
        <w:trPr>
          <w:trHeight w:val="3600"/>
        </w:trPr>
        <w:tc>
          <w:tcPr>
            <w:tcW w:w="3798" w:type="dxa"/>
            <w:tcBorders>
              <w:top w:val="nil"/>
              <w:left w:val="single" w:sz="4" w:space="0" w:color="000000"/>
              <w:bottom w:val="single" w:sz="4" w:space="0" w:color="000000"/>
              <w:right w:val="single" w:sz="4" w:space="0" w:color="000000"/>
            </w:tcBorders>
            <w:shd w:val="clear" w:color="000000" w:fill="FFFFFF"/>
            <w:hideMark/>
          </w:tcPr>
          <w:p w14:paraId="420DCB5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142.- De la naturaleza y propósitos de la observación electoral.</w:t>
            </w:r>
            <w:r w:rsidRPr="00222F34">
              <w:rPr>
                <w:rFonts w:ascii="Calibri" w:eastAsia="Times New Roman" w:hAnsi="Calibri" w:cs="Calibri"/>
                <w:color w:val="000000"/>
                <w:lang w:val="es-CO" w:eastAsia="es-CO" w:bidi="ar-SA"/>
              </w:rPr>
              <w:t xml:space="preserve"> La observación de los procesos electorales es un conjunto de actividades desarrolladas por personas y/o instituciones representadas por organizaciones nacionales de carácter privado o no gubernamental, o extranjeras, públicas o privadas. Esta se realiza de manera imparcial, informada, independiente y pública, con el objeto de constatar el adecuado desarrollo del proceso electoral, las distintas actividades realizadas en preparación del mismo y los resultados electorales e informar a la opinión pública sobre el cumplimiento de las normas vigentes y de los estándares nacionales e internacionales asociados con elecciones legítimas y trasparentes. También tiene como propósito coadyuvar a la transparencia del proceso electoral, cumpliendo los principios de imparcialidad e independencia. </w:t>
            </w:r>
          </w:p>
        </w:tc>
        <w:tc>
          <w:tcPr>
            <w:tcW w:w="3798" w:type="dxa"/>
            <w:tcBorders>
              <w:top w:val="nil"/>
              <w:left w:val="nil"/>
              <w:bottom w:val="single" w:sz="4" w:space="0" w:color="000000"/>
              <w:right w:val="single" w:sz="4" w:space="0" w:color="000000"/>
            </w:tcBorders>
            <w:shd w:val="clear" w:color="00FF00" w:fill="FFFFFF"/>
            <w:hideMark/>
          </w:tcPr>
          <w:p w14:paraId="263DA5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146.- De la naturaleza y propósitos de la observación electoral.</w:t>
            </w:r>
            <w:r w:rsidRPr="00222F34">
              <w:rPr>
                <w:rFonts w:ascii="Calibri" w:eastAsia="Times New Roman" w:hAnsi="Calibri" w:cs="Calibri"/>
                <w:color w:val="000000"/>
                <w:lang w:val="es-CO" w:eastAsia="es-CO" w:bidi="ar-SA"/>
              </w:rPr>
              <w:t xml:space="preserve"> La observación de los procesos electorales es un conjunto de actividades desarrolladas por personas y/o instituciones representadas por organizaciones nacionales de carácter privado o no gubernamental, o extranjeras, públicas o privadas. Esta se realiza de manera imparcial, informada, independiente y pública, con el objeto de constatar el adecuado desarrollo del proceso electoral, las distintas actividades realizadas en preparación del mismo y los resultados electorales e informar a la opinión pública sobre el cumplimiento de las normas vigentes y de los estándares nacionales e internacionales asociados con elecciones legítimas y transparentes. La observación electoral incluye, en todos los casos, los componentes tecnológicos que sean utilizados en el sistema electoral. También tiene como propósito coadyuvar a la transparencia del proceso electoral, cumpliendo los principios de imparcialidad e independencia.</w:t>
            </w:r>
          </w:p>
        </w:tc>
        <w:tc>
          <w:tcPr>
            <w:tcW w:w="3798" w:type="dxa"/>
            <w:tcBorders>
              <w:top w:val="nil"/>
              <w:left w:val="nil"/>
              <w:bottom w:val="single" w:sz="4" w:space="0" w:color="000000"/>
              <w:right w:val="single" w:sz="4" w:space="0" w:color="000000"/>
            </w:tcBorders>
            <w:shd w:val="clear" w:color="00FF00" w:fill="FFFFFF"/>
            <w:hideMark/>
          </w:tcPr>
          <w:p w14:paraId="25F136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146.- De la naturaleza y propósitos de la observación electoral.</w:t>
            </w:r>
            <w:r w:rsidRPr="00222F34">
              <w:rPr>
                <w:rFonts w:ascii="Calibri" w:eastAsia="Times New Roman" w:hAnsi="Calibri" w:cs="Calibri"/>
                <w:color w:val="000000"/>
                <w:lang w:val="es-CO" w:eastAsia="es-CO" w:bidi="ar-SA"/>
              </w:rPr>
              <w:t xml:space="preserve"> La observación de los procesos electorales es un conjunto de actividades desarrolladas por personas y/o instituciones representadas por organizaciones nacionales de carácter privado o no gubernamental, o extranjeras, públicas o privadas. Esta se realiza de manera imparcial, informada, independiente y pública, con el objeto de constatar el adecuado desarrollo del proceso electoral, las distintas actividades realizadas en preparación del mismo y los resultados electorales e informar a la opinión pública sobre el cumplimiento de las normas vigentes y de los estándares nacionales e internacionales asociados con elecciones legítimas y transparentes. La observación electoral incluye, en todos los casos, los componentes tecnológicos que sean utilizados en el sistema electoral. También tiene como propósito coadyuvar a la transparencia del proceso electoral, cumpliendo los principios de imparcialidad e independencia.</w:t>
            </w:r>
          </w:p>
        </w:tc>
        <w:tc>
          <w:tcPr>
            <w:tcW w:w="1480" w:type="dxa"/>
            <w:tcBorders>
              <w:top w:val="nil"/>
              <w:left w:val="nil"/>
              <w:bottom w:val="single" w:sz="4" w:space="0" w:color="auto"/>
              <w:right w:val="single" w:sz="4" w:space="0" w:color="000000"/>
            </w:tcBorders>
            <w:shd w:val="clear" w:color="000000" w:fill="FFFFFF"/>
            <w:hideMark/>
          </w:tcPr>
          <w:p w14:paraId="31C35829" w14:textId="69341B6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40DD45D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33591D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143.- Ejercicio de la observación electoral.</w:t>
            </w:r>
            <w:r w:rsidRPr="00222F34">
              <w:rPr>
                <w:rFonts w:ascii="Calibri" w:eastAsia="Times New Roman" w:hAnsi="Calibri" w:cs="Calibri"/>
                <w:color w:val="000000"/>
                <w:lang w:val="es-CO" w:eastAsia="es-CO" w:bidi="ar-SA"/>
              </w:rPr>
              <w:t xml:space="preserve"> Para adelantar la observación electoral, los observadores deberán respetar la Constitución, las </w:t>
            </w:r>
            <w:r w:rsidRPr="00222F34">
              <w:rPr>
                <w:rFonts w:ascii="Calibri" w:eastAsia="Times New Roman" w:hAnsi="Calibri" w:cs="Calibri"/>
                <w:color w:val="000000"/>
                <w:lang w:val="es-CO" w:eastAsia="es-CO" w:bidi="ar-SA"/>
              </w:rPr>
              <w:lastRenderedPageBreak/>
              <w:t xml:space="preserve">leyes de la República de Colombia y los principios de imparcialidad, neutralidad y transparencia.  </w:t>
            </w:r>
          </w:p>
        </w:tc>
        <w:tc>
          <w:tcPr>
            <w:tcW w:w="3798" w:type="dxa"/>
            <w:tcBorders>
              <w:top w:val="nil"/>
              <w:left w:val="nil"/>
              <w:bottom w:val="nil"/>
              <w:right w:val="single" w:sz="4" w:space="0" w:color="000000"/>
            </w:tcBorders>
            <w:shd w:val="clear" w:color="00FF00" w:fill="FFFFFF"/>
            <w:hideMark/>
          </w:tcPr>
          <w:p w14:paraId="29282A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147.- Ejercicio de la observación electoral. </w:t>
            </w:r>
            <w:r w:rsidRPr="00222F34">
              <w:rPr>
                <w:rFonts w:ascii="Calibri" w:eastAsia="Times New Roman" w:hAnsi="Calibri" w:cs="Calibri"/>
                <w:color w:val="000000"/>
                <w:lang w:val="es-CO" w:eastAsia="es-CO" w:bidi="ar-SA"/>
              </w:rPr>
              <w:t xml:space="preserve">Para adelantar la observación electoral, los observadores deberán respetar la Constitución, las </w:t>
            </w:r>
            <w:r w:rsidRPr="00222F34">
              <w:rPr>
                <w:rFonts w:ascii="Calibri" w:eastAsia="Times New Roman" w:hAnsi="Calibri" w:cs="Calibri"/>
                <w:color w:val="000000"/>
                <w:lang w:val="es-CO" w:eastAsia="es-CO" w:bidi="ar-SA"/>
              </w:rPr>
              <w:lastRenderedPageBreak/>
              <w:t>leyes de la República de Colombia y los principios de imparcialidad, neutralidad y transparencia.</w:t>
            </w:r>
          </w:p>
        </w:tc>
        <w:tc>
          <w:tcPr>
            <w:tcW w:w="3798" w:type="dxa"/>
            <w:tcBorders>
              <w:top w:val="nil"/>
              <w:left w:val="nil"/>
              <w:bottom w:val="nil"/>
              <w:right w:val="single" w:sz="4" w:space="0" w:color="000000"/>
            </w:tcBorders>
            <w:shd w:val="clear" w:color="00FF00" w:fill="FFFFFF"/>
            <w:hideMark/>
          </w:tcPr>
          <w:p w14:paraId="0504FB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147.- Ejercicio de la observación electoral. </w:t>
            </w:r>
            <w:r w:rsidRPr="00222F34">
              <w:rPr>
                <w:rFonts w:ascii="Calibri" w:eastAsia="Times New Roman" w:hAnsi="Calibri" w:cs="Calibri"/>
                <w:color w:val="000000"/>
                <w:lang w:val="es-CO" w:eastAsia="es-CO" w:bidi="ar-SA"/>
              </w:rPr>
              <w:t xml:space="preserve">Para adelantar la observación electoral, los observadores deberán respetar la Constitución, las </w:t>
            </w:r>
            <w:r w:rsidRPr="00222F34">
              <w:rPr>
                <w:rFonts w:ascii="Calibri" w:eastAsia="Times New Roman" w:hAnsi="Calibri" w:cs="Calibri"/>
                <w:color w:val="000000"/>
                <w:lang w:val="es-CO" w:eastAsia="es-CO" w:bidi="ar-SA"/>
              </w:rPr>
              <w:lastRenderedPageBreak/>
              <w:t xml:space="preserve">leyes de la República de Colombia y los principios de imparcialidad, neutralidad y transparencia.  </w:t>
            </w:r>
          </w:p>
        </w:tc>
        <w:tc>
          <w:tcPr>
            <w:tcW w:w="1480" w:type="dxa"/>
            <w:tcBorders>
              <w:top w:val="nil"/>
              <w:left w:val="nil"/>
              <w:bottom w:val="nil"/>
              <w:right w:val="single" w:sz="4" w:space="0" w:color="000000"/>
            </w:tcBorders>
            <w:shd w:val="clear" w:color="000000" w:fill="FFFFFF"/>
            <w:hideMark/>
          </w:tcPr>
          <w:p w14:paraId="2B1E34D3" w14:textId="44D8509B" w:rsidR="00CD4925" w:rsidRPr="00222F34" w:rsidRDefault="00CD4925" w:rsidP="009B0BDA">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 xml:space="preserve">Se acoge texto de </w:t>
            </w:r>
            <w:r w:rsidR="009B0BDA">
              <w:rPr>
                <w:rFonts w:ascii="Calibri" w:eastAsia="Times New Roman" w:hAnsi="Calibri" w:cs="Calibri"/>
                <w:color w:val="000000"/>
                <w:lang w:val="es-CO" w:eastAsia="es-CO" w:bidi="ar-SA"/>
              </w:rPr>
              <w:t>Cámara</w:t>
            </w:r>
            <w:r>
              <w:rPr>
                <w:rFonts w:ascii="Calibri" w:eastAsia="Times New Roman" w:hAnsi="Calibri" w:cs="Calibri"/>
                <w:color w:val="000000"/>
                <w:lang w:val="es-CO" w:eastAsia="es-CO" w:bidi="ar-SA"/>
              </w:rPr>
              <w:t>.</w:t>
            </w:r>
          </w:p>
        </w:tc>
      </w:tr>
      <w:tr w:rsidR="00CD4925" w:rsidRPr="00222F34" w14:paraId="6D382FE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3CE068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11DC46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las Misiones de Observación Electoral gozarán de independencia en su actuar. El Estado deberá garantizar el acceso a toda la información, actores y escenarios para el desempeño de su misión.</w:t>
            </w:r>
          </w:p>
        </w:tc>
        <w:tc>
          <w:tcPr>
            <w:tcW w:w="3798" w:type="dxa"/>
            <w:tcBorders>
              <w:top w:val="nil"/>
              <w:left w:val="nil"/>
              <w:bottom w:val="single" w:sz="4" w:space="0" w:color="000000"/>
              <w:right w:val="single" w:sz="4" w:space="0" w:color="000000"/>
            </w:tcBorders>
            <w:shd w:val="clear" w:color="00FF00" w:fill="FFFFFF"/>
            <w:hideMark/>
          </w:tcPr>
          <w:p w14:paraId="4A95DCD3" w14:textId="45700068"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r w:rsidR="009B0BDA" w:rsidRPr="00222F34">
              <w:rPr>
                <w:rFonts w:ascii="Calibri" w:eastAsia="Times New Roman" w:hAnsi="Calibri" w:cs="Calibri"/>
                <w:color w:val="000000"/>
                <w:lang w:val="es-CO" w:eastAsia="es-CO" w:bidi="ar-SA"/>
              </w:rPr>
              <w:t>En todo caso, las Misiones de Observación Electoral gozarán de independencia en su actuar. El Estado deberá garantizar el acceso a toda la información, actores y escenarios para el desempeño de su misión.</w:t>
            </w:r>
          </w:p>
        </w:tc>
        <w:tc>
          <w:tcPr>
            <w:tcW w:w="1480" w:type="dxa"/>
            <w:tcBorders>
              <w:top w:val="nil"/>
              <w:left w:val="nil"/>
              <w:bottom w:val="single" w:sz="4" w:space="0" w:color="000000"/>
              <w:right w:val="single" w:sz="4" w:space="0" w:color="000000"/>
            </w:tcBorders>
            <w:shd w:val="clear" w:color="000000" w:fill="FFFFFF"/>
            <w:hideMark/>
          </w:tcPr>
          <w:p w14:paraId="724572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7C324DD"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F92C1E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144.- Acreditación de los observadores electorales.</w:t>
            </w:r>
            <w:r w:rsidRPr="00222F34">
              <w:rPr>
                <w:rFonts w:ascii="Calibri" w:eastAsia="Times New Roman" w:hAnsi="Calibri" w:cs="Calibri"/>
                <w:color w:val="000000"/>
                <w:lang w:val="es-CO" w:eastAsia="es-CO" w:bidi="ar-SA"/>
              </w:rPr>
              <w:t xml:space="preserve"> 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Consejo Nacional Electoral. </w:t>
            </w:r>
          </w:p>
        </w:tc>
        <w:tc>
          <w:tcPr>
            <w:tcW w:w="3798" w:type="dxa"/>
            <w:tcBorders>
              <w:top w:val="nil"/>
              <w:left w:val="nil"/>
              <w:bottom w:val="nil"/>
              <w:right w:val="single" w:sz="4" w:space="0" w:color="000000"/>
            </w:tcBorders>
            <w:shd w:val="clear" w:color="000000" w:fill="FFFFFF"/>
            <w:hideMark/>
          </w:tcPr>
          <w:p w14:paraId="5C25A7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148.- Acreditación de los observadores electorales. </w:t>
            </w:r>
            <w:r w:rsidRPr="00222F34">
              <w:rPr>
                <w:rFonts w:ascii="Calibri" w:eastAsia="Times New Roman" w:hAnsi="Calibri" w:cs="Calibri"/>
                <w:color w:val="000000"/>
                <w:lang w:val="es-CO" w:eastAsia="es-CO" w:bidi="ar-SA"/>
              </w:rPr>
              <w:t>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Consejo Nacional Electoral, respecto del cual procederán los recursos de ley.</w:t>
            </w:r>
          </w:p>
        </w:tc>
        <w:tc>
          <w:tcPr>
            <w:tcW w:w="3798" w:type="dxa"/>
            <w:tcBorders>
              <w:top w:val="nil"/>
              <w:left w:val="nil"/>
              <w:bottom w:val="nil"/>
              <w:right w:val="single" w:sz="4" w:space="0" w:color="000000"/>
            </w:tcBorders>
            <w:shd w:val="clear" w:color="000000" w:fill="FFFFFF"/>
            <w:hideMark/>
          </w:tcPr>
          <w:p w14:paraId="2B8608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148.- Acreditación de los observadores electorales. </w:t>
            </w:r>
            <w:r w:rsidRPr="00222F34">
              <w:rPr>
                <w:rFonts w:ascii="Calibri" w:eastAsia="Times New Roman" w:hAnsi="Calibri" w:cs="Calibri"/>
                <w:color w:val="000000"/>
                <w:lang w:val="es-CO" w:eastAsia="es-CO" w:bidi="ar-SA"/>
              </w:rPr>
              <w:t>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Consejo Nacional Electoral, respecto del cual procederán los recursos de ley.</w:t>
            </w:r>
          </w:p>
        </w:tc>
        <w:tc>
          <w:tcPr>
            <w:tcW w:w="1480" w:type="dxa"/>
            <w:tcBorders>
              <w:top w:val="nil"/>
              <w:left w:val="nil"/>
              <w:bottom w:val="nil"/>
              <w:right w:val="single" w:sz="4" w:space="0" w:color="000000"/>
            </w:tcBorders>
            <w:shd w:val="clear" w:color="000000" w:fill="FFFFFF"/>
            <w:hideMark/>
          </w:tcPr>
          <w:p w14:paraId="50048084" w14:textId="36C1922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61BADCE2"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746A15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determinará el término máximo para la expedición de las acreditaciones mediante acto administrativo. </w:t>
            </w:r>
          </w:p>
        </w:tc>
        <w:tc>
          <w:tcPr>
            <w:tcW w:w="3798" w:type="dxa"/>
            <w:tcBorders>
              <w:top w:val="nil"/>
              <w:left w:val="nil"/>
              <w:bottom w:val="single" w:sz="4" w:space="0" w:color="000000"/>
              <w:right w:val="single" w:sz="4" w:space="0" w:color="000000"/>
            </w:tcBorders>
            <w:shd w:val="clear" w:color="000000" w:fill="FFFFFF"/>
            <w:hideMark/>
          </w:tcPr>
          <w:p w14:paraId="24B8E9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determinará el término máximo para la expedición de las acreditaciones mediante acto administrativo.</w:t>
            </w:r>
          </w:p>
        </w:tc>
        <w:tc>
          <w:tcPr>
            <w:tcW w:w="3798" w:type="dxa"/>
            <w:tcBorders>
              <w:top w:val="nil"/>
              <w:left w:val="nil"/>
              <w:bottom w:val="single" w:sz="4" w:space="0" w:color="000000"/>
              <w:right w:val="single" w:sz="4" w:space="0" w:color="000000"/>
            </w:tcBorders>
            <w:shd w:val="clear" w:color="000000" w:fill="FFFFFF"/>
            <w:hideMark/>
          </w:tcPr>
          <w:p w14:paraId="64ED55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determinará el término máximo para la expedición de las acreditaciones mediante acto administrativo.</w:t>
            </w:r>
          </w:p>
        </w:tc>
        <w:tc>
          <w:tcPr>
            <w:tcW w:w="1480" w:type="dxa"/>
            <w:tcBorders>
              <w:top w:val="nil"/>
              <w:left w:val="nil"/>
              <w:bottom w:val="single" w:sz="4" w:space="0" w:color="000000"/>
              <w:right w:val="single" w:sz="4" w:space="0" w:color="000000"/>
            </w:tcBorders>
            <w:shd w:val="clear" w:color="000000" w:fill="FFFFFF"/>
            <w:hideMark/>
          </w:tcPr>
          <w:p w14:paraId="7FE3D0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414AB8" w14:textId="77777777" w:rsidTr="00222F34">
        <w:trPr>
          <w:trHeight w:val="1170"/>
        </w:trPr>
        <w:tc>
          <w:tcPr>
            <w:tcW w:w="3798" w:type="dxa"/>
            <w:tcBorders>
              <w:top w:val="nil"/>
              <w:left w:val="single" w:sz="4" w:space="0" w:color="000000"/>
              <w:bottom w:val="nil"/>
              <w:right w:val="single" w:sz="4" w:space="0" w:color="000000"/>
            </w:tcBorders>
            <w:shd w:val="clear" w:color="000000" w:fill="FFFFFF"/>
            <w:hideMark/>
          </w:tcPr>
          <w:p w14:paraId="58B8ABE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145.- Facultades de los observadores electorales.</w:t>
            </w:r>
            <w:r w:rsidRPr="00222F34">
              <w:rPr>
                <w:rFonts w:ascii="Calibri" w:eastAsia="Times New Roman" w:hAnsi="Calibri" w:cs="Calibri"/>
                <w:color w:val="000000"/>
                <w:lang w:val="es-CO" w:eastAsia="es-CO" w:bidi="ar-SA"/>
              </w:rPr>
              <w:t xml:space="preserve"> Los observadores electorales podrán estar presentes, para observar y acceder a la </w:t>
            </w:r>
            <w:r w:rsidRPr="00222F34">
              <w:rPr>
                <w:rFonts w:ascii="Calibri" w:eastAsia="Times New Roman" w:hAnsi="Calibri" w:cs="Calibri"/>
                <w:color w:val="000000"/>
                <w:lang w:val="es-CO" w:eastAsia="es-CO" w:bidi="ar-SA"/>
              </w:rPr>
              <w:lastRenderedPageBreak/>
              <w:t>información del desarrollo de las diferentes etapas del proceso electoral, con el propósito aunar esfuerzos con las autoridades electorales para brindar garantías y transparencia en el proceso electoral.</w:t>
            </w:r>
          </w:p>
        </w:tc>
        <w:tc>
          <w:tcPr>
            <w:tcW w:w="3798" w:type="dxa"/>
            <w:tcBorders>
              <w:top w:val="nil"/>
              <w:left w:val="nil"/>
              <w:bottom w:val="nil"/>
              <w:right w:val="single" w:sz="4" w:space="0" w:color="000000"/>
            </w:tcBorders>
            <w:shd w:val="clear" w:color="000000" w:fill="FFFFFF"/>
            <w:hideMark/>
          </w:tcPr>
          <w:p w14:paraId="3FA6D8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149.- Facultades de los observadores electorales.</w:t>
            </w:r>
            <w:r w:rsidRPr="00222F34">
              <w:rPr>
                <w:rFonts w:ascii="Calibri" w:eastAsia="Times New Roman" w:hAnsi="Calibri" w:cs="Calibri"/>
                <w:color w:val="000000"/>
                <w:lang w:val="es-CO" w:eastAsia="es-CO" w:bidi="ar-SA"/>
              </w:rPr>
              <w:t xml:space="preserve"> Los observadores electorales podrán estar presentes, para observar y acceder a la </w:t>
            </w:r>
            <w:r w:rsidRPr="00222F34">
              <w:rPr>
                <w:rFonts w:ascii="Calibri" w:eastAsia="Times New Roman" w:hAnsi="Calibri" w:cs="Calibri"/>
                <w:color w:val="000000"/>
                <w:lang w:val="es-CO" w:eastAsia="es-CO" w:bidi="ar-SA"/>
              </w:rPr>
              <w:lastRenderedPageBreak/>
              <w:t>información del desarrollo de las diferentes etapas del proceso electoral, con el propósito aunar esfuerzos con las autoridades electorales para brindar garantías y transparencia en el proceso electoral.</w:t>
            </w:r>
          </w:p>
        </w:tc>
        <w:tc>
          <w:tcPr>
            <w:tcW w:w="3798" w:type="dxa"/>
            <w:tcBorders>
              <w:top w:val="nil"/>
              <w:left w:val="nil"/>
              <w:bottom w:val="nil"/>
              <w:right w:val="single" w:sz="4" w:space="0" w:color="000000"/>
            </w:tcBorders>
            <w:shd w:val="clear" w:color="000000" w:fill="FFFFFF"/>
            <w:hideMark/>
          </w:tcPr>
          <w:p w14:paraId="7ECD0A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149.- Facultades de los observadores electorales.</w:t>
            </w:r>
            <w:r w:rsidRPr="00222F34">
              <w:rPr>
                <w:rFonts w:ascii="Calibri" w:eastAsia="Times New Roman" w:hAnsi="Calibri" w:cs="Calibri"/>
                <w:color w:val="000000"/>
                <w:lang w:val="es-CO" w:eastAsia="es-CO" w:bidi="ar-SA"/>
              </w:rPr>
              <w:t xml:space="preserve"> Los observadores electorales podrán estar presentes, para observar y acceder a la </w:t>
            </w:r>
            <w:r w:rsidRPr="00222F34">
              <w:rPr>
                <w:rFonts w:ascii="Calibri" w:eastAsia="Times New Roman" w:hAnsi="Calibri" w:cs="Calibri"/>
                <w:color w:val="000000"/>
                <w:lang w:val="es-CO" w:eastAsia="es-CO" w:bidi="ar-SA"/>
              </w:rPr>
              <w:lastRenderedPageBreak/>
              <w:t>información del desarrollo de las diferentes etapas del proceso electoral, con el propósito aunar esfuerzos con las autoridades electorales para brindar garantías y transparencia en el proceso electoral.</w:t>
            </w:r>
          </w:p>
        </w:tc>
        <w:tc>
          <w:tcPr>
            <w:tcW w:w="1480" w:type="dxa"/>
            <w:tcBorders>
              <w:top w:val="nil"/>
              <w:left w:val="nil"/>
              <w:bottom w:val="nil"/>
              <w:right w:val="single" w:sz="4" w:space="0" w:color="000000"/>
            </w:tcBorders>
            <w:shd w:val="clear" w:color="000000" w:fill="FFFFFF"/>
            <w:hideMark/>
          </w:tcPr>
          <w:p w14:paraId="1B18ECCE" w14:textId="16B70F6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Pr="00222F34">
              <w:rPr>
                <w:rFonts w:ascii="Calibri" w:eastAsia="Times New Roman" w:hAnsi="Calibri" w:cs="Calibri"/>
                <w:color w:val="000000"/>
                <w:lang w:val="es-CO" w:eastAsia="es-CO" w:bidi="ar-SA"/>
              </w:rPr>
              <w:t xml:space="preserve"> </w:t>
            </w:r>
          </w:p>
        </w:tc>
      </w:tr>
      <w:tr w:rsidR="00CD4925" w:rsidRPr="00222F34" w14:paraId="3487A98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1DC2A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el ejercicio de su actividad, los observadores tendrán las siguientes facultades: </w:t>
            </w:r>
          </w:p>
        </w:tc>
        <w:tc>
          <w:tcPr>
            <w:tcW w:w="3798" w:type="dxa"/>
            <w:tcBorders>
              <w:top w:val="nil"/>
              <w:left w:val="nil"/>
              <w:bottom w:val="nil"/>
              <w:right w:val="single" w:sz="4" w:space="0" w:color="000000"/>
            </w:tcBorders>
            <w:shd w:val="clear" w:color="000000" w:fill="FFFFFF"/>
            <w:hideMark/>
          </w:tcPr>
          <w:p w14:paraId="66683E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ejercicio de su actividad, los observadores tendrán las siguientes facultades:</w:t>
            </w:r>
          </w:p>
        </w:tc>
        <w:tc>
          <w:tcPr>
            <w:tcW w:w="3798" w:type="dxa"/>
            <w:tcBorders>
              <w:top w:val="nil"/>
              <w:left w:val="nil"/>
              <w:bottom w:val="nil"/>
              <w:right w:val="single" w:sz="4" w:space="0" w:color="000000"/>
            </w:tcBorders>
            <w:shd w:val="clear" w:color="000000" w:fill="FFFFFF"/>
            <w:hideMark/>
          </w:tcPr>
          <w:p w14:paraId="484339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ejercicio de su actividad, los observadores tendrán las siguientes facultades:</w:t>
            </w:r>
          </w:p>
        </w:tc>
        <w:tc>
          <w:tcPr>
            <w:tcW w:w="1480" w:type="dxa"/>
            <w:tcBorders>
              <w:top w:val="nil"/>
              <w:left w:val="nil"/>
              <w:bottom w:val="nil"/>
              <w:right w:val="single" w:sz="4" w:space="0" w:color="000000"/>
            </w:tcBorders>
            <w:shd w:val="clear" w:color="000000" w:fill="FFFFFF"/>
            <w:hideMark/>
          </w:tcPr>
          <w:p w14:paraId="55FF0C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0A1A98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380A6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Libertad de circulación en el territorio nacional. </w:t>
            </w:r>
          </w:p>
        </w:tc>
        <w:tc>
          <w:tcPr>
            <w:tcW w:w="3798" w:type="dxa"/>
            <w:tcBorders>
              <w:top w:val="nil"/>
              <w:left w:val="nil"/>
              <w:bottom w:val="nil"/>
              <w:right w:val="single" w:sz="4" w:space="0" w:color="000000"/>
            </w:tcBorders>
            <w:shd w:val="clear" w:color="000000" w:fill="FFFFFF"/>
            <w:hideMark/>
          </w:tcPr>
          <w:p w14:paraId="0985DD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Libertad de circulación en el territorio nacional.</w:t>
            </w:r>
          </w:p>
        </w:tc>
        <w:tc>
          <w:tcPr>
            <w:tcW w:w="3798" w:type="dxa"/>
            <w:tcBorders>
              <w:top w:val="nil"/>
              <w:left w:val="nil"/>
              <w:bottom w:val="nil"/>
              <w:right w:val="single" w:sz="4" w:space="0" w:color="000000"/>
            </w:tcBorders>
            <w:shd w:val="clear" w:color="000000" w:fill="FFFFFF"/>
            <w:hideMark/>
          </w:tcPr>
          <w:p w14:paraId="6F956E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Libertad de circulación en el territorio nacional.</w:t>
            </w:r>
          </w:p>
        </w:tc>
        <w:tc>
          <w:tcPr>
            <w:tcW w:w="1480" w:type="dxa"/>
            <w:tcBorders>
              <w:top w:val="nil"/>
              <w:left w:val="nil"/>
              <w:bottom w:val="nil"/>
              <w:right w:val="single" w:sz="4" w:space="0" w:color="000000"/>
            </w:tcBorders>
            <w:shd w:val="clear" w:color="000000" w:fill="FFFFFF"/>
            <w:hideMark/>
          </w:tcPr>
          <w:p w14:paraId="52BABA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1DAA2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4F095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Libertad de comunicación con autoridades y funcionarios electorales con el propósito de obtener orientación e información sobre la normatividad, instituciones y procedimientos electorales. </w:t>
            </w:r>
          </w:p>
        </w:tc>
        <w:tc>
          <w:tcPr>
            <w:tcW w:w="3798" w:type="dxa"/>
            <w:tcBorders>
              <w:top w:val="nil"/>
              <w:left w:val="nil"/>
              <w:bottom w:val="nil"/>
              <w:right w:val="single" w:sz="4" w:space="0" w:color="000000"/>
            </w:tcBorders>
            <w:shd w:val="clear" w:color="000000" w:fill="FFFFFF"/>
            <w:hideMark/>
          </w:tcPr>
          <w:p w14:paraId="0CA14F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Libertad de comunicación con autoridades y funcionarios electorales con el propósito de obtener orientación e información sobre la normatividad, instituciones y procedimientos electorales.</w:t>
            </w:r>
          </w:p>
        </w:tc>
        <w:tc>
          <w:tcPr>
            <w:tcW w:w="3798" w:type="dxa"/>
            <w:tcBorders>
              <w:top w:val="nil"/>
              <w:left w:val="nil"/>
              <w:bottom w:val="nil"/>
              <w:right w:val="single" w:sz="4" w:space="0" w:color="000000"/>
            </w:tcBorders>
            <w:shd w:val="clear" w:color="000000" w:fill="FFFFFF"/>
            <w:hideMark/>
          </w:tcPr>
          <w:p w14:paraId="2363EC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Libertad de comunicación con autoridades y funcionarios electorales con el propósito de obtener orientación e información sobre la normatividad, instituciones y procedimientos electorales.</w:t>
            </w:r>
          </w:p>
        </w:tc>
        <w:tc>
          <w:tcPr>
            <w:tcW w:w="1480" w:type="dxa"/>
            <w:tcBorders>
              <w:top w:val="nil"/>
              <w:left w:val="nil"/>
              <w:bottom w:val="nil"/>
              <w:right w:val="single" w:sz="4" w:space="0" w:color="000000"/>
            </w:tcBorders>
            <w:shd w:val="clear" w:color="000000" w:fill="FFFFFF"/>
            <w:hideMark/>
          </w:tcPr>
          <w:p w14:paraId="4B7BF2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1102B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614E5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Acceder a la información de cada una de las etapas del proceso electoral que generen las instituciones en los términos fijados por la ley. </w:t>
            </w:r>
          </w:p>
        </w:tc>
        <w:tc>
          <w:tcPr>
            <w:tcW w:w="3798" w:type="dxa"/>
            <w:tcBorders>
              <w:top w:val="nil"/>
              <w:left w:val="nil"/>
              <w:bottom w:val="nil"/>
              <w:right w:val="single" w:sz="4" w:space="0" w:color="000000"/>
            </w:tcBorders>
            <w:shd w:val="clear" w:color="000000" w:fill="FFFFFF"/>
            <w:hideMark/>
          </w:tcPr>
          <w:p w14:paraId="0AB4F8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Acceder a la información de cada una de las etapas del proceso electoral que generen las instituciones en los términos fijados por la ley.</w:t>
            </w:r>
          </w:p>
        </w:tc>
        <w:tc>
          <w:tcPr>
            <w:tcW w:w="3798" w:type="dxa"/>
            <w:tcBorders>
              <w:top w:val="nil"/>
              <w:left w:val="nil"/>
              <w:bottom w:val="nil"/>
              <w:right w:val="single" w:sz="4" w:space="0" w:color="000000"/>
            </w:tcBorders>
            <w:shd w:val="clear" w:color="000000" w:fill="FFFFFF"/>
            <w:hideMark/>
          </w:tcPr>
          <w:p w14:paraId="5BAC40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Acceder a la información de cada una de las etapas del proceso electoral que generen las instituciones en los términos fijados por la ley.</w:t>
            </w:r>
          </w:p>
        </w:tc>
        <w:tc>
          <w:tcPr>
            <w:tcW w:w="1480" w:type="dxa"/>
            <w:tcBorders>
              <w:top w:val="nil"/>
              <w:left w:val="nil"/>
              <w:bottom w:val="nil"/>
              <w:right w:val="single" w:sz="4" w:space="0" w:color="000000"/>
            </w:tcBorders>
            <w:shd w:val="clear" w:color="000000" w:fill="FFFFFF"/>
            <w:hideMark/>
          </w:tcPr>
          <w:p w14:paraId="7A2A97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A48DF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AA192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Observar cada una de las etapas del proceso electoral, así como el desarrollo de la jornada electoral. </w:t>
            </w:r>
          </w:p>
        </w:tc>
        <w:tc>
          <w:tcPr>
            <w:tcW w:w="3798" w:type="dxa"/>
            <w:tcBorders>
              <w:top w:val="nil"/>
              <w:left w:val="nil"/>
              <w:bottom w:val="nil"/>
              <w:right w:val="single" w:sz="4" w:space="0" w:color="000000"/>
            </w:tcBorders>
            <w:shd w:val="clear" w:color="000000" w:fill="FFFFFF"/>
            <w:hideMark/>
          </w:tcPr>
          <w:p w14:paraId="037759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Observar cada una de las etapas del proceso electoral, así como el desarrollo de la jornada electoral.</w:t>
            </w:r>
          </w:p>
        </w:tc>
        <w:tc>
          <w:tcPr>
            <w:tcW w:w="3798" w:type="dxa"/>
            <w:tcBorders>
              <w:top w:val="nil"/>
              <w:left w:val="nil"/>
              <w:bottom w:val="nil"/>
              <w:right w:val="single" w:sz="4" w:space="0" w:color="000000"/>
            </w:tcBorders>
            <w:shd w:val="clear" w:color="000000" w:fill="FFFFFF"/>
            <w:hideMark/>
          </w:tcPr>
          <w:p w14:paraId="14AA1F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Observar cada una de las etapas del proceso electoral, así como el desarrollo de la jornada electoral.</w:t>
            </w:r>
          </w:p>
        </w:tc>
        <w:tc>
          <w:tcPr>
            <w:tcW w:w="1480" w:type="dxa"/>
            <w:tcBorders>
              <w:top w:val="nil"/>
              <w:left w:val="nil"/>
              <w:bottom w:val="nil"/>
              <w:right w:val="single" w:sz="4" w:space="0" w:color="000000"/>
            </w:tcBorders>
            <w:shd w:val="clear" w:color="000000" w:fill="FFFFFF"/>
            <w:hideMark/>
          </w:tcPr>
          <w:p w14:paraId="5D9163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06A2D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CE6CE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Observar la conducta de las autoridades electorales y el cumplimiento de sus obligaciones. </w:t>
            </w:r>
          </w:p>
        </w:tc>
        <w:tc>
          <w:tcPr>
            <w:tcW w:w="3798" w:type="dxa"/>
            <w:tcBorders>
              <w:top w:val="nil"/>
              <w:left w:val="nil"/>
              <w:bottom w:val="nil"/>
              <w:right w:val="single" w:sz="4" w:space="0" w:color="000000"/>
            </w:tcBorders>
            <w:shd w:val="clear" w:color="000000" w:fill="FFFFFF"/>
            <w:hideMark/>
          </w:tcPr>
          <w:p w14:paraId="5D83CD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Observar la conducta de las autoridades electorales y el cumplimiento de sus obligaciones.</w:t>
            </w:r>
          </w:p>
        </w:tc>
        <w:tc>
          <w:tcPr>
            <w:tcW w:w="3798" w:type="dxa"/>
            <w:tcBorders>
              <w:top w:val="nil"/>
              <w:left w:val="nil"/>
              <w:bottom w:val="nil"/>
              <w:right w:val="single" w:sz="4" w:space="0" w:color="000000"/>
            </w:tcBorders>
            <w:shd w:val="clear" w:color="000000" w:fill="FFFFFF"/>
            <w:hideMark/>
          </w:tcPr>
          <w:p w14:paraId="246FE7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Observar la conducta de las autoridades electorales y el cumplimiento de sus obligaciones.</w:t>
            </w:r>
          </w:p>
        </w:tc>
        <w:tc>
          <w:tcPr>
            <w:tcW w:w="1480" w:type="dxa"/>
            <w:tcBorders>
              <w:top w:val="nil"/>
              <w:left w:val="nil"/>
              <w:bottom w:val="nil"/>
              <w:right w:val="single" w:sz="4" w:space="0" w:color="000000"/>
            </w:tcBorders>
            <w:shd w:val="clear" w:color="000000" w:fill="FFFFFF"/>
            <w:hideMark/>
          </w:tcPr>
          <w:p w14:paraId="73FE68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49EE5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3A0DD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Participar en los espacios e instancias institucionales relacionados o con incidencia en el desarrollo del proceso electoral. </w:t>
            </w:r>
          </w:p>
        </w:tc>
        <w:tc>
          <w:tcPr>
            <w:tcW w:w="3798" w:type="dxa"/>
            <w:tcBorders>
              <w:top w:val="nil"/>
              <w:left w:val="nil"/>
              <w:bottom w:val="nil"/>
              <w:right w:val="single" w:sz="4" w:space="0" w:color="000000"/>
            </w:tcBorders>
            <w:shd w:val="clear" w:color="000000" w:fill="FFFFFF"/>
            <w:hideMark/>
          </w:tcPr>
          <w:p w14:paraId="5D6247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Participar en los espacios e instancias institucionales relacionados o con incidencia en el desarrollo del proceso electoral.</w:t>
            </w:r>
          </w:p>
        </w:tc>
        <w:tc>
          <w:tcPr>
            <w:tcW w:w="3798" w:type="dxa"/>
            <w:tcBorders>
              <w:top w:val="nil"/>
              <w:left w:val="nil"/>
              <w:bottom w:val="nil"/>
              <w:right w:val="single" w:sz="4" w:space="0" w:color="000000"/>
            </w:tcBorders>
            <w:shd w:val="clear" w:color="000000" w:fill="FFFFFF"/>
            <w:hideMark/>
          </w:tcPr>
          <w:p w14:paraId="1E5229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Participar en los espacios e instancias institucionales relacionados o con incidencia en el desarrollo del proceso electoral.</w:t>
            </w:r>
          </w:p>
        </w:tc>
        <w:tc>
          <w:tcPr>
            <w:tcW w:w="1480" w:type="dxa"/>
            <w:tcBorders>
              <w:top w:val="nil"/>
              <w:left w:val="nil"/>
              <w:bottom w:val="nil"/>
              <w:right w:val="single" w:sz="4" w:space="0" w:color="000000"/>
            </w:tcBorders>
            <w:shd w:val="clear" w:color="000000" w:fill="FFFFFF"/>
            <w:hideMark/>
          </w:tcPr>
          <w:p w14:paraId="510A04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2EC5F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74A53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Presentar y hacer públicos los informes temáticos y/o de observación electoral y las recomendaciones a las distintas autoridades.  </w:t>
            </w:r>
          </w:p>
        </w:tc>
        <w:tc>
          <w:tcPr>
            <w:tcW w:w="3798" w:type="dxa"/>
            <w:tcBorders>
              <w:top w:val="nil"/>
              <w:left w:val="nil"/>
              <w:bottom w:val="nil"/>
              <w:right w:val="single" w:sz="4" w:space="0" w:color="000000"/>
            </w:tcBorders>
            <w:shd w:val="clear" w:color="000000" w:fill="FFFFFF"/>
            <w:hideMark/>
          </w:tcPr>
          <w:p w14:paraId="197FCB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7.Presentar y hacer públicos los informes temáticos y/o de observación electoral y las recomendaciones a las distintas autoridades.</w:t>
            </w:r>
          </w:p>
        </w:tc>
        <w:tc>
          <w:tcPr>
            <w:tcW w:w="3798" w:type="dxa"/>
            <w:tcBorders>
              <w:top w:val="nil"/>
              <w:left w:val="nil"/>
              <w:bottom w:val="nil"/>
              <w:right w:val="single" w:sz="4" w:space="0" w:color="000000"/>
            </w:tcBorders>
            <w:shd w:val="clear" w:color="000000" w:fill="FFFFFF"/>
            <w:hideMark/>
          </w:tcPr>
          <w:p w14:paraId="56BD4F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7.Presentar y hacer públicos los informes temáticos y/o de observación electoral y las recomendaciones a las distintas autoridades.</w:t>
            </w:r>
          </w:p>
        </w:tc>
        <w:tc>
          <w:tcPr>
            <w:tcW w:w="1480" w:type="dxa"/>
            <w:tcBorders>
              <w:top w:val="nil"/>
              <w:left w:val="nil"/>
              <w:bottom w:val="nil"/>
              <w:right w:val="single" w:sz="4" w:space="0" w:color="000000"/>
            </w:tcBorders>
            <w:shd w:val="clear" w:color="000000" w:fill="FFFFFF"/>
            <w:hideMark/>
          </w:tcPr>
          <w:p w14:paraId="37B210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D80E2A" w14:textId="77777777" w:rsidTr="00222F34">
        <w:trPr>
          <w:trHeight w:val="1200"/>
        </w:trPr>
        <w:tc>
          <w:tcPr>
            <w:tcW w:w="3798" w:type="dxa"/>
            <w:tcBorders>
              <w:top w:val="nil"/>
              <w:left w:val="single" w:sz="4" w:space="0" w:color="000000"/>
              <w:bottom w:val="nil"/>
              <w:right w:val="single" w:sz="4" w:space="0" w:color="000000"/>
            </w:tcBorders>
            <w:shd w:val="clear" w:color="FFC000" w:fill="FFFFFF"/>
            <w:hideMark/>
          </w:tcPr>
          <w:p w14:paraId="2E6CEC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23C7E8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Participar en su calidad de observador de los procesos de auditoria al software utilizado para la escogencia de jurados de votación, el software de preconteo, el software de escrutinio, el software de consolidación de escrutinios y todos los softwares que llegase a usarse en el desarrollo del proceso electoral.</w:t>
            </w:r>
          </w:p>
        </w:tc>
        <w:tc>
          <w:tcPr>
            <w:tcW w:w="3798" w:type="dxa"/>
            <w:tcBorders>
              <w:top w:val="nil"/>
              <w:left w:val="nil"/>
              <w:bottom w:val="nil"/>
              <w:right w:val="single" w:sz="4" w:space="0" w:color="000000"/>
            </w:tcBorders>
            <w:shd w:val="clear" w:color="000000" w:fill="FFFFFF"/>
            <w:hideMark/>
          </w:tcPr>
          <w:p w14:paraId="473226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Participar en su calidad de observador de los procesos de auditoria al software utilizado para la escogencia de jurados de votación, el software de preconteo, el software de escrutinio, el software de consolidación de escrutinios y todos los softwares que llegase a usarse en el desarrollo del proceso electoral.</w:t>
            </w:r>
          </w:p>
        </w:tc>
        <w:tc>
          <w:tcPr>
            <w:tcW w:w="1480" w:type="dxa"/>
            <w:tcBorders>
              <w:top w:val="nil"/>
              <w:left w:val="nil"/>
              <w:bottom w:val="nil"/>
              <w:right w:val="single" w:sz="4" w:space="0" w:color="000000"/>
            </w:tcBorders>
            <w:shd w:val="clear" w:color="000000" w:fill="FFFFFF"/>
            <w:hideMark/>
          </w:tcPr>
          <w:p w14:paraId="6A0625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C2670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3A423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Los demás necesarios para el ejercicio de la observación electoral. </w:t>
            </w:r>
          </w:p>
        </w:tc>
        <w:tc>
          <w:tcPr>
            <w:tcW w:w="3798" w:type="dxa"/>
            <w:tcBorders>
              <w:top w:val="nil"/>
              <w:left w:val="nil"/>
              <w:bottom w:val="nil"/>
              <w:right w:val="single" w:sz="4" w:space="0" w:color="000000"/>
            </w:tcBorders>
            <w:shd w:val="clear" w:color="000000" w:fill="FFFFFF"/>
            <w:hideMark/>
          </w:tcPr>
          <w:p w14:paraId="2AE429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Los demás necesarios para el ejercicio de la observación electoral. </w:t>
            </w:r>
          </w:p>
        </w:tc>
        <w:tc>
          <w:tcPr>
            <w:tcW w:w="3798" w:type="dxa"/>
            <w:tcBorders>
              <w:top w:val="nil"/>
              <w:left w:val="nil"/>
              <w:bottom w:val="nil"/>
              <w:right w:val="single" w:sz="4" w:space="0" w:color="000000"/>
            </w:tcBorders>
            <w:shd w:val="clear" w:color="000000" w:fill="FFFFFF"/>
            <w:hideMark/>
          </w:tcPr>
          <w:p w14:paraId="0E0B0B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Los demás necesarios para el ejercicio de la observación electoral. </w:t>
            </w:r>
          </w:p>
        </w:tc>
        <w:tc>
          <w:tcPr>
            <w:tcW w:w="1480" w:type="dxa"/>
            <w:tcBorders>
              <w:top w:val="nil"/>
              <w:left w:val="nil"/>
              <w:bottom w:val="nil"/>
              <w:right w:val="single" w:sz="4" w:space="0" w:color="000000"/>
            </w:tcBorders>
            <w:shd w:val="clear" w:color="000000" w:fill="FFFFFF"/>
            <w:hideMark/>
          </w:tcPr>
          <w:p w14:paraId="58C4AA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3796FD3" w14:textId="77777777" w:rsidTr="00222F34">
        <w:trPr>
          <w:trHeight w:val="300"/>
        </w:trPr>
        <w:tc>
          <w:tcPr>
            <w:tcW w:w="3798" w:type="dxa"/>
            <w:tcBorders>
              <w:top w:val="single" w:sz="4" w:space="0" w:color="000000"/>
              <w:left w:val="single" w:sz="4" w:space="0" w:color="000000"/>
              <w:bottom w:val="nil"/>
              <w:right w:val="single" w:sz="4" w:space="0" w:color="000000"/>
            </w:tcBorders>
            <w:shd w:val="clear" w:color="000000" w:fill="FFFFFF"/>
            <w:hideMark/>
          </w:tcPr>
          <w:p w14:paraId="3BF7651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146.- Prohibiciones.</w:t>
            </w:r>
            <w:r w:rsidRPr="00222F34">
              <w:rPr>
                <w:rFonts w:ascii="Calibri" w:eastAsia="Times New Roman" w:hAnsi="Calibri" w:cs="Calibri"/>
                <w:color w:val="000000"/>
                <w:lang w:val="es-CO" w:eastAsia="es-CO" w:bidi="ar-SA"/>
              </w:rPr>
              <w:t xml:space="preserve"> Los observadores electorales tendrán prohibido:</w:t>
            </w:r>
          </w:p>
        </w:tc>
        <w:tc>
          <w:tcPr>
            <w:tcW w:w="3798" w:type="dxa"/>
            <w:tcBorders>
              <w:top w:val="single" w:sz="4" w:space="0" w:color="000000"/>
              <w:left w:val="nil"/>
              <w:bottom w:val="nil"/>
              <w:right w:val="single" w:sz="4" w:space="0" w:color="000000"/>
            </w:tcBorders>
            <w:shd w:val="clear" w:color="000000" w:fill="FFFFFF"/>
            <w:hideMark/>
          </w:tcPr>
          <w:p w14:paraId="1CEDEC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150.- Prohibiciones</w:t>
            </w:r>
            <w:r w:rsidRPr="00222F34">
              <w:rPr>
                <w:rFonts w:ascii="Calibri" w:eastAsia="Times New Roman" w:hAnsi="Calibri" w:cs="Calibri"/>
                <w:color w:val="000000"/>
                <w:lang w:val="es-CO" w:eastAsia="es-CO" w:bidi="ar-SA"/>
              </w:rPr>
              <w:t>. Los observadores electorales tendrán prohibido:</w:t>
            </w:r>
          </w:p>
        </w:tc>
        <w:tc>
          <w:tcPr>
            <w:tcW w:w="3798" w:type="dxa"/>
            <w:tcBorders>
              <w:top w:val="single" w:sz="4" w:space="0" w:color="000000"/>
              <w:left w:val="nil"/>
              <w:bottom w:val="nil"/>
              <w:right w:val="single" w:sz="4" w:space="0" w:color="000000"/>
            </w:tcBorders>
            <w:shd w:val="clear" w:color="000000" w:fill="FFFFFF"/>
            <w:hideMark/>
          </w:tcPr>
          <w:p w14:paraId="6E8D96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150.- Prohibiciones</w:t>
            </w:r>
            <w:r w:rsidRPr="00222F34">
              <w:rPr>
                <w:rFonts w:ascii="Calibri" w:eastAsia="Times New Roman" w:hAnsi="Calibri" w:cs="Calibri"/>
                <w:color w:val="000000"/>
                <w:lang w:val="es-CO" w:eastAsia="es-CO" w:bidi="ar-SA"/>
              </w:rPr>
              <w:t>. Los observadores electorales tendrán prohibido:</w:t>
            </w:r>
          </w:p>
        </w:tc>
        <w:tc>
          <w:tcPr>
            <w:tcW w:w="1480" w:type="dxa"/>
            <w:tcBorders>
              <w:top w:val="nil"/>
              <w:left w:val="nil"/>
              <w:bottom w:val="nil"/>
              <w:right w:val="single" w:sz="4" w:space="0" w:color="000000"/>
            </w:tcBorders>
            <w:shd w:val="clear" w:color="000000" w:fill="FFFFFF"/>
            <w:hideMark/>
          </w:tcPr>
          <w:p w14:paraId="48C2C7D7" w14:textId="5E86687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4EB735D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4C3E1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Ejercer atribuciones que legal y constitucionalmente le competen a la Organización Electoral. </w:t>
            </w:r>
          </w:p>
        </w:tc>
        <w:tc>
          <w:tcPr>
            <w:tcW w:w="3798" w:type="dxa"/>
            <w:tcBorders>
              <w:top w:val="nil"/>
              <w:left w:val="nil"/>
              <w:bottom w:val="nil"/>
              <w:right w:val="single" w:sz="4" w:space="0" w:color="000000"/>
            </w:tcBorders>
            <w:shd w:val="clear" w:color="000000" w:fill="FFFFFF"/>
            <w:hideMark/>
          </w:tcPr>
          <w:p w14:paraId="399B6D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Ejercer atribuciones que legal y constitucionalmente le competen a la Organización Electoral.</w:t>
            </w:r>
          </w:p>
        </w:tc>
        <w:tc>
          <w:tcPr>
            <w:tcW w:w="3798" w:type="dxa"/>
            <w:tcBorders>
              <w:top w:val="nil"/>
              <w:left w:val="nil"/>
              <w:bottom w:val="nil"/>
              <w:right w:val="single" w:sz="4" w:space="0" w:color="000000"/>
            </w:tcBorders>
            <w:shd w:val="clear" w:color="000000" w:fill="FFFFFF"/>
            <w:hideMark/>
          </w:tcPr>
          <w:p w14:paraId="1AC3CF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Ejercer atribuciones que legal y constitucionalmente le competen a la Organización Electoral.</w:t>
            </w:r>
          </w:p>
        </w:tc>
        <w:tc>
          <w:tcPr>
            <w:tcW w:w="1480" w:type="dxa"/>
            <w:tcBorders>
              <w:top w:val="nil"/>
              <w:left w:val="nil"/>
              <w:bottom w:val="nil"/>
              <w:right w:val="single" w:sz="4" w:space="0" w:color="000000"/>
            </w:tcBorders>
            <w:shd w:val="clear" w:color="000000" w:fill="FFFFFF"/>
            <w:hideMark/>
          </w:tcPr>
          <w:p w14:paraId="64EF63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9C691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59A91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Reemplazar u obstaculizar a las autoridades públicas en el ejercicio de sus funciones. </w:t>
            </w:r>
          </w:p>
        </w:tc>
        <w:tc>
          <w:tcPr>
            <w:tcW w:w="3798" w:type="dxa"/>
            <w:tcBorders>
              <w:top w:val="nil"/>
              <w:left w:val="nil"/>
              <w:bottom w:val="nil"/>
              <w:right w:val="single" w:sz="4" w:space="0" w:color="000000"/>
            </w:tcBorders>
            <w:shd w:val="clear" w:color="000000" w:fill="FFFFFF"/>
            <w:hideMark/>
          </w:tcPr>
          <w:p w14:paraId="75CE39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Reemplazar u obstaculizar a las autoridades públicas en el ejercicio de sus funciones.</w:t>
            </w:r>
          </w:p>
        </w:tc>
        <w:tc>
          <w:tcPr>
            <w:tcW w:w="3798" w:type="dxa"/>
            <w:tcBorders>
              <w:top w:val="nil"/>
              <w:left w:val="nil"/>
              <w:bottom w:val="nil"/>
              <w:right w:val="single" w:sz="4" w:space="0" w:color="000000"/>
            </w:tcBorders>
            <w:shd w:val="clear" w:color="000000" w:fill="FFFFFF"/>
            <w:hideMark/>
          </w:tcPr>
          <w:p w14:paraId="03881D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Reemplazar u obstaculizar a las autoridades públicas en el ejercicio de sus funciones.</w:t>
            </w:r>
          </w:p>
        </w:tc>
        <w:tc>
          <w:tcPr>
            <w:tcW w:w="1480" w:type="dxa"/>
            <w:tcBorders>
              <w:top w:val="nil"/>
              <w:left w:val="nil"/>
              <w:bottom w:val="nil"/>
              <w:right w:val="single" w:sz="4" w:space="0" w:color="000000"/>
            </w:tcBorders>
            <w:shd w:val="clear" w:color="000000" w:fill="FFFFFF"/>
            <w:hideMark/>
          </w:tcPr>
          <w:p w14:paraId="17F308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F15A6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87927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Interferir con el normal desarrollo de los procesos electorales y de las actividades que se llevan a cabo. </w:t>
            </w:r>
          </w:p>
        </w:tc>
        <w:tc>
          <w:tcPr>
            <w:tcW w:w="3798" w:type="dxa"/>
            <w:tcBorders>
              <w:top w:val="nil"/>
              <w:left w:val="nil"/>
              <w:bottom w:val="nil"/>
              <w:right w:val="single" w:sz="4" w:space="0" w:color="000000"/>
            </w:tcBorders>
            <w:shd w:val="clear" w:color="000000" w:fill="FFFFFF"/>
            <w:hideMark/>
          </w:tcPr>
          <w:p w14:paraId="6ADEA2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Interferir con el normal desarrollo de los procesos electorales y de las actividades que se llevan a cabo.</w:t>
            </w:r>
          </w:p>
        </w:tc>
        <w:tc>
          <w:tcPr>
            <w:tcW w:w="3798" w:type="dxa"/>
            <w:tcBorders>
              <w:top w:val="nil"/>
              <w:left w:val="nil"/>
              <w:bottom w:val="nil"/>
              <w:right w:val="single" w:sz="4" w:space="0" w:color="000000"/>
            </w:tcBorders>
            <w:shd w:val="clear" w:color="000000" w:fill="FFFFFF"/>
            <w:hideMark/>
          </w:tcPr>
          <w:p w14:paraId="7A19A5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Interferir con el normal desarrollo de los procesos electorales y de las actividades que se llevan a cabo.</w:t>
            </w:r>
          </w:p>
        </w:tc>
        <w:tc>
          <w:tcPr>
            <w:tcW w:w="1480" w:type="dxa"/>
            <w:tcBorders>
              <w:top w:val="nil"/>
              <w:left w:val="nil"/>
              <w:bottom w:val="nil"/>
              <w:right w:val="single" w:sz="4" w:space="0" w:color="000000"/>
            </w:tcBorders>
            <w:shd w:val="clear" w:color="000000" w:fill="FFFFFF"/>
            <w:hideMark/>
          </w:tcPr>
          <w:p w14:paraId="44F52D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4EB9F7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22552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Hacer campaña electoral a favor o en contra de candidatos, partidos, movimientos políticos, grupos significativos de ciudadanos, coaliciones, </w:t>
            </w:r>
            <w:r w:rsidRPr="00222F34">
              <w:rPr>
                <w:rFonts w:ascii="Calibri" w:eastAsia="Times New Roman" w:hAnsi="Calibri" w:cs="Calibri"/>
                <w:color w:val="000000"/>
                <w:lang w:val="es-CO" w:eastAsia="es-CO" w:bidi="ar-SA"/>
              </w:rPr>
              <w:lastRenderedPageBreak/>
              <w:t xml:space="preserve">promotores del voto en blanco o de la abstención activa. </w:t>
            </w:r>
          </w:p>
        </w:tc>
        <w:tc>
          <w:tcPr>
            <w:tcW w:w="3798" w:type="dxa"/>
            <w:tcBorders>
              <w:top w:val="nil"/>
              <w:left w:val="nil"/>
              <w:bottom w:val="nil"/>
              <w:right w:val="single" w:sz="4" w:space="0" w:color="000000"/>
            </w:tcBorders>
            <w:shd w:val="clear" w:color="000000" w:fill="FFFFFF"/>
            <w:hideMark/>
          </w:tcPr>
          <w:p w14:paraId="0CE9E7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4.Hacer campaña electoral a favor o en contra de candidatos, partidos, movimientos políticos, grupos significativos de ciudadanos, coaliciones, </w:t>
            </w:r>
            <w:r w:rsidRPr="00222F34">
              <w:rPr>
                <w:rFonts w:ascii="Calibri" w:eastAsia="Times New Roman" w:hAnsi="Calibri" w:cs="Calibri"/>
                <w:color w:val="000000"/>
                <w:lang w:val="es-CO" w:eastAsia="es-CO" w:bidi="ar-SA"/>
              </w:rPr>
              <w:lastRenderedPageBreak/>
              <w:t>promotores del voto en blanco o de la abstención activa.</w:t>
            </w:r>
          </w:p>
        </w:tc>
        <w:tc>
          <w:tcPr>
            <w:tcW w:w="3798" w:type="dxa"/>
            <w:tcBorders>
              <w:top w:val="nil"/>
              <w:left w:val="nil"/>
              <w:bottom w:val="nil"/>
              <w:right w:val="single" w:sz="4" w:space="0" w:color="000000"/>
            </w:tcBorders>
            <w:shd w:val="clear" w:color="000000" w:fill="FFFFFF"/>
            <w:hideMark/>
          </w:tcPr>
          <w:p w14:paraId="04591D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4.Hacer campaña electoral a favor o en contra de candidatos, partidos, movimientos políticos, grupos significativos de ciudadanos, coaliciones, </w:t>
            </w:r>
            <w:r w:rsidRPr="00222F34">
              <w:rPr>
                <w:rFonts w:ascii="Calibri" w:eastAsia="Times New Roman" w:hAnsi="Calibri" w:cs="Calibri"/>
                <w:color w:val="000000"/>
                <w:lang w:val="es-CO" w:eastAsia="es-CO" w:bidi="ar-SA"/>
              </w:rPr>
              <w:lastRenderedPageBreak/>
              <w:t>promotores del voto en blanco o de la abstención activa.</w:t>
            </w:r>
          </w:p>
        </w:tc>
        <w:tc>
          <w:tcPr>
            <w:tcW w:w="1480" w:type="dxa"/>
            <w:tcBorders>
              <w:top w:val="nil"/>
              <w:left w:val="nil"/>
              <w:bottom w:val="nil"/>
              <w:right w:val="single" w:sz="4" w:space="0" w:color="000000"/>
            </w:tcBorders>
            <w:shd w:val="clear" w:color="000000" w:fill="FFFFFF"/>
            <w:hideMark/>
          </w:tcPr>
          <w:p w14:paraId="69C8BC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57C476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E50C6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Portar indumentarias o distintivos que los identifiquen con alguna agrupación política, candidato u opción electoral. </w:t>
            </w:r>
          </w:p>
        </w:tc>
        <w:tc>
          <w:tcPr>
            <w:tcW w:w="3798" w:type="dxa"/>
            <w:tcBorders>
              <w:top w:val="nil"/>
              <w:left w:val="nil"/>
              <w:bottom w:val="nil"/>
              <w:right w:val="single" w:sz="4" w:space="0" w:color="000000"/>
            </w:tcBorders>
            <w:shd w:val="clear" w:color="000000" w:fill="FFFFFF"/>
            <w:hideMark/>
          </w:tcPr>
          <w:p w14:paraId="2BD596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Portar indumentarias o distintivos que los identifiquen con alguna agrupación política, candidato u opción electoral.</w:t>
            </w:r>
          </w:p>
        </w:tc>
        <w:tc>
          <w:tcPr>
            <w:tcW w:w="3798" w:type="dxa"/>
            <w:tcBorders>
              <w:top w:val="nil"/>
              <w:left w:val="nil"/>
              <w:bottom w:val="nil"/>
              <w:right w:val="single" w:sz="4" w:space="0" w:color="000000"/>
            </w:tcBorders>
            <w:shd w:val="clear" w:color="000000" w:fill="FFFFFF"/>
            <w:hideMark/>
          </w:tcPr>
          <w:p w14:paraId="3C0059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Portar indumentarias o distintivos que los identifiquen con alguna agrupación política, candidato u opción electoral.</w:t>
            </w:r>
          </w:p>
        </w:tc>
        <w:tc>
          <w:tcPr>
            <w:tcW w:w="1480" w:type="dxa"/>
            <w:tcBorders>
              <w:top w:val="nil"/>
              <w:left w:val="nil"/>
              <w:bottom w:val="nil"/>
              <w:right w:val="single" w:sz="4" w:space="0" w:color="000000"/>
            </w:tcBorders>
            <w:shd w:val="clear" w:color="000000" w:fill="FFFFFF"/>
            <w:hideMark/>
          </w:tcPr>
          <w:p w14:paraId="748034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0D873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BCD62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Expresar cualquier tipo de ofensa, difamación o calumnia en contra de las instituciones, autoridades electorales, partido, movimiento político, grupo significativo de ciudadanos, coalición, comité promotor o candidato. </w:t>
            </w:r>
          </w:p>
        </w:tc>
        <w:tc>
          <w:tcPr>
            <w:tcW w:w="3798" w:type="dxa"/>
            <w:tcBorders>
              <w:top w:val="nil"/>
              <w:left w:val="nil"/>
              <w:bottom w:val="nil"/>
              <w:right w:val="single" w:sz="4" w:space="0" w:color="000000"/>
            </w:tcBorders>
            <w:shd w:val="clear" w:color="000000" w:fill="FFFFFF"/>
            <w:hideMark/>
          </w:tcPr>
          <w:p w14:paraId="514BF8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Expresar cualquier tipo de ofensa, difamación o calumnia en contra de las instituciones, autoridades electorales, partido, movimiento político, grupo significativo de ciudadanos, coalición, comité promotor o candidato.</w:t>
            </w:r>
          </w:p>
        </w:tc>
        <w:tc>
          <w:tcPr>
            <w:tcW w:w="3798" w:type="dxa"/>
            <w:tcBorders>
              <w:top w:val="nil"/>
              <w:left w:val="nil"/>
              <w:bottom w:val="nil"/>
              <w:right w:val="single" w:sz="4" w:space="0" w:color="000000"/>
            </w:tcBorders>
            <w:shd w:val="clear" w:color="000000" w:fill="FFFFFF"/>
            <w:hideMark/>
          </w:tcPr>
          <w:p w14:paraId="6A8FB2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Expresar cualquier tipo de ofensa, difamación o calumnia en contra de las instituciones, autoridades electorales, partido, movimiento político, grupo significativo de ciudadanos, coalición, comité promotor o candidato.</w:t>
            </w:r>
          </w:p>
        </w:tc>
        <w:tc>
          <w:tcPr>
            <w:tcW w:w="1480" w:type="dxa"/>
            <w:tcBorders>
              <w:top w:val="nil"/>
              <w:left w:val="nil"/>
              <w:bottom w:val="nil"/>
              <w:right w:val="single" w:sz="4" w:space="0" w:color="000000"/>
            </w:tcBorders>
            <w:shd w:val="clear" w:color="000000" w:fill="FFFFFF"/>
            <w:hideMark/>
          </w:tcPr>
          <w:p w14:paraId="25C783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D0902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C0A2E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Actuar como guía electoral o realizar orientaciones a los votantes. </w:t>
            </w:r>
          </w:p>
        </w:tc>
        <w:tc>
          <w:tcPr>
            <w:tcW w:w="3798" w:type="dxa"/>
            <w:tcBorders>
              <w:top w:val="nil"/>
              <w:left w:val="nil"/>
              <w:bottom w:val="nil"/>
              <w:right w:val="single" w:sz="4" w:space="0" w:color="000000"/>
            </w:tcBorders>
            <w:shd w:val="clear" w:color="000000" w:fill="FFFFFF"/>
            <w:hideMark/>
          </w:tcPr>
          <w:p w14:paraId="7D9416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Actuar como guía electoral o realizar orientaciones a los votantes.</w:t>
            </w:r>
          </w:p>
        </w:tc>
        <w:tc>
          <w:tcPr>
            <w:tcW w:w="3798" w:type="dxa"/>
            <w:tcBorders>
              <w:top w:val="nil"/>
              <w:left w:val="nil"/>
              <w:bottom w:val="nil"/>
              <w:right w:val="single" w:sz="4" w:space="0" w:color="000000"/>
            </w:tcBorders>
            <w:shd w:val="clear" w:color="000000" w:fill="FFFFFF"/>
            <w:hideMark/>
          </w:tcPr>
          <w:p w14:paraId="353DD3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Actuar como guía electoral o realizar orientaciones a los votantes.</w:t>
            </w:r>
          </w:p>
        </w:tc>
        <w:tc>
          <w:tcPr>
            <w:tcW w:w="1480" w:type="dxa"/>
            <w:tcBorders>
              <w:top w:val="nil"/>
              <w:left w:val="nil"/>
              <w:bottom w:val="nil"/>
              <w:right w:val="single" w:sz="4" w:space="0" w:color="000000"/>
            </w:tcBorders>
            <w:shd w:val="clear" w:color="000000" w:fill="FFFFFF"/>
            <w:hideMark/>
          </w:tcPr>
          <w:p w14:paraId="1FF096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2A828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B383D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Formular reclamaciones electorales en el desarrollo de los escrutinios. </w:t>
            </w:r>
          </w:p>
        </w:tc>
        <w:tc>
          <w:tcPr>
            <w:tcW w:w="3798" w:type="dxa"/>
            <w:tcBorders>
              <w:top w:val="nil"/>
              <w:left w:val="nil"/>
              <w:bottom w:val="nil"/>
              <w:right w:val="single" w:sz="4" w:space="0" w:color="000000"/>
            </w:tcBorders>
            <w:shd w:val="clear" w:color="000000" w:fill="FFFFFF"/>
            <w:hideMark/>
          </w:tcPr>
          <w:p w14:paraId="778EF8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Formular reclamaciones electorales en el desarrollo de los escrutinios.</w:t>
            </w:r>
          </w:p>
        </w:tc>
        <w:tc>
          <w:tcPr>
            <w:tcW w:w="3798" w:type="dxa"/>
            <w:tcBorders>
              <w:top w:val="nil"/>
              <w:left w:val="nil"/>
              <w:bottom w:val="nil"/>
              <w:right w:val="single" w:sz="4" w:space="0" w:color="000000"/>
            </w:tcBorders>
            <w:shd w:val="clear" w:color="000000" w:fill="FFFFFF"/>
            <w:hideMark/>
          </w:tcPr>
          <w:p w14:paraId="42E13A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Formular reclamaciones electorales en el desarrollo de los escrutinios.</w:t>
            </w:r>
          </w:p>
        </w:tc>
        <w:tc>
          <w:tcPr>
            <w:tcW w:w="1480" w:type="dxa"/>
            <w:tcBorders>
              <w:top w:val="nil"/>
              <w:left w:val="nil"/>
              <w:bottom w:val="nil"/>
              <w:right w:val="single" w:sz="4" w:space="0" w:color="000000"/>
            </w:tcBorders>
            <w:shd w:val="clear" w:color="000000" w:fill="FFFFFF"/>
            <w:hideMark/>
          </w:tcPr>
          <w:p w14:paraId="558BF4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9EA971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ADE60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Actuar como testigos electorales. </w:t>
            </w:r>
          </w:p>
        </w:tc>
        <w:tc>
          <w:tcPr>
            <w:tcW w:w="3798" w:type="dxa"/>
            <w:tcBorders>
              <w:top w:val="nil"/>
              <w:left w:val="nil"/>
              <w:bottom w:val="nil"/>
              <w:right w:val="single" w:sz="4" w:space="0" w:color="000000"/>
            </w:tcBorders>
            <w:shd w:val="clear" w:color="000000" w:fill="FFFFFF"/>
            <w:hideMark/>
          </w:tcPr>
          <w:p w14:paraId="403127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Actuar como testigos electorales.</w:t>
            </w:r>
          </w:p>
        </w:tc>
        <w:tc>
          <w:tcPr>
            <w:tcW w:w="3798" w:type="dxa"/>
            <w:tcBorders>
              <w:top w:val="nil"/>
              <w:left w:val="nil"/>
              <w:bottom w:val="nil"/>
              <w:right w:val="single" w:sz="4" w:space="0" w:color="000000"/>
            </w:tcBorders>
            <w:shd w:val="clear" w:color="000000" w:fill="FFFFFF"/>
            <w:hideMark/>
          </w:tcPr>
          <w:p w14:paraId="38B4A8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Actuar como testigos electorales.</w:t>
            </w:r>
          </w:p>
        </w:tc>
        <w:tc>
          <w:tcPr>
            <w:tcW w:w="1480" w:type="dxa"/>
            <w:tcBorders>
              <w:top w:val="nil"/>
              <w:left w:val="nil"/>
              <w:bottom w:val="nil"/>
              <w:right w:val="single" w:sz="4" w:space="0" w:color="000000"/>
            </w:tcBorders>
            <w:shd w:val="clear" w:color="000000" w:fill="FFFFFF"/>
            <w:hideMark/>
          </w:tcPr>
          <w:p w14:paraId="05A730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14554D"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37B44F8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inobservancia de las anteriores disposiciones dará lugar, según la gravedad de la conducta cometida, a la cancelación de la acreditación del observador electoral.</w:t>
            </w:r>
          </w:p>
        </w:tc>
        <w:tc>
          <w:tcPr>
            <w:tcW w:w="3798" w:type="dxa"/>
            <w:tcBorders>
              <w:top w:val="nil"/>
              <w:left w:val="nil"/>
              <w:bottom w:val="single" w:sz="4" w:space="0" w:color="000000"/>
              <w:right w:val="single" w:sz="4" w:space="0" w:color="000000"/>
            </w:tcBorders>
            <w:shd w:val="clear" w:color="000000" w:fill="FFFFFF"/>
            <w:hideMark/>
          </w:tcPr>
          <w:p w14:paraId="1B5C1B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inobservancia de las anteriores disposiciones dará lugar, según la gravedad de la conducta cometida, a la cancelación de la acreditación del observador electoral o a la inhabilitación para hacer observancia electoral en los procesos electorales subsiguientes que determine el Consejo Nacional Electoral, con garantías del debido proceso.</w:t>
            </w:r>
          </w:p>
        </w:tc>
        <w:tc>
          <w:tcPr>
            <w:tcW w:w="3798" w:type="dxa"/>
            <w:tcBorders>
              <w:top w:val="nil"/>
              <w:left w:val="nil"/>
              <w:bottom w:val="single" w:sz="4" w:space="0" w:color="000000"/>
              <w:right w:val="single" w:sz="4" w:space="0" w:color="000000"/>
            </w:tcBorders>
            <w:shd w:val="clear" w:color="000000" w:fill="FFFFFF"/>
            <w:hideMark/>
          </w:tcPr>
          <w:p w14:paraId="3797EA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inobservancia de las anteriores disposiciones dará lugar, según la gravedad de la conducta cometida, a la cancelación de la acreditación del observador electoral o a la inhabilitación para hacer observancia electoral en los procesos electorales subsiguientes que determine el Consejo Nacional Electoral, con garantías del debido proceso.</w:t>
            </w:r>
          </w:p>
        </w:tc>
        <w:tc>
          <w:tcPr>
            <w:tcW w:w="1480" w:type="dxa"/>
            <w:tcBorders>
              <w:top w:val="nil"/>
              <w:left w:val="nil"/>
              <w:bottom w:val="nil"/>
              <w:right w:val="single" w:sz="4" w:space="0" w:color="000000"/>
            </w:tcBorders>
            <w:shd w:val="clear" w:color="000000" w:fill="FFFFFF"/>
            <w:hideMark/>
          </w:tcPr>
          <w:p w14:paraId="5A09F5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3F8CFCE"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6194C0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147.- Informe de observación electoral.</w:t>
            </w:r>
            <w:r w:rsidRPr="00222F34">
              <w:rPr>
                <w:rFonts w:ascii="Calibri" w:eastAsia="Times New Roman" w:hAnsi="Calibri" w:cs="Calibri"/>
                <w:color w:val="000000"/>
                <w:lang w:val="es-CO" w:eastAsia="es-CO" w:bidi="ar-SA"/>
              </w:rPr>
              <w:t xml:space="preserve"> 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 </w:t>
            </w:r>
          </w:p>
        </w:tc>
        <w:tc>
          <w:tcPr>
            <w:tcW w:w="3798" w:type="dxa"/>
            <w:tcBorders>
              <w:top w:val="nil"/>
              <w:left w:val="nil"/>
              <w:bottom w:val="single" w:sz="4" w:space="0" w:color="000000"/>
              <w:right w:val="single" w:sz="4" w:space="0" w:color="000000"/>
            </w:tcBorders>
            <w:shd w:val="clear" w:color="000000" w:fill="FFFFFF"/>
            <w:hideMark/>
          </w:tcPr>
          <w:p w14:paraId="7385A4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151.- Informe de observación electoral. </w:t>
            </w:r>
            <w:r w:rsidRPr="00222F34">
              <w:rPr>
                <w:rFonts w:ascii="Calibri" w:eastAsia="Times New Roman" w:hAnsi="Calibri" w:cs="Calibri"/>
                <w:color w:val="000000"/>
                <w:lang w:val="es-CO" w:eastAsia="es-CO" w:bidi="ar-SA"/>
              </w:rPr>
              <w:t>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w:t>
            </w:r>
          </w:p>
        </w:tc>
        <w:tc>
          <w:tcPr>
            <w:tcW w:w="3798" w:type="dxa"/>
            <w:tcBorders>
              <w:top w:val="nil"/>
              <w:left w:val="nil"/>
              <w:bottom w:val="single" w:sz="4" w:space="0" w:color="000000"/>
              <w:right w:val="single" w:sz="4" w:space="0" w:color="000000"/>
            </w:tcBorders>
            <w:shd w:val="clear" w:color="000000" w:fill="FFFFFF"/>
            <w:hideMark/>
          </w:tcPr>
          <w:p w14:paraId="6910D9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151.- Informe de observación electoral. </w:t>
            </w:r>
            <w:r w:rsidRPr="00222F34">
              <w:rPr>
                <w:rFonts w:ascii="Calibri" w:eastAsia="Times New Roman" w:hAnsi="Calibri" w:cs="Calibri"/>
                <w:color w:val="000000"/>
                <w:lang w:val="es-CO" w:eastAsia="es-CO" w:bidi="ar-SA"/>
              </w:rPr>
              <w:t>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w:t>
            </w:r>
          </w:p>
        </w:tc>
        <w:tc>
          <w:tcPr>
            <w:tcW w:w="1480" w:type="dxa"/>
            <w:tcBorders>
              <w:top w:val="single" w:sz="4" w:space="0" w:color="000000"/>
              <w:left w:val="nil"/>
              <w:bottom w:val="single" w:sz="4" w:space="0" w:color="000000"/>
              <w:right w:val="single" w:sz="4" w:space="0" w:color="000000"/>
            </w:tcBorders>
            <w:shd w:val="clear" w:color="000000" w:fill="FFFFFF"/>
            <w:hideMark/>
          </w:tcPr>
          <w:p w14:paraId="467C2734" w14:textId="44D4120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7C1DC08" w14:textId="77777777" w:rsidTr="00222F34">
        <w:trPr>
          <w:trHeight w:val="1215"/>
        </w:trPr>
        <w:tc>
          <w:tcPr>
            <w:tcW w:w="3798" w:type="dxa"/>
            <w:tcBorders>
              <w:top w:val="nil"/>
              <w:left w:val="single" w:sz="4" w:space="0" w:color="000000"/>
              <w:bottom w:val="nil"/>
              <w:right w:val="single" w:sz="4" w:space="0" w:color="000000"/>
            </w:tcBorders>
            <w:shd w:val="clear" w:color="000000" w:fill="FFFFFF"/>
            <w:hideMark/>
          </w:tcPr>
          <w:p w14:paraId="1B48EA7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148.- De las misiones internacionales de observación electoral.</w:t>
            </w:r>
            <w:r w:rsidRPr="00222F34">
              <w:rPr>
                <w:rFonts w:ascii="Calibri" w:eastAsia="Times New Roman" w:hAnsi="Calibri" w:cs="Calibri"/>
                <w:color w:val="000000"/>
                <w:lang w:val="es-CO" w:eastAsia="es-CO" w:bidi="ar-SA"/>
              </w:rPr>
              <w:t xml:space="preserve"> El Consejo Nacional Electoral reglamentará, en cada evento electoral, el funcionamiento y procedimiento para la invitación, acreditación y permisos de las misiones internacionales de observación electoral, así como el número de observadores permitido. </w:t>
            </w:r>
          </w:p>
        </w:tc>
        <w:tc>
          <w:tcPr>
            <w:tcW w:w="3798" w:type="dxa"/>
            <w:tcBorders>
              <w:top w:val="nil"/>
              <w:left w:val="nil"/>
              <w:bottom w:val="nil"/>
              <w:right w:val="single" w:sz="4" w:space="0" w:color="000000"/>
            </w:tcBorders>
            <w:shd w:val="clear" w:color="000000" w:fill="FFFFFF"/>
            <w:hideMark/>
          </w:tcPr>
          <w:p w14:paraId="57581F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152.- De las misiones internacionales de observación electoral</w:t>
            </w:r>
            <w:r w:rsidRPr="00222F34">
              <w:rPr>
                <w:rFonts w:ascii="Calibri" w:eastAsia="Times New Roman" w:hAnsi="Calibri" w:cs="Calibri"/>
                <w:color w:val="000000"/>
                <w:lang w:val="es-CO" w:eastAsia="es-CO" w:bidi="ar-SA"/>
              </w:rPr>
              <w:t>. El Consejo Nacional Electoral reglamentará, en cada evento electoral, el funcionamiento y procedimiento para la invitación, acreditación y permisos de las misiones internacionales de observación electoral, así como el número de observadores permitido.</w:t>
            </w:r>
          </w:p>
        </w:tc>
        <w:tc>
          <w:tcPr>
            <w:tcW w:w="3798" w:type="dxa"/>
            <w:tcBorders>
              <w:top w:val="nil"/>
              <w:left w:val="nil"/>
              <w:bottom w:val="nil"/>
              <w:right w:val="single" w:sz="4" w:space="0" w:color="000000"/>
            </w:tcBorders>
            <w:shd w:val="clear" w:color="000000" w:fill="FFFFFF"/>
            <w:hideMark/>
          </w:tcPr>
          <w:p w14:paraId="6AC0B2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152.- De las misiones internacionales de observación electoral</w:t>
            </w:r>
            <w:r w:rsidRPr="00222F34">
              <w:rPr>
                <w:rFonts w:ascii="Calibri" w:eastAsia="Times New Roman" w:hAnsi="Calibri" w:cs="Calibri"/>
                <w:color w:val="000000"/>
                <w:lang w:val="es-CO" w:eastAsia="es-CO" w:bidi="ar-SA"/>
              </w:rPr>
              <w:t>. El Consejo Nacional Electoral reglamentará, en cada evento electoral, el funcionamiento y procedimiento para la invitación, acreditación y permisos de las misiones internacionales de observación electoral, así como el número de observadores permitido.</w:t>
            </w:r>
          </w:p>
        </w:tc>
        <w:tc>
          <w:tcPr>
            <w:tcW w:w="1480" w:type="dxa"/>
            <w:tcBorders>
              <w:top w:val="nil"/>
              <w:left w:val="nil"/>
              <w:bottom w:val="nil"/>
              <w:right w:val="single" w:sz="4" w:space="0" w:color="000000"/>
            </w:tcBorders>
            <w:shd w:val="clear" w:color="000000" w:fill="FFFFFF"/>
            <w:hideMark/>
          </w:tcPr>
          <w:p w14:paraId="7D8AFABB" w14:textId="17B9A8C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CBB2FE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32301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podrá invitar misiones de observación electoral para ser acreditadas ante el Consejo Nacional Electoral. </w:t>
            </w:r>
          </w:p>
        </w:tc>
        <w:tc>
          <w:tcPr>
            <w:tcW w:w="3798" w:type="dxa"/>
            <w:tcBorders>
              <w:top w:val="nil"/>
              <w:left w:val="nil"/>
              <w:bottom w:val="nil"/>
              <w:right w:val="single" w:sz="4" w:space="0" w:color="000000"/>
            </w:tcBorders>
            <w:shd w:val="clear" w:color="000000" w:fill="FFFFFF"/>
            <w:hideMark/>
          </w:tcPr>
          <w:p w14:paraId="310679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podrá invitar misiones de observación electoral para ser acreditadas ante el Consejo Nacional Electoral.</w:t>
            </w:r>
          </w:p>
        </w:tc>
        <w:tc>
          <w:tcPr>
            <w:tcW w:w="3798" w:type="dxa"/>
            <w:tcBorders>
              <w:top w:val="nil"/>
              <w:left w:val="nil"/>
              <w:bottom w:val="nil"/>
              <w:right w:val="single" w:sz="4" w:space="0" w:color="000000"/>
            </w:tcBorders>
            <w:shd w:val="clear" w:color="000000" w:fill="FFFFFF"/>
            <w:hideMark/>
          </w:tcPr>
          <w:p w14:paraId="607180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podrá invitar misiones de observación electoral para ser acreditadas ante el Consejo Nacional Electoral.</w:t>
            </w:r>
          </w:p>
        </w:tc>
        <w:tc>
          <w:tcPr>
            <w:tcW w:w="1480" w:type="dxa"/>
            <w:tcBorders>
              <w:top w:val="nil"/>
              <w:left w:val="nil"/>
              <w:bottom w:val="nil"/>
              <w:right w:val="single" w:sz="4" w:space="0" w:color="000000"/>
            </w:tcBorders>
            <w:shd w:val="clear" w:color="000000" w:fill="FFFFFF"/>
            <w:hideMark/>
          </w:tcPr>
          <w:p w14:paraId="7D63E7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94D328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429DE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misiones de observación electoral internacional se llevarán a cabo conforme a los tratados vigentes y ratificados por Colombia respetando la soberanía del país y en condiciones de reciprocidad.  </w:t>
            </w:r>
          </w:p>
        </w:tc>
        <w:tc>
          <w:tcPr>
            <w:tcW w:w="3798" w:type="dxa"/>
            <w:tcBorders>
              <w:top w:val="nil"/>
              <w:left w:val="nil"/>
              <w:bottom w:val="nil"/>
              <w:right w:val="single" w:sz="4" w:space="0" w:color="000000"/>
            </w:tcBorders>
            <w:shd w:val="clear" w:color="000000" w:fill="FFFFFF"/>
            <w:hideMark/>
          </w:tcPr>
          <w:p w14:paraId="455075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misiones de observación electoral internacional se llevarán a cabo conforme a los tratados vigentes y ratificados por Colombia respetando la soberanía del país y en condiciones de reciprocidad.</w:t>
            </w:r>
          </w:p>
        </w:tc>
        <w:tc>
          <w:tcPr>
            <w:tcW w:w="3798" w:type="dxa"/>
            <w:tcBorders>
              <w:top w:val="nil"/>
              <w:left w:val="nil"/>
              <w:bottom w:val="nil"/>
              <w:right w:val="single" w:sz="4" w:space="0" w:color="000000"/>
            </w:tcBorders>
            <w:shd w:val="clear" w:color="000000" w:fill="FFFFFF"/>
            <w:hideMark/>
          </w:tcPr>
          <w:p w14:paraId="3AB3DE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misiones de observación electoral internacional se llevarán a cabo conforme a los tratados vigentes y ratificados por Colombia respetando la soberanía del país y en condiciones de reciprocidad.</w:t>
            </w:r>
          </w:p>
        </w:tc>
        <w:tc>
          <w:tcPr>
            <w:tcW w:w="1480" w:type="dxa"/>
            <w:tcBorders>
              <w:top w:val="nil"/>
              <w:left w:val="nil"/>
              <w:bottom w:val="nil"/>
              <w:right w:val="single" w:sz="4" w:space="0" w:color="000000"/>
            </w:tcBorders>
            <w:shd w:val="clear" w:color="000000" w:fill="FFFFFF"/>
            <w:hideMark/>
          </w:tcPr>
          <w:p w14:paraId="216FCE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594B9E"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019971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Podrán ser invitados Estados, expertos, organismos electorales, organizaciones internacionales, universidades, organizaciones no gubernamentales y organismos multilaterales, que hagan parte de las relaciones bilaterales diplomáticas y vigentes con Colombia. </w:t>
            </w:r>
          </w:p>
        </w:tc>
        <w:tc>
          <w:tcPr>
            <w:tcW w:w="3798" w:type="dxa"/>
            <w:tcBorders>
              <w:top w:val="nil"/>
              <w:left w:val="nil"/>
              <w:bottom w:val="single" w:sz="4" w:space="0" w:color="000000"/>
              <w:right w:val="single" w:sz="4" w:space="0" w:color="000000"/>
            </w:tcBorders>
            <w:shd w:val="clear" w:color="000000" w:fill="FFFFFF"/>
            <w:hideMark/>
          </w:tcPr>
          <w:p w14:paraId="769825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Podrán ser invitados Estados, expertos, organismos electorales, organizaciones internacionales, universidades, organizaciones no gubernamentales y organismos multilaterales, que hagan parte de las relaciones bilaterales diplomáticas y vigentes con Colombia.</w:t>
            </w:r>
          </w:p>
        </w:tc>
        <w:tc>
          <w:tcPr>
            <w:tcW w:w="3798" w:type="dxa"/>
            <w:tcBorders>
              <w:top w:val="nil"/>
              <w:left w:val="nil"/>
              <w:bottom w:val="single" w:sz="4" w:space="0" w:color="000000"/>
              <w:right w:val="single" w:sz="4" w:space="0" w:color="000000"/>
            </w:tcBorders>
            <w:shd w:val="clear" w:color="000000" w:fill="FFFFFF"/>
            <w:hideMark/>
          </w:tcPr>
          <w:p w14:paraId="45D3B7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Podrán ser invitados Estados, expertos, organismos electorales, organizaciones internacionales, universidades, organizaciones no gubernamentales y organismos multilaterales, que hagan parte de las relaciones bilaterales diplomáticas y vigentes con Colombia.</w:t>
            </w:r>
          </w:p>
        </w:tc>
        <w:tc>
          <w:tcPr>
            <w:tcW w:w="1480" w:type="dxa"/>
            <w:tcBorders>
              <w:top w:val="nil"/>
              <w:left w:val="nil"/>
              <w:bottom w:val="nil"/>
              <w:right w:val="single" w:sz="4" w:space="0" w:color="000000"/>
            </w:tcBorders>
            <w:shd w:val="clear" w:color="000000" w:fill="FFFFFF"/>
            <w:hideMark/>
          </w:tcPr>
          <w:p w14:paraId="662DCE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7AC87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AB6AAD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149.- De los observadores internacionales.</w:t>
            </w:r>
            <w:r w:rsidRPr="00222F34">
              <w:rPr>
                <w:rFonts w:ascii="Calibri" w:eastAsia="Times New Roman" w:hAnsi="Calibri" w:cs="Calibri"/>
                <w:color w:val="000000"/>
                <w:lang w:val="es-CO" w:eastAsia="es-CO" w:bidi="ar-SA"/>
              </w:rPr>
              <w:t xml:space="preserve"> Podrán ser observadores internacionales los ciudadanos extranjeros, debidamente acreditados, que sean: </w:t>
            </w:r>
          </w:p>
        </w:tc>
        <w:tc>
          <w:tcPr>
            <w:tcW w:w="3798" w:type="dxa"/>
            <w:tcBorders>
              <w:top w:val="nil"/>
              <w:left w:val="nil"/>
              <w:bottom w:val="nil"/>
              <w:right w:val="single" w:sz="4" w:space="0" w:color="000000"/>
            </w:tcBorders>
            <w:shd w:val="clear" w:color="000000" w:fill="FFFFFF"/>
            <w:hideMark/>
          </w:tcPr>
          <w:p w14:paraId="3CC3D3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153.- De los observadores internacionales. </w:t>
            </w:r>
            <w:r w:rsidRPr="00222F34">
              <w:rPr>
                <w:rFonts w:ascii="Calibri" w:eastAsia="Times New Roman" w:hAnsi="Calibri" w:cs="Calibri"/>
                <w:color w:val="000000"/>
                <w:lang w:val="es-CO" w:eastAsia="es-CO" w:bidi="ar-SA"/>
              </w:rPr>
              <w:t>Podrán ser observadores internacionales los ciudadanos extranjeros, debidamente acreditados, que sean:</w:t>
            </w:r>
          </w:p>
        </w:tc>
        <w:tc>
          <w:tcPr>
            <w:tcW w:w="3798" w:type="dxa"/>
            <w:tcBorders>
              <w:top w:val="nil"/>
              <w:left w:val="nil"/>
              <w:bottom w:val="nil"/>
              <w:right w:val="single" w:sz="4" w:space="0" w:color="000000"/>
            </w:tcBorders>
            <w:shd w:val="clear" w:color="000000" w:fill="FFFFFF"/>
            <w:hideMark/>
          </w:tcPr>
          <w:p w14:paraId="3F88D7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153.- De los observadores internacionales. </w:t>
            </w:r>
            <w:r w:rsidRPr="00222F34">
              <w:rPr>
                <w:rFonts w:ascii="Calibri" w:eastAsia="Times New Roman" w:hAnsi="Calibri" w:cs="Calibri"/>
                <w:color w:val="000000"/>
                <w:lang w:val="es-CO" w:eastAsia="es-CO" w:bidi="ar-SA"/>
              </w:rPr>
              <w:t>Podrán ser observadores internacionales los ciudadanos extranjeros, debidamente acreditados, que sean:</w:t>
            </w:r>
          </w:p>
        </w:tc>
        <w:tc>
          <w:tcPr>
            <w:tcW w:w="1480" w:type="dxa"/>
            <w:tcBorders>
              <w:top w:val="single" w:sz="4" w:space="0" w:color="000000"/>
              <w:left w:val="nil"/>
              <w:bottom w:val="nil"/>
              <w:right w:val="single" w:sz="4" w:space="0" w:color="000000"/>
            </w:tcBorders>
            <w:shd w:val="clear" w:color="000000" w:fill="FFFFFF"/>
            <w:hideMark/>
          </w:tcPr>
          <w:p w14:paraId="7FCB1893" w14:textId="420235B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8D5B9B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A689F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Representantes de organismos internacionales. </w:t>
            </w:r>
          </w:p>
        </w:tc>
        <w:tc>
          <w:tcPr>
            <w:tcW w:w="3798" w:type="dxa"/>
            <w:tcBorders>
              <w:top w:val="nil"/>
              <w:left w:val="nil"/>
              <w:bottom w:val="nil"/>
              <w:right w:val="single" w:sz="4" w:space="0" w:color="000000"/>
            </w:tcBorders>
            <w:shd w:val="clear" w:color="000000" w:fill="FFFFFF"/>
            <w:hideMark/>
          </w:tcPr>
          <w:p w14:paraId="7AC71B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Representantes de organismos internacionales.</w:t>
            </w:r>
          </w:p>
        </w:tc>
        <w:tc>
          <w:tcPr>
            <w:tcW w:w="3798" w:type="dxa"/>
            <w:tcBorders>
              <w:top w:val="nil"/>
              <w:left w:val="nil"/>
              <w:bottom w:val="nil"/>
              <w:right w:val="single" w:sz="4" w:space="0" w:color="000000"/>
            </w:tcBorders>
            <w:shd w:val="clear" w:color="000000" w:fill="FFFFFF"/>
            <w:hideMark/>
          </w:tcPr>
          <w:p w14:paraId="437873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Representantes de organismos internacionales.</w:t>
            </w:r>
          </w:p>
        </w:tc>
        <w:tc>
          <w:tcPr>
            <w:tcW w:w="1480" w:type="dxa"/>
            <w:tcBorders>
              <w:top w:val="nil"/>
              <w:left w:val="nil"/>
              <w:bottom w:val="nil"/>
              <w:right w:val="single" w:sz="4" w:space="0" w:color="000000"/>
            </w:tcBorders>
            <w:shd w:val="clear" w:color="000000" w:fill="FFFFFF"/>
            <w:hideMark/>
          </w:tcPr>
          <w:p w14:paraId="7EF1AF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C1448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A41ED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Representantes de gobiernos y órganos legislativos extranjeros. </w:t>
            </w:r>
          </w:p>
        </w:tc>
        <w:tc>
          <w:tcPr>
            <w:tcW w:w="3798" w:type="dxa"/>
            <w:tcBorders>
              <w:top w:val="nil"/>
              <w:left w:val="nil"/>
              <w:bottom w:val="nil"/>
              <w:right w:val="single" w:sz="4" w:space="0" w:color="000000"/>
            </w:tcBorders>
            <w:shd w:val="clear" w:color="000000" w:fill="FFFFFF"/>
            <w:hideMark/>
          </w:tcPr>
          <w:p w14:paraId="2E433F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Representantes de gobiernos y órganos legislativos extranjeros.</w:t>
            </w:r>
          </w:p>
        </w:tc>
        <w:tc>
          <w:tcPr>
            <w:tcW w:w="3798" w:type="dxa"/>
            <w:tcBorders>
              <w:top w:val="nil"/>
              <w:left w:val="nil"/>
              <w:bottom w:val="nil"/>
              <w:right w:val="single" w:sz="4" w:space="0" w:color="000000"/>
            </w:tcBorders>
            <w:shd w:val="clear" w:color="000000" w:fill="FFFFFF"/>
            <w:hideMark/>
          </w:tcPr>
          <w:p w14:paraId="64DA51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Representantes de gobiernos y órganos legislativos extranjeros.</w:t>
            </w:r>
          </w:p>
        </w:tc>
        <w:tc>
          <w:tcPr>
            <w:tcW w:w="1480" w:type="dxa"/>
            <w:tcBorders>
              <w:top w:val="nil"/>
              <w:left w:val="nil"/>
              <w:bottom w:val="nil"/>
              <w:right w:val="single" w:sz="4" w:space="0" w:color="000000"/>
            </w:tcBorders>
            <w:shd w:val="clear" w:color="000000" w:fill="FFFFFF"/>
            <w:hideMark/>
          </w:tcPr>
          <w:p w14:paraId="2666F4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160083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F6DDC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Representantes de organismos electorales extranjeros. </w:t>
            </w:r>
          </w:p>
        </w:tc>
        <w:tc>
          <w:tcPr>
            <w:tcW w:w="3798" w:type="dxa"/>
            <w:tcBorders>
              <w:top w:val="nil"/>
              <w:left w:val="nil"/>
              <w:bottom w:val="nil"/>
              <w:right w:val="single" w:sz="4" w:space="0" w:color="000000"/>
            </w:tcBorders>
            <w:shd w:val="clear" w:color="000000" w:fill="FFFFFF"/>
            <w:hideMark/>
          </w:tcPr>
          <w:p w14:paraId="44C18F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Representantes de organismos electorales extranjeros.</w:t>
            </w:r>
          </w:p>
        </w:tc>
        <w:tc>
          <w:tcPr>
            <w:tcW w:w="3798" w:type="dxa"/>
            <w:tcBorders>
              <w:top w:val="nil"/>
              <w:left w:val="nil"/>
              <w:bottom w:val="nil"/>
              <w:right w:val="single" w:sz="4" w:space="0" w:color="000000"/>
            </w:tcBorders>
            <w:shd w:val="clear" w:color="000000" w:fill="FFFFFF"/>
            <w:hideMark/>
          </w:tcPr>
          <w:p w14:paraId="509896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Representantes de organismos electorales extranjeros.</w:t>
            </w:r>
          </w:p>
        </w:tc>
        <w:tc>
          <w:tcPr>
            <w:tcW w:w="1480" w:type="dxa"/>
            <w:tcBorders>
              <w:top w:val="nil"/>
              <w:left w:val="nil"/>
              <w:bottom w:val="nil"/>
              <w:right w:val="single" w:sz="4" w:space="0" w:color="000000"/>
            </w:tcBorders>
            <w:shd w:val="clear" w:color="000000" w:fill="FFFFFF"/>
            <w:hideMark/>
          </w:tcPr>
          <w:p w14:paraId="08D729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0065F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C28E5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Representantes diplomáticos acreditados ante el Estado colombiano. </w:t>
            </w:r>
          </w:p>
        </w:tc>
        <w:tc>
          <w:tcPr>
            <w:tcW w:w="3798" w:type="dxa"/>
            <w:tcBorders>
              <w:top w:val="nil"/>
              <w:left w:val="nil"/>
              <w:bottom w:val="nil"/>
              <w:right w:val="single" w:sz="4" w:space="0" w:color="000000"/>
            </w:tcBorders>
            <w:shd w:val="clear" w:color="000000" w:fill="FFFFFF"/>
            <w:hideMark/>
          </w:tcPr>
          <w:p w14:paraId="68069F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Representantes diplomáticos acreditados ante el Estado colombiano.</w:t>
            </w:r>
          </w:p>
        </w:tc>
        <w:tc>
          <w:tcPr>
            <w:tcW w:w="3798" w:type="dxa"/>
            <w:tcBorders>
              <w:top w:val="nil"/>
              <w:left w:val="nil"/>
              <w:bottom w:val="nil"/>
              <w:right w:val="single" w:sz="4" w:space="0" w:color="000000"/>
            </w:tcBorders>
            <w:shd w:val="clear" w:color="000000" w:fill="FFFFFF"/>
            <w:hideMark/>
          </w:tcPr>
          <w:p w14:paraId="61324F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Representantes diplomáticos acreditados ante el Estado colombiano.</w:t>
            </w:r>
          </w:p>
        </w:tc>
        <w:tc>
          <w:tcPr>
            <w:tcW w:w="1480" w:type="dxa"/>
            <w:tcBorders>
              <w:top w:val="nil"/>
              <w:left w:val="nil"/>
              <w:bottom w:val="nil"/>
              <w:right w:val="single" w:sz="4" w:space="0" w:color="000000"/>
            </w:tcBorders>
            <w:shd w:val="clear" w:color="000000" w:fill="FFFFFF"/>
            <w:hideMark/>
          </w:tcPr>
          <w:p w14:paraId="621119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EF09B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B545D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Representantes de instituciones académicas y de investigación en el ámbito de la educación superior. </w:t>
            </w:r>
          </w:p>
        </w:tc>
        <w:tc>
          <w:tcPr>
            <w:tcW w:w="3798" w:type="dxa"/>
            <w:tcBorders>
              <w:top w:val="nil"/>
              <w:left w:val="nil"/>
              <w:bottom w:val="nil"/>
              <w:right w:val="single" w:sz="4" w:space="0" w:color="000000"/>
            </w:tcBorders>
            <w:shd w:val="clear" w:color="000000" w:fill="FFFFFF"/>
            <w:hideMark/>
          </w:tcPr>
          <w:p w14:paraId="2E87FD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Representantes de instituciones académicas y de investigación en el ámbito de la educación superior.</w:t>
            </w:r>
          </w:p>
        </w:tc>
        <w:tc>
          <w:tcPr>
            <w:tcW w:w="3798" w:type="dxa"/>
            <w:tcBorders>
              <w:top w:val="nil"/>
              <w:left w:val="nil"/>
              <w:bottom w:val="nil"/>
              <w:right w:val="single" w:sz="4" w:space="0" w:color="000000"/>
            </w:tcBorders>
            <w:shd w:val="clear" w:color="000000" w:fill="FFFFFF"/>
            <w:hideMark/>
          </w:tcPr>
          <w:p w14:paraId="3225B1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Representantes de instituciones académicas y de investigación en el ámbito de la educación superior.</w:t>
            </w:r>
          </w:p>
        </w:tc>
        <w:tc>
          <w:tcPr>
            <w:tcW w:w="1480" w:type="dxa"/>
            <w:tcBorders>
              <w:top w:val="nil"/>
              <w:left w:val="nil"/>
              <w:bottom w:val="nil"/>
              <w:right w:val="single" w:sz="4" w:space="0" w:color="000000"/>
            </w:tcBorders>
            <w:shd w:val="clear" w:color="000000" w:fill="FFFFFF"/>
            <w:hideMark/>
          </w:tcPr>
          <w:p w14:paraId="6B199E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92187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D54EE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Representantes de instituciones privadas o asociaciones no gubernamentales que realicen en el exterior actividades especializadas o relacionadas con el ámbito político o en defensa de los derechos de participación política. </w:t>
            </w:r>
          </w:p>
        </w:tc>
        <w:tc>
          <w:tcPr>
            <w:tcW w:w="3798" w:type="dxa"/>
            <w:tcBorders>
              <w:top w:val="nil"/>
              <w:left w:val="nil"/>
              <w:bottom w:val="nil"/>
              <w:right w:val="single" w:sz="4" w:space="0" w:color="000000"/>
            </w:tcBorders>
            <w:shd w:val="clear" w:color="000000" w:fill="FFFFFF"/>
            <w:hideMark/>
          </w:tcPr>
          <w:p w14:paraId="3E5AEE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Representantes de instituciones privadas o asociaciones no gubernamentales que realicen en el exterior actividades especializadas o relacionadas con el ámbito político o en defensa de los derechos de participación política.</w:t>
            </w:r>
          </w:p>
        </w:tc>
        <w:tc>
          <w:tcPr>
            <w:tcW w:w="3798" w:type="dxa"/>
            <w:tcBorders>
              <w:top w:val="nil"/>
              <w:left w:val="nil"/>
              <w:bottom w:val="nil"/>
              <w:right w:val="single" w:sz="4" w:space="0" w:color="000000"/>
            </w:tcBorders>
            <w:shd w:val="clear" w:color="000000" w:fill="FFFFFF"/>
            <w:hideMark/>
          </w:tcPr>
          <w:p w14:paraId="4184C9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Representantes de instituciones privadas o asociaciones no gubernamentales que realicen en el exterior actividades especializadas o relacionadas con el ámbito político o en defensa de los derechos de participación política.</w:t>
            </w:r>
          </w:p>
        </w:tc>
        <w:tc>
          <w:tcPr>
            <w:tcW w:w="1480" w:type="dxa"/>
            <w:tcBorders>
              <w:top w:val="nil"/>
              <w:left w:val="nil"/>
              <w:bottom w:val="nil"/>
              <w:right w:val="single" w:sz="4" w:space="0" w:color="000000"/>
            </w:tcBorders>
            <w:shd w:val="clear" w:color="000000" w:fill="FFFFFF"/>
            <w:hideMark/>
          </w:tcPr>
          <w:p w14:paraId="1E27D1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9791CFB"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17C0DC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Expertos en asuntos electorales, que prueben como mínimo, haber publicado 2 artículos que desarrollen temáticas propias del derecho electoral o el ejercicio profesional relacionado al interior de una organización electoral o entidad privada o asociaciones no gubernamentales que realicen actividades especializadas en asuntos electorales o haber fungido como observador electoral.  </w:t>
            </w:r>
          </w:p>
        </w:tc>
        <w:tc>
          <w:tcPr>
            <w:tcW w:w="3798" w:type="dxa"/>
            <w:tcBorders>
              <w:top w:val="nil"/>
              <w:left w:val="nil"/>
              <w:bottom w:val="single" w:sz="4" w:space="0" w:color="000000"/>
              <w:right w:val="single" w:sz="4" w:space="0" w:color="000000"/>
            </w:tcBorders>
            <w:shd w:val="clear" w:color="000000" w:fill="FFFFFF"/>
            <w:hideMark/>
          </w:tcPr>
          <w:p w14:paraId="5CC7BF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Expertos en asuntos electorales, que prueben como mínimo, haber publicado 2 artículos que desarrollen temáticas propias del derecho electoral o el ejercicio profesional relacionado al interior de una organización electoral o entidad privada o asociaciones no gubernamentales que realicen actividades especializadas en asuntos electorales o haber fungido como observador electoral.</w:t>
            </w:r>
          </w:p>
        </w:tc>
        <w:tc>
          <w:tcPr>
            <w:tcW w:w="3798" w:type="dxa"/>
            <w:tcBorders>
              <w:top w:val="nil"/>
              <w:left w:val="nil"/>
              <w:bottom w:val="single" w:sz="4" w:space="0" w:color="000000"/>
              <w:right w:val="single" w:sz="4" w:space="0" w:color="000000"/>
            </w:tcBorders>
            <w:shd w:val="clear" w:color="000000" w:fill="FFFFFF"/>
            <w:hideMark/>
          </w:tcPr>
          <w:p w14:paraId="75FB78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Expertos en asuntos electorales, que prueben como mínimo, haber publicado 2 artículos que desarrollen temáticas propias del derecho electoral o el ejercicio profesional relacionado al interior de una organización electoral o entidad privada o asociaciones no gubernamentales que realicen actividades especializadas en asuntos electorales o haber fungido como observador electoral.</w:t>
            </w:r>
          </w:p>
        </w:tc>
        <w:tc>
          <w:tcPr>
            <w:tcW w:w="1480" w:type="dxa"/>
            <w:tcBorders>
              <w:top w:val="nil"/>
              <w:left w:val="nil"/>
              <w:bottom w:val="nil"/>
              <w:right w:val="single" w:sz="4" w:space="0" w:color="000000"/>
            </w:tcBorders>
            <w:shd w:val="clear" w:color="000000" w:fill="FFFFFF"/>
            <w:hideMark/>
          </w:tcPr>
          <w:p w14:paraId="4B5726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CBDF57D"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659A91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150.- Sanciones a observadores internacionales.</w:t>
            </w:r>
            <w:r w:rsidRPr="00222F34">
              <w:rPr>
                <w:rFonts w:ascii="Calibri" w:eastAsia="Times New Roman" w:hAnsi="Calibri" w:cs="Calibri"/>
                <w:color w:val="000000"/>
                <w:lang w:val="es-CO" w:eastAsia="es-CO" w:bidi="ar-SA"/>
              </w:rPr>
              <w:t xml:space="preserve"> 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w:t>
            </w:r>
            <w:r w:rsidRPr="00222F34">
              <w:rPr>
                <w:rFonts w:ascii="Calibri" w:eastAsia="Times New Roman" w:hAnsi="Calibri" w:cs="Calibri"/>
                <w:color w:val="000000"/>
                <w:lang w:val="es-CO" w:eastAsia="es-CO" w:bidi="ar-SA"/>
              </w:rPr>
              <w:lastRenderedPageBreak/>
              <w:t xml:space="preserve">sin perjuicio de las acciones legales que en derecho correspondan. </w:t>
            </w:r>
          </w:p>
        </w:tc>
        <w:tc>
          <w:tcPr>
            <w:tcW w:w="3798" w:type="dxa"/>
            <w:tcBorders>
              <w:top w:val="nil"/>
              <w:left w:val="nil"/>
              <w:bottom w:val="nil"/>
              <w:right w:val="single" w:sz="4" w:space="0" w:color="000000"/>
            </w:tcBorders>
            <w:shd w:val="clear" w:color="000000" w:fill="FFFFFF"/>
            <w:hideMark/>
          </w:tcPr>
          <w:p w14:paraId="18B8C4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154.- Sanciones a observadores internacionales. </w:t>
            </w:r>
            <w:r w:rsidRPr="00222F34">
              <w:rPr>
                <w:rFonts w:ascii="Calibri" w:eastAsia="Times New Roman" w:hAnsi="Calibri" w:cs="Calibri"/>
                <w:color w:val="000000"/>
                <w:lang w:val="es-CO" w:eastAsia="es-CO" w:bidi="ar-SA"/>
              </w:rPr>
              <w:t xml:space="preserve">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w:t>
            </w:r>
            <w:r w:rsidRPr="00222F34">
              <w:rPr>
                <w:rFonts w:ascii="Calibri" w:eastAsia="Times New Roman" w:hAnsi="Calibri" w:cs="Calibri"/>
                <w:color w:val="000000"/>
                <w:lang w:val="es-CO" w:eastAsia="es-CO" w:bidi="ar-SA"/>
              </w:rPr>
              <w:lastRenderedPageBreak/>
              <w:t>sin perjuicio de las acciones legales que en derecho correspondan.</w:t>
            </w:r>
          </w:p>
        </w:tc>
        <w:tc>
          <w:tcPr>
            <w:tcW w:w="3798" w:type="dxa"/>
            <w:tcBorders>
              <w:top w:val="nil"/>
              <w:left w:val="nil"/>
              <w:bottom w:val="nil"/>
              <w:right w:val="single" w:sz="4" w:space="0" w:color="000000"/>
            </w:tcBorders>
            <w:shd w:val="clear" w:color="000000" w:fill="FFFFFF"/>
            <w:hideMark/>
          </w:tcPr>
          <w:p w14:paraId="03527B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154.- Sanciones a observadores internacionales. </w:t>
            </w:r>
            <w:r w:rsidRPr="00222F34">
              <w:rPr>
                <w:rFonts w:ascii="Calibri" w:eastAsia="Times New Roman" w:hAnsi="Calibri" w:cs="Calibri"/>
                <w:color w:val="000000"/>
                <w:lang w:val="es-CO" w:eastAsia="es-CO" w:bidi="ar-SA"/>
              </w:rPr>
              <w:t xml:space="preserve">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w:t>
            </w:r>
            <w:r w:rsidRPr="00222F34">
              <w:rPr>
                <w:rFonts w:ascii="Calibri" w:eastAsia="Times New Roman" w:hAnsi="Calibri" w:cs="Calibri"/>
                <w:color w:val="000000"/>
                <w:lang w:val="es-CO" w:eastAsia="es-CO" w:bidi="ar-SA"/>
              </w:rPr>
              <w:lastRenderedPageBreak/>
              <w:t>sin perjuicio de las acciones legales que en derecho correspondan.</w:t>
            </w:r>
          </w:p>
        </w:tc>
        <w:tc>
          <w:tcPr>
            <w:tcW w:w="1480" w:type="dxa"/>
            <w:tcBorders>
              <w:top w:val="single" w:sz="4" w:space="0" w:color="000000"/>
              <w:left w:val="nil"/>
              <w:bottom w:val="nil"/>
              <w:right w:val="single" w:sz="4" w:space="0" w:color="000000"/>
            </w:tcBorders>
            <w:shd w:val="clear" w:color="000000" w:fill="FFFFFF"/>
            <w:hideMark/>
          </w:tcPr>
          <w:p w14:paraId="0E617B25" w14:textId="78DA82D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7DE776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E7F8B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acreditación del Observador Internacional cesará el día en que se cancele la acreditación al observador, sin perjuicio de las acciones judiciales que pudiera originar su actuación. </w:t>
            </w:r>
          </w:p>
        </w:tc>
        <w:tc>
          <w:tcPr>
            <w:tcW w:w="3798" w:type="dxa"/>
            <w:tcBorders>
              <w:top w:val="nil"/>
              <w:left w:val="nil"/>
              <w:bottom w:val="single" w:sz="4" w:space="0" w:color="000000"/>
              <w:right w:val="single" w:sz="4" w:space="0" w:color="000000"/>
            </w:tcBorders>
            <w:shd w:val="clear" w:color="000000" w:fill="FFFFFF"/>
            <w:hideMark/>
          </w:tcPr>
          <w:p w14:paraId="6E2A18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acreditación del Observador Internacional cesará el día en que se cancele la acreditación al observador, sin perjuicio de las acciones judiciales que pudiera originar su actuación.</w:t>
            </w:r>
          </w:p>
        </w:tc>
        <w:tc>
          <w:tcPr>
            <w:tcW w:w="3798" w:type="dxa"/>
            <w:tcBorders>
              <w:top w:val="nil"/>
              <w:left w:val="nil"/>
              <w:bottom w:val="single" w:sz="4" w:space="0" w:color="000000"/>
              <w:right w:val="single" w:sz="4" w:space="0" w:color="000000"/>
            </w:tcBorders>
            <w:shd w:val="clear" w:color="000000" w:fill="FFFFFF"/>
            <w:hideMark/>
          </w:tcPr>
          <w:p w14:paraId="60001A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acreditación del Observador Internacional cesará el día en que se cancele la acreditación al observador, sin perjuicio de las acciones judiciales que pudiera originar su actuación.</w:t>
            </w:r>
          </w:p>
        </w:tc>
        <w:tc>
          <w:tcPr>
            <w:tcW w:w="1480" w:type="dxa"/>
            <w:tcBorders>
              <w:top w:val="nil"/>
              <w:left w:val="nil"/>
              <w:bottom w:val="single" w:sz="4" w:space="0" w:color="000000"/>
              <w:right w:val="single" w:sz="4" w:space="0" w:color="000000"/>
            </w:tcBorders>
            <w:shd w:val="clear" w:color="000000" w:fill="FFFFFF"/>
            <w:hideMark/>
          </w:tcPr>
          <w:p w14:paraId="7EF63F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01F38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C97403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3798" w:type="dxa"/>
            <w:tcBorders>
              <w:top w:val="nil"/>
              <w:left w:val="nil"/>
              <w:bottom w:val="nil"/>
              <w:right w:val="single" w:sz="4" w:space="0" w:color="000000"/>
            </w:tcBorders>
            <w:shd w:val="clear" w:color="000000" w:fill="FFFFFF"/>
            <w:hideMark/>
          </w:tcPr>
          <w:p w14:paraId="11879F14"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3798" w:type="dxa"/>
            <w:tcBorders>
              <w:top w:val="nil"/>
              <w:left w:val="nil"/>
              <w:bottom w:val="nil"/>
              <w:right w:val="single" w:sz="4" w:space="0" w:color="000000"/>
            </w:tcBorders>
            <w:shd w:val="clear" w:color="000000" w:fill="FFFFFF"/>
            <w:hideMark/>
          </w:tcPr>
          <w:p w14:paraId="1AEE89F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1480" w:type="dxa"/>
            <w:tcBorders>
              <w:top w:val="nil"/>
              <w:left w:val="nil"/>
              <w:bottom w:val="nil"/>
              <w:right w:val="single" w:sz="4" w:space="0" w:color="000000"/>
            </w:tcBorders>
            <w:shd w:val="clear" w:color="000000" w:fill="FFFFFF"/>
            <w:hideMark/>
          </w:tcPr>
          <w:p w14:paraId="4C2FE8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5DD93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6E88F1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día de las elecciones</w:t>
            </w:r>
          </w:p>
        </w:tc>
        <w:tc>
          <w:tcPr>
            <w:tcW w:w="3798" w:type="dxa"/>
            <w:tcBorders>
              <w:top w:val="nil"/>
              <w:left w:val="nil"/>
              <w:bottom w:val="nil"/>
              <w:right w:val="single" w:sz="4" w:space="0" w:color="000000"/>
            </w:tcBorders>
            <w:shd w:val="clear" w:color="000000" w:fill="FFFFFF"/>
            <w:hideMark/>
          </w:tcPr>
          <w:p w14:paraId="72C50671"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día de las elecciones</w:t>
            </w:r>
          </w:p>
        </w:tc>
        <w:tc>
          <w:tcPr>
            <w:tcW w:w="3798" w:type="dxa"/>
            <w:tcBorders>
              <w:top w:val="nil"/>
              <w:left w:val="nil"/>
              <w:bottom w:val="nil"/>
              <w:right w:val="single" w:sz="4" w:space="0" w:color="000000"/>
            </w:tcBorders>
            <w:shd w:val="clear" w:color="000000" w:fill="FFFFFF"/>
            <w:hideMark/>
          </w:tcPr>
          <w:p w14:paraId="0B950EA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día de las elecciones</w:t>
            </w:r>
          </w:p>
        </w:tc>
        <w:tc>
          <w:tcPr>
            <w:tcW w:w="1480" w:type="dxa"/>
            <w:tcBorders>
              <w:top w:val="nil"/>
              <w:left w:val="nil"/>
              <w:bottom w:val="single" w:sz="4" w:space="0" w:color="000000"/>
              <w:right w:val="single" w:sz="4" w:space="0" w:color="000000"/>
            </w:tcBorders>
            <w:shd w:val="clear" w:color="000000" w:fill="FFFFFF"/>
            <w:hideMark/>
          </w:tcPr>
          <w:p w14:paraId="705F91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039979" w14:textId="77777777" w:rsidTr="00222F34">
        <w:trPr>
          <w:trHeight w:val="600"/>
        </w:trPr>
        <w:tc>
          <w:tcPr>
            <w:tcW w:w="3798" w:type="dxa"/>
            <w:tcBorders>
              <w:top w:val="single" w:sz="4" w:space="0" w:color="000000"/>
              <w:left w:val="single" w:sz="4" w:space="0" w:color="000000"/>
              <w:bottom w:val="nil"/>
              <w:right w:val="single" w:sz="4" w:space="0" w:color="000000"/>
            </w:tcBorders>
            <w:shd w:val="clear" w:color="000000" w:fill="FFFFFF"/>
            <w:hideMark/>
          </w:tcPr>
          <w:p w14:paraId="34637E7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151.- Fecha de elecciones.</w:t>
            </w:r>
            <w:r w:rsidRPr="00222F34">
              <w:rPr>
                <w:rFonts w:ascii="Calibri" w:eastAsia="Times New Roman" w:hAnsi="Calibri" w:cs="Calibri"/>
                <w:color w:val="000000"/>
                <w:lang w:val="es-CO" w:eastAsia="es-CO" w:bidi="ar-SA"/>
              </w:rPr>
              <w:t xml:space="preserve"> De conformidad con la Constitución Política y la ley, las elecciones se llevarán a cabo en los siguientes días:</w:t>
            </w:r>
          </w:p>
        </w:tc>
        <w:tc>
          <w:tcPr>
            <w:tcW w:w="3798" w:type="dxa"/>
            <w:tcBorders>
              <w:top w:val="single" w:sz="4" w:space="0" w:color="000000"/>
              <w:left w:val="nil"/>
              <w:bottom w:val="nil"/>
              <w:right w:val="single" w:sz="4" w:space="0" w:color="000000"/>
            </w:tcBorders>
            <w:shd w:val="clear" w:color="00FFFF" w:fill="FFFFFF"/>
            <w:hideMark/>
          </w:tcPr>
          <w:p w14:paraId="67F80A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155.- Fecha de elecciones. </w:t>
            </w:r>
            <w:r w:rsidRPr="00222F34">
              <w:rPr>
                <w:rFonts w:ascii="Calibri" w:eastAsia="Times New Roman" w:hAnsi="Calibri" w:cs="Calibri"/>
                <w:color w:val="000000"/>
                <w:lang w:val="es-CO" w:eastAsia="es-CO" w:bidi="ar-SA"/>
              </w:rPr>
              <w:t>De conformidad con la Constitución Política y la ley, las elecciones se llevarán a cabo en los siguientes días:</w:t>
            </w:r>
          </w:p>
        </w:tc>
        <w:tc>
          <w:tcPr>
            <w:tcW w:w="3798" w:type="dxa"/>
            <w:tcBorders>
              <w:top w:val="single" w:sz="4" w:space="0" w:color="000000"/>
              <w:left w:val="nil"/>
              <w:bottom w:val="nil"/>
              <w:right w:val="single" w:sz="4" w:space="0" w:color="000000"/>
            </w:tcBorders>
            <w:shd w:val="clear" w:color="00FFFF" w:fill="FFFFFF"/>
            <w:hideMark/>
          </w:tcPr>
          <w:p w14:paraId="31B9A3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155.- Fecha de elecciones. </w:t>
            </w:r>
            <w:r w:rsidRPr="00222F34">
              <w:rPr>
                <w:rFonts w:ascii="Calibri" w:eastAsia="Times New Roman" w:hAnsi="Calibri" w:cs="Calibri"/>
                <w:color w:val="000000"/>
                <w:lang w:val="es-CO" w:eastAsia="es-CO" w:bidi="ar-SA"/>
              </w:rPr>
              <w:t>De conformidad con la Constitución Política y la ley, las elecciones se llevarán a cabo en los siguientes días:</w:t>
            </w:r>
          </w:p>
        </w:tc>
        <w:tc>
          <w:tcPr>
            <w:tcW w:w="1480" w:type="dxa"/>
            <w:tcBorders>
              <w:top w:val="nil"/>
              <w:left w:val="nil"/>
              <w:bottom w:val="nil"/>
              <w:right w:val="single" w:sz="4" w:space="0" w:color="000000"/>
            </w:tcBorders>
            <w:shd w:val="clear" w:color="000000" w:fill="FFFFFF"/>
            <w:hideMark/>
          </w:tcPr>
          <w:p w14:paraId="39B6F5E1" w14:textId="152A06E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58A7636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4237D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 Política. </w:t>
            </w:r>
          </w:p>
        </w:tc>
        <w:tc>
          <w:tcPr>
            <w:tcW w:w="3798" w:type="dxa"/>
            <w:tcBorders>
              <w:top w:val="nil"/>
              <w:left w:val="nil"/>
              <w:bottom w:val="nil"/>
              <w:right w:val="single" w:sz="4" w:space="0" w:color="000000"/>
            </w:tcBorders>
            <w:shd w:val="clear" w:color="00FFFF" w:fill="FFFFFF"/>
            <w:hideMark/>
          </w:tcPr>
          <w:p w14:paraId="3093F5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 Política.</w:t>
            </w:r>
          </w:p>
        </w:tc>
        <w:tc>
          <w:tcPr>
            <w:tcW w:w="3798" w:type="dxa"/>
            <w:tcBorders>
              <w:top w:val="nil"/>
              <w:left w:val="nil"/>
              <w:bottom w:val="nil"/>
              <w:right w:val="single" w:sz="4" w:space="0" w:color="000000"/>
            </w:tcBorders>
            <w:shd w:val="clear" w:color="00FFFF" w:fill="FFFFFF"/>
            <w:hideMark/>
          </w:tcPr>
          <w:p w14:paraId="372B8B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 Política.</w:t>
            </w:r>
          </w:p>
        </w:tc>
        <w:tc>
          <w:tcPr>
            <w:tcW w:w="1480" w:type="dxa"/>
            <w:tcBorders>
              <w:top w:val="nil"/>
              <w:left w:val="nil"/>
              <w:bottom w:val="nil"/>
              <w:right w:val="single" w:sz="4" w:space="0" w:color="000000"/>
            </w:tcBorders>
            <w:shd w:val="clear" w:color="000000" w:fill="FFFFFF"/>
            <w:hideMark/>
          </w:tcPr>
          <w:p w14:paraId="1C85EB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F90E21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89DA6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Las del Congreso de la República se realizarán el segundo domingo de marzo del respectivo año.  </w:t>
            </w:r>
          </w:p>
        </w:tc>
        <w:tc>
          <w:tcPr>
            <w:tcW w:w="3798" w:type="dxa"/>
            <w:tcBorders>
              <w:top w:val="nil"/>
              <w:left w:val="nil"/>
              <w:bottom w:val="nil"/>
              <w:right w:val="single" w:sz="4" w:space="0" w:color="000000"/>
            </w:tcBorders>
            <w:shd w:val="clear" w:color="00FFFF" w:fill="FFFFFF"/>
            <w:hideMark/>
          </w:tcPr>
          <w:p w14:paraId="431904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Las del Congreso de la República se realizarán el segundo domingo de marzo del respectivo año.</w:t>
            </w:r>
          </w:p>
        </w:tc>
        <w:tc>
          <w:tcPr>
            <w:tcW w:w="3798" w:type="dxa"/>
            <w:tcBorders>
              <w:top w:val="nil"/>
              <w:left w:val="nil"/>
              <w:bottom w:val="nil"/>
              <w:right w:val="single" w:sz="4" w:space="0" w:color="000000"/>
            </w:tcBorders>
            <w:shd w:val="clear" w:color="00FFFF" w:fill="FFFFFF"/>
            <w:hideMark/>
          </w:tcPr>
          <w:p w14:paraId="31CD68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Las del Congreso de la República se realizarán el segundo domingo de marzo del respectivo año.</w:t>
            </w:r>
          </w:p>
        </w:tc>
        <w:tc>
          <w:tcPr>
            <w:tcW w:w="1480" w:type="dxa"/>
            <w:tcBorders>
              <w:top w:val="nil"/>
              <w:left w:val="nil"/>
              <w:bottom w:val="nil"/>
              <w:right w:val="single" w:sz="4" w:space="0" w:color="000000"/>
            </w:tcBorders>
            <w:shd w:val="clear" w:color="000000" w:fill="FFFFFF"/>
            <w:hideMark/>
          </w:tcPr>
          <w:p w14:paraId="303E42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A8283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43EF7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Las de gobernadores, alcaldes, diputados, concejales y ediles o, bien, miembros de juntas administradoras locales se realizarán el segundo domingo del mes de septiembre del respectivo año. </w:t>
            </w:r>
          </w:p>
        </w:tc>
        <w:tc>
          <w:tcPr>
            <w:tcW w:w="3798" w:type="dxa"/>
            <w:tcBorders>
              <w:top w:val="nil"/>
              <w:left w:val="nil"/>
              <w:bottom w:val="nil"/>
              <w:right w:val="single" w:sz="4" w:space="0" w:color="000000"/>
            </w:tcBorders>
            <w:shd w:val="clear" w:color="00FFFF" w:fill="FFFFFF"/>
            <w:hideMark/>
          </w:tcPr>
          <w:p w14:paraId="0EBA42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Las de gobernadores, alcaldes, diputados, concejales y ediles o, bien, miembros de juntas administradoras locales se realizarán el último domingo del mes de septiembre del respectivo año.</w:t>
            </w:r>
          </w:p>
        </w:tc>
        <w:tc>
          <w:tcPr>
            <w:tcW w:w="3798" w:type="dxa"/>
            <w:tcBorders>
              <w:top w:val="nil"/>
              <w:left w:val="nil"/>
              <w:bottom w:val="nil"/>
              <w:right w:val="single" w:sz="4" w:space="0" w:color="000000"/>
            </w:tcBorders>
            <w:shd w:val="clear" w:color="00FFFF" w:fill="FFFFFF"/>
            <w:hideMark/>
          </w:tcPr>
          <w:p w14:paraId="1A8E39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Las de gobernadores, alcaldes, diputados, concejales y ediles o, bien, miembros de juntas administradoras locales se realizarán el último domingo del mes de septiembre del respectivo año.</w:t>
            </w:r>
          </w:p>
        </w:tc>
        <w:tc>
          <w:tcPr>
            <w:tcW w:w="1480" w:type="dxa"/>
            <w:tcBorders>
              <w:top w:val="nil"/>
              <w:left w:val="nil"/>
              <w:bottom w:val="nil"/>
              <w:right w:val="single" w:sz="4" w:space="0" w:color="000000"/>
            </w:tcBorders>
            <w:shd w:val="clear" w:color="000000" w:fill="FFFFFF"/>
            <w:hideMark/>
          </w:tcPr>
          <w:p w14:paraId="5D3FA4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2AC3F6"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671B9E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 </w:t>
            </w:r>
          </w:p>
        </w:tc>
        <w:tc>
          <w:tcPr>
            <w:tcW w:w="3798" w:type="dxa"/>
            <w:tcBorders>
              <w:top w:val="nil"/>
              <w:left w:val="nil"/>
              <w:bottom w:val="single" w:sz="4" w:space="0" w:color="000000"/>
              <w:right w:val="single" w:sz="4" w:space="0" w:color="000000"/>
            </w:tcBorders>
            <w:shd w:val="clear" w:color="00FFFF" w:fill="FFFFFF"/>
            <w:hideMark/>
          </w:tcPr>
          <w:p w14:paraId="29958F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w:t>
            </w:r>
          </w:p>
        </w:tc>
        <w:tc>
          <w:tcPr>
            <w:tcW w:w="3798" w:type="dxa"/>
            <w:tcBorders>
              <w:top w:val="nil"/>
              <w:left w:val="nil"/>
              <w:bottom w:val="single" w:sz="4" w:space="0" w:color="000000"/>
              <w:right w:val="single" w:sz="4" w:space="0" w:color="000000"/>
            </w:tcBorders>
            <w:shd w:val="clear" w:color="00FFFF" w:fill="FFFFFF"/>
            <w:hideMark/>
          </w:tcPr>
          <w:p w14:paraId="69B3AC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w:t>
            </w:r>
          </w:p>
        </w:tc>
        <w:tc>
          <w:tcPr>
            <w:tcW w:w="1480" w:type="dxa"/>
            <w:tcBorders>
              <w:top w:val="nil"/>
              <w:left w:val="nil"/>
              <w:bottom w:val="nil"/>
              <w:right w:val="single" w:sz="4" w:space="0" w:color="000000"/>
            </w:tcBorders>
            <w:shd w:val="clear" w:color="000000" w:fill="FFFFFF"/>
            <w:hideMark/>
          </w:tcPr>
          <w:p w14:paraId="2CF990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7C9B4C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CACBFA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152. Modalidades del voto.</w:t>
            </w:r>
            <w:r w:rsidRPr="00222F34">
              <w:rPr>
                <w:rFonts w:ascii="Calibri" w:eastAsia="Times New Roman" w:hAnsi="Calibri" w:cs="Calibri"/>
                <w:color w:val="000000"/>
                <w:lang w:val="es-CO" w:eastAsia="es-CO" w:bidi="ar-SA"/>
              </w:rPr>
              <w:t xml:space="preserve"> De acuerdo con las reglamentaciones técnicas y logísticas que expida la Registraduría Nacional del Estado Civil, el voto será presencial, en las siguientes modalidades:</w:t>
            </w:r>
          </w:p>
        </w:tc>
        <w:tc>
          <w:tcPr>
            <w:tcW w:w="3798" w:type="dxa"/>
            <w:tcBorders>
              <w:top w:val="nil"/>
              <w:left w:val="nil"/>
              <w:bottom w:val="nil"/>
              <w:right w:val="single" w:sz="4" w:space="0" w:color="000000"/>
            </w:tcBorders>
            <w:shd w:val="clear" w:color="000000" w:fill="FFFFFF"/>
            <w:hideMark/>
          </w:tcPr>
          <w:p w14:paraId="3A4183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156. Modalidades del voto.</w:t>
            </w:r>
            <w:r w:rsidRPr="00222F34">
              <w:rPr>
                <w:rFonts w:ascii="Calibri" w:eastAsia="Times New Roman" w:hAnsi="Calibri" w:cs="Calibri"/>
                <w:color w:val="000000"/>
                <w:lang w:val="es-CO" w:eastAsia="es-CO" w:bidi="ar-SA"/>
              </w:rPr>
              <w:t xml:space="preserve"> De acuerdo con las reglamentaciones técnicas y logísticas que expida la Registraduría Nacional del Estado Civil, el voto será presencial, en las siguientes modalidades:</w:t>
            </w:r>
          </w:p>
        </w:tc>
        <w:tc>
          <w:tcPr>
            <w:tcW w:w="3798" w:type="dxa"/>
            <w:tcBorders>
              <w:top w:val="nil"/>
              <w:left w:val="nil"/>
              <w:bottom w:val="nil"/>
              <w:right w:val="single" w:sz="4" w:space="0" w:color="000000"/>
            </w:tcBorders>
            <w:shd w:val="clear" w:color="000000" w:fill="FFFFFF"/>
            <w:hideMark/>
          </w:tcPr>
          <w:p w14:paraId="7E6435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156. Modalidades del voto.</w:t>
            </w:r>
            <w:r w:rsidRPr="00222F34">
              <w:rPr>
                <w:rFonts w:ascii="Calibri" w:eastAsia="Times New Roman" w:hAnsi="Calibri" w:cs="Calibri"/>
                <w:color w:val="000000"/>
                <w:lang w:val="es-CO" w:eastAsia="es-CO" w:bidi="ar-SA"/>
              </w:rPr>
              <w:t xml:space="preserve"> De acuerdo con las reglamentaciones técnicas y logísticas que expida la Registraduría Nacional del Estado Civil, el voto será presencial, en las siguientes modalidades:</w:t>
            </w:r>
          </w:p>
        </w:tc>
        <w:tc>
          <w:tcPr>
            <w:tcW w:w="1480" w:type="dxa"/>
            <w:tcBorders>
              <w:top w:val="single" w:sz="4" w:space="0" w:color="000000"/>
              <w:left w:val="nil"/>
              <w:bottom w:val="nil"/>
              <w:right w:val="single" w:sz="4" w:space="0" w:color="000000"/>
            </w:tcBorders>
            <w:shd w:val="clear" w:color="000000" w:fill="FFFFFF"/>
            <w:hideMark/>
          </w:tcPr>
          <w:p w14:paraId="655C7A38" w14:textId="068F997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2CE1AE1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027ED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Voto manual. Es el que marca el votante de su puño y letra en la tarjeta electoral física que le suministra la autoridad electoral correspondiente, y que deposita en la urna dispuesta para el efecto ante el jurado de votación. </w:t>
            </w:r>
          </w:p>
        </w:tc>
        <w:tc>
          <w:tcPr>
            <w:tcW w:w="3798" w:type="dxa"/>
            <w:tcBorders>
              <w:top w:val="nil"/>
              <w:left w:val="nil"/>
              <w:bottom w:val="nil"/>
              <w:right w:val="single" w:sz="4" w:space="0" w:color="000000"/>
            </w:tcBorders>
            <w:shd w:val="clear" w:color="000000" w:fill="FFFFFF"/>
            <w:hideMark/>
          </w:tcPr>
          <w:p w14:paraId="16D44F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Voto manual. Es el que marca el votante de su puño y letra en la tarjeta electoral física que le suministra la autoridad electoral correspondiente, y que deposita en la urna dispuesta para el efecto ante el jurado de votación.</w:t>
            </w:r>
          </w:p>
        </w:tc>
        <w:tc>
          <w:tcPr>
            <w:tcW w:w="3798" w:type="dxa"/>
            <w:tcBorders>
              <w:top w:val="nil"/>
              <w:left w:val="nil"/>
              <w:bottom w:val="nil"/>
              <w:right w:val="single" w:sz="4" w:space="0" w:color="000000"/>
            </w:tcBorders>
            <w:shd w:val="clear" w:color="000000" w:fill="FFFFFF"/>
            <w:hideMark/>
          </w:tcPr>
          <w:p w14:paraId="69F7A7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Voto manual. Es el que marca el votante de su puño y letra en la tarjeta electoral física que le suministra la autoridad electoral correspondiente, y que deposita en la urna dispuesta para el efecto ante el jurado de votación.</w:t>
            </w:r>
          </w:p>
        </w:tc>
        <w:tc>
          <w:tcPr>
            <w:tcW w:w="1480" w:type="dxa"/>
            <w:tcBorders>
              <w:top w:val="nil"/>
              <w:left w:val="nil"/>
              <w:bottom w:val="nil"/>
              <w:right w:val="single" w:sz="4" w:space="0" w:color="000000"/>
            </w:tcBorders>
            <w:shd w:val="clear" w:color="000000" w:fill="FFFFFF"/>
            <w:hideMark/>
          </w:tcPr>
          <w:p w14:paraId="5CE088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3DA347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8E020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b. Voto electrónico mixto. 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  </w:t>
            </w:r>
          </w:p>
        </w:tc>
        <w:tc>
          <w:tcPr>
            <w:tcW w:w="3798" w:type="dxa"/>
            <w:tcBorders>
              <w:top w:val="nil"/>
              <w:left w:val="nil"/>
              <w:bottom w:val="nil"/>
              <w:right w:val="single" w:sz="4" w:space="0" w:color="000000"/>
            </w:tcBorders>
            <w:shd w:val="clear" w:color="000000" w:fill="FFFFFF"/>
            <w:hideMark/>
          </w:tcPr>
          <w:p w14:paraId="7953D2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Voto electrónico mixto. 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w:t>
            </w:r>
          </w:p>
        </w:tc>
        <w:tc>
          <w:tcPr>
            <w:tcW w:w="3798" w:type="dxa"/>
            <w:tcBorders>
              <w:top w:val="nil"/>
              <w:left w:val="nil"/>
              <w:bottom w:val="nil"/>
              <w:right w:val="single" w:sz="4" w:space="0" w:color="000000"/>
            </w:tcBorders>
            <w:shd w:val="clear" w:color="000000" w:fill="FFFFFF"/>
            <w:hideMark/>
          </w:tcPr>
          <w:p w14:paraId="1FAF8C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Voto electrónico mixto. 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w:t>
            </w:r>
          </w:p>
        </w:tc>
        <w:tc>
          <w:tcPr>
            <w:tcW w:w="1480" w:type="dxa"/>
            <w:tcBorders>
              <w:top w:val="nil"/>
              <w:left w:val="nil"/>
              <w:bottom w:val="nil"/>
              <w:right w:val="single" w:sz="4" w:space="0" w:color="000000"/>
            </w:tcBorders>
            <w:shd w:val="clear" w:color="000000" w:fill="FFFFFF"/>
            <w:hideMark/>
          </w:tcPr>
          <w:p w14:paraId="2CA93E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7F7C0C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51B30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diferencia entre los votos consignados en la máquina y las constancias de voto depositados en la urna, prevalecerán estas últimas.   </w:t>
            </w:r>
          </w:p>
        </w:tc>
        <w:tc>
          <w:tcPr>
            <w:tcW w:w="3798" w:type="dxa"/>
            <w:tcBorders>
              <w:top w:val="nil"/>
              <w:left w:val="nil"/>
              <w:bottom w:val="nil"/>
              <w:right w:val="single" w:sz="4" w:space="0" w:color="000000"/>
            </w:tcBorders>
            <w:shd w:val="clear" w:color="000000" w:fill="FFFFFF"/>
            <w:hideMark/>
          </w:tcPr>
          <w:p w14:paraId="4F0DD6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diferencia entre los votos consignados en la máquina y las constancias de voto depositados en la urna, prevalecerán estas últimas.</w:t>
            </w:r>
          </w:p>
        </w:tc>
        <w:tc>
          <w:tcPr>
            <w:tcW w:w="3798" w:type="dxa"/>
            <w:tcBorders>
              <w:top w:val="nil"/>
              <w:left w:val="nil"/>
              <w:bottom w:val="nil"/>
              <w:right w:val="single" w:sz="4" w:space="0" w:color="000000"/>
            </w:tcBorders>
            <w:shd w:val="clear" w:color="000000" w:fill="FFFFFF"/>
            <w:hideMark/>
          </w:tcPr>
          <w:p w14:paraId="60E15C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diferencia entre los votos consignados en la máquina y las constancias de voto depositados en la urna, prevalecerán estas últimas.</w:t>
            </w:r>
          </w:p>
        </w:tc>
        <w:tc>
          <w:tcPr>
            <w:tcW w:w="1480" w:type="dxa"/>
            <w:tcBorders>
              <w:top w:val="nil"/>
              <w:left w:val="nil"/>
              <w:bottom w:val="nil"/>
              <w:right w:val="single" w:sz="4" w:space="0" w:color="000000"/>
            </w:tcBorders>
            <w:shd w:val="clear" w:color="000000" w:fill="FFFFFF"/>
            <w:hideMark/>
          </w:tcPr>
          <w:p w14:paraId="40A368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7CCDC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6ABA9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Voto anticipado. Es el depositado fuera del territorio nacional con anterioridad a la fecha del evento electoral correspondiente, de forma presencial, en el lugar que se determine para tal fin.  </w:t>
            </w:r>
          </w:p>
        </w:tc>
        <w:tc>
          <w:tcPr>
            <w:tcW w:w="3798" w:type="dxa"/>
            <w:tcBorders>
              <w:top w:val="nil"/>
              <w:left w:val="nil"/>
              <w:bottom w:val="nil"/>
              <w:right w:val="single" w:sz="4" w:space="0" w:color="000000"/>
            </w:tcBorders>
            <w:shd w:val="clear" w:color="000000" w:fill="FFFFFF"/>
            <w:hideMark/>
          </w:tcPr>
          <w:p w14:paraId="129AFB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Voto anticipado. Es el depositado fuera del territorio nacional con anterioridad a la fecha del evento electoral correspondiente, de forma presencial, en el lugar que se determine para tal fin.</w:t>
            </w:r>
          </w:p>
        </w:tc>
        <w:tc>
          <w:tcPr>
            <w:tcW w:w="3798" w:type="dxa"/>
            <w:tcBorders>
              <w:top w:val="nil"/>
              <w:left w:val="nil"/>
              <w:bottom w:val="nil"/>
              <w:right w:val="single" w:sz="4" w:space="0" w:color="000000"/>
            </w:tcBorders>
            <w:shd w:val="clear" w:color="000000" w:fill="FFFFFF"/>
            <w:hideMark/>
          </w:tcPr>
          <w:p w14:paraId="5EB78F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Voto anticipado. Es el depositado fuera del territorio nacional con anterioridad a la fecha del evento electoral correspondiente, de forma presencial, en el lugar que se determine para tal fin.</w:t>
            </w:r>
          </w:p>
        </w:tc>
        <w:tc>
          <w:tcPr>
            <w:tcW w:w="1480" w:type="dxa"/>
            <w:tcBorders>
              <w:top w:val="nil"/>
              <w:left w:val="nil"/>
              <w:bottom w:val="nil"/>
              <w:right w:val="single" w:sz="4" w:space="0" w:color="000000"/>
            </w:tcBorders>
            <w:shd w:val="clear" w:color="000000" w:fill="FFFFFF"/>
            <w:hideMark/>
          </w:tcPr>
          <w:p w14:paraId="43106E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CBEE01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6EEDD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No se podrán dar a conocer los resultados de manera anticipada. El escrutinio se realizará en la forma indicada en este código.</w:t>
            </w:r>
          </w:p>
        </w:tc>
        <w:tc>
          <w:tcPr>
            <w:tcW w:w="3798" w:type="dxa"/>
            <w:tcBorders>
              <w:top w:val="nil"/>
              <w:left w:val="nil"/>
              <w:bottom w:val="nil"/>
              <w:right w:val="single" w:sz="4" w:space="0" w:color="000000"/>
            </w:tcBorders>
            <w:shd w:val="clear" w:color="000000" w:fill="FFFFFF"/>
            <w:hideMark/>
          </w:tcPr>
          <w:p w14:paraId="64B736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No se podrán dar a conocer los resultados de manera anticipada. El escrutinio se realizará en la forma indicada en este código.</w:t>
            </w:r>
          </w:p>
        </w:tc>
        <w:tc>
          <w:tcPr>
            <w:tcW w:w="3798" w:type="dxa"/>
            <w:tcBorders>
              <w:top w:val="nil"/>
              <w:left w:val="nil"/>
              <w:bottom w:val="nil"/>
              <w:right w:val="single" w:sz="4" w:space="0" w:color="000000"/>
            </w:tcBorders>
            <w:shd w:val="clear" w:color="000000" w:fill="FFFFFF"/>
            <w:hideMark/>
          </w:tcPr>
          <w:p w14:paraId="63B3C8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No se podrán dar a conocer los resultados de manera anticipada. El escrutinio se realizará en la forma indicada en este código.</w:t>
            </w:r>
          </w:p>
        </w:tc>
        <w:tc>
          <w:tcPr>
            <w:tcW w:w="1480" w:type="dxa"/>
            <w:tcBorders>
              <w:top w:val="nil"/>
              <w:left w:val="nil"/>
              <w:bottom w:val="nil"/>
              <w:right w:val="single" w:sz="4" w:space="0" w:color="000000"/>
            </w:tcBorders>
            <w:shd w:val="clear" w:color="000000" w:fill="FFFFFF"/>
            <w:hideMark/>
          </w:tcPr>
          <w:p w14:paraId="033253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30B699"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1A6B5D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Se garantizará que la arquitectura y el código fuente de la tecnología que se implemente para el voto electrónico mixto y para el voto electrónico sea auditable en los términos de esta ley. </w:t>
            </w:r>
          </w:p>
        </w:tc>
        <w:tc>
          <w:tcPr>
            <w:tcW w:w="3798" w:type="dxa"/>
            <w:tcBorders>
              <w:top w:val="nil"/>
              <w:left w:val="nil"/>
              <w:bottom w:val="nil"/>
              <w:right w:val="single" w:sz="4" w:space="0" w:color="000000"/>
            </w:tcBorders>
            <w:shd w:val="clear" w:color="000000" w:fill="FFFFFF"/>
            <w:hideMark/>
          </w:tcPr>
          <w:p w14:paraId="739A8C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Se garantizará que la arquitectura y el código fuente de la tecnología que se implemente para el voto electrónico mixto sea auditable en los términos de esta ley.</w:t>
            </w:r>
          </w:p>
        </w:tc>
        <w:tc>
          <w:tcPr>
            <w:tcW w:w="3798" w:type="dxa"/>
            <w:tcBorders>
              <w:top w:val="nil"/>
              <w:left w:val="nil"/>
              <w:bottom w:val="nil"/>
              <w:right w:val="single" w:sz="4" w:space="0" w:color="000000"/>
            </w:tcBorders>
            <w:shd w:val="clear" w:color="000000" w:fill="FFFFFF"/>
            <w:hideMark/>
          </w:tcPr>
          <w:p w14:paraId="0AFC19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Se garantizará que la arquitectura y el código fuente de la tecnología que se implemente para el voto electrónico mixto sea auditable en los términos de esta ley.</w:t>
            </w:r>
          </w:p>
        </w:tc>
        <w:tc>
          <w:tcPr>
            <w:tcW w:w="1480" w:type="dxa"/>
            <w:tcBorders>
              <w:top w:val="nil"/>
              <w:left w:val="nil"/>
              <w:bottom w:val="nil"/>
              <w:right w:val="single" w:sz="4" w:space="0" w:color="000000"/>
            </w:tcBorders>
            <w:shd w:val="clear" w:color="000000" w:fill="FFFFFF"/>
            <w:hideMark/>
          </w:tcPr>
          <w:p w14:paraId="047B95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BA09A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BD9BC5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2. </w:t>
            </w:r>
            <w:r w:rsidRPr="00222F34">
              <w:rPr>
                <w:rFonts w:ascii="Calibri" w:eastAsia="Times New Roman" w:hAnsi="Calibri" w:cs="Calibri"/>
                <w:color w:val="000000"/>
                <w:lang w:val="es-CO" w:eastAsia="es-CO" w:bidi="ar-SA"/>
              </w:rPr>
              <w:t>Previa realización de la jornada electoral en donde se utilicen las modalidades de voto electrónico mixto y de voto electrónico se efectuarán los simulacros y auditoria que garanticen el adecuado funcionamiento del Software implementado.</w:t>
            </w:r>
          </w:p>
        </w:tc>
        <w:tc>
          <w:tcPr>
            <w:tcW w:w="3798" w:type="dxa"/>
            <w:tcBorders>
              <w:top w:val="nil"/>
              <w:left w:val="nil"/>
              <w:bottom w:val="nil"/>
              <w:right w:val="single" w:sz="4" w:space="0" w:color="000000"/>
            </w:tcBorders>
            <w:shd w:val="clear" w:color="000000" w:fill="FFFFFF"/>
            <w:hideMark/>
          </w:tcPr>
          <w:p w14:paraId="5B1BF8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Previa realización de la jornada electoral en donde se utilicen las modalidades de voto electrónico mixto se efectuarán los simulacros y auditoría que garanticen el adecuado funcionamiento del Software implementado.</w:t>
            </w:r>
          </w:p>
        </w:tc>
        <w:tc>
          <w:tcPr>
            <w:tcW w:w="3798" w:type="dxa"/>
            <w:tcBorders>
              <w:top w:val="nil"/>
              <w:left w:val="nil"/>
              <w:bottom w:val="nil"/>
              <w:right w:val="single" w:sz="4" w:space="0" w:color="000000"/>
            </w:tcBorders>
            <w:shd w:val="clear" w:color="000000" w:fill="FFFFFF"/>
            <w:hideMark/>
          </w:tcPr>
          <w:p w14:paraId="5B23BE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Previa realización de la jornada electoral en donde se utilicen las modalidades de voto electrónico mixto se efectuarán los simulacros y auditoría que garanticen el adecuado funcionamiento del Software implementado.</w:t>
            </w:r>
          </w:p>
        </w:tc>
        <w:tc>
          <w:tcPr>
            <w:tcW w:w="1480" w:type="dxa"/>
            <w:tcBorders>
              <w:top w:val="nil"/>
              <w:left w:val="nil"/>
              <w:bottom w:val="nil"/>
              <w:right w:val="single" w:sz="4" w:space="0" w:color="000000"/>
            </w:tcBorders>
            <w:shd w:val="clear" w:color="000000" w:fill="FFFFFF"/>
            <w:hideMark/>
          </w:tcPr>
          <w:p w14:paraId="055367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476664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B11714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La Registraduría Nacional del Estado Civil y el Consejo Nacional Electoral efectuarán la pedagogía necesaria que garantice la adecuada comprensión de las modalidades de voto consagradas en el presente artículo.</w:t>
            </w: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4732DB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y el Consejo Nacional Electoral efectuarán la pedagogía necesaria que garantice la adecuada comprensión de las modalidades de voto consagradas en el presente artículo.</w:t>
            </w:r>
          </w:p>
        </w:tc>
        <w:tc>
          <w:tcPr>
            <w:tcW w:w="3798" w:type="dxa"/>
            <w:tcBorders>
              <w:top w:val="nil"/>
              <w:left w:val="nil"/>
              <w:bottom w:val="nil"/>
              <w:right w:val="single" w:sz="4" w:space="0" w:color="000000"/>
            </w:tcBorders>
            <w:shd w:val="clear" w:color="000000" w:fill="FFFFFF"/>
            <w:hideMark/>
          </w:tcPr>
          <w:p w14:paraId="0513E9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y el Consejo Nacional Electoral efectuarán la pedagogía necesaria que garantice la adecuada comprensión de las modalidades de voto consagradas en el presente artículo.</w:t>
            </w:r>
          </w:p>
        </w:tc>
        <w:tc>
          <w:tcPr>
            <w:tcW w:w="1480" w:type="dxa"/>
            <w:tcBorders>
              <w:top w:val="nil"/>
              <w:left w:val="nil"/>
              <w:bottom w:val="nil"/>
              <w:right w:val="single" w:sz="4" w:space="0" w:color="000000"/>
            </w:tcBorders>
            <w:shd w:val="clear" w:color="000000" w:fill="FFFFFF"/>
            <w:hideMark/>
          </w:tcPr>
          <w:p w14:paraId="67E417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9B2563"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D3F0F8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El voto electrónico mixto entrará en vigencia a partir del 2029.</w:t>
            </w:r>
          </w:p>
        </w:tc>
        <w:tc>
          <w:tcPr>
            <w:tcW w:w="3798" w:type="dxa"/>
            <w:tcBorders>
              <w:top w:val="nil"/>
              <w:left w:val="nil"/>
              <w:bottom w:val="single" w:sz="4" w:space="0" w:color="000000"/>
              <w:right w:val="single" w:sz="4" w:space="0" w:color="000000"/>
            </w:tcBorders>
            <w:shd w:val="clear" w:color="000000" w:fill="FFFFFF"/>
            <w:hideMark/>
          </w:tcPr>
          <w:p w14:paraId="3742B3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voto electrónico mixto entrará en vigencia a partir del 2029.</w:t>
            </w:r>
          </w:p>
        </w:tc>
        <w:tc>
          <w:tcPr>
            <w:tcW w:w="3798" w:type="dxa"/>
            <w:tcBorders>
              <w:top w:val="nil"/>
              <w:left w:val="nil"/>
              <w:bottom w:val="single" w:sz="4" w:space="0" w:color="000000"/>
              <w:right w:val="single" w:sz="4" w:space="0" w:color="000000"/>
            </w:tcBorders>
            <w:shd w:val="clear" w:color="000000" w:fill="FFFFFF"/>
            <w:hideMark/>
          </w:tcPr>
          <w:p w14:paraId="14FCC8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voto electrónico mixto entrará en vigencia a partir del 2029.</w:t>
            </w:r>
          </w:p>
        </w:tc>
        <w:tc>
          <w:tcPr>
            <w:tcW w:w="1480" w:type="dxa"/>
            <w:tcBorders>
              <w:top w:val="nil"/>
              <w:left w:val="nil"/>
              <w:bottom w:val="nil"/>
              <w:right w:val="single" w:sz="4" w:space="0" w:color="000000"/>
            </w:tcBorders>
            <w:shd w:val="clear" w:color="000000" w:fill="FFFFFF"/>
            <w:hideMark/>
          </w:tcPr>
          <w:p w14:paraId="40A9EA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247794" w14:textId="77777777" w:rsidTr="00222F34">
        <w:trPr>
          <w:trHeight w:val="960"/>
        </w:trPr>
        <w:tc>
          <w:tcPr>
            <w:tcW w:w="3798" w:type="dxa"/>
            <w:tcBorders>
              <w:top w:val="nil"/>
              <w:left w:val="single" w:sz="4" w:space="0" w:color="000000"/>
              <w:bottom w:val="nil"/>
              <w:right w:val="single" w:sz="4" w:space="0" w:color="000000"/>
            </w:tcBorders>
            <w:shd w:val="clear" w:color="000000" w:fill="FFFFFF"/>
            <w:hideMark/>
          </w:tcPr>
          <w:p w14:paraId="47F62D5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-153. Instrumentos de votación.</w:t>
            </w:r>
            <w:r w:rsidRPr="00222F34">
              <w:rPr>
                <w:rFonts w:ascii="Calibri" w:eastAsia="Times New Roman" w:hAnsi="Calibri" w:cs="Calibri"/>
                <w:color w:val="000000"/>
                <w:lang w:val="es-CO" w:eastAsia="es-CO" w:bidi="ar-SA"/>
              </w:rPr>
              <w:t xml:space="preserve"> La Registraduría Nacional del Estado Civil diseñará los instrumentos de votación físicos y/o a través de sistemas tecnológicamente asistidos, con las debidas y necesarias medidas de seguridad y accesibilidad.  </w:t>
            </w:r>
          </w:p>
        </w:tc>
        <w:tc>
          <w:tcPr>
            <w:tcW w:w="3798" w:type="dxa"/>
            <w:tcBorders>
              <w:top w:val="nil"/>
              <w:left w:val="nil"/>
              <w:bottom w:val="nil"/>
              <w:right w:val="single" w:sz="4" w:space="0" w:color="000000"/>
            </w:tcBorders>
            <w:shd w:val="clear" w:color="000000" w:fill="FFFFFF"/>
            <w:hideMark/>
          </w:tcPr>
          <w:p w14:paraId="4A355A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157. Instrumentos de votación. </w:t>
            </w:r>
            <w:r w:rsidRPr="00222F34">
              <w:rPr>
                <w:rFonts w:ascii="Calibri" w:eastAsia="Times New Roman" w:hAnsi="Calibri" w:cs="Calibri"/>
                <w:color w:val="000000"/>
                <w:lang w:val="es-CO" w:eastAsia="es-CO" w:bidi="ar-SA"/>
              </w:rPr>
              <w:t>La Registraduría Nacional del Estado Civil diseñará los instrumentos de votación físicos y/o a través de sistemas tecnológicamente asistidos, con las debidas y necesarias medidas de seguridad y accesibilidad.</w:t>
            </w:r>
          </w:p>
        </w:tc>
        <w:tc>
          <w:tcPr>
            <w:tcW w:w="3798" w:type="dxa"/>
            <w:tcBorders>
              <w:top w:val="nil"/>
              <w:left w:val="nil"/>
              <w:bottom w:val="nil"/>
              <w:right w:val="single" w:sz="4" w:space="0" w:color="000000"/>
            </w:tcBorders>
            <w:shd w:val="clear" w:color="000000" w:fill="FFFFFF"/>
            <w:hideMark/>
          </w:tcPr>
          <w:p w14:paraId="7BED78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157. Instrumentos de votación. </w:t>
            </w:r>
            <w:r w:rsidRPr="00222F34">
              <w:rPr>
                <w:rFonts w:ascii="Calibri" w:eastAsia="Times New Roman" w:hAnsi="Calibri" w:cs="Calibri"/>
                <w:color w:val="000000"/>
                <w:lang w:val="es-CO" w:eastAsia="es-CO" w:bidi="ar-SA"/>
              </w:rPr>
              <w:t>La Registraduría Nacional del Estado Civil diseñará los instrumentos de votación físicos y/o a través de sistemas tecnológicamente asistidos, con las debidas y necesarias medidas de seguridad y accesibilidad.</w:t>
            </w:r>
          </w:p>
        </w:tc>
        <w:tc>
          <w:tcPr>
            <w:tcW w:w="1480" w:type="dxa"/>
            <w:tcBorders>
              <w:top w:val="single" w:sz="4" w:space="0" w:color="000000"/>
              <w:left w:val="nil"/>
              <w:bottom w:val="nil"/>
              <w:right w:val="single" w:sz="4" w:space="0" w:color="000000"/>
            </w:tcBorders>
            <w:shd w:val="clear" w:color="000000" w:fill="FFFFFF"/>
            <w:hideMark/>
          </w:tcPr>
          <w:p w14:paraId="602F217C" w14:textId="3205E9C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02E94F9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10C20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candidatos y listas aparecerán en la tarjeta electoral en igualdad de condiciones, posterior al sorteo de la posición que ocuparán los candidatos a cargos uninominales y los logo símbolos en corporaciones públicas. El sorteo </w:t>
            </w:r>
            <w:r w:rsidRPr="00222F34">
              <w:rPr>
                <w:rFonts w:ascii="Calibri" w:eastAsia="Times New Roman" w:hAnsi="Calibri" w:cs="Calibri"/>
                <w:color w:val="000000"/>
                <w:lang w:val="es-CO" w:eastAsia="es-CO" w:bidi="ar-SA"/>
              </w:rPr>
              <w:lastRenderedPageBreak/>
              <w:t xml:space="preserve">estará a cargo de la Registraduría Nacional del Estado Civil. </w:t>
            </w:r>
          </w:p>
        </w:tc>
        <w:tc>
          <w:tcPr>
            <w:tcW w:w="3798" w:type="dxa"/>
            <w:tcBorders>
              <w:top w:val="nil"/>
              <w:left w:val="nil"/>
              <w:bottom w:val="nil"/>
              <w:right w:val="single" w:sz="4" w:space="0" w:color="000000"/>
            </w:tcBorders>
            <w:shd w:val="clear" w:color="000000" w:fill="FFFFFF"/>
            <w:hideMark/>
          </w:tcPr>
          <w:p w14:paraId="195960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candidatos y listas aparecerán en la tarjeta electoral en igualdad de condiciones, posterior al sorteo de la posición que ocuparán los candidatos a cargos uninominales y los logo símbolos en corporaciones públicas. El sorteo </w:t>
            </w:r>
            <w:r w:rsidRPr="00222F34">
              <w:rPr>
                <w:rFonts w:ascii="Calibri" w:eastAsia="Times New Roman" w:hAnsi="Calibri" w:cs="Calibri"/>
                <w:color w:val="000000"/>
                <w:lang w:val="es-CO" w:eastAsia="es-CO" w:bidi="ar-SA"/>
              </w:rPr>
              <w:lastRenderedPageBreak/>
              <w:t>estará a cargo de la Registraduría Nacional del Estado Civil.</w:t>
            </w:r>
          </w:p>
        </w:tc>
        <w:tc>
          <w:tcPr>
            <w:tcW w:w="3798" w:type="dxa"/>
            <w:tcBorders>
              <w:top w:val="nil"/>
              <w:left w:val="nil"/>
              <w:bottom w:val="nil"/>
              <w:right w:val="single" w:sz="4" w:space="0" w:color="000000"/>
            </w:tcBorders>
            <w:shd w:val="clear" w:color="000000" w:fill="FFFFFF"/>
            <w:hideMark/>
          </w:tcPr>
          <w:p w14:paraId="14C68E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candidatos y listas aparecerán en la tarjeta electoral en igualdad de condiciones, posterior al sorteo de la posición que ocuparán los candidatos a cargos uninominales y los logo símbolos en corporaciones públicas. El sorteo </w:t>
            </w:r>
            <w:r w:rsidRPr="00222F34">
              <w:rPr>
                <w:rFonts w:ascii="Calibri" w:eastAsia="Times New Roman" w:hAnsi="Calibri" w:cs="Calibri"/>
                <w:color w:val="000000"/>
                <w:lang w:val="es-CO" w:eastAsia="es-CO" w:bidi="ar-SA"/>
              </w:rPr>
              <w:lastRenderedPageBreak/>
              <w:t>estará a cargo de la Registraduría Nacional del Estado Civil.</w:t>
            </w:r>
          </w:p>
        </w:tc>
        <w:tc>
          <w:tcPr>
            <w:tcW w:w="1480" w:type="dxa"/>
            <w:tcBorders>
              <w:top w:val="nil"/>
              <w:left w:val="nil"/>
              <w:bottom w:val="nil"/>
              <w:right w:val="single" w:sz="4" w:space="0" w:color="000000"/>
            </w:tcBorders>
            <w:shd w:val="clear" w:color="000000" w:fill="FFFFFF"/>
            <w:hideMark/>
          </w:tcPr>
          <w:p w14:paraId="205BF5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67F3D5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B9E19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Como complemento de la tarjeta electoral podrán elaborarse cuadernillos físicos o digitales con los datos de los candidatos. </w:t>
            </w:r>
          </w:p>
        </w:tc>
        <w:tc>
          <w:tcPr>
            <w:tcW w:w="3798" w:type="dxa"/>
            <w:tcBorders>
              <w:top w:val="nil"/>
              <w:left w:val="nil"/>
              <w:bottom w:val="nil"/>
              <w:right w:val="single" w:sz="4" w:space="0" w:color="000000"/>
            </w:tcBorders>
            <w:shd w:val="clear" w:color="000000" w:fill="FFFFFF"/>
            <w:hideMark/>
          </w:tcPr>
          <w:p w14:paraId="0B4574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Como complemento de la tarjeta electoral podrán elaborarse cuadernillos físicos o digitales con los datos de los candidatos, en formatos accesibles.</w:t>
            </w:r>
          </w:p>
        </w:tc>
        <w:tc>
          <w:tcPr>
            <w:tcW w:w="3798" w:type="dxa"/>
            <w:tcBorders>
              <w:top w:val="nil"/>
              <w:left w:val="nil"/>
              <w:bottom w:val="nil"/>
              <w:right w:val="single" w:sz="4" w:space="0" w:color="000000"/>
            </w:tcBorders>
            <w:shd w:val="clear" w:color="000000" w:fill="FFFFFF"/>
            <w:hideMark/>
          </w:tcPr>
          <w:p w14:paraId="028145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Como complemento de la tarjeta electoral podrán elaborarse cuadernillos físicos o digitales con los datos de los candidatos, en formatos accesibles.</w:t>
            </w:r>
          </w:p>
        </w:tc>
        <w:tc>
          <w:tcPr>
            <w:tcW w:w="1480" w:type="dxa"/>
            <w:tcBorders>
              <w:top w:val="nil"/>
              <w:left w:val="nil"/>
              <w:bottom w:val="nil"/>
              <w:right w:val="single" w:sz="4" w:space="0" w:color="000000"/>
            </w:tcBorders>
            <w:shd w:val="clear" w:color="000000" w:fill="FFFFFF"/>
            <w:hideMark/>
          </w:tcPr>
          <w:p w14:paraId="3459DC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AA47A4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A60E6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las elecciones al Congreso de la República habrá una tarjeta electoral separada e independiente por cada circunscripción electoral en igualdad de condiciones. También habrá una sola casilla de voto en blanco para cada circunscripción. </w:t>
            </w:r>
          </w:p>
        </w:tc>
        <w:tc>
          <w:tcPr>
            <w:tcW w:w="3798" w:type="dxa"/>
            <w:tcBorders>
              <w:top w:val="nil"/>
              <w:left w:val="nil"/>
              <w:bottom w:val="nil"/>
              <w:right w:val="single" w:sz="4" w:space="0" w:color="000000"/>
            </w:tcBorders>
            <w:shd w:val="clear" w:color="000000" w:fill="FFFFFF"/>
            <w:hideMark/>
          </w:tcPr>
          <w:p w14:paraId="428724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las elecciones al Congreso de la República habrá una tarjeta electoral separada e independiente por cada circunscripción electoral en igualdad de condiciones. También habrá una sola casilla de voto en blanco para cada circunscripción.</w:t>
            </w:r>
          </w:p>
        </w:tc>
        <w:tc>
          <w:tcPr>
            <w:tcW w:w="3798" w:type="dxa"/>
            <w:tcBorders>
              <w:top w:val="nil"/>
              <w:left w:val="nil"/>
              <w:bottom w:val="nil"/>
              <w:right w:val="single" w:sz="4" w:space="0" w:color="000000"/>
            </w:tcBorders>
            <w:shd w:val="clear" w:color="000000" w:fill="FFFFFF"/>
            <w:hideMark/>
          </w:tcPr>
          <w:p w14:paraId="557E00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las elecciones al Congreso de la República habrá una tarjeta electoral separada e independiente por cada circunscripción electoral en igualdad de condiciones. También habrá una sola casilla de voto en blanco para cada circunscripción.</w:t>
            </w:r>
          </w:p>
        </w:tc>
        <w:tc>
          <w:tcPr>
            <w:tcW w:w="1480" w:type="dxa"/>
            <w:tcBorders>
              <w:top w:val="nil"/>
              <w:left w:val="nil"/>
              <w:bottom w:val="nil"/>
              <w:right w:val="single" w:sz="4" w:space="0" w:color="000000"/>
            </w:tcBorders>
            <w:shd w:val="clear" w:color="000000" w:fill="FFFFFF"/>
            <w:hideMark/>
          </w:tcPr>
          <w:p w14:paraId="5DF568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4FD61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2F4F1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elecciones locales, municipales y departamentales habrá una tarjeta electoral separada e independiente para cada corporación en igualdad de condiciones. También habrá una sola casilla de voto en blanco para cada tarjeta electoral. </w:t>
            </w:r>
          </w:p>
        </w:tc>
        <w:tc>
          <w:tcPr>
            <w:tcW w:w="3798" w:type="dxa"/>
            <w:tcBorders>
              <w:top w:val="nil"/>
              <w:left w:val="nil"/>
              <w:bottom w:val="nil"/>
              <w:right w:val="single" w:sz="4" w:space="0" w:color="000000"/>
            </w:tcBorders>
            <w:shd w:val="clear" w:color="000000" w:fill="FFFFFF"/>
            <w:hideMark/>
          </w:tcPr>
          <w:p w14:paraId="09D457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elecciones locales, municipales y departamentales habrá una tarjeta electoral separada e independiente para cada corporación en igualdad de condiciones. También habrá una sola casilla de voto en blanco para cada tarjeta electoral.</w:t>
            </w:r>
          </w:p>
        </w:tc>
        <w:tc>
          <w:tcPr>
            <w:tcW w:w="3798" w:type="dxa"/>
            <w:tcBorders>
              <w:top w:val="nil"/>
              <w:left w:val="nil"/>
              <w:bottom w:val="nil"/>
              <w:right w:val="single" w:sz="4" w:space="0" w:color="000000"/>
            </w:tcBorders>
            <w:shd w:val="clear" w:color="000000" w:fill="FFFFFF"/>
            <w:hideMark/>
          </w:tcPr>
          <w:p w14:paraId="323976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elecciones locales, municipales y departamentales habrá una tarjeta electoral separada e independiente para cada corporación en igualdad de condiciones. También habrá una sola casilla de voto en blanco para cada tarjeta electoral.</w:t>
            </w:r>
          </w:p>
        </w:tc>
        <w:tc>
          <w:tcPr>
            <w:tcW w:w="1480" w:type="dxa"/>
            <w:tcBorders>
              <w:top w:val="nil"/>
              <w:left w:val="nil"/>
              <w:bottom w:val="nil"/>
              <w:right w:val="single" w:sz="4" w:space="0" w:color="000000"/>
            </w:tcBorders>
            <w:shd w:val="clear" w:color="000000" w:fill="FFFFFF"/>
            <w:hideMark/>
          </w:tcPr>
          <w:p w14:paraId="618780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E61FEF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FD48F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el elector acuda a los jurados de votación, estos deberán ofrecerle, sobre la mesa, todas las tarjetas electorales disponibles, a efectos de que este seleccione, de forma libre y voluntaria, una para cada corporación o cargos uninominales. </w:t>
            </w:r>
          </w:p>
        </w:tc>
        <w:tc>
          <w:tcPr>
            <w:tcW w:w="3798" w:type="dxa"/>
            <w:tcBorders>
              <w:top w:val="nil"/>
              <w:left w:val="nil"/>
              <w:bottom w:val="nil"/>
              <w:right w:val="single" w:sz="4" w:space="0" w:color="000000"/>
            </w:tcBorders>
            <w:shd w:val="clear" w:color="000000" w:fill="FFFFFF"/>
            <w:hideMark/>
          </w:tcPr>
          <w:p w14:paraId="789925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el elector acuda a los jurados de votación, estos deberán ofrecerle, sobre la mesa, todas las tarjetas electorales disponibles, a efectos de que este seleccione, de forma libre y voluntaria, una para cada corporación o cargos uninominales.</w:t>
            </w:r>
          </w:p>
        </w:tc>
        <w:tc>
          <w:tcPr>
            <w:tcW w:w="3798" w:type="dxa"/>
            <w:tcBorders>
              <w:top w:val="nil"/>
              <w:left w:val="nil"/>
              <w:bottom w:val="nil"/>
              <w:right w:val="single" w:sz="4" w:space="0" w:color="000000"/>
            </w:tcBorders>
            <w:shd w:val="clear" w:color="000000" w:fill="FFFFFF"/>
            <w:hideMark/>
          </w:tcPr>
          <w:p w14:paraId="26382C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el elector acuda a los jurados de votación, estos deberán ofrecerle, sobre la mesa, todas las tarjetas electorales disponibles, a efectos de que este seleccione, de forma libre y voluntaria, una para cada corporación o cargos uninominales.</w:t>
            </w:r>
          </w:p>
        </w:tc>
        <w:tc>
          <w:tcPr>
            <w:tcW w:w="1480" w:type="dxa"/>
            <w:tcBorders>
              <w:top w:val="nil"/>
              <w:left w:val="nil"/>
              <w:bottom w:val="nil"/>
              <w:right w:val="single" w:sz="4" w:space="0" w:color="000000"/>
            </w:tcBorders>
            <w:shd w:val="clear" w:color="000000" w:fill="FFFFFF"/>
            <w:hideMark/>
          </w:tcPr>
          <w:p w14:paraId="541F43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036921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07EA10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 </w:t>
            </w:r>
          </w:p>
        </w:tc>
        <w:tc>
          <w:tcPr>
            <w:tcW w:w="3798" w:type="dxa"/>
            <w:tcBorders>
              <w:top w:val="nil"/>
              <w:left w:val="nil"/>
              <w:bottom w:val="nil"/>
              <w:right w:val="single" w:sz="4" w:space="0" w:color="000000"/>
            </w:tcBorders>
            <w:shd w:val="clear" w:color="000000" w:fill="FFFFFF"/>
            <w:hideMark/>
          </w:tcPr>
          <w:p w14:paraId="34F50A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w:t>
            </w:r>
          </w:p>
        </w:tc>
        <w:tc>
          <w:tcPr>
            <w:tcW w:w="3798" w:type="dxa"/>
            <w:tcBorders>
              <w:top w:val="nil"/>
              <w:left w:val="nil"/>
              <w:bottom w:val="nil"/>
              <w:right w:val="single" w:sz="4" w:space="0" w:color="000000"/>
            </w:tcBorders>
            <w:shd w:val="clear" w:color="000000" w:fill="FFFFFF"/>
            <w:hideMark/>
          </w:tcPr>
          <w:p w14:paraId="37B3B6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w:t>
            </w:r>
          </w:p>
        </w:tc>
        <w:tc>
          <w:tcPr>
            <w:tcW w:w="1480" w:type="dxa"/>
            <w:tcBorders>
              <w:top w:val="nil"/>
              <w:left w:val="nil"/>
              <w:bottom w:val="nil"/>
              <w:right w:val="single" w:sz="4" w:space="0" w:color="000000"/>
            </w:tcBorders>
            <w:shd w:val="clear" w:color="000000" w:fill="FFFFFF"/>
            <w:hideMark/>
          </w:tcPr>
          <w:p w14:paraId="047F3C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73BE8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88FD42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la votación electrónica mixta, la interfaz del software o plataforma solo permitirá la selección de una opción de voto para cada corporación o cargo uninominal.   </w:t>
            </w:r>
          </w:p>
        </w:tc>
        <w:tc>
          <w:tcPr>
            <w:tcW w:w="3798" w:type="dxa"/>
            <w:tcBorders>
              <w:top w:val="nil"/>
              <w:left w:val="nil"/>
              <w:bottom w:val="nil"/>
              <w:right w:val="single" w:sz="4" w:space="0" w:color="000000"/>
            </w:tcBorders>
            <w:shd w:val="clear" w:color="000000" w:fill="FFFFFF"/>
            <w:hideMark/>
          </w:tcPr>
          <w:p w14:paraId="70CA94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la votación electrónica mixta, la interfaz del software o plataforma solo permitirá la selección de una opción de voto para cada corporación o cargo uninominal.</w:t>
            </w:r>
          </w:p>
        </w:tc>
        <w:tc>
          <w:tcPr>
            <w:tcW w:w="3798" w:type="dxa"/>
            <w:tcBorders>
              <w:top w:val="nil"/>
              <w:left w:val="nil"/>
              <w:bottom w:val="nil"/>
              <w:right w:val="single" w:sz="4" w:space="0" w:color="000000"/>
            </w:tcBorders>
            <w:shd w:val="clear" w:color="000000" w:fill="FFFFFF"/>
            <w:hideMark/>
          </w:tcPr>
          <w:p w14:paraId="26AD76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la votación electrónica mixta, la interfaz del software o plataforma solo permitirá la selección de una opción de voto para cada corporación o cargo uninominal.</w:t>
            </w:r>
          </w:p>
        </w:tc>
        <w:tc>
          <w:tcPr>
            <w:tcW w:w="1480" w:type="dxa"/>
            <w:tcBorders>
              <w:top w:val="nil"/>
              <w:left w:val="nil"/>
              <w:bottom w:val="nil"/>
              <w:right w:val="single" w:sz="4" w:space="0" w:color="000000"/>
            </w:tcBorders>
            <w:shd w:val="clear" w:color="000000" w:fill="FFFFFF"/>
            <w:hideMark/>
          </w:tcPr>
          <w:p w14:paraId="67A19F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F624690"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7961A2C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garantizará material electoral con lenguas nativas. </w:t>
            </w:r>
          </w:p>
        </w:tc>
        <w:tc>
          <w:tcPr>
            <w:tcW w:w="3798" w:type="dxa"/>
            <w:tcBorders>
              <w:top w:val="nil"/>
              <w:left w:val="nil"/>
              <w:bottom w:val="single" w:sz="4" w:space="0" w:color="000000"/>
              <w:right w:val="single" w:sz="4" w:space="0" w:color="000000"/>
            </w:tcBorders>
            <w:shd w:val="clear" w:color="000000" w:fill="FFFFFF"/>
            <w:hideMark/>
          </w:tcPr>
          <w:p w14:paraId="31AF77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garantizará material electoral con lenguas nativas.</w:t>
            </w:r>
          </w:p>
        </w:tc>
        <w:tc>
          <w:tcPr>
            <w:tcW w:w="3798" w:type="dxa"/>
            <w:tcBorders>
              <w:top w:val="nil"/>
              <w:left w:val="nil"/>
              <w:bottom w:val="single" w:sz="4" w:space="0" w:color="000000"/>
              <w:right w:val="single" w:sz="4" w:space="0" w:color="000000"/>
            </w:tcBorders>
            <w:shd w:val="clear" w:color="000000" w:fill="FFFFFF"/>
            <w:hideMark/>
          </w:tcPr>
          <w:p w14:paraId="337BD7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garantizará material electoral con lenguas nativas.</w:t>
            </w:r>
          </w:p>
        </w:tc>
        <w:tc>
          <w:tcPr>
            <w:tcW w:w="1480" w:type="dxa"/>
            <w:tcBorders>
              <w:top w:val="nil"/>
              <w:left w:val="nil"/>
              <w:bottom w:val="nil"/>
              <w:right w:val="single" w:sz="4" w:space="0" w:color="000000"/>
            </w:tcBorders>
            <w:shd w:val="clear" w:color="000000" w:fill="FFFFFF"/>
            <w:hideMark/>
          </w:tcPr>
          <w:p w14:paraId="3119A1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52F8B6C"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839E88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154.- Ley seca.</w:t>
            </w:r>
            <w:r w:rsidRPr="00222F34">
              <w:rPr>
                <w:rFonts w:ascii="Calibri" w:eastAsia="Times New Roman" w:hAnsi="Calibri" w:cs="Calibri"/>
                <w:color w:val="000000"/>
                <w:lang w:val="es-CO" w:eastAsia="es-CO" w:bidi="ar-SA"/>
              </w:rPr>
              <w:t xml:space="preserve"> 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w:t>
            </w:r>
            <w:r w:rsidRPr="00222F34">
              <w:rPr>
                <w:rFonts w:ascii="Calibri" w:eastAsia="Times New Roman" w:hAnsi="Calibri" w:cs="Calibri"/>
                <w:color w:val="000000"/>
                <w:lang w:val="es-CO" w:eastAsia="es-CO" w:bidi="ar-SA"/>
              </w:rPr>
              <w:lastRenderedPageBreak/>
              <w:t xml:space="preserve">seis (6:00 p.m.) de la tarde del día en que tenga lugar la jornada electoral, salvo que medien circunstancias que exijan la ampliación de esta medida. </w:t>
            </w:r>
          </w:p>
        </w:tc>
        <w:tc>
          <w:tcPr>
            <w:tcW w:w="3798" w:type="dxa"/>
            <w:tcBorders>
              <w:top w:val="nil"/>
              <w:left w:val="nil"/>
              <w:bottom w:val="nil"/>
              <w:right w:val="single" w:sz="4" w:space="0" w:color="000000"/>
            </w:tcBorders>
            <w:shd w:val="clear" w:color="00FF00" w:fill="FFFFFF"/>
            <w:hideMark/>
          </w:tcPr>
          <w:p w14:paraId="2099E0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158.- Ley seca.</w:t>
            </w:r>
            <w:r w:rsidRPr="00222F34">
              <w:rPr>
                <w:rFonts w:ascii="Calibri" w:eastAsia="Times New Roman" w:hAnsi="Calibri" w:cs="Calibri"/>
                <w:color w:val="000000"/>
                <w:lang w:val="es-CO" w:eastAsia="es-CO" w:bidi="ar-SA"/>
              </w:rPr>
              <w:t xml:space="preserve"> 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w:t>
            </w:r>
            <w:r w:rsidRPr="00222F34">
              <w:rPr>
                <w:rFonts w:ascii="Calibri" w:eastAsia="Times New Roman" w:hAnsi="Calibri" w:cs="Calibri"/>
                <w:color w:val="000000"/>
                <w:lang w:val="es-CO" w:eastAsia="es-CO" w:bidi="ar-SA"/>
              </w:rPr>
              <w:lastRenderedPageBreak/>
              <w:t>seis (6:00 p.m.) de la tarde del día en que tenga lugar la jornada electoral, salvo que medien circunstancias que exijan la ampliación de esta medida.</w:t>
            </w:r>
          </w:p>
        </w:tc>
        <w:tc>
          <w:tcPr>
            <w:tcW w:w="3798" w:type="dxa"/>
            <w:tcBorders>
              <w:top w:val="nil"/>
              <w:left w:val="nil"/>
              <w:bottom w:val="nil"/>
              <w:right w:val="single" w:sz="4" w:space="0" w:color="000000"/>
            </w:tcBorders>
            <w:shd w:val="clear" w:color="00FF00" w:fill="FFFFFF"/>
            <w:hideMark/>
          </w:tcPr>
          <w:p w14:paraId="4A4672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158.- Ley seca.</w:t>
            </w:r>
            <w:r w:rsidRPr="00222F34">
              <w:rPr>
                <w:rFonts w:ascii="Calibri" w:eastAsia="Times New Roman" w:hAnsi="Calibri" w:cs="Calibri"/>
                <w:color w:val="000000"/>
                <w:lang w:val="es-CO" w:eastAsia="es-CO" w:bidi="ar-SA"/>
              </w:rPr>
              <w:t xml:space="preserve"> 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w:t>
            </w:r>
            <w:r w:rsidRPr="00222F34">
              <w:rPr>
                <w:rFonts w:ascii="Calibri" w:eastAsia="Times New Roman" w:hAnsi="Calibri" w:cs="Calibri"/>
                <w:color w:val="000000"/>
                <w:lang w:val="es-CO" w:eastAsia="es-CO" w:bidi="ar-SA"/>
              </w:rPr>
              <w:lastRenderedPageBreak/>
              <w:t>seis (6:00 p.m.) de la tarde del día en que tenga lugar la jornada electoral, salvo que medien circunstancias que exijan la ampliación de esta medida.</w:t>
            </w:r>
          </w:p>
        </w:tc>
        <w:tc>
          <w:tcPr>
            <w:tcW w:w="1480" w:type="dxa"/>
            <w:tcBorders>
              <w:top w:val="single" w:sz="4" w:space="0" w:color="000000"/>
              <w:left w:val="nil"/>
              <w:bottom w:val="nil"/>
              <w:right w:val="single" w:sz="4" w:space="0" w:color="000000"/>
            </w:tcBorders>
            <w:shd w:val="clear" w:color="000000" w:fill="FFFFFF"/>
            <w:hideMark/>
          </w:tcPr>
          <w:p w14:paraId="0BA1B1D2" w14:textId="3B94DA5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CD4925" w:rsidRPr="00222F34" w14:paraId="5BB0A60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C0488A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Primero.</w:t>
            </w:r>
            <w:r w:rsidRPr="00222F34">
              <w:rPr>
                <w:rFonts w:ascii="Calibri" w:eastAsia="Times New Roman" w:hAnsi="Calibri" w:cs="Calibri"/>
                <w:color w:val="000000"/>
                <w:lang w:val="es-CO" w:eastAsia="es-CO" w:bidi="ar-SA"/>
              </w:rPr>
              <w:t xml:space="preserve"> En todo caso, los gobernadores y alcaldes municipales mantendrán sus competencias para garantizar el orden público respecto de su jurisdicción. </w:t>
            </w:r>
          </w:p>
        </w:tc>
        <w:tc>
          <w:tcPr>
            <w:tcW w:w="3798" w:type="dxa"/>
            <w:tcBorders>
              <w:top w:val="nil"/>
              <w:left w:val="nil"/>
              <w:bottom w:val="nil"/>
              <w:right w:val="single" w:sz="4" w:space="0" w:color="000000"/>
            </w:tcBorders>
            <w:shd w:val="clear" w:color="00FF00" w:fill="FFFFFF"/>
            <w:hideMark/>
          </w:tcPr>
          <w:p w14:paraId="74FC11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todo caso, los gobernadores y alcaldes municipales mantendrán sus competencias para garantizar el orden público y tomar las medidas referentes a la ley seca respecto de su jurisdicción.</w:t>
            </w:r>
          </w:p>
        </w:tc>
        <w:tc>
          <w:tcPr>
            <w:tcW w:w="3798" w:type="dxa"/>
            <w:tcBorders>
              <w:top w:val="nil"/>
              <w:left w:val="nil"/>
              <w:bottom w:val="nil"/>
              <w:right w:val="single" w:sz="4" w:space="0" w:color="000000"/>
            </w:tcBorders>
            <w:shd w:val="clear" w:color="00FF00" w:fill="FFFFFF"/>
            <w:hideMark/>
          </w:tcPr>
          <w:p w14:paraId="0539B9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todo caso, los gobernadores y alcaldes municipales mantendrán sus competencias para garantizar el orden público y tomar las medidas referentes a la ley seca respecto de su jurisdicción.</w:t>
            </w:r>
          </w:p>
        </w:tc>
        <w:tc>
          <w:tcPr>
            <w:tcW w:w="1480" w:type="dxa"/>
            <w:tcBorders>
              <w:top w:val="nil"/>
              <w:left w:val="nil"/>
              <w:bottom w:val="nil"/>
              <w:right w:val="single" w:sz="4" w:space="0" w:color="000000"/>
            </w:tcBorders>
            <w:shd w:val="clear" w:color="000000" w:fill="FFFFFF"/>
            <w:hideMark/>
          </w:tcPr>
          <w:p w14:paraId="129E3D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2431E9"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2DE63B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Segundo. </w:t>
            </w:r>
            <w:r w:rsidRPr="00222F34">
              <w:rPr>
                <w:rFonts w:ascii="Calibri" w:eastAsia="Times New Roman" w:hAnsi="Calibri" w:cs="Calibri"/>
                <w:color w:val="000000"/>
                <w:lang w:val="es-CO" w:eastAsia="es-CO" w:bidi="ar-SA"/>
              </w:rPr>
              <w:t>La medida de ley seca solo se aplicará en las elecciones ordinarias en la forma prevista en el presente artículo.  Bajo ninguna circunstancia, la medida de ley seca se aplicará para consultas internas de los partidos políticos; ni para las jornadas electorales que se desarrollen en torno a otros mecanismos de participación democrática.</w:t>
            </w: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FF00" w:fill="FFFFFF"/>
            <w:hideMark/>
          </w:tcPr>
          <w:p w14:paraId="48A513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medida de ley seca solo se aplicará en las elecciones ordinarias en la forma prevista en el presente artículo. Bajo ninguna circunstancia, la medida de ley seca se aplicará para consultas internas de los partidos políticos; ni para las jornadas electorales que se desarrollen en torno a otros mecanismos de participación democrática.</w:t>
            </w:r>
          </w:p>
        </w:tc>
        <w:tc>
          <w:tcPr>
            <w:tcW w:w="3798" w:type="dxa"/>
            <w:tcBorders>
              <w:top w:val="nil"/>
              <w:left w:val="nil"/>
              <w:bottom w:val="nil"/>
              <w:right w:val="single" w:sz="4" w:space="0" w:color="000000"/>
            </w:tcBorders>
            <w:shd w:val="clear" w:color="00FF00" w:fill="FFFFFF"/>
            <w:hideMark/>
          </w:tcPr>
          <w:p w14:paraId="7FEB72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medida de ley seca solo se aplicará en las elecciones ordinarias en la forma prevista en el presente artículo. Bajo ninguna circunstancia, la medida de ley seca se aplicará para consultas internas de los partidos políticos; ni para las jornadas electorales que se desarrollen en torno a otros mecanismos de participación democrática.</w:t>
            </w:r>
          </w:p>
        </w:tc>
        <w:tc>
          <w:tcPr>
            <w:tcW w:w="1480" w:type="dxa"/>
            <w:tcBorders>
              <w:top w:val="nil"/>
              <w:left w:val="nil"/>
              <w:bottom w:val="nil"/>
              <w:right w:val="single" w:sz="4" w:space="0" w:color="000000"/>
            </w:tcBorders>
            <w:shd w:val="clear" w:color="000000" w:fill="FFFFFF"/>
            <w:hideMark/>
          </w:tcPr>
          <w:p w14:paraId="069CD1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0EE511" w14:textId="77777777" w:rsidTr="00222F34">
        <w:trPr>
          <w:trHeight w:val="600"/>
        </w:trPr>
        <w:tc>
          <w:tcPr>
            <w:tcW w:w="3798" w:type="dxa"/>
            <w:tcBorders>
              <w:top w:val="single" w:sz="4" w:space="0" w:color="auto"/>
              <w:left w:val="single" w:sz="4" w:space="0" w:color="000000"/>
              <w:bottom w:val="nil"/>
              <w:right w:val="single" w:sz="4" w:space="0" w:color="000000"/>
            </w:tcBorders>
            <w:shd w:val="clear" w:color="000000" w:fill="FFFFFF"/>
            <w:hideMark/>
          </w:tcPr>
          <w:p w14:paraId="0C9B989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155.- Jornada electoral.</w:t>
            </w:r>
            <w:r w:rsidRPr="00222F34">
              <w:rPr>
                <w:rFonts w:ascii="Calibri" w:eastAsia="Times New Roman" w:hAnsi="Calibri" w:cs="Calibri"/>
                <w:color w:val="000000"/>
                <w:lang w:val="es-CO" w:eastAsia="es-CO" w:bidi="ar-SA"/>
              </w:rPr>
              <w:t xml:space="preserve"> Las votaciones iniciarán a las ocho (8) de la mañana del día de las elecciones y cerrarán a las cinco (5) de la tarde del mismo día. </w:t>
            </w:r>
          </w:p>
        </w:tc>
        <w:tc>
          <w:tcPr>
            <w:tcW w:w="3798" w:type="dxa"/>
            <w:tcBorders>
              <w:top w:val="single" w:sz="4" w:space="0" w:color="auto"/>
              <w:left w:val="nil"/>
              <w:bottom w:val="nil"/>
              <w:right w:val="single" w:sz="4" w:space="0" w:color="000000"/>
            </w:tcBorders>
            <w:shd w:val="clear" w:color="000000" w:fill="FFFFFF"/>
            <w:hideMark/>
          </w:tcPr>
          <w:p w14:paraId="483A27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159.- Jornada electoral. </w:t>
            </w:r>
            <w:r w:rsidRPr="00222F34">
              <w:rPr>
                <w:rFonts w:ascii="Calibri" w:eastAsia="Times New Roman" w:hAnsi="Calibri" w:cs="Calibri"/>
                <w:color w:val="000000"/>
                <w:lang w:val="es-CO" w:eastAsia="es-CO" w:bidi="ar-SA"/>
              </w:rPr>
              <w:t>Las votaciones iniciarán a las ocho (8) de la mañana del día de las elecciones y cerrarán a las cinco (5) de la tarde del mismo día.</w:t>
            </w:r>
          </w:p>
        </w:tc>
        <w:tc>
          <w:tcPr>
            <w:tcW w:w="3798" w:type="dxa"/>
            <w:tcBorders>
              <w:top w:val="single" w:sz="4" w:space="0" w:color="auto"/>
              <w:left w:val="nil"/>
              <w:bottom w:val="nil"/>
              <w:right w:val="single" w:sz="4" w:space="0" w:color="000000"/>
            </w:tcBorders>
            <w:shd w:val="clear" w:color="000000" w:fill="FFFFFF"/>
            <w:hideMark/>
          </w:tcPr>
          <w:p w14:paraId="7A079ED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159.- Jornada electoral.</w:t>
            </w:r>
            <w:r w:rsidRPr="00222F34">
              <w:rPr>
                <w:rFonts w:ascii="Calibri" w:eastAsia="Times New Roman" w:hAnsi="Calibri" w:cs="Calibri"/>
                <w:color w:val="000000"/>
                <w:lang w:val="es-CO" w:eastAsia="es-CO" w:bidi="ar-SA"/>
              </w:rPr>
              <w:t xml:space="preserve"> Las votaciones iniciarán a las ocho (8) de la mañana del día de las elecciones y cerrarán a las cinco (5) de la tarde del mismo día. </w:t>
            </w:r>
          </w:p>
        </w:tc>
        <w:tc>
          <w:tcPr>
            <w:tcW w:w="1480" w:type="dxa"/>
            <w:tcBorders>
              <w:top w:val="single" w:sz="4" w:space="0" w:color="000000"/>
              <w:left w:val="nil"/>
              <w:bottom w:val="nil"/>
              <w:right w:val="single" w:sz="4" w:space="0" w:color="000000"/>
            </w:tcBorders>
            <w:shd w:val="clear" w:color="000000" w:fill="FFFFFF"/>
            <w:hideMark/>
          </w:tcPr>
          <w:p w14:paraId="1165B64A" w14:textId="4684CA4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4C1224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47668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periodos de votación de los ciudadanos colombianos residentes en el exterior deberán estar abiertos durante una semana, entendiéndose que el primer día es el lunes anterior a la fecha oficial de la respectiva elección en el territorio nacional. Lo anterior para facilitar el desplazamiento de ciudadanos colombianos que se pueden encontrar distantes de la sede consular.  </w:t>
            </w:r>
          </w:p>
        </w:tc>
        <w:tc>
          <w:tcPr>
            <w:tcW w:w="3798" w:type="dxa"/>
            <w:tcBorders>
              <w:top w:val="nil"/>
              <w:left w:val="nil"/>
              <w:bottom w:val="nil"/>
              <w:right w:val="single" w:sz="4" w:space="0" w:color="000000"/>
            </w:tcBorders>
            <w:shd w:val="clear" w:color="000000" w:fill="FFFFFF"/>
            <w:hideMark/>
          </w:tcPr>
          <w:p w14:paraId="4D9EB5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periodos de votación de los ciudadanos colombianos residentes en el exterior deberán estar abiertos durante una semana, entendiéndose que el primer día es el lunes anterior a la fecha oficial de la respectiva elección en el territorio nacional. Lo anterior para facilitar el desplazamiento de ciudadanos colombianos que se pueden encontrar distantes de la sede consular.</w:t>
            </w:r>
          </w:p>
        </w:tc>
        <w:tc>
          <w:tcPr>
            <w:tcW w:w="3798" w:type="dxa"/>
            <w:tcBorders>
              <w:top w:val="nil"/>
              <w:left w:val="nil"/>
              <w:bottom w:val="nil"/>
              <w:right w:val="single" w:sz="4" w:space="0" w:color="000000"/>
            </w:tcBorders>
            <w:shd w:val="clear" w:color="000000" w:fill="FFFFFF"/>
            <w:hideMark/>
          </w:tcPr>
          <w:p w14:paraId="5CB5DC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periodos de votación de los ciudadanos colombianos residentes en el exterior deberán estar abiertos durante una semana, entendiéndose que el primer día es el lunes anterior a la fecha oficial de la respectiva elección en el territorio nacional. Lo anterior para facilitar el desplazamiento de ciudadanos colombianos que se pueden encontrar distantes de la sede consular.  </w:t>
            </w:r>
          </w:p>
        </w:tc>
        <w:tc>
          <w:tcPr>
            <w:tcW w:w="1480" w:type="dxa"/>
            <w:tcBorders>
              <w:top w:val="nil"/>
              <w:left w:val="nil"/>
              <w:bottom w:val="nil"/>
              <w:right w:val="single" w:sz="4" w:space="0" w:color="000000"/>
            </w:tcBorders>
            <w:shd w:val="clear" w:color="000000" w:fill="FFFFFF"/>
            <w:hideMark/>
          </w:tcPr>
          <w:p w14:paraId="47D801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1F802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04D72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grave perturbación del orden público que haga imposible el desarrollo de las votaciones o ante la imposibilidad de ejercer el derecho al voto en cualquiera de las modalidades previstas en este Código el Consejo Nacional Electoral el diferimiento de la jornada electoral, en la circunscripción electoral a solicitud del respectivo Gobernador departamental o alcalde distrital de Bogotá, previo visto bueno del Registrador Nacional del Estado Civil. </w:t>
            </w:r>
          </w:p>
        </w:tc>
        <w:tc>
          <w:tcPr>
            <w:tcW w:w="3798" w:type="dxa"/>
            <w:tcBorders>
              <w:top w:val="nil"/>
              <w:left w:val="nil"/>
              <w:bottom w:val="nil"/>
              <w:right w:val="single" w:sz="4" w:space="0" w:color="000000"/>
            </w:tcBorders>
            <w:shd w:val="clear" w:color="000000" w:fill="FFFFFF"/>
            <w:hideMark/>
          </w:tcPr>
          <w:p w14:paraId="762BE8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0D7D07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grave perturbación del orden público que haga imposible el desarrollo de las votaciones o ante la imposibilidad de ejercer el derecho al voto en cualquiera de las modalidades previstas en este Código el Consejo Nacional Electoral el diferimiento de la jornada electoral, en la circunscripción electoral a solicitud del respectivo Gobernador departamental o alcalde distrital de Bogotá, previo visto bueno del Registrador Nacional del Estado Civil. </w:t>
            </w:r>
          </w:p>
        </w:tc>
        <w:tc>
          <w:tcPr>
            <w:tcW w:w="1480" w:type="dxa"/>
            <w:tcBorders>
              <w:top w:val="nil"/>
              <w:left w:val="nil"/>
              <w:bottom w:val="nil"/>
              <w:right w:val="single" w:sz="4" w:space="0" w:color="000000"/>
            </w:tcBorders>
            <w:shd w:val="clear" w:color="000000" w:fill="FFFFFF"/>
            <w:hideMark/>
          </w:tcPr>
          <w:p w14:paraId="108944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55B0D5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C84EC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decisión de diferir la jornada electoral deberá ser motivada. En todo caso, dicha decisión tendrá validez máxima por ocho (8) días, luego de los cuales, será necesaria una nueva solicitud por parte de los mismos funcionarios, en la que sustenten las condiciones de su motivación para continuar con el diferimiento. La jornada electoral </w:t>
            </w:r>
            <w:r w:rsidRPr="00222F34">
              <w:rPr>
                <w:rFonts w:ascii="Calibri" w:eastAsia="Times New Roman" w:hAnsi="Calibri" w:cs="Calibri"/>
                <w:color w:val="000000"/>
                <w:lang w:val="es-CO" w:eastAsia="es-CO" w:bidi="ar-SA"/>
              </w:rPr>
              <w:lastRenderedPageBreak/>
              <w:t>deberá convocarse dentro del mes siguiente a la adopción de la decisión.</w:t>
            </w:r>
          </w:p>
        </w:tc>
        <w:tc>
          <w:tcPr>
            <w:tcW w:w="3798" w:type="dxa"/>
            <w:tcBorders>
              <w:top w:val="nil"/>
              <w:left w:val="nil"/>
              <w:bottom w:val="nil"/>
              <w:right w:val="single" w:sz="4" w:space="0" w:color="000000"/>
            </w:tcBorders>
            <w:shd w:val="clear" w:color="000000" w:fill="FFFFFF"/>
            <w:hideMark/>
          </w:tcPr>
          <w:p w14:paraId="5274C6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0000" w:fill="FFFFFF"/>
            <w:hideMark/>
          </w:tcPr>
          <w:p w14:paraId="64EE1E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decisión de diferir la jornada electoral deberá ser motivada. En todo caso, dicha decisión tendrá validez máxima por ocho (8) días, luego de los cuales, será necesaria una nueva solicitud por parte de los mismos funcionarios, en la que sustenten las condiciones de su motivación para continuar con el diferimiento. La jornada electoral </w:t>
            </w:r>
            <w:r w:rsidRPr="00222F34">
              <w:rPr>
                <w:rFonts w:ascii="Calibri" w:eastAsia="Times New Roman" w:hAnsi="Calibri" w:cs="Calibri"/>
                <w:color w:val="000000"/>
                <w:lang w:val="es-CO" w:eastAsia="es-CO" w:bidi="ar-SA"/>
              </w:rPr>
              <w:lastRenderedPageBreak/>
              <w:t>deberá convocarse dentro del mes siguiente a la adopción de la decisión.</w:t>
            </w:r>
          </w:p>
        </w:tc>
        <w:tc>
          <w:tcPr>
            <w:tcW w:w="1480" w:type="dxa"/>
            <w:tcBorders>
              <w:top w:val="nil"/>
              <w:left w:val="nil"/>
              <w:bottom w:val="nil"/>
              <w:right w:val="single" w:sz="4" w:space="0" w:color="000000"/>
            </w:tcBorders>
            <w:shd w:val="clear" w:color="000000" w:fill="FFFFFF"/>
            <w:hideMark/>
          </w:tcPr>
          <w:p w14:paraId="1E0448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231B8B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11B55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decisión de diferir la jornada electoral solo podrá decretarse cuando la decisión de los miembros del Consejo Nacional Electoral sea unánime. </w:t>
            </w:r>
          </w:p>
        </w:tc>
        <w:tc>
          <w:tcPr>
            <w:tcW w:w="3798" w:type="dxa"/>
            <w:tcBorders>
              <w:top w:val="nil"/>
              <w:left w:val="nil"/>
              <w:bottom w:val="nil"/>
              <w:right w:val="single" w:sz="4" w:space="0" w:color="000000"/>
            </w:tcBorders>
            <w:shd w:val="clear" w:color="000000" w:fill="FFFFFF"/>
            <w:hideMark/>
          </w:tcPr>
          <w:p w14:paraId="00A2CD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00C398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decisión de diferir la jornada electoral solo podrá decretarse cuando la decisión de los miembros del Consejo Nacional Electoral sea unánime. </w:t>
            </w:r>
          </w:p>
        </w:tc>
        <w:tc>
          <w:tcPr>
            <w:tcW w:w="1480" w:type="dxa"/>
            <w:tcBorders>
              <w:top w:val="nil"/>
              <w:left w:val="nil"/>
              <w:bottom w:val="nil"/>
              <w:right w:val="single" w:sz="4" w:space="0" w:color="000000"/>
            </w:tcBorders>
            <w:shd w:val="clear" w:color="000000" w:fill="FFFFFF"/>
            <w:hideMark/>
          </w:tcPr>
          <w:p w14:paraId="6AB4B9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F9E03D" w14:textId="77777777" w:rsidTr="00222F34">
        <w:trPr>
          <w:trHeight w:val="1500"/>
        </w:trPr>
        <w:tc>
          <w:tcPr>
            <w:tcW w:w="3798" w:type="dxa"/>
            <w:tcBorders>
              <w:top w:val="single" w:sz="4" w:space="0" w:color="000000"/>
              <w:left w:val="single" w:sz="4" w:space="0" w:color="000000"/>
              <w:bottom w:val="nil"/>
              <w:right w:val="single" w:sz="4" w:space="0" w:color="000000"/>
            </w:tcBorders>
            <w:shd w:val="clear" w:color="000000" w:fill="FFFFFF"/>
            <w:hideMark/>
          </w:tcPr>
          <w:p w14:paraId="38885E9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156. Voto anticipado.</w:t>
            </w:r>
            <w:r w:rsidRPr="00222F34">
              <w:rPr>
                <w:rFonts w:ascii="Calibri" w:eastAsia="Times New Roman" w:hAnsi="Calibri" w:cs="Calibri"/>
                <w:color w:val="000000"/>
                <w:lang w:val="es-CO" w:eastAsia="es-CO" w:bidi="ar-SA"/>
              </w:rPr>
              <w:t xml:space="preserve"> Con el objetivo de promover la participación electoral, luego de consolidadas las listas de candidatos y definidas las tarjetas para cualquier elección, la Registraduría Nacional del Estado Civil podrá reglamentar e implementar un mecanismo de voto anticipado, aplicable únicamente a las mesas de votación ubicadas por fuera del territorio nacional:</w:t>
            </w:r>
          </w:p>
        </w:tc>
        <w:tc>
          <w:tcPr>
            <w:tcW w:w="3798" w:type="dxa"/>
            <w:tcBorders>
              <w:top w:val="single" w:sz="4" w:space="0" w:color="000000"/>
              <w:left w:val="nil"/>
              <w:bottom w:val="nil"/>
              <w:right w:val="single" w:sz="4" w:space="0" w:color="000000"/>
            </w:tcBorders>
            <w:shd w:val="clear" w:color="000000" w:fill="FFFFFF"/>
            <w:hideMark/>
          </w:tcPr>
          <w:p w14:paraId="62A252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160. Voto anticipado. </w:t>
            </w:r>
            <w:r w:rsidRPr="00222F34">
              <w:rPr>
                <w:rFonts w:ascii="Calibri" w:eastAsia="Times New Roman" w:hAnsi="Calibri" w:cs="Calibri"/>
                <w:color w:val="000000"/>
                <w:lang w:val="es-CO" w:eastAsia="es-CO" w:bidi="ar-SA"/>
              </w:rPr>
              <w:t>Con el objetivo de promover la participación electoral, luego de consolidadas las listas de candidatos y definidas las tarjetas para cualquier elección, la Registraduría Nacional del Estado Civil podrá reglamentar e implementar un mecanismo de voto anticipado, aplicable únicamente a las mesas de votación ubicadas por fuera del territorio nacional:</w:t>
            </w:r>
          </w:p>
        </w:tc>
        <w:tc>
          <w:tcPr>
            <w:tcW w:w="3798" w:type="dxa"/>
            <w:tcBorders>
              <w:top w:val="single" w:sz="4" w:space="0" w:color="000000"/>
              <w:left w:val="nil"/>
              <w:bottom w:val="nil"/>
              <w:right w:val="single" w:sz="4" w:space="0" w:color="000000"/>
            </w:tcBorders>
            <w:shd w:val="clear" w:color="000000" w:fill="FFFFFF"/>
            <w:hideMark/>
          </w:tcPr>
          <w:p w14:paraId="0843CB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160. Voto anticipado. </w:t>
            </w:r>
            <w:r w:rsidRPr="00222F34">
              <w:rPr>
                <w:rFonts w:ascii="Calibri" w:eastAsia="Times New Roman" w:hAnsi="Calibri" w:cs="Calibri"/>
                <w:color w:val="000000"/>
                <w:lang w:val="es-CO" w:eastAsia="es-CO" w:bidi="ar-SA"/>
              </w:rPr>
              <w:t>Con el objetivo de promover la participación electoral, luego de consolidadas las listas de candidatos y definidas las tarjetas para cualquier elección, la Registraduría Nacional del Estado Civil podrá reglamentar e implementar un mecanismo de voto anticipado, aplicable únicamente a las mesas de votación ubicadas por fuera del territorio nacional:</w:t>
            </w:r>
          </w:p>
        </w:tc>
        <w:tc>
          <w:tcPr>
            <w:tcW w:w="1480" w:type="dxa"/>
            <w:tcBorders>
              <w:top w:val="single" w:sz="4" w:space="0" w:color="000000"/>
              <w:left w:val="nil"/>
              <w:bottom w:val="nil"/>
              <w:right w:val="single" w:sz="4" w:space="0" w:color="000000"/>
            </w:tcBorders>
            <w:shd w:val="clear" w:color="000000" w:fill="FFFFFF"/>
            <w:hideMark/>
          </w:tcPr>
          <w:p w14:paraId="2BE0B12D" w14:textId="623A03D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647229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E1C7C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w:t>
            </w:r>
          </w:p>
        </w:tc>
        <w:tc>
          <w:tcPr>
            <w:tcW w:w="3798" w:type="dxa"/>
            <w:tcBorders>
              <w:top w:val="nil"/>
              <w:left w:val="nil"/>
              <w:bottom w:val="nil"/>
              <w:right w:val="single" w:sz="4" w:space="0" w:color="000000"/>
            </w:tcBorders>
            <w:shd w:val="clear" w:color="000000" w:fill="FFFFFF"/>
            <w:hideMark/>
          </w:tcPr>
          <w:p w14:paraId="65E6A2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w:t>
            </w:r>
          </w:p>
        </w:tc>
        <w:tc>
          <w:tcPr>
            <w:tcW w:w="3798" w:type="dxa"/>
            <w:tcBorders>
              <w:top w:val="nil"/>
              <w:left w:val="nil"/>
              <w:bottom w:val="nil"/>
              <w:right w:val="single" w:sz="4" w:space="0" w:color="000000"/>
            </w:tcBorders>
            <w:shd w:val="clear" w:color="000000" w:fill="FFFFFF"/>
            <w:hideMark/>
          </w:tcPr>
          <w:p w14:paraId="5BFF88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w:t>
            </w:r>
          </w:p>
        </w:tc>
        <w:tc>
          <w:tcPr>
            <w:tcW w:w="1480" w:type="dxa"/>
            <w:tcBorders>
              <w:top w:val="nil"/>
              <w:left w:val="nil"/>
              <w:bottom w:val="nil"/>
              <w:right w:val="single" w:sz="4" w:space="0" w:color="000000"/>
            </w:tcBorders>
            <w:shd w:val="clear" w:color="000000" w:fill="FFFFFF"/>
            <w:hideMark/>
          </w:tcPr>
          <w:p w14:paraId="751734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F1E91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207DFB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La Registraduría Nacional del Estado Civil, por una parte, establecerá los protocolos de seguridad que deberán respetarse para que el voto anticipado sea válido,</w:t>
            </w:r>
            <w:r w:rsidRPr="00222F34">
              <w:rPr>
                <w:rFonts w:ascii="Calibri" w:eastAsia="Times New Roman" w:hAnsi="Calibri" w:cs="Calibri"/>
                <w:strike/>
                <w:color w:val="000000"/>
                <w:lang w:val="es-CO" w:eastAsia="es-CO" w:bidi="ar-SA"/>
              </w:rPr>
              <w:t xml:space="preserve"> </w:t>
            </w:r>
            <w:r w:rsidRPr="00222F34">
              <w:rPr>
                <w:rFonts w:ascii="Calibri" w:eastAsia="Times New Roman" w:hAnsi="Calibri" w:cs="Calibri"/>
                <w:color w:val="000000"/>
                <w:lang w:val="es-CO" w:eastAsia="es-CO" w:bidi="ar-SA"/>
              </w:rPr>
              <w:t xml:space="preserve">e informará de los mismos al Consejo Nacional Electoral. </w:t>
            </w:r>
          </w:p>
        </w:tc>
        <w:tc>
          <w:tcPr>
            <w:tcW w:w="3798" w:type="dxa"/>
            <w:tcBorders>
              <w:top w:val="nil"/>
              <w:left w:val="nil"/>
              <w:bottom w:val="nil"/>
              <w:right w:val="single" w:sz="4" w:space="0" w:color="000000"/>
            </w:tcBorders>
            <w:shd w:val="clear" w:color="000000" w:fill="FFFFFF"/>
            <w:hideMark/>
          </w:tcPr>
          <w:p w14:paraId="431F35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por una parte, establecerá los protocolos de seguridad que deberán respetarse para que el voto anticipado sea válido, e informará de los mismos al Consejo Nacional Electoral.</w:t>
            </w:r>
          </w:p>
        </w:tc>
        <w:tc>
          <w:tcPr>
            <w:tcW w:w="3798" w:type="dxa"/>
            <w:tcBorders>
              <w:top w:val="nil"/>
              <w:left w:val="nil"/>
              <w:bottom w:val="nil"/>
              <w:right w:val="single" w:sz="4" w:space="0" w:color="000000"/>
            </w:tcBorders>
            <w:shd w:val="clear" w:color="000000" w:fill="FFFFFF"/>
            <w:hideMark/>
          </w:tcPr>
          <w:p w14:paraId="1F5128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por una parte, establecerá los protocolos de seguridad que deberán respetarse para que el voto anticipado sea válido, e informará de los mismos al Consejo Nacional Electoral.</w:t>
            </w:r>
          </w:p>
        </w:tc>
        <w:tc>
          <w:tcPr>
            <w:tcW w:w="1480" w:type="dxa"/>
            <w:tcBorders>
              <w:top w:val="nil"/>
              <w:left w:val="nil"/>
              <w:bottom w:val="nil"/>
              <w:right w:val="single" w:sz="4" w:space="0" w:color="000000"/>
            </w:tcBorders>
            <w:shd w:val="clear" w:color="000000" w:fill="FFFFFF"/>
            <w:hideMark/>
          </w:tcPr>
          <w:p w14:paraId="079D05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CE68DF3"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34890C5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ningún caso se podrán publicar o revelar los resultados parciales que se computen en uso del voto anticipado. Tal actuación será considerada como falta gravísima, según lo dispuesto en la normativa disciplinaria. </w:t>
            </w:r>
          </w:p>
        </w:tc>
        <w:tc>
          <w:tcPr>
            <w:tcW w:w="3798" w:type="dxa"/>
            <w:tcBorders>
              <w:top w:val="nil"/>
              <w:left w:val="nil"/>
              <w:bottom w:val="single" w:sz="4" w:space="0" w:color="000000"/>
              <w:right w:val="single" w:sz="4" w:space="0" w:color="000000"/>
            </w:tcBorders>
            <w:shd w:val="clear" w:color="000000" w:fill="FFFFFF"/>
            <w:hideMark/>
          </w:tcPr>
          <w:p w14:paraId="08AB94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En ningún caso se podrán publicar o revelar los resultados parciales que se computen en uso del voto anticipado. Tal actuación será considerada como falta gravísima, según lo dispuesto en la normativa disciplinaria.</w:t>
            </w:r>
          </w:p>
        </w:tc>
        <w:tc>
          <w:tcPr>
            <w:tcW w:w="3798" w:type="dxa"/>
            <w:tcBorders>
              <w:top w:val="nil"/>
              <w:left w:val="nil"/>
              <w:bottom w:val="single" w:sz="4" w:space="0" w:color="000000"/>
              <w:right w:val="single" w:sz="4" w:space="0" w:color="000000"/>
            </w:tcBorders>
            <w:shd w:val="clear" w:color="000000" w:fill="FFFFFF"/>
            <w:hideMark/>
          </w:tcPr>
          <w:p w14:paraId="395DF7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En ningún caso se podrán publicar o revelar los resultados parciales que se computen en uso del voto anticipado. Tal actuación será considerada como falta gravísima, según lo dispuesto en la normativa disciplinaria.</w:t>
            </w:r>
          </w:p>
        </w:tc>
        <w:tc>
          <w:tcPr>
            <w:tcW w:w="1480" w:type="dxa"/>
            <w:tcBorders>
              <w:top w:val="nil"/>
              <w:left w:val="nil"/>
              <w:bottom w:val="single" w:sz="4" w:space="0" w:color="000000"/>
              <w:right w:val="single" w:sz="4" w:space="0" w:color="000000"/>
            </w:tcBorders>
            <w:shd w:val="clear" w:color="000000" w:fill="FFFFFF"/>
            <w:hideMark/>
          </w:tcPr>
          <w:p w14:paraId="64FDEF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4282D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3E09FB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157.- Información de puesto y mesa de votación al votante.</w:t>
            </w:r>
            <w:r w:rsidRPr="00222F34">
              <w:rPr>
                <w:rFonts w:ascii="Calibri" w:eastAsia="Times New Roman" w:hAnsi="Calibri" w:cs="Calibri"/>
                <w:color w:val="000000"/>
                <w:lang w:val="es-CO" w:eastAsia="es-CO" w:bidi="ar-SA"/>
              </w:rPr>
              <w:t xml:space="preserve"> La Registraduría deberá adoptar las medidas pertinentes y necesarias para que los ciudadanos habilitados conozcan su puesto y mesa de votación garantizando que la información sea accesible y fácil de entender. </w:t>
            </w:r>
          </w:p>
        </w:tc>
        <w:tc>
          <w:tcPr>
            <w:tcW w:w="3798" w:type="dxa"/>
            <w:tcBorders>
              <w:top w:val="nil"/>
              <w:left w:val="nil"/>
              <w:bottom w:val="nil"/>
              <w:right w:val="single" w:sz="4" w:space="0" w:color="000000"/>
            </w:tcBorders>
            <w:shd w:val="clear" w:color="000000" w:fill="FFFFFF"/>
            <w:hideMark/>
          </w:tcPr>
          <w:p w14:paraId="4B5CBD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161.- Información de puesto y mesa de votación al votante. </w:t>
            </w:r>
            <w:r w:rsidRPr="00222F34">
              <w:rPr>
                <w:rFonts w:ascii="Calibri" w:eastAsia="Times New Roman" w:hAnsi="Calibri" w:cs="Calibri"/>
                <w:color w:val="000000"/>
                <w:lang w:val="es-CO" w:eastAsia="es-CO" w:bidi="ar-SA"/>
              </w:rPr>
              <w:t>La Registraduría deberá adoptar las medidas pertinentes y necesarias para que los ciudadanos habilitados conozcan su puesto y mesa de votación garantizando que la información sea accesible y fácil de entender.</w:t>
            </w:r>
          </w:p>
        </w:tc>
        <w:tc>
          <w:tcPr>
            <w:tcW w:w="3798" w:type="dxa"/>
            <w:tcBorders>
              <w:top w:val="nil"/>
              <w:left w:val="nil"/>
              <w:bottom w:val="nil"/>
              <w:right w:val="single" w:sz="4" w:space="0" w:color="000000"/>
            </w:tcBorders>
            <w:shd w:val="clear" w:color="000000" w:fill="FFFFFF"/>
            <w:hideMark/>
          </w:tcPr>
          <w:p w14:paraId="3FEDE8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161.- Información de puesto y mesa de votación al votante. </w:t>
            </w:r>
            <w:r w:rsidRPr="00222F34">
              <w:rPr>
                <w:rFonts w:ascii="Calibri" w:eastAsia="Times New Roman" w:hAnsi="Calibri" w:cs="Calibri"/>
                <w:color w:val="000000"/>
                <w:lang w:val="es-CO" w:eastAsia="es-CO" w:bidi="ar-SA"/>
              </w:rPr>
              <w:t>La Registraduría deberá adoptar las medidas pertinentes y necesarias para que los ciudadanos habilitados conozcan su puesto y mesa de votación garantizando que la información sea accesible y fácil de entender.</w:t>
            </w:r>
          </w:p>
        </w:tc>
        <w:tc>
          <w:tcPr>
            <w:tcW w:w="1480" w:type="dxa"/>
            <w:tcBorders>
              <w:top w:val="nil"/>
              <w:left w:val="nil"/>
              <w:bottom w:val="nil"/>
              <w:right w:val="single" w:sz="4" w:space="0" w:color="000000"/>
            </w:tcBorders>
            <w:shd w:val="clear" w:color="000000" w:fill="FFFFFF"/>
            <w:hideMark/>
          </w:tcPr>
          <w:p w14:paraId="250844C2" w14:textId="7664EBD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0DA05A3"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7A367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estos efectos, los listados de sufragantes podrán ser consultados a través de los medios tecnológicos dispuestos para tal fin. Gradualmente y cuando las condiciones lo permitan, se eliminará el uso del papel. </w:t>
            </w:r>
          </w:p>
        </w:tc>
        <w:tc>
          <w:tcPr>
            <w:tcW w:w="3798" w:type="dxa"/>
            <w:tcBorders>
              <w:top w:val="nil"/>
              <w:left w:val="nil"/>
              <w:bottom w:val="single" w:sz="4" w:space="0" w:color="000000"/>
              <w:right w:val="single" w:sz="4" w:space="0" w:color="000000"/>
            </w:tcBorders>
            <w:shd w:val="clear" w:color="000000" w:fill="FFFFFF"/>
            <w:hideMark/>
          </w:tcPr>
          <w:p w14:paraId="72D6AA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estos efectos, los listados de sufragantes podrán ser consultados a través de los medios tecnológicos dispuestos para tal fin. Gradualmente y cuando las condiciones lo permitan, se eliminará el uso del papel.</w:t>
            </w:r>
          </w:p>
        </w:tc>
        <w:tc>
          <w:tcPr>
            <w:tcW w:w="3798" w:type="dxa"/>
            <w:tcBorders>
              <w:top w:val="nil"/>
              <w:left w:val="nil"/>
              <w:bottom w:val="single" w:sz="4" w:space="0" w:color="000000"/>
              <w:right w:val="single" w:sz="4" w:space="0" w:color="000000"/>
            </w:tcBorders>
            <w:shd w:val="clear" w:color="000000" w:fill="FFFFFF"/>
            <w:hideMark/>
          </w:tcPr>
          <w:p w14:paraId="305585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estos efectos, los listados de sufragantes podrán ser consultados a través de los medios tecnológicos dispuestos para tal fin. Gradualmente y cuando las condiciones lo permitan, se eliminará el uso del papel.</w:t>
            </w:r>
          </w:p>
        </w:tc>
        <w:tc>
          <w:tcPr>
            <w:tcW w:w="1480" w:type="dxa"/>
            <w:tcBorders>
              <w:top w:val="nil"/>
              <w:left w:val="nil"/>
              <w:bottom w:val="single" w:sz="4" w:space="0" w:color="auto"/>
              <w:right w:val="single" w:sz="4" w:space="0" w:color="000000"/>
            </w:tcBorders>
            <w:shd w:val="clear" w:color="000000" w:fill="FFFFFF"/>
            <w:hideMark/>
          </w:tcPr>
          <w:p w14:paraId="5BEF27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3925512" w14:textId="77777777" w:rsidTr="00222F34">
        <w:trPr>
          <w:trHeight w:val="2115"/>
        </w:trPr>
        <w:tc>
          <w:tcPr>
            <w:tcW w:w="3798" w:type="dxa"/>
            <w:tcBorders>
              <w:top w:val="nil"/>
              <w:left w:val="single" w:sz="4" w:space="0" w:color="000000"/>
              <w:bottom w:val="nil"/>
              <w:right w:val="single" w:sz="4" w:space="0" w:color="000000"/>
            </w:tcBorders>
            <w:shd w:val="clear" w:color="000000" w:fill="FFFFFF"/>
            <w:hideMark/>
          </w:tcPr>
          <w:p w14:paraId="4716ED5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158.- Autenticación del elector.</w:t>
            </w:r>
            <w:r w:rsidRPr="00222F34">
              <w:rPr>
                <w:rFonts w:ascii="Calibri" w:eastAsia="Times New Roman" w:hAnsi="Calibri" w:cs="Calibri"/>
                <w:color w:val="000000"/>
                <w:lang w:val="es-CO" w:eastAsia="es-CO" w:bidi="ar-SA"/>
              </w:rPr>
              <w:t xml:space="preserve"> Como condición al ejercicio del voto se implementará la identificación biométrica o autenticación de documentos de identidad o sus equivalentes funcionales,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 </w:t>
            </w:r>
          </w:p>
        </w:tc>
        <w:tc>
          <w:tcPr>
            <w:tcW w:w="3798" w:type="dxa"/>
            <w:tcBorders>
              <w:top w:val="nil"/>
              <w:left w:val="nil"/>
              <w:bottom w:val="nil"/>
              <w:right w:val="single" w:sz="4" w:space="0" w:color="000000"/>
            </w:tcBorders>
            <w:shd w:val="clear" w:color="000000" w:fill="FFFFFF"/>
            <w:hideMark/>
          </w:tcPr>
          <w:p w14:paraId="559C2C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162.- Autenticación del elector. </w:t>
            </w:r>
            <w:r w:rsidRPr="00222F34">
              <w:rPr>
                <w:rFonts w:ascii="Calibri" w:eastAsia="Times New Roman" w:hAnsi="Calibri" w:cs="Calibri"/>
                <w:color w:val="000000"/>
                <w:lang w:val="es-CO" w:eastAsia="es-CO" w:bidi="ar-SA"/>
              </w:rPr>
              <w:t>Como condición al ejercicio del voto se implementará la identificación biométrica o autenticación de documentos de identidad o sus equivalentes funcionales,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w:t>
            </w:r>
          </w:p>
        </w:tc>
        <w:tc>
          <w:tcPr>
            <w:tcW w:w="3798" w:type="dxa"/>
            <w:tcBorders>
              <w:top w:val="nil"/>
              <w:left w:val="nil"/>
              <w:bottom w:val="nil"/>
              <w:right w:val="single" w:sz="4" w:space="0" w:color="000000"/>
            </w:tcBorders>
            <w:shd w:val="clear" w:color="000000" w:fill="FFFFFF"/>
            <w:hideMark/>
          </w:tcPr>
          <w:p w14:paraId="63630B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162.- Autenticación del elector. </w:t>
            </w:r>
            <w:r w:rsidRPr="00222F34">
              <w:rPr>
                <w:rFonts w:ascii="Calibri" w:eastAsia="Times New Roman" w:hAnsi="Calibri" w:cs="Calibri"/>
                <w:color w:val="000000"/>
                <w:lang w:val="es-CO" w:eastAsia="es-CO" w:bidi="ar-SA"/>
              </w:rPr>
              <w:t>Como condición al ejercicio del voto se implementará la identificación biométrica o autenticación de documentos de identidad o sus equivalentes funcionales,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w:t>
            </w:r>
          </w:p>
        </w:tc>
        <w:tc>
          <w:tcPr>
            <w:tcW w:w="1480" w:type="dxa"/>
            <w:tcBorders>
              <w:top w:val="nil"/>
              <w:left w:val="nil"/>
              <w:bottom w:val="nil"/>
              <w:right w:val="single" w:sz="4" w:space="0" w:color="000000"/>
            </w:tcBorders>
            <w:shd w:val="clear" w:color="000000" w:fill="FFFFFF"/>
            <w:hideMark/>
          </w:tcPr>
          <w:p w14:paraId="69C2DC82" w14:textId="13CFB7B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40CC5F7"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4FD6785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Si no es posible validar la identificación biométrica del elector por fallas o 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los documentos de identidad o sus equivalentes funcionales. </w:t>
            </w:r>
          </w:p>
        </w:tc>
        <w:tc>
          <w:tcPr>
            <w:tcW w:w="3798" w:type="dxa"/>
            <w:tcBorders>
              <w:top w:val="nil"/>
              <w:left w:val="nil"/>
              <w:bottom w:val="single" w:sz="4" w:space="0" w:color="000000"/>
              <w:right w:val="single" w:sz="4" w:space="0" w:color="000000"/>
            </w:tcBorders>
            <w:shd w:val="clear" w:color="000000" w:fill="FFFFFF"/>
            <w:hideMark/>
          </w:tcPr>
          <w:p w14:paraId="71D2A1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Si no es posible validar la identificación biométrica del elector por fallas o 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los documentos de identidad o sus equivalentes funcionales.</w:t>
            </w:r>
          </w:p>
        </w:tc>
        <w:tc>
          <w:tcPr>
            <w:tcW w:w="3798" w:type="dxa"/>
            <w:tcBorders>
              <w:top w:val="nil"/>
              <w:left w:val="nil"/>
              <w:bottom w:val="single" w:sz="4" w:space="0" w:color="000000"/>
              <w:right w:val="single" w:sz="4" w:space="0" w:color="000000"/>
            </w:tcBorders>
            <w:shd w:val="clear" w:color="000000" w:fill="FFFFFF"/>
            <w:hideMark/>
          </w:tcPr>
          <w:p w14:paraId="387B4E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Si no es posible validar la identificación biométrica del elector por fallas o 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los documentos de identidad o sus equivalentes funcionales.</w:t>
            </w:r>
          </w:p>
        </w:tc>
        <w:tc>
          <w:tcPr>
            <w:tcW w:w="1480" w:type="dxa"/>
            <w:tcBorders>
              <w:top w:val="nil"/>
              <w:left w:val="nil"/>
              <w:bottom w:val="nil"/>
              <w:right w:val="single" w:sz="4" w:space="0" w:color="000000"/>
            </w:tcBorders>
            <w:shd w:val="clear" w:color="000000" w:fill="FFFFFF"/>
            <w:hideMark/>
          </w:tcPr>
          <w:p w14:paraId="6D904D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A786FC"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91373A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159.- Instalación y funcionamiento de la mesa.</w:t>
            </w:r>
            <w:r w:rsidRPr="00222F34">
              <w:rPr>
                <w:rFonts w:ascii="Calibri" w:eastAsia="Times New Roman" w:hAnsi="Calibri" w:cs="Calibri"/>
                <w:color w:val="000000"/>
                <w:lang w:val="es-CO" w:eastAsia="es-CO" w:bidi="ar-SA"/>
              </w:rPr>
              <w:t xml:space="preserve"> Para la instalación y funcionamiento de la mesa de votación durante la jornada se requiere como mínimo de la presencia permanente de dos (2) jurados de votación debidamente designados. </w:t>
            </w:r>
          </w:p>
        </w:tc>
        <w:tc>
          <w:tcPr>
            <w:tcW w:w="3798" w:type="dxa"/>
            <w:tcBorders>
              <w:top w:val="nil"/>
              <w:left w:val="nil"/>
              <w:bottom w:val="single" w:sz="4" w:space="0" w:color="000000"/>
              <w:right w:val="single" w:sz="4" w:space="0" w:color="000000"/>
            </w:tcBorders>
            <w:shd w:val="clear" w:color="000000" w:fill="FFFFFF"/>
            <w:hideMark/>
          </w:tcPr>
          <w:p w14:paraId="4A491F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163</w:t>
            </w:r>
            <w:r w:rsidRPr="00222F34">
              <w:rPr>
                <w:rFonts w:ascii="Calibri" w:eastAsia="Times New Roman" w:hAnsi="Calibri" w:cs="Calibri"/>
                <w:color w:val="000000"/>
                <w:lang w:val="es-CO" w:eastAsia="es-CO" w:bidi="ar-SA"/>
              </w:rPr>
              <w:t>.- Instalación y funcionamiento de la mesa. Para la instalación y funcionamiento de la mesa de votación durante la jornada se requiere como mínimo de la presencia permanente de dos (2) jurados de votación debidamente designados.</w:t>
            </w:r>
          </w:p>
        </w:tc>
        <w:tc>
          <w:tcPr>
            <w:tcW w:w="3798" w:type="dxa"/>
            <w:tcBorders>
              <w:top w:val="nil"/>
              <w:left w:val="nil"/>
              <w:bottom w:val="single" w:sz="4" w:space="0" w:color="000000"/>
              <w:right w:val="single" w:sz="4" w:space="0" w:color="000000"/>
            </w:tcBorders>
            <w:shd w:val="clear" w:color="000000" w:fill="FFFFFF"/>
            <w:hideMark/>
          </w:tcPr>
          <w:p w14:paraId="725A48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163</w:t>
            </w:r>
            <w:r w:rsidRPr="00222F34">
              <w:rPr>
                <w:rFonts w:ascii="Calibri" w:eastAsia="Times New Roman" w:hAnsi="Calibri" w:cs="Calibri"/>
                <w:color w:val="000000"/>
                <w:lang w:val="es-CO" w:eastAsia="es-CO" w:bidi="ar-SA"/>
              </w:rPr>
              <w:t>.- Instalación y funcionamiento de la mesa. Para la instalación y funcionamiento de la mesa de votación durante la jornada se requiere como mínimo de la presencia permanente de dos (2) jurados de votación debidamente designados.</w:t>
            </w:r>
          </w:p>
        </w:tc>
        <w:tc>
          <w:tcPr>
            <w:tcW w:w="1480" w:type="dxa"/>
            <w:tcBorders>
              <w:top w:val="single" w:sz="4" w:space="0" w:color="000000"/>
              <w:left w:val="nil"/>
              <w:bottom w:val="single" w:sz="4" w:space="0" w:color="auto"/>
              <w:right w:val="single" w:sz="4" w:space="0" w:color="000000"/>
            </w:tcBorders>
            <w:shd w:val="clear" w:color="000000" w:fill="FFFFFF"/>
            <w:hideMark/>
          </w:tcPr>
          <w:p w14:paraId="0C8BC23E" w14:textId="0B71D5C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AB0BC2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DF24FC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160.- Reemplazo de jurados de votación.</w:t>
            </w:r>
            <w:r w:rsidRPr="00222F34">
              <w:rPr>
                <w:rFonts w:ascii="Calibri" w:eastAsia="Times New Roman" w:hAnsi="Calibri" w:cs="Calibri"/>
                <w:color w:val="000000"/>
                <w:lang w:val="es-CO" w:eastAsia="es-CO" w:bidi="ar-SA"/>
              </w:rPr>
              <w:t xml:space="preserve"> 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 </w:t>
            </w:r>
          </w:p>
        </w:tc>
        <w:tc>
          <w:tcPr>
            <w:tcW w:w="3798" w:type="dxa"/>
            <w:tcBorders>
              <w:top w:val="nil"/>
              <w:left w:val="nil"/>
              <w:bottom w:val="nil"/>
              <w:right w:val="single" w:sz="4" w:space="0" w:color="000000"/>
            </w:tcBorders>
            <w:shd w:val="clear" w:color="000000" w:fill="FFFFFF"/>
            <w:hideMark/>
          </w:tcPr>
          <w:p w14:paraId="53EC7F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164.- Reemplazo de jurados de votación</w:t>
            </w:r>
            <w:r w:rsidRPr="00222F34">
              <w:rPr>
                <w:rFonts w:ascii="Calibri" w:eastAsia="Times New Roman" w:hAnsi="Calibri" w:cs="Calibri"/>
                <w:color w:val="000000"/>
                <w:lang w:val="es-CO" w:eastAsia="es-CO" w:bidi="ar-SA"/>
              </w:rPr>
              <w:t>. 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w:t>
            </w:r>
          </w:p>
        </w:tc>
        <w:tc>
          <w:tcPr>
            <w:tcW w:w="3798" w:type="dxa"/>
            <w:tcBorders>
              <w:top w:val="nil"/>
              <w:left w:val="nil"/>
              <w:bottom w:val="nil"/>
              <w:right w:val="single" w:sz="4" w:space="0" w:color="000000"/>
            </w:tcBorders>
            <w:shd w:val="clear" w:color="000000" w:fill="FFFFFF"/>
            <w:hideMark/>
          </w:tcPr>
          <w:p w14:paraId="32D13C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164.- Reemplazo de jurados de votación</w:t>
            </w:r>
            <w:r w:rsidRPr="00222F34">
              <w:rPr>
                <w:rFonts w:ascii="Calibri" w:eastAsia="Times New Roman" w:hAnsi="Calibri" w:cs="Calibri"/>
                <w:color w:val="000000"/>
                <w:lang w:val="es-CO" w:eastAsia="es-CO" w:bidi="ar-SA"/>
              </w:rPr>
              <w:t>. 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w:t>
            </w:r>
          </w:p>
        </w:tc>
        <w:tc>
          <w:tcPr>
            <w:tcW w:w="1480" w:type="dxa"/>
            <w:tcBorders>
              <w:top w:val="nil"/>
              <w:left w:val="nil"/>
              <w:bottom w:val="nil"/>
              <w:right w:val="single" w:sz="4" w:space="0" w:color="000000"/>
            </w:tcBorders>
            <w:shd w:val="clear" w:color="000000" w:fill="FFFFFF"/>
            <w:hideMark/>
          </w:tcPr>
          <w:p w14:paraId="2000685F" w14:textId="2791E4D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9AF22E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9302F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jurados remanentes podrán retirarse una vez el delegado de puesto de la Registraduría Nacional del Estado Civil les expida la constancia de asistencia. </w:t>
            </w:r>
          </w:p>
        </w:tc>
        <w:tc>
          <w:tcPr>
            <w:tcW w:w="3798" w:type="dxa"/>
            <w:tcBorders>
              <w:top w:val="nil"/>
              <w:left w:val="nil"/>
              <w:bottom w:val="nil"/>
              <w:right w:val="single" w:sz="4" w:space="0" w:color="000000"/>
            </w:tcBorders>
            <w:shd w:val="clear" w:color="000000" w:fill="FFFFFF"/>
            <w:hideMark/>
          </w:tcPr>
          <w:p w14:paraId="4894F5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jurados remanentes podrán retirarse una vez el delegado de puesto de la Registraduría Nacional del Estado Civil les expida la constancia de asistencia.</w:t>
            </w:r>
          </w:p>
        </w:tc>
        <w:tc>
          <w:tcPr>
            <w:tcW w:w="3798" w:type="dxa"/>
            <w:tcBorders>
              <w:top w:val="nil"/>
              <w:left w:val="nil"/>
              <w:bottom w:val="nil"/>
              <w:right w:val="single" w:sz="4" w:space="0" w:color="000000"/>
            </w:tcBorders>
            <w:shd w:val="clear" w:color="000000" w:fill="FFFFFF"/>
            <w:hideMark/>
          </w:tcPr>
          <w:p w14:paraId="159706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jurados remanentes podrán retirarse una vez el delegado de puesto de la Registraduría Nacional del Estado Civil les expida la constancia de asistencia.</w:t>
            </w:r>
          </w:p>
        </w:tc>
        <w:tc>
          <w:tcPr>
            <w:tcW w:w="1480" w:type="dxa"/>
            <w:tcBorders>
              <w:top w:val="nil"/>
              <w:left w:val="nil"/>
              <w:bottom w:val="nil"/>
              <w:right w:val="single" w:sz="4" w:space="0" w:color="000000"/>
            </w:tcBorders>
            <w:shd w:val="clear" w:color="000000" w:fill="FFFFFF"/>
            <w:hideMark/>
          </w:tcPr>
          <w:p w14:paraId="5DF34B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5470DE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ED9E8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agotarse la lista de remanentes en el puesto de votación al que fueron designados, el delegado de puesto deberá suplir la vacancia con los jurados designados para otros puestos o mesas de votación.  </w:t>
            </w:r>
          </w:p>
        </w:tc>
        <w:tc>
          <w:tcPr>
            <w:tcW w:w="3798" w:type="dxa"/>
            <w:tcBorders>
              <w:top w:val="nil"/>
              <w:left w:val="nil"/>
              <w:bottom w:val="nil"/>
              <w:right w:val="single" w:sz="4" w:space="0" w:color="000000"/>
            </w:tcBorders>
            <w:shd w:val="clear" w:color="000000" w:fill="FFFFFF"/>
            <w:hideMark/>
          </w:tcPr>
          <w:p w14:paraId="78C503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agotarse la lista de remanentes en el puesto de votación al que fueron designados, el delegado de puesto deberá suplir la vacancia con los jurados designados para otros puestos o mesas de votación.</w:t>
            </w:r>
          </w:p>
        </w:tc>
        <w:tc>
          <w:tcPr>
            <w:tcW w:w="3798" w:type="dxa"/>
            <w:tcBorders>
              <w:top w:val="nil"/>
              <w:left w:val="nil"/>
              <w:bottom w:val="nil"/>
              <w:right w:val="single" w:sz="4" w:space="0" w:color="000000"/>
            </w:tcBorders>
            <w:shd w:val="clear" w:color="000000" w:fill="FFFFFF"/>
            <w:hideMark/>
          </w:tcPr>
          <w:p w14:paraId="39197A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agotarse la lista de remanentes en el puesto de votación al que fueron designados, el delegado de puesto deberá suplir la vacancia con los jurados designados para otros puestos o mesas de votación.</w:t>
            </w:r>
          </w:p>
        </w:tc>
        <w:tc>
          <w:tcPr>
            <w:tcW w:w="1480" w:type="dxa"/>
            <w:tcBorders>
              <w:top w:val="nil"/>
              <w:left w:val="nil"/>
              <w:bottom w:val="nil"/>
              <w:right w:val="single" w:sz="4" w:space="0" w:color="000000"/>
            </w:tcBorders>
            <w:shd w:val="clear" w:color="000000" w:fill="FFFFFF"/>
            <w:hideMark/>
          </w:tcPr>
          <w:p w14:paraId="216EDD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7026A7"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1EC11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Excepcionalmente, y solo cuando se agote el proceso anterior, y no se tenga el número suficiente de jurados por mesa, el delegado de puesto procederá a designar al azar ciudadanos aptos que concurran en la votación, para que cumplan con la función de jurado, la cual será de forzosa aceptación. </w:t>
            </w:r>
          </w:p>
        </w:tc>
        <w:tc>
          <w:tcPr>
            <w:tcW w:w="3798" w:type="dxa"/>
            <w:tcBorders>
              <w:top w:val="nil"/>
              <w:left w:val="nil"/>
              <w:bottom w:val="nil"/>
              <w:right w:val="single" w:sz="4" w:space="0" w:color="000000"/>
            </w:tcBorders>
            <w:shd w:val="clear" w:color="000000" w:fill="FFFFFF"/>
            <w:hideMark/>
          </w:tcPr>
          <w:p w14:paraId="586783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Excepcionalmente, y sólo cuando se agote el proceso anterior, y no se tenga el número suficiente de jurados por mesa, el delegado de puesto procederá a designar al azar ciudadanos aptos que concurran en la votación, para que cumplan con la función de jurado, la cual será de forzosa aceptación.</w:t>
            </w:r>
          </w:p>
        </w:tc>
        <w:tc>
          <w:tcPr>
            <w:tcW w:w="3798" w:type="dxa"/>
            <w:tcBorders>
              <w:top w:val="nil"/>
              <w:left w:val="nil"/>
              <w:bottom w:val="nil"/>
              <w:right w:val="single" w:sz="4" w:space="0" w:color="000000"/>
            </w:tcBorders>
            <w:shd w:val="clear" w:color="000000" w:fill="FFFFFF"/>
            <w:hideMark/>
          </w:tcPr>
          <w:p w14:paraId="163F2E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Excepcionalmente, y sólo cuando se agote el proceso anterior, y no se tenga el número suficiente de jurados por mesa, el delegado de puesto procederá a designar al azar ciudadanos aptos que concurran en la votación, para que cumplan con la función de jurado, la cual será de forzosa aceptación.</w:t>
            </w:r>
          </w:p>
        </w:tc>
        <w:tc>
          <w:tcPr>
            <w:tcW w:w="1480" w:type="dxa"/>
            <w:tcBorders>
              <w:top w:val="nil"/>
              <w:left w:val="nil"/>
              <w:bottom w:val="nil"/>
              <w:right w:val="single" w:sz="4" w:space="0" w:color="000000"/>
            </w:tcBorders>
            <w:shd w:val="clear" w:color="000000" w:fill="FFFFFF"/>
            <w:hideMark/>
          </w:tcPr>
          <w:p w14:paraId="10E3AC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FC66C1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8785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 los casos anteriores, el delegado deberá dejar constancia en la resolución diseñada por la Registraduría Nacional del Estado Civil. </w:t>
            </w:r>
          </w:p>
        </w:tc>
        <w:tc>
          <w:tcPr>
            <w:tcW w:w="3798" w:type="dxa"/>
            <w:tcBorders>
              <w:top w:val="nil"/>
              <w:left w:val="nil"/>
              <w:bottom w:val="nil"/>
              <w:right w:val="single" w:sz="4" w:space="0" w:color="000000"/>
            </w:tcBorders>
            <w:shd w:val="clear" w:color="000000" w:fill="FFFFFF"/>
            <w:hideMark/>
          </w:tcPr>
          <w:p w14:paraId="2022C9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los casos anteriores, el delegado deberá dejar constancia en la resolución diseñada por la Registraduría Nacional del Estado Civil.</w:t>
            </w:r>
          </w:p>
        </w:tc>
        <w:tc>
          <w:tcPr>
            <w:tcW w:w="3798" w:type="dxa"/>
            <w:tcBorders>
              <w:top w:val="nil"/>
              <w:left w:val="nil"/>
              <w:bottom w:val="nil"/>
              <w:right w:val="single" w:sz="4" w:space="0" w:color="000000"/>
            </w:tcBorders>
            <w:shd w:val="clear" w:color="000000" w:fill="FFFFFF"/>
            <w:hideMark/>
          </w:tcPr>
          <w:p w14:paraId="718F86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los casos anteriores, el delegado deberá dejar constancia en la resolución diseñada por la Registraduría Nacional del Estado Civil.</w:t>
            </w:r>
          </w:p>
        </w:tc>
        <w:tc>
          <w:tcPr>
            <w:tcW w:w="1480" w:type="dxa"/>
            <w:tcBorders>
              <w:top w:val="nil"/>
              <w:left w:val="nil"/>
              <w:bottom w:val="nil"/>
              <w:right w:val="single" w:sz="4" w:space="0" w:color="000000"/>
            </w:tcBorders>
            <w:shd w:val="clear" w:color="000000" w:fill="FFFFFF"/>
            <w:hideMark/>
          </w:tcPr>
          <w:p w14:paraId="2A24C5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5FF378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A2DCE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el ciudadano designado se niegue de forma injustificada a cumplir con la función o no cumpla con la misma, habrá lugar a la imposición de las sanciones previstas en este código para la inasistencia de los jurados de votación. </w:t>
            </w:r>
          </w:p>
        </w:tc>
        <w:tc>
          <w:tcPr>
            <w:tcW w:w="3798" w:type="dxa"/>
            <w:tcBorders>
              <w:top w:val="nil"/>
              <w:left w:val="nil"/>
              <w:bottom w:val="nil"/>
              <w:right w:val="single" w:sz="4" w:space="0" w:color="000000"/>
            </w:tcBorders>
            <w:shd w:val="clear" w:color="000000" w:fill="FFFFFF"/>
            <w:hideMark/>
          </w:tcPr>
          <w:p w14:paraId="2A4E5E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el ciudadano designado se niegue de forma injustificada a cumplir con la función o no cumpla con la misma, habrá lugar a la imposición de las sanciones previstas en este código para la inasistencia de los jurados de votación.</w:t>
            </w:r>
          </w:p>
        </w:tc>
        <w:tc>
          <w:tcPr>
            <w:tcW w:w="3798" w:type="dxa"/>
            <w:tcBorders>
              <w:top w:val="nil"/>
              <w:left w:val="nil"/>
              <w:bottom w:val="nil"/>
              <w:right w:val="single" w:sz="4" w:space="0" w:color="000000"/>
            </w:tcBorders>
            <w:shd w:val="clear" w:color="000000" w:fill="FFFFFF"/>
            <w:hideMark/>
          </w:tcPr>
          <w:p w14:paraId="1B9C25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el ciudadano designado se niegue de forma injustificada a cumplir con la función o no cumpla con la misma, habrá lugar a la imposición de las sanciones previstas en este código para la inasistencia de los jurados de votación.</w:t>
            </w:r>
          </w:p>
        </w:tc>
        <w:tc>
          <w:tcPr>
            <w:tcW w:w="1480" w:type="dxa"/>
            <w:tcBorders>
              <w:top w:val="nil"/>
              <w:left w:val="nil"/>
              <w:bottom w:val="nil"/>
              <w:right w:val="single" w:sz="4" w:space="0" w:color="000000"/>
            </w:tcBorders>
            <w:shd w:val="clear" w:color="000000" w:fill="FFFFFF"/>
            <w:hideMark/>
          </w:tcPr>
          <w:p w14:paraId="5066E2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A55599" w14:textId="77777777" w:rsidTr="00222F34">
        <w:trPr>
          <w:trHeight w:val="1500"/>
        </w:trPr>
        <w:tc>
          <w:tcPr>
            <w:tcW w:w="3798" w:type="dxa"/>
            <w:tcBorders>
              <w:top w:val="single" w:sz="4" w:space="0" w:color="000000"/>
              <w:left w:val="single" w:sz="4" w:space="0" w:color="000000"/>
              <w:bottom w:val="nil"/>
              <w:right w:val="single" w:sz="4" w:space="0" w:color="000000"/>
            </w:tcBorders>
            <w:shd w:val="clear" w:color="000000" w:fill="FFFFFF"/>
            <w:hideMark/>
          </w:tcPr>
          <w:p w14:paraId="7B0220D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161.- Instalación de la mesa de votación.</w:t>
            </w:r>
            <w:r w:rsidRPr="00222F34">
              <w:rPr>
                <w:rFonts w:ascii="Calibri" w:eastAsia="Times New Roman" w:hAnsi="Calibri" w:cs="Calibri"/>
                <w:color w:val="000000"/>
                <w:lang w:val="es-CO" w:eastAsia="es-CO" w:bidi="ar-SA"/>
              </w:rPr>
              <w:t xml:space="preserve"> 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 </w:t>
            </w:r>
          </w:p>
        </w:tc>
        <w:tc>
          <w:tcPr>
            <w:tcW w:w="3798" w:type="dxa"/>
            <w:tcBorders>
              <w:top w:val="single" w:sz="4" w:space="0" w:color="000000"/>
              <w:left w:val="nil"/>
              <w:bottom w:val="nil"/>
              <w:right w:val="single" w:sz="4" w:space="0" w:color="000000"/>
            </w:tcBorders>
            <w:shd w:val="clear" w:color="000000" w:fill="FFFFFF"/>
            <w:hideMark/>
          </w:tcPr>
          <w:p w14:paraId="1BB1C5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165.- Instalación de la mesa de votación</w:t>
            </w:r>
            <w:r w:rsidRPr="00222F34">
              <w:rPr>
                <w:rFonts w:ascii="Calibri" w:eastAsia="Times New Roman" w:hAnsi="Calibri" w:cs="Calibri"/>
                <w:color w:val="000000"/>
                <w:lang w:val="es-CO" w:eastAsia="es-CO" w:bidi="ar-SA"/>
              </w:rPr>
              <w:t>. 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w:t>
            </w:r>
          </w:p>
        </w:tc>
        <w:tc>
          <w:tcPr>
            <w:tcW w:w="3798" w:type="dxa"/>
            <w:tcBorders>
              <w:top w:val="single" w:sz="4" w:space="0" w:color="000000"/>
              <w:left w:val="nil"/>
              <w:bottom w:val="nil"/>
              <w:right w:val="single" w:sz="4" w:space="0" w:color="000000"/>
            </w:tcBorders>
            <w:shd w:val="clear" w:color="000000" w:fill="FFFFFF"/>
            <w:hideMark/>
          </w:tcPr>
          <w:p w14:paraId="0DF45A9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165.- Instalación de la mesa de votación.</w:t>
            </w:r>
            <w:r w:rsidRPr="00222F34">
              <w:rPr>
                <w:rFonts w:ascii="Calibri" w:eastAsia="Times New Roman" w:hAnsi="Calibri" w:cs="Calibri"/>
                <w:color w:val="000000"/>
                <w:lang w:val="es-CO" w:eastAsia="es-CO" w:bidi="ar-SA"/>
              </w:rPr>
              <w:t xml:space="preserve"> 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 </w:t>
            </w:r>
          </w:p>
        </w:tc>
        <w:tc>
          <w:tcPr>
            <w:tcW w:w="1480" w:type="dxa"/>
            <w:tcBorders>
              <w:top w:val="single" w:sz="4" w:space="0" w:color="000000"/>
              <w:left w:val="nil"/>
              <w:bottom w:val="nil"/>
              <w:right w:val="single" w:sz="4" w:space="0" w:color="000000"/>
            </w:tcBorders>
            <w:shd w:val="clear" w:color="000000" w:fill="FFFFFF"/>
            <w:hideMark/>
          </w:tcPr>
          <w:p w14:paraId="7244E8D6" w14:textId="121AF6D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06FA0D8"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9D1B2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Cuando se utilicen sistemas de asistencia tecnológica para la votación, los jurados deberán verificar el correcto funcionamiento de las herramientas instaladas para el efecto. También deberán dejar constancia en el respectivo formulario de que en el momento de la instalación de la mesa no se han depositado o contabilizado votos, y, por ende, el sistema se encuentre en cero. </w:t>
            </w:r>
          </w:p>
        </w:tc>
        <w:tc>
          <w:tcPr>
            <w:tcW w:w="3798" w:type="dxa"/>
            <w:tcBorders>
              <w:top w:val="nil"/>
              <w:left w:val="nil"/>
              <w:bottom w:val="nil"/>
              <w:right w:val="single" w:sz="4" w:space="0" w:color="000000"/>
            </w:tcBorders>
            <w:shd w:val="clear" w:color="000000" w:fill="FFFFFF"/>
            <w:hideMark/>
          </w:tcPr>
          <w:p w14:paraId="5CACB8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utilicen sistemas de asistencia tecnológica para la votación, los jurados deberán verificar el correcto funcionamiento de las herramientas instaladas para el efecto.</w:t>
            </w:r>
          </w:p>
        </w:tc>
        <w:tc>
          <w:tcPr>
            <w:tcW w:w="3798" w:type="dxa"/>
            <w:tcBorders>
              <w:top w:val="nil"/>
              <w:left w:val="nil"/>
              <w:bottom w:val="nil"/>
              <w:right w:val="single" w:sz="4" w:space="0" w:color="000000"/>
            </w:tcBorders>
            <w:shd w:val="clear" w:color="000000" w:fill="FFFFFF"/>
            <w:hideMark/>
          </w:tcPr>
          <w:p w14:paraId="691F4B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se utilicen sistemas de asistencia tecnológica para la votación, los jurados deberán verificar el correcto funcionamiento de las herramientas instaladas para el efecto. También deberán dejar constancia en el respectivo formulario de que en el momento de la instalación de la mesa no se han depositado o contabilizado votos, y, por ende, el sistema se encuentre en cero. </w:t>
            </w:r>
          </w:p>
        </w:tc>
        <w:tc>
          <w:tcPr>
            <w:tcW w:w="1480" w:type="dxa"/>
            <w:tcBorders>
              <w:top w:val="nil"/>
              <w:left w:val="nil"/>
              <w:bottom w:val="nil"/>
              <w:right w:val="single" w:sz="4" w:space="0" w:color="000000"/>
            </w:tcBorders>
            <w:shd w:val="clear" w:color="000000" w:fill="FFFFFF"/>
            <w:hideMark/>
          </w:tcPr>
          <w:p w14:paraId="709EA0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B605EBB"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257A2A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REENUMERADO</w:t>
            </w:r>
          </w:p>
        </w:tc>
        <w:tc>
          <w:tcPr>
            <w:tcW w:w="3798" w:type="dxa"/>
            <w:tcBorders>
              <w:top w:val="nil"/>
              <w:left w:val="nil"/>
              <w:bottom w:val="nil"/>
              <w:right w:val="single" w:sz="4" w:space="0" w:color="000000"/>
            </w:tcBorders>
            <w:shd w:val="clear" w:color="000000" w:fill="FFFFFF"/>
            <w:hideMark/>
          </w:tcPr>
          <w:p w14:paraId="5ACCAE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deberán dejar constancia en el respectivo formulario de que en el momento de la instalación de la mesa no se han depositado o contabilizado votos, y, por ende, el sistema se encuentre en cero.</w:t>
            </w:r>
          </w:p>
        </w:tc>
        <w:tc>
          <w:tcPr>
            <w:tcW w:w="3798" w:type="dxa"/>
            <w:tcBorders>
              <w:top w:val="nil"/>
              <w:left w:val="nil"/>
              <w:bottom w:val="nil"/>
              <w:right w:val="single" w:sz="4" w:space="0" w:color="000000"/>
            </w:tcBorders>
            <w:shd w:val="clear" w:color="FFC000" w:fill="FFFFFF"/>
            <w:hideMark/>
          </w:tcPr>
          <w:p w14:paraId="79588C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505D2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6DD8F6"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B1F18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las ocho de la mañana (8:00 a. m.) los jurados instalarán la mesa y dejarán constancia mediante acta firmada por todos los presentes de la apertura de la jornada y las observaciones pertinentes </w:t>
            </w:r>
          </w:p>
        </w:tc>
        <w:tc>
          <w:tcPr>
            <w:tcW w:w="3798" w:type="dxa"/>
            <w:tcBorders>
              <w:top w:val="nil"/>
              <w:left w:val="nil"/>
              <w:bottom w:val="single" w:sz="4" w:space="0" w:color="000000"/>
              <w:right w:val="single" w:sz="4" w:space="0" w:color="000000"/>
            </w:tcBorders>
            <w:shd w:val="clear" w:color="000000" w:fill="FFFFFF"/>
            <w:hideMark/>
          </w:tcPr>
          <w:p w14:paraId="12FECE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las ocho de la mañana (8:00 a. m.) los jurados instalarán la mesa y dejarán constancia mediante acta firmada por todos los presentes de la apertura de la jornada y las observaciones pertinentes</w:t>
            </w:r>
          </w:p>
        </w:tc>
        <w:tc>
          <w:tcPr>
            <w:tcW w:w="3798" w:type="dxa"/>
            <w:tcBorders>
              <w:top w:val="nil"/>
              <w:left w:val="nil"/>
              <w:bottom w:val="single" w:sz="4" w:space="0" w:color="000000"/>
              <w:right w:val="single" w:sz="4" w:space="0" w:color="000000"/>
            </w:tcBorders>
            <w:shd w:val="clear" w:color="000000" w:fill="FFFFFF"/>
            <w:hideMark/>
          </w:tcPr>
          <w:p w14:paraId="543715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las ocho de la mañana (8:00 a. m.) los jurados instalarán la mesa y dejarán constancia mediante acta firmada por todos los presentes de la apertura de la jornada y las observaciones pertinentes </w:t>
            </w:r>
          </w:p>
        </w:tc>
        <w:tc>
          <w:tcPr>
            <w:tcW w:w="1480" w:type="dxa"/>
            <w:tcBorders>
              <w:top w:val="nil"/>
              <w:left w:val="nil"/>
              <w:bottom w:val="single" w:sz="4" w:space="0" w:color="000000"/>
              <w:right w:val="single" w:sz="4" w:space="0" w:color="000000"/>
            </w:tcBorders>
            <w:shd w:val="clear" w:color="000000" w:fill="FFFFFF"/>
            <w:hideMark/>
          </w:tcPr>
          <w:p w14:paraId="604FAB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BCACBA6"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70294ED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162.- Protocolo de votación.</w:t>
            </w:r>
            <w:r w:rsidRPr="00222F34">
              <w:rPr>
                <w:rFonts w:ascii="Calibri" w:eastAsia="Times New Roman" w:hAnsi="Calibri" w:cs="Calibri"/>
                <w:color w:val="000000"/>
                <w:lang w:val="es-CO" w:eastAsia="es-CO" w:bidi="ar-SA"/>
              </w:rPr>
              <w:t xml:space="preserve"> 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w:t>
            </w:r>
            <w:r w:rsidRPr="00222F34">
              <w:rPr>
                <w:rFonts w:ascii="Calibri" w:eastAsia="Times New Roman" w:hAnsi="Calibri" w:cs="Calibri"/>
                <w:color w:val="000000"/>
                <w:lang w:val="es-CO" w:eastAsia="es-CO" w:bidi="ar-SA"/>
              </w:rPr>
              <w:lastRenderedPageBreak/>
              <w:t xml:space="preserve">el fin de verificar la identidad, luego se procederá a la identificación biométrica de que trata el presente código. Comprobará que se encuentra habilitado en la respectiva mesa o puesto y lo inscribirá en el registro de votantes de acuerdo con las instrucciones que imparte la Organización Electoral. </w:t>
            </w:r>
          </w:p>
        </w:tc>
        <w:tc>
          <w:tcPr>
            <w:tcW w:w="3798" w:type="dxa"/>
            <w:tcBorders>
              <w:top w:val="nil"/>
              <w:left w:val="nil"/>
              <w:bottom w:val="nil"/>
              <w:right w:val="single" w:sz="4" w:space="0" w:color="000000"/>
            </w:tcBorders>
            <w:shd w:val="clear" w:color="000000" w:fill="FFFFFF"/>
            <w:hideMark/>
          </w:tcPr>
          <w:p w14:paraId="7BC1DF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166.- Protocolo de votación. </w:t>
            </w:r>
            <w:r w:rsidRPr="00222F34">
              <w:rPr>
                <w:rFonts w:ascii="Calibri" w:eastAsia="Times New Roman" w:hAnsi="Calibri" w:cs="Calibri"/>
                <w:color w:val="000000"/>
                <w:lang w:val="es-CO" w:eastAsia="es-CO" w:bidi="ar-SA"/>
              </w:rPr>
              <w:t xml:space="preserve">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w:t>
            </w:r>
            <w:r w:rsidRPr="00222F34">
              <w:rPr>
                <w:rFonts w:ascii="Calibri" w:eastAsia="Times New Roman" w:hAnsi="Calibri" w:cs="Calibri"/>
                <w:color w:val="000000"/>
                <w:lang w:val="es-CO" w:eastAsia="es-CO" w:bidi="ar-SA"/>
              </w:rPr>
              <w:lastRenderedPageBreak/>
              <w:t>el fin de verificar la identidad, luego se procederá a la identificación biométrica de que trata el presente código. Comprobará que se encuentra habilitado en la respectiva mesa o puesto y lo inscribirá en el registro de votantes de acuerdo con las instrucciones que imparte la Organización Electoral.</w:t>
            </w:r>
          </w:p>
        </w:tc>
        <w:tc>
          <w:tcPr>
            <w:tcW w:w="3798" w:type="dxa"/>
            <w:tcBorders>
              <w:top w:val="nil"/>
              <w:left w:val="nil"/>
              <w:bottom w:val="nil"/>
              <w:right w:val="single" w:sz="4" w:space="0" w:color="000000"/>
            </w:tcBorders>
            <w:shd w:val="clear" w:color="000000" w:fill="FFFFFF"/>
            <w:hideMark/>
          </w:tcPr>
          <w:p w14:paraId="57A52C4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166.- Protocolo de votación.</w:t>
            </w:r>
            <w:r w:rsidRPr="00222F34">
              <w:rPr>
                <w:rFonts w:ascii="Calibri" w:eastAsia="Times New Roman" w:hAnsi="Calibri" w:cs="Calibri"/>
                <w:color w:val="000000"/>
                <w:lang w:val="es-CO" w:eastAsia="es-CO" w:bidi="ar-SA"/>
              </w:rPr>
              <w:t xml:space="preserve"> 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w:t>
            </w:r>
            <w:r w:rsidRPr="00222F34">
              <w:rPr>
                <w:rFonts w:ascii="Calibri" w:eastAsia="Times New Roman" w:hAnsi="Calibri" w:cs="Calibri"/>
                <w:color w:val="000000"/>
                <w:lang w:val="es-CO" w:eastAsia="es-CO" w:bidi="ar-SA"/>
              </w:rPr>
              <w:lastRenderedPageBreak/>
              <w:t xml:space="preserve">el fin de verificar la identidad, luego se procederá a la identificación biométrica de que trata el presente código. Comprobará que se encuentra habilitado en la respectiva mesa o puesto y lo inscribirá en el registro de votantes de acuerdo con las instrucciones que imparte la Organización Electoral. </w:t>
            </w:r>
          </w:p>
        </w:tc>
        <w:tc>
          <w:tcPr>
            <w:tcW w:w="1480" w:type="dxa"/>
            <w:tcBorders>
              <w:top w:val="nil"/>
              <w:left w:val="nil"/>
              <w:bottom w:val="nil"/>
              <w:right w:val="single" w:sz="4" w:space="0" w:color="000000"/>
            </w:tcBorders>
            <w:shd w:val="clear" w:color="000000" w:fill="FFFFFF"/>
            <w:hideMark/>
          </w:tcPr>
          <w:p w14:paraId="76A10F09" w14:textId="7860642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1D1D3D0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DF371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Seguidamente, los jurados de votación deberán ofrecerle al elector, sobre la mesa, todas las tarjetas electorales disponibles, a efectos de que este seleccione de forma libre y voluntaria las que decida utilizar. </w:t>
            </w:r>
          </w:p>
        </w:tc>
        <w:tc>
          <w:tcPr>
            <w:tcW w:w="3798" w:type="dxa"/>
            <w:tcBorders>
              <w:top w:val="nil"/>
              <w:left w:val="nil"/>
              <w:bottom w:val="nil"/>
              <w:right w:val="single" w:sz="4" w:space="0" w:color="000000"/>
            </w:tcBorders>
            <w:shd w:val="clear" w:color="000000" w:fill="FFFFFF"/>
            <w:hideMark/>
          </w:tcPr>
          <w:p w14:paraId="0F44E0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Seguidamente, los jurados de votación deberán ofrecerle al elector, sobre la mesa, todas las tarjetas electorales disponibles, a efectos de que este seleccione de forma libre y voluntaria las que decida utilizar.</w:t>
            </w:r>
          </w:p>
        </w:tc>
        <w:tc>
          <w:tcPr>
            <w:tcW w:w="3798" w:type="dxa"/>
            <w:tcBorders>
              <w:top w:val="nil"/>
              <w:left w:val="nil"/>
              <w:bottom w:val="nil"/>
              <w:right w:val="single" w:sz="4" w:space="0" w:color="000000"/>
            </w:tcBorders>
            <w:shd w:val="clear" w:color="000000" w:fill="FFFFFF"/>
            <w:hideMark/>
          </w:tcPr>
          <w:p w14:paraId="60554F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Seguidamente, los jurados de votación deberán ofrecerle al elector, sobre la mesa, todas las tarjetas electorales disponibles, a efectos de que este seleccione de forma libre y voluntaria las que decida utilizar. </w:t>
            </w:r>
          </w:p>
        </w:tc>
        <w:tc>
          <w:tcPr>
            <w:tcW w:w="1480" w:type="dxa"/>
            <w:tcBorders>
              <w:top w:val="nil"/>
              <w:left w:val="nil"/>
              <w:bottom w:val="nil"/>
              <w:right w:val="single" w:sz="4" w:space="0" w:color="000000"/>
            </w:tcBorders>
            <w:shd w:val="clear" w:color="000000" w:fill="FFFFFF"/>
            <w:hideMark/>
          </w:tcPr>
          <w:p w14:paraId="43E0AB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8B306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5BC0E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votante se dirigirá al cubículo o dispositivo electrónico para hacer efectivo su voto, según la modalidad de votación implementada. En cualquier caso, se garantizará el carácter secreto e inviolable del voto. </w:t>
            </w:r>
          </w:p>
        </w:tc>
        <w:tc>
          <w:tcPr>
            <w:tcW w:w="3798" w:type="dxa"/>
            <w:tcBorders>
              <w:top w:val="nil"/>
              <w:left w:val="nil"/>
              <w:bottom w:val="nil"/>
              <w:right w:val="single" w:sz="4" w:space="0" w:color="000000"/>
            </w:tcBorders>
            <w:shd w:val="clear" w:color="000000" w:fill="FFFFFF"/>
            <w:hideMark/>
          </w:tcPr>
          <w:p w14:paraId="1A7FDC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votante se dirigirá al cubículo o dispositivo electrónico para hacer efectivo su voto, según la modalidad de votación implementada. En cualquier caso, se garantizará el carácter secreto e inviolable del voto.</w:t>
            </w:r>
          </w:p>
        </w:tc>
        <w:tc>
          <w:tcPr>
            <w:tcW w:w="3798" w:type="dxa"/>
            <w:tcBorders>
              <w:top w:val="nil"/>
              <w:left w:val="nil"/>
              <w:bottom w:val="nil"/>
              <w:right w:val="single" w:sz="4" w:space="0" w:color="000000"/>
            </w:tcBorders>
            <w:shd w:val="clear" w:color="000000" w:fill="FFFFFF"/>
            <w:hideMark/>
          </w:tcPr>
          <w:p w14:paraId="362E94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votante se dirigirá al cubículo o dispositivo electrónico para hacer efectivo su voto, según la modalidad de votación implementada. En cualquier caso, se garantizará el carácter secreto e inviolable del voto. </w:t>
            </w:r>
          </w:p>
        </w:tc>
        <w:tc>
          <w:tcPr>
            <w:tcW w:w="1480" w:type="dxa"/>
            <w:tcBorders>
              <w:top w:val="nil"/>
              <w:left w:val="nil"/>
              <w:bottom w:val="nil"/>
              <w:right w:val="single" w:sz="4" w:space="0" w:color="000000"/>
            </w:tcBorders>
            <w:shd w:val="clear" w:color="000000" w:fill="FFFFFF"/>
            <w:hideMark/>
          </w:tcPr>
          <w:p w14:paraId="340D3A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606D8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8CC8D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Depositado el voto o comprobante en la urna, el jurado devolverá el documento de identificación al votante y entregará el certificado electoral, cuando aplique. </w:t>
            </w:r>
          </w:p>
        </w:tc>
        <w:tc>
          <w:tcPr>
            <w:tcW w:w="3798" w:type="dxa"/>
            <w:tcBorders>
              <w:top w:val="nil"/>
              <w:left w:val="nil"/>
              <w:bottom w:val="nil"/>
              <w:right w:val="single" w:sz="4" w:space="0" w:color="000000"/>
            </w:tcBorders>
            <w:shd w:val="clear" w:color="000000" w:fill="FFFFFF"/>
            <w:hideMark/>
          </w:tcPr>
          <w:p w14:paraId="6A5776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Depositado el voto o comprobante en la urna, el jurado devolverá el documento de identificación al votante y entregará el certificado electoral, cuando aplique.</w:t>
            </w:r>
          </w:p>
        </w:tc>
        <w:tc>
          <w:tcPr>
            <w:tcW w:w="3798" w:type="dxa"/>
            <w:tcBorders>
              <w:top w:val="nil"/>
              <w:left w:val="nil"/>
              <w:bottom w:val="nil"/>
              <w:right w:val="single" w:sz="4" w:space="0" w:color="000000"/>
            </w:tcBorders>
            <w:shd w:val="clear" w:color="000000" w:fill="FFFFFF"/>
            <w:hideMark/>
          </w:tcPr>
          <w:p w14:paraId="386A37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Depositado el voto o comprobante en la urna, el jurado devolverá el documento de identificación al votante y entregará el certificado electoral, cuando aplique. </w:t>
            </w:r>
          </w:p>
        </w:tc>
        <w:tc>
          <w:tcPr>
            <w:tcW w:w="1480" w:type="dxa"/>
            <w:tcBorders>
              <w:top w:val="nil"/>
              <w:left w:val="nil"/>
              <w:bottom w:val="nil"/>
              <w:right w:val="single" w:sz="4" w:space="0" w:color="000000"/>
            </w:tcBorders>
            <w:shd w:val="clear" w:color="000000" w:fill="FFFFFF"/>
            <w:hideMark/>
          </w:tcPr>
          <w:p w14:paraId="5DE53C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4A4DC9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4579F4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el jurado de votación decida ejercer su derecho al voto, deberá hacerlo únicamente en la mesa de votación en la que ha sido designado para cumplir su función. </w:t>
            </w:r>
          </w:p>
        </w:tc>
        <w:tc>
          <w:tcPr>
            <w:tcW w:w="3798" w:type="dxa"/>
            <w:tcBorders>
              <w:top w:val="nil"/>
              <w:left w:val="nil"/>
              <w:bottom w:val="nil"/>
              <w:right w:val="single" w:sz="4" w:space="0" w:color="000000"/>
            </w:tcBorders>
            <w:shd w:val="clear" w:color="000000" w:fill="FFFFFF"/>
            <w:hideMark/>
          </w:tcPr>
          <w:p w14:paraId="008728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Cuando el jurado de votación decida ejercer su derecho al voto, deberá hacerlo únicamente en la mesa de votación en la que ha sido designado para cumplir su función.</w:t>
            </w:r>
          </w:p>
        </w:tc>
        <w:tc>
          <w:tcPr>
            <w:tcW w:w="3798" w:type="dxa"/>
            <w:tcBorders>
              <w:top w:val="nil"/>
              <w:left w:val="nil"/>
              <w:bottom w:val="nil"/>
              <w:right w:val="single" w:sz="4" w:space="0" w:color="000000"/>
            </w:tcBorders>
            <w:shd w:val="clear" w:color="000000" w:fill="FFFFFF"/>
            <w:hideMark/>
          </w:tcPr>
          <w:p w14:paraId="5C19A90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el jurado de votación decida ejercer su derecho al voto, deberá hacerlo únicamente en la mesa de votación en la que ha sido designado para cumplir su función. </w:t>
            </w:r>
          </w:p>
        </w:tc>
        <w:tc>
          <w:tcPr>
            <w:tcW w:w="1480" w:type="dxa"/>
            <w:tcBorders>
              <w:top w:val="nil"/>
              <w:left w:val="nil"/>
              <w:bottom w:val="nil"/>
              <w:right w:val="single" w:sz="4" w:space="0" w:color="000000"/>
            </w:tcBorders>
            <w:shd w:val="clear" w:color="000000" w:fill="FFFFFF"/>
            <w:hideMark/>
          </w:tcPr>
          <w:p w14:paraId="5F769E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63037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3AEC8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los casos donde se asigne el ejercicio para ser jurados en diversas mesas, se deberá ejercer el derecho al voto en la última mesa donde se ejecute esta función. </w:t>
            </w:r>
          </w:p>
        </w:tc>
        <w:tc>
          <w:tcPr>
            <w:tcW w:w="3798" w:type="dxa"/>
            <w:tcBorders>
              <w:top w:val="nil"/>
              <w:left w:val="nil"/>
              <w:bottom w:val="nil"/>
              <w:right w:val="single" w:sz="4" w:space="0" w:color="000000"/>
            </w:tcBorders>
            <w:shd w:val="clear" w:color="000000" w:fill="FFFFFF"/>
            <w:hideMark/>
          </w:tcPr>
          <w:p w14:paraId="033B5E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donde se asigne el ejercicio para ser jurados en diversas mesas, se deberá ejercer el derecho al voto en la última mesa donde se ejecute esta función.</w:t>
            </w:r>
          </w:p>
        </w:tc>
        <w:tc>
          <w:tcPr>
            <w:tcW w:w="3798" w:type="dxa"/>
            <w:tcBorders>
              <w:top w:val="nil"/>
              <w:left w:val="nil"/>
              <w:bottom w:val="nil"/>
              <w:right w:val="single" w:sz="4" w:space="0" w:color="000000"/>
            </w:tcBorders>
            <w:shd w:val="clear" w:color="000000" w:fill="FFFFFF"/>
            <w:hideMark/>
          </w:tcPr>
          <w:p w14:paraId="179B84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los casos donde se asigne el ejercicio para ser jurados en diversas mesas, se deberá ejercer el derecho al voto en la última mesa donde se ejecute esta función. </w:t>
            </w:r>
          </w:p>
        </w:tc>
        <w:tc>
          <w:tcPr>
            <w:tcW w:w="1480" w:type="dxa"/>
            <w:tcBorders>
              <w:top w:val="nil"/>
              <w:left w:val="nil"/>
              <w:bottom w:val="nil"/>
              <w:right w:val="single" w:sz="4" w:space="0" w:color="000000"/>
            </w:tcBorders>
            <w:shd w:val="clear" w:color="000000" w:fill="FFFFFF"/>
            <w:hideMark/>
          </w:tcPr>
          <w:p w14:paraId="442BBF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07AEF2"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A89AC4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Para el caso del voto electrónico, la interfaz preguntará al elector si está seguro de la opción seleccionada y una vez este la confirme no podrá modificar el voto. </w:t>
            </w:r>
          </w:p>
        </w:tc>
        <w:tc>
          <w:tcPr>
            <w:tcW w:w="3798" w:type="dxa"/>
            <w:tcBorders>
              <w:top w:val="nil"/>
              <w:left w:val="nil"/>
              <w:bottom w:val="nil"/>
              <w:right w:val="single" w:sz="4" w:space="0" w:color="000000"/>
            </w:tcBorders>
            <w:shd w:val="clear" w:color="000000" w:fill="FFFFFF"/>
            <w:hideMark/>
          </w:tcPr>
          <w:p w14:paraId="4EA1E4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Para el caso del voto mixto, la interfaz preguntará al elector si está seguro de la opción seleccionada y una vez éste la confirme no podrá modificar el voto.</w:t>
            </w:r>
          </w:p>
        </w:tc>
        <w:tc>
          <w:tcPr>
            <w:tcW w:w="3798" w:type="dxa"/>
            <w:tcBorders>
              <w:top w:val="nil"/>
              <w:left w:val="nil"/>
              <w:bottom w:val="nil"/>
              <w:right w:val="single" w:sz="4" w:space="0" w:color="000000"/>
            </w:tcBorders>
            <w:shd w:val="clear" w:color="000000" w:fill="FFFFFF"/>
            <w:hideMark/>
          </w:tcPr>
          <w:p w14:paraId="33D80B2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Para el caso del voto electrónico, la interfaz preguntará al elector si está seguro de la opción seleccionada y una vez este la confirme no podrá modificar el voto. </w:t>
            </w:r>
          </w:p>
        </w:tc>
        <w:tc>
          <w:tcPr>
            <w:tcW w:w="1480" w:type="dxa"/>
            <w:tcBorders>
              <w:top w:val="nil"/>
              <w:left w:val="nil"/>
              <w:bottom w:val="nil"/>
              <w:right w:val="single" w:sz="4" w:space="0" w:color="000000"/>
            </w:tcBorders>
            <w:shd w:val="clear" w:color="000000" w:fill="FFFFFF"/>
            <w:hideMark/>
          </w:tcPr>
          <w:p w14:paraId="022F98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745845"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7CCF6C4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3798" w:type="dxa"/>
            <w:tcBorders>
              <w:top w:val="nil"/>
              <w:left w:val="nil"/>
              <w:bottom w:val="nil"/>
              <w:right w:val="single" w:sz="4" w:space="0" w:color="000000"/>
            </w:tcBorders>
            <w:shd w:val="clear" w:color="000000" w:fill="FFFFFF"/>
            <w:hideMark/>
          </w:tcPr>
          <w:p w14:paraId="3C78F1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los jurados de votación deberán informar sobre el hecho a los testigos electorales acreditados para la mesa de votación que estén presentes en el momento del suceso.</w:t>
            </w:r>
          </w:p>
        </w:tc>
        <w:tc>
          <w:tcPr>
            <w:tcW w:w="3798" w:type="dxa"/>
            <w:tcBorders>
              <w:top w:val="nil"/>
              <w:left w:val="nil"/>
              <w:bottom w:val="nil"/>
              <w:right w:val="single" w:sz="4" w:space="0" w:color="000000"/>
            </w:tcBorders>
            <w:shd w:val="clear" w:color="FFC000" w:fill="FFFFFF"/>
            <w:hideMark/>
          </w:tcPr>
          <w:p w14:paraId="06D866E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tc>
        <w:tc>
          <w:tcPr>
            <w:tcW w:w="1480" w:type="dxa"/>
            <w:tcBorders>
              <w:top w:val="nil"/>
              <w:left w:val="nil"/>
              <w:bottom w:val="nil"/>
              <w:right w:val="single" w:sz="4" w:space="0" w:color="000000"/>
            </w:tcBorders>
            <w:shd w:val="clear" w:color="000000" w:fill="FFFFFF"/>
            <w:hideMark/>
          </w:tcPr>
          <w:p w14:paraId="36F05E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B6280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06B1EF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le está permitido al jurado recomendar o inducir al elector para que ejerza el derecho al voto respecto de algún candidato, lista u opción de voto. </w:t>
            </w:r>
          </w:p>
        </w:tc>
        <w:tc>
          <w:tcPr>
            <w:tcW w:w="3798" w:type="dxa"/>
            <w:tcBorders>
              <w:top w:val="nil"/>
              <w:left w:val="nil"/>
              <w:bottom w:val="nil"/>
              <w:right w:val="single" w:sz="4" w:space="0" w:color="000000"/>
            </w:tcBorders>
            <w:shd w:val="clear" w:color="000000" w:fill="FFFFFF"/>
            <w:hideMark/>
          </w:tcPr>
          <w:p w14:paraId="788ECF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le está permitido al jurado recomendar o inducir al elector para que ejerza el derecho al voto respecto de algún candidato, lista u opción de voto.</w:t>
            </w:r>
          </w:p>
        </w:tc>
        <w:tc>
          <w:tcPr>
            <w:tcW w:w="3798" w:type="dxa"/>
            <w:tcBorders>
              <w:top w:val="nil"/>
              <w:left w:val="nil"/>
              <w:bottom w:val="nil"/>
              <w:right w:val="single" w:sz="4" w:space="0" w:color="000000"/>
            </w:tcBorders>
            <w:shd w:val="clear" w:color="000000" w:fill="FFFFFF"/>
            <w:hideMark/>
          </w:tcPr>
          <w:p w14:paraId="19ADEF9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le está permitido al jurado recomendar o inducir al elector para que ejerza el derecho al voto respecto de algún candidato, lista u opción de voto. </w:t>
            </w:r>
          </w:p>
        </w:tc>
        <w:tc>
          <w:tcPr>
            <w:tcW w:w="1480" w:type="dxa"/>
            <w:tcBorders>
              <w:top w:val="nil"/>
              <w:left w:val="nil"/>
              <w:bottom w:val="nil"/>
              <w:right w:val="single" w:sz="4" w:space="0" w:color="000000"/>
            </w:tcBorders>
            <w:shd w:val="clear" w:color="000000" w:fill="FFFFFF"/>
            <w:hideMark/>
          </w:tcPr>
          <w:p w14:paraId="40CC9D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81D2BA"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5B2A713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La Organización Electoral reglamentará el procedimiento a seguir ante los errores que cometan los electores en las votaciones tecnológicamente asistidas, incluyendo las causales de reclamación que correspondan y atendiendo los principios orientadores previstos en este código. </w:t>
            </w:r>
          </w:p>
        </w:tc>
        <w:tc>
          <w:tcPr>
            <w:tcW w:w="3798" w:type="dxa"/>
            <w:tcBorders>
              <w:top w:val="nil"/>
              <w:left w:val="nil"/>
              <w:bottom w:val="single" w:sz="4" w:space="0" w:color="000000"/>
              <w:right w:val="single" w:sz="4" w:space="0" w:color="000000"/>
            </w:tcBorders>
            <w:shd w:val="clear" w:color="000000" w:fill="FFFFFF"/>
            <w:hideMark/>
          </w:tcPr>
          <w:p w14:paraId="0646B2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Organización Electoral reglamentará el procedimiento a seguir ante los errores que cometan los electores en las votaciones tecnológicamente asistidas, incluyendo las causales de reclamación que correspondan y atendiendo los principios orientadores previstos en este código.</w:t>
            </w:r>
          </w:p>
        </w:tc>
        <w:tc>
          <w:tcPr>
            <w:tcW w:w="3798" w:type="dxa"/>
            <w:tcBorders>
              <w:top w:val="nil"/>
              <w:left w:val="nil"/>
              <w:bottom w:val="single" w:sz="4" w:space="0" w:color="000000"/>
              <w:right w:val="single" w:sz="4" w:space="0" w:color="000000"/>
            </w:tcBorders>
            <w:shd w:val="clear" w:color="000000" w:fill="FFFFFF"/>
            <w:hideMark/>
          </w:tcPr>
          <w:p w14:paraId="613549A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reglamentará el procedimiento a seguir ante los errores que cometan los electores en las votaciones tecnológicamente asistidas, incluyendo las causales de reclamación que correspondan y atendiendo los principios orientadores previstos en este código. </w:t>
            </w:r>
          </w:p>
        </w:tc>
        <w:tc>
          <w:tcPr>
            <w:tcW w:w="1480" w:type="dxa"/>
            <w:tcBorders>
              <w:top w:val="nil"/>
              <w:left w:val="nil"/>
              <w:bottom w:val="single" w:sz="4" w:space="0" w:color="000000"/>
              <w:right w:val="single" w:sz="4" w:space="0" w:color="000000"/>
            </w:tcBorders>
            <w:shd w:val="clear" w:color="000000" w:fill="FFFFFF"/>
            <w:hideMark/>
          </w:tcPr>
          <w:p w14:paraId="5457DB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B6C4AC"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47E0C2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163.- Voto con acompañante.</w:t>
            </w:r>
            <w:r w:rsidRPr="00222F34">
              <w:rPr>
                <w:rFonts w:ascii="Calibri" w:eastAsia="Times New Roman" w:hAnsi="Calibri" w:cs="Calibri"/>
                <w:color w:val="000000"/>
                <w:lang w:val="es-CO" w:eastAsia="es-CO" w:bidi="ar-SA"/>
              </w:rPr>
              <w:t xml:space="preserve"> 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 </w:t>
            </w:r>
          </w:p>
        </w:tc>
        <w:tc>
          <w:tcPr>
            <w:tcW w:w="3798" w:type="dxa"/>
            <w:tcBorders>
              <w:top w:val="nil"/>
              <w:left w:val="nil"/>
              <w:bottom w:val="nil"/>
              <w:right w:val="single" w:sz="4" w:space="0" w:color="000000"/>
            </w:tcBorders>
            <w:shd w:val="clear" w:color="00FF00" w:fill="FFFFFF"/>
            <w:hideMark/>
          </w:tcPr>
          <w:p w14:paraId="42A5F5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167.- Voto con acompañante</w:t>
            </w:r>
            <w:r w:rsidRPr="00222F34">
              <w:rPr>
                <w:rFonts w:ascii="Calibri" w:eastAsia="Times New Roman" w:hAnsi="Calibri" w:cs="Calibri"/>
                <w:color w:val="000000"/>
                <w:lang w:val="es-CO" w:eastAsia="es-CO" w:bidi="ar-SA"/>
              </w:rPr>
              <w:t>. 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w:t>
            </w:r>
          </w:p>
        </w:tc>
        <w:tc>
          <w:tcPr>
            <w:tcW w:w="3798" w:type="dxa"/>
            <w:tcBorders>
              <w:top w:val="nil"/>
              <w:left w:val="nil"/>
              <w:bottom w:val="nil"/>
              <w:right w:val="single" w:sz="4" w:space="0" w:color="000000"/>
            </w:tcBorders>
            <w:shd w:val="clear" w:color="00FF00" w:fill="FFFFFF"/>
            <w:hideMark/>
          </w:tcPr>
          <w:p w14:paraId="73CF24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167.- Voto con acompañante</w:t>
            </w:r>
            <w:r w:rsidRPr="00222F34">
              <w:rPr>
                <w:rFonts w:ascii="Calibri" w:eastAsia="Times New Roman" w:hAnsi="Calibri" w:cs="Calibri"/>
                <w:color w:val="000000"/>
                <w:lang w:val="es-CO" w:eastAsia="es-CO" w:bidi="ar-SA"/>
              </w:rPr>
              <w:t>. 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w:t>
            </w:r>
          </w:p>
        </w:tc>
        <w:tc>
          <w:tcPr>
            <w:tcW w:w="1480" w:type="dxa"/>
            <w:tcBorders>
              <w:top w:val="nil"/>
              <w:left w:val="nil"/>
              <w:bottom w:val="nil"/>
              <w:right w:val="single" w:sz="4" w:space="0" w:color="000000"/>
            </w:tcBorders>
            <w:shd w:val="clear" w:color="000000" w:fill="FFFFFF"/>
            <w:hideMark/>
          </w:tcPr>
          <w:p w14:paraId="6CB8FC5F" w14:textId="79A4FE8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96AE4D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1A3AD3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Quien funja como acompañante no podrá prestarle este servicio a más de dos (2) ciudadanos en la misma jornada electoral. </w:t>
            </w:r>
          </w:p>
        </w:tc>
        <w:tc>
          <w:tcPr>
            <w:tcW w:w="3798" w:type="dxa"/>
            <w:tcBorders>
              <w:top w:val="nil"/>
              <w:left w:val="nil"/>
              <w:bottom w:val="nil"/>
              <w:right w:val="single" w:sz="4" w:space="0" w:color="000000"/>
            </w:tcBorders>
            <w:shd w:val="clear" w:color="00FF00" w:fill="FFFFFF"/>
            <w:hideMark/>
          </w:tcPr>
          <w:p w14:paraId="2F38C9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Quien funja como acompañante no podrá prestarle este servicio a más de dos (2) ciudadanos en la misma jornada electoral.</w:t>
            </w:r>
          </w:p>
        </w:tc>
        <w:tc>
          <w:tcPr>
            <w:tcW w:w="3798" w:type="dxa"/>
            <w:tcBorders>
              <w:top w:val="nil"/>
              <w:left w:val="nil"/>
              <w:bottom w:val="nil"/>
              <w:right w:val="single" w:sz="4" w:space="0" w:color="000000"/>
            </w:tcBorders>
            <w:shd w:val="clear" w:color="00FF00" w:fill="FFFFFF"/>
            <w:hideMark/>
          </w:tcPr>
          <w:p w14:paraId="30909E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Quien funja como acompañante no podrá prestarle este servicio a más de dos (2) ciudadanos en la misma jornada electoral.</w:t>
            </w:r>
          </w:p>
        </w:tc>
        <w:tc>
          <w:tcPr>
            <w:tcW w:w="1480" w:type="dxa"/>
            <w:tcBorders>
              <w:top w:val="nil"/>
              <w:left w:val="nil"/>
              <w:bottom w:val="nil"/>
              <w:right w:val="single" w:sz="4" w:space="0" w:color="000000"/>
            </w:tcBorders>
            <w:shd w:val="clear" w:color="000000" w:fill="FFFFFF"/>
            <w:hideMark/>
          </w:tcPr>
          <w:p w14:paraId="370EAF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D0590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4DA0C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jurado de votación deberá dejar constancia en el registro de votantes de la identidad del acompañante en el espacio previsto para las observaciones del documento electoral correspondiente. </w:t>
            </w:r>
          </w:p>
        </w:tc>
        <w:tc>
          <w:tcPr>
            <w:tcW w:w="3798" w:type="dxa"/>
            <w:tcBorders>
              <w:top w:val="nil"/>
              <w:left w:val="nil"/>
              <w:bottom w:val="nil"/>
              <w:right w:val="single" w:sz="4" w:space="0" w:color="000000"/>
            </w:tcBorders>
            <w:shd w:val="clear" w:color="00FF00" w:fill="FFFFFF"/>
            <w:hideMark/>
          </w:tcPr>
          <w:p w14:paraId="5C2563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jurado de votación deberá dejar constancia en el registro de votantes de la identidad del acompañante en el espacio previsto para las observaciones del documento electoral correspondiente.</w:t>
            </w:r>
          </w:p>
        </w:tc>
        <w:tc>
          <w:tcPr>
            <w:tcW w:w="3798" w:type="dxa"/>
            <w:tcBorders>
              <w:top w:val="nil"/>
              <w:left w:val="nil"/>
              <w:bottom w:val="nil"/>
              <w:right w:val="single" w:sz="4" w:space="0" w:color="000000"/>
            </w:tcBorders>
            <w:shd w:val="clear" w:color="00FF00" w:fill="FFFFFF"/>
            <w:hideMark/>
          </w:tcPr>
          <w:p w14:paraId="216F9B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jurado de votación deberá dejar constancia en el registro de votantes de la identidad del acompañante en el espacio previsto para las observaciones del documento electoral correspondiente.</w:t>
            </w:r>
          </w:p>
        </w:tc>
        <w:tc>
          <w:tcPr>
            <w:tcW w:w="1480" w:type="dxa"/>
            <w:tcBorders>
              <w:top w:val="nil"/>
              <w:left w:val="nil"/>
              <w:bottom w:val="nil"/>
              <w:right w:val="single" w:sz="4" w:space="0" w:color="000000"/>
            </w:tcBorders>
            <w:shd w:val="clear" w:color="000000" w:fill="FFFFFF"/>
            <w:hideMark/>
          </w:tcPr>
          <w:p w14:paraId="51A7C2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D62119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2F4AC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2F912C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6F6DF1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67DC66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C731215"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064871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FF00" w:fill="FFFFFF"/>
            <w:hideMark/>
          </w:tcPr>
          <w:p w14:paraId="2433E0E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FF00" w:fill="FFFFFF"/>
            <w:hideMark/>
          </w:tcPr>
          <w:p w14:paraId="7546C4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36E93A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5C89CD2"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58989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164.- Autorizaciones para votar.</w:t>
            </w:r>
            <w:r w:rsidRPr="00222F34">
              <w:rPr>
                <w:rFonts w:ascii="Calibri" w:eastAsia="Times New Roman" w:hAnsi="Calibri" w:cs="Calibri"/>
                <w:color w:val="000000"/>
                <w:lang w:val="es-CO" w:eastAsia="es-CO" w:bidi="ar-SA"/>
              </w:rPr>
              <w:t xml:space="preserve"> 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 </w:t>
            </w:r>
          </w:p>
        </w:tc>
        <w:tc>
          <w:tcPr>
            <w:tcW w:w="3798" w:type="dxa"/>
            <w:tcBorders>
              <w:top w:val="nil"/>
              <w:left w:val="nil"/>
              <w:bottom w:val="nil"/>
              <w:right w:val="single" w:sz="4" w:space="0" w:color="000000"/>
            </w:tcBorders>
            <w:shd w:val="clear" w:color="000000" w:fill="FFFFFF"/>
            <w:hideMark/>
          </w:tcPr>
          <w:p w14:paraId="185D32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168.- Autorizaciones para votar. </w:t>
            </w:r>
            <w:r w:rsidRPr="00222F34">
              <w:rPr>
                <w:rFonts w:ascii="Calibri" w:eastAsia="Times New Roman" w:hAnsi="Calibri" w:cs="Calibri"/>
                <w:color w:val="000000"/>
                <w:lang w:val="es-CO" w:eastAsia="es-CO" w:bidi="ar-SA"/>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p>
        </w:tc>
        <w:tc>
          <w:tcPr>
            <w:tcW w:w="3798" w:type="dxa"/>
            <w:tcBorders>
              <w:top w:val="nil"/>
              <w:left w:val="nil"/>
              <w:bottom w:val="nil"/>
              <w:right w:val="single" w:sz="4" w:space="0" w:color="000000"/>
            </w:tcBorders>
            <w:shd w:val="clear" w:color="000000" w:fill="FFFFFF"/>
            <w:hideMark/>
          </w:tcPr>
          <w:p w14:paraId="4A7702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168.- Autorizaciones para votar. </w:t>
            </w:r>
            <w:r w:rsidRPr="00222F34">
              <w:rPr>
                <w:rFonts w:ascii="Calibri" w:eastAsia="Times New Roman" w:hAnsi="Calibri" w:cs="Calibri"/>
                <w:color w:val="000000"/>
                <w:lang w:val="es-CO" w:eastAsia="es-CO" w:bidi="ar-SA"/>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p>
        </w:tc>
        <w:tc>
          <w:tcPr>
            <w:tcW w:w="1480" w:type="dxa"/>
            <w:tcBorders>
              <w:top w:val="single" w:sz="4" w:space="0" w:color="000000"/>
              <w:left w:val="nil"/>
              <w:bottom w:val="nil"/>
              <w:right w:val="single" w:sz="4" w:space="0" w:color="000000"/>
            </w:tcBorders>
            <w:shd w:val="clear" w:color="000000" w:fill="FFFFFF"/>
            <w:hideMark/>
          </w:tcPr>
          <w:p w14:paraId="52AD19EE" w14:textId="28E4F90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2C2B5E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C350A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la autorización se hará constar el motivo por el cual se realiza. Posteriormente, se enviará al nivel central de la Registraduría copia de ella junto con sus soportes, con el propósito de verificar y corregir, de ser necesario, la novedad respectiva y de validar, si </w:t>
            </w:r>
            <w:r w:rsidRPr="00222F34">
              <w:rPr>
                <w:rFonts w:ascii="Calibri" w:eastAsia="Times New Roman" w:hAnsi="Calibri" w:cs="Calibri"/>
                <w:color w:val="000000"/>
                <w:lang w:val="es-CO" w:eastAsia="es-CO" w:bidi="ar-SA"/>
              </w:rPr>
              <w:lastRenderedPageBreak/>
              <w:t xml:space="preserve">existió, una doble votación por parte del ciudadano. </w:t>
            </w:r>
          </w:p>
        </w:tc>
        <w:tc>
          <w:tcPr>
            <w:tcW w:w="3798" w:type="dxa"/>
            <w:tcBorders>
              <w:top w:val="nil"/>
              <w:left w:val="nil"/>
              <w:bottom w:val="nil"/>
              <w:right w:val="single" w:sz="4" w:space="0" w:color="000000"/>
            </w:tcBorders>
            <w:shd w:val="clear" w:color="000000" w:fill="FFFFFF"/>
            <w:hideMark/>
          </w:tcPr>
          <w:p w14:paraId="69E334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la autorización se hará constar el motivo por el cual se realiza. Posteriormente, se enviará al nivel central de la Registraduría copia de ella junto con sus soportes, con el propósito de verificar y corregir, de ser necesario, la novedad respectiva y de validar, si </w:t>
            </w:r>
            <w:r w:rsidRPr="00222F34">
              <w:rPr>
                <w:rFonts w:ascii="Calibri" w:eastAsia="Times New Roman" w:hAnsi="Calibri" w:cs="Calibri"/>
                <w:color w:val="000000"/>
                <w:lang w:val="es-CO" w:eastAsia="es-CO" w:bidi="ar-SA"/>
              </w:rPr>
              <w:lastRenderedPageBreak/>
              <w:t>existió, una doble votación por parte del ciudadano.</w:t>
            </w:r>
          </w:p>
        </w:tc>
        <w:tc>
          <w:tcPr>
            <w:tcW w:w="3798" w:type="dxa"/>
            <w:tcBorders>
              <w:top w:val="nil"/>
              <w:left w:val="nil"/>
              <w:bottom w:val="nil"/>
              <w:right w:val="single" w:sz="4" w:space="0" w:color="000000"/>
            </w:tcBorders>
            <w:shd w:val="clear" w:color="000000" w:fill="FFFFFF"/>
            <w:hideMark/>
          </w:tcPr>
          <w:p w14:paraId="4C561B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la autorización se hará constar el motivo por el cual se realiza. Posteriormente, se enviará al nivel central de la Registraduría copia de ella junto con sus soportes, con el propósito de verificar y corregir, de ser necesario, la novedad respectiva y de validar, si </w:t>
            </w:r>
            <w:r w:rsidRPr="00222F34">
              <w:rPr>
                <w:rFonts w:ascii="Calibri" w:eastAsia="Times New Roman" w:hAnsi="Calibri" w:cs="Calibri"/>
                <w:color w:val="000000"/>
                <w:lang w:val="es-CO" w:eastAsia="es-CO" w:bidi="ar-SA"/>
              </w:rPr>
              <w:lastRenderedPageBreak/>
              <w:t>existió, una doble votación por parte del ciudadano.</w:t>
            </w:r>
          </w:p>
        </w:tc>
        <w:tc>
          <w:tcPr>
            <w:tcW w:w="1480" w:type="dxa"/>
            <w:tcBorders>
              <w:top w:val="nil"/>
              <w:left w:val="nil"/>
              <w:bottom w:val="nil"/>
              <w:right w:val="single" w:sz="4" w:space="0" w:color="000000"/>
            </w:tcBorders>
            <w:shd w:val="clear" w:color="000000" w:fill="FFFFFF"/>
            <w:hideMark/>
          </w:tcPr>
          <w:p w14:paraId="1E6EFB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89399B5" w14:textId="77777777" w:rsidTr="00222F34">
        <w:trPr>
          <w:trHeight w:val="3000"/>
        </w:trPr>
        <w:tc>
          <w:tcPr>
            <w:tcW w:w="3798" w:type="dxa"/>
            <w:tcBorders>
              <w:top w:val="nil"/>
              <w:left w:val="single" w:sz="4" w:space="0" w:color="000000"/>
              <w:bottom w:val="nil"/>
              <w:right w:val="single" w:sz="4" w:space="0" w:color="000000"/>
            </w:tcBorders>
            <w:shd w:val="clear" w:color="000000" w:fill="FFFFFF"/>
            <w:hideMark/>
          </w:tcPr>
          <w:p w14:paraId="22C8D8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registradores distritales, especiales, municipales y auxiliares del Estado Civil expedirán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 </w:t>
            </w:r>
          </w:p>
        </w:tc>
        <w:tc>
          <w:tcPr>
            <w:tcW w:w="3798" w:type="dxa"/>
            <w:tcBorders>
              <w:top w:val="nil"/>
              <w:left w:val="nil"/>
              <w:bottom w:val="nil"/>
              <w:right w:val="single" w:sz="4" w:space="0" w:color="000000"/>
            </w:tcBorders>
            <w:shd w:val="clear" w:color="000000" w:fill="FFFFFF"/>
            <w:hideMark/>
          </w:tcPr>
          <w:p w14:paraId="0E1443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registradores distritales, especiales, municipales y auxiliares del Estado Civil expedirán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w:t>
            </w:r>
          </w:p>
        </w:tc>
        <w:tc>
          <w:tcPr>
            <w:tcW w:w="3798" w:type="dxa"/>
            <w:tcBorders>
              <w:top w:val="nil"/>
              <w:left w:val="nil"/>
              <w:bottom w:val="nil"/>
              <w:right w:val="single" w:sz="4" w:space="0" w:color="000000"/>
            </w:tcBorders>
            <w:shd w:val="clear" w:color="000000" w:fill="FFFFFF"/>
            <w:hideMark/>
          </w:tcPr>
          <w:p w14:paraId="3A5F56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registradores distritales, especiales, municipales y auxiliares del Estado Civil expedirán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w:t>
            </w:r>
          </w:p>
        </w:tc>
        <w:tc>
          <w:tcPr>
            <w:tcW w:w="1480" w:type="dxa"/>
            <w:tcBorders>
              <w:top w:val="nil"/>
              <w:left w:val="nil"/>
              <w:bottom w:val="nil"/>
              <w:right w:val="single" w:sz="4" w:space="0" w:color="000000"/>
            </w:tcBorders>
            <w:shd w:val="clear" w:color="000000" w:fill="FFFFFF"/>
            <w:hideMark/>
          </w:tcPr>
          <w:p w14:paraId="768071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7AF18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17C90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 </w:t>
            </w:r>
          </w:p>
        </w:tc>
        <w:tc>
          <w:tcPr>
            <w:tcW w:w="3798" w:type="dxa"/>
            <w:tcBorders>
              <w:top w:val="nil"/>
              <w:left w:val="nil"/>
              <w:bottom w:val="nil"/>
              <w:right w:val="single" w:sz="4" w:space="0" w:color="000000"/>
            </w:tcBorders>
            <w:shd w:val="clear" w:color="000000" w:fill="FFFFFF"/>
            <w:hideMark/>
          </w:tcPr>
          <w:p w14:paraId="72BC2B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w:t>
            </w:r>
          </w:p>
        </w:tc>
        <w:tc>
          <w:tcPr>
            <w:tcW w:w="3798" w:type="dxa"/>
            <w:tcBorders>
              <w:top w:val="nil"/>
              <w:left w:val="nil"/>
              <w:bottom w:val="nil"/>
              <w:right w:val="single" w:sz="4" w:space="0" w:color="000000"/>
            </w:tcBorders>
            <w:shd w:val="clear" w:color="000000" w:fill="FFFFFF"/>
            <w:hideMark/>
          </w:tcPr>
          <w:p w14:paraId="37E8A7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w:t>
            </w:r>
          </w:p>
        </w:tc>
        <w:tc>
          <w:tcPr>
            <w:tcW w:w="1480" w:type="dxa"/>
            <w:tcBorders>
              <w:top w:val="nil"/>
              <w:left w:val="nil"/>
              <w:bottom w:val="nil"/>
              <w:right w:val="single" w:sz="4" w:space="0" w:color="000000"/>
            </w:tcBorders>
            <w:shd w:val="clear" w:color="000000" w:fill="FFFFFF"/>
            <w:hideMark/>
          </w:tcPr>
          <w:p w14:paraId="737249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431CF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190475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Solo se permitirá la autorización de votación de los servidores públicos en comisión en el ámbito departamental que hagan parte del censo electoral de la respectiva circunscripción. </w:t>
            </w:r>
          </w:p>
        </w:tc>
        <w:tc>
          <w:tcPr>
            <w:tcW w:w="3798" w:type="dxa"/>
            <w:tcBorders>
              <w:top w:val="nil"/>
              <w:left w:val="nil"/>
              <w:bottom w:val="nil"/>
              <w:right w:val="single" w:sz="4" w:space="0" w:color="000000"/>
            </w:tcBorders>
            <w:shd w:val="clear" w:color="000000" w:fill="FFFFFF"/>
            <w:hideMark/>
          </w:tcPr>
          <w:p w14:paraId="570EC9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Solo se permitirá la autorización de votación de los servidores públicos en comisión en el ámbito departamental que hagan parte del censo electoral de la respectiva circunscripción.</w:t>
            </w:r>
          </w:p>
        </w:tc>
        <w:tc>
          <w:tcPr>
            <w:tcW w:w="3798" w:type="dxa"/>
            <w:tcBorders>
              <w:top w:val="nil"/>
              <w:left w:val="nil"/>
              <w:bottom w:val="nil"/>
              <w:right w:val="single" w:sz="4" w:space="0" w:color="000000"/>
            </w:tcBorders>
            <w:shd w:val="clear" w:color="000000" w:fill="FFFFFF"/>
            <w:hideMark/>
          </w:tcPr>
          <w:p w14:paraId="6D41EC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Solo se permitirá la autorización de votación de los servidores públicos en comisión en el ámbito departamental que hagan parte del censo electoral de la respectiva circunscripción.</w:t>
            </w:r>
          </w:p>
        </w:tc>
        <w:tc>
          <w:tcPr>
            <w:tcW w:w="1480" w:type="dxa"/>
            <w:tcBorders>
              <w:top w:val="nil"/>
              <w:left w:val="nil"/>
              <w:bottom w:val="nil"/>
              <w:right w:val="single" w:sz="4" w:space="0" w:color="000000"/>
            </w:tcBorders>
            <w:shd w:val="clear" w:color="000000" w:fill="FFFFFF"/>
            <w:hideMark/>
          </w:tcPr>
          <w:p w14:paraId="1516F8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C89CC54" w14:textId="77777777" w:rsidTr="00222F34">
        <w:trPr>
          <w:trHeight w:val="600"/>
        </w:trPr>
        <w:tc>
          <w:tcPr>
            <w:tcW w:w="3798" w:type="dxa"/>
            <w:tcBorders>
              <w:top w:val="single" w:sz="4" w:space="0" w:color="auto"/>
              <w:left w:val="single" w:sz="4" w:space="0" w:color="000000"/>
              <w:bottom w:val="nil"/>
              <w:right w:val="single" w:sz="4" w:space="0" w:color="000000"/>
            </w:tcBorders>
            <w:shd w:val="clear" w:color="000000" w:fill="FFFFFF"/>
            <w:hideMark/>
          </w:tcPr>
          <w:p w14:paraId="02BB226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165.- Calificación del voto.</w:t>
            </w:r>
            <w:r w:rsidRPr="00222F34">
              <w:rPr>
                <w:rFonts w:ascii="Calibri" w:eastAsia="Times New Roman" w:hAnsi="Calibri" w:cs="Calibri"/>
                <w:color w:val="000000"/>
                <w:lang w:val="es-CO" w:eastAsia="es-CO" w:bidi="ar-SA"/>
              </w:rPr>
              <w:t xml:space="preserve"> En el curso de los escrutinios, los votos serán calificados de la siguiente manera: </w:t>
            </w:r>
          </w:p>
        </w:tc>
        <w:tc>
          <w:tcPr>
            <w:tcW w:w="3798" w:type="dxa"/>
            <w:tcBorders>
              <w:top w:val="single" w:sz="4" w:space="0" w:color="auto"/>
              <w:left w:val="nil"/>
              <w:bottom w:val="nil"/>
              <w:right w:val="single" w:sz="4" w:space="0" w:color="000000"/>
            </w:tcBorders>
            <w:shd w:val="clear" w:color="000000" w:fill="FFFFFF"/>
            <w:hideMark/>
          </w:tcPr>
          <w:p w14:paraId="60226C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169.- Calificación del voto.</w:t>
            </w:r>
            <w:r w:rsidRPr="00222F34">
              <w:rPr>
                <w:rFonts w:ascii="Calibri" w:eastAsia="Times New Roman" w:hAnsi="Calibri" w:cs="Calibri"/>
                <w:color w:val="000000"/>
                <w:lang w:val="es-CO" w:eastAsia="es-CO" w:bidi="ar-SA"/>
              </w:rPr>
              <w:t xml:space="preserve"> En el curso de los escrutinios, los votos serán calificados de la siguiente manera:</w:t>
            </w:r>
          </w:p>
        </w:tc>
        <w:tc>
          <w:tcPr>
            <w:tcW w:w="3798" w:type="dxa"/>
            <w:tcBorders>
              <w:top w:val="single" w:sz="4" w:space="0" w:color="auto"/>
              <w:left w:val="nil"/>
              <w:bottom w:val="nil"/>
              <w:right w:val="single" w:sz="4" w:space="0" w:color="000000"/>
            </w:tcBorders>
            <w:shd w:val="clear" w:color="000000" w:fill="FFFFFF"/>
            <w:hideMark/>
          </w:tcPr>
          <w:p w14:paraId="23B8C4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169.- Calificación del voto.</w:t>
            </w:r>
            <w:r w:rsidRPr="00222F34">
              <w:rPr>
                <w:rFonts w:ascii="Calibri" w:eastAsia="Times New Roman" w:hAnsi="Calibri" w:cs="Calibri"/>
                <w:color w:val="000000"/>
                <w:lang w:val="es-CO" w:eastAsia="es-CO" w:bidi="ar-SA"/>
              </w:rPr>
              <w:t xml:space="preserve"> En el curso de los escrutinios, los votos serán calificados de la siguiente manera:</w:t>
            </w:r>
          </w:p>
        </w:tc>
        <w:tc>
          <w:tcPr>
            <w:tcW w:w="1480" w:type="dxa"/>
            <w:tcBorders>
              <w:top w:val="single" w:sz="4" w:space="0" w:color="000000"/>
              <w:left w:val="nil"/>
              <w:bottom w:val="nil"/>
              <w:right w:val="single" w:sz="4" w:space="0" w:color="000000"/>
            </w:tcBorders>
            <w:shd w:val="clear" w:color="000000" w:fill="FFFFFF"/>
            <w:hideMark/>
          </w:tcPr>
          <w:p w14:paraId="02504593" w14:textId="754EDB0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57EAFF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D7087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Voto válido. Es aquel que se expresa a través de la marcación en el medio de votación autorizado y que permite determinar la intención del votante, tanto por candidato, lista, voto en blanco u opción en mecanismo de participación ciudadana. </w:t>
            </w:r>
          </w:p>
        </w:tc>
        <w:tc>
          <w:tcPr>
            <w:tcW w:w="3798" w:type="dxa"/>
            <w:tcBorders>
              <w:top w:val="nil"/>
              <w:left w:val="nil"/>
              <w:bottom w:val="nil"/>
              <w:right w:val="single" w:sz="4" w:space="0" w:color="000000"/>
            </w:tcBorders>
            <w:shd w:val="clear" w:color="000000" w:fill="FFFFFF"/>
            <w:hideMark/>
          </w:tcPr>
          <w:p w14:paraId="51104F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Voto válido. Es aquel que se expresa a través de la marcación en el medio de votación autorizado y que permite determinar la intención del votante, tanto por candidato, lista, voto en blanco u opción en mecanismo de participación ciudadana.</w:t>
            </w:r>
          </w:p>
        </w:tc>
        <w:tc>
          <w:tcPr>
            <w:tcW w:w="3798" w:type="dxa"/>
            <w:tcBorders>
              <w:top w:val="nil"/>
              <w:left w:val="nil"/>
              <w:bottom w:val="nil"/>
              <w:right w:val="single" w:sz="4" w:space="0" w:color="000000"/>
            </w:tcBorders>
            <w:shd w:val="clear" w:color="000000" w:fill="FFFFFF"/>
            <w:hideMark/>
          </w:tcPr>
          <w:p w14:paraId="79D558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Voto válido. Es aquel que se expresa a través de la marcación en el medio de votación autorizado y que permite determinar la intención del votante, tanto por candidato, lista, voto en blanco u opción en mecanismo de participación ciudadana.</w:t>
            </w:r>
          </w:p>
        </w:tc>
        <w:tc>
          <w:tcPr>
            <w:tcW w:w="1480" w:type="dxa"/>
            <w:tcBorders>
              <w:top w:val="nil"/>
              <w:left w:val="nil"/>
              <w:bottom w:val="nil"/>
              <w:right w:val="single" w:sz="4" w:space="0" w:color="000000"/>
            </w:tcBorders>
            <w:shd w:val="clear" w:color="000000" w:fill="FFFFFF"/>
            <w:hideMark/>
          </w:tcPr>
          <w:p w14:paraId="08B151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4E2271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83288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voto marcado, en listas de voto preferente por un candidato o por partido o movimiento político será considerado voto válido. </w:t>
            </w:r>
          </w:p>
        </w:tc>
        <w:tc>
          <w:tcPr>
            <w:tcW w:w="3798" w:type="dxa"/>
            <w:tcBorders>
              <w:top w:val="nil"/>
              <w:left w:val="nil"/>
              <w:bottom w:val="nil"/>
              <w:right w:val="single" w:sz="4" w:space="0" w:color="000000"/>
            </w:tcBorders>
            <w:shd w:val="clear" w:color="000000" w:fill="FFFFFF"/>
            <w:hideMark/>
          </w:tcPr>
          <w:p w14:paraId="05A89F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voto marcado, en listas de voto preferente por un candidato o por partido o movimiento político será considerado voto válido.</w:t>
            </w:r>
          </w:p>
        </w:tc>
        <w:tc>
          <w:tcPr>
            <w:tcW w:w="3798" w:type="dxa"/>
            <w:tcBorders>
              <w:top w:val="nil"/>
              <w:left w:val="nil"/>
              <w:bottom w:val="nil"/>
              <w:right w:val="single" w:sz="4" w:space="0" w:color="000000"/>
            </w:tcBorders>
            <w:shd w:val="clear" w:color="000000" w:fill="FFFFFF"/>
            <w:hideMark/>
          </w:tcPr>
          <w:p w14:paraId="3102A7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voto marcado, en listas de voto preferente por un candidato o por partido o movimiento político será considerado voto válido.</w:t>
            </w:r>
          </w:p>
        </w:tc>
        <w:tc>
          <w:tcPr>
            <w:tcW w:w="1480" w:type="dxa"/>
            <w:tcBorders>
              <w:top w:val="nil"/>
              <w:left w:val="nil"/>
              <w:bottom w:val="nil"/>
              <w:right w:val="single" w:sz="4" w:space="0" w:color="000000"/>
            </w:tcBorders>
            <w:shd w:val="clear" w:color="000000" w:fill="FFFFFF"/>
            <w:hideMark/>
          </w:tcPr>
          <w:p w14:paraId="4DD2A3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AB33F9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3028B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Voto en blanco. Es aquel que se marca en la casilla correspondiente de voto en blanco, y como tal constituye voto válido para los efectos previstos en la Constitución Política y en este código. </w:t>
            </w:r>
          </w:p>
        </w:tc>
        <w:tc>
          <w:tcPr>
            <w:tcW w:w="3798" w:type="dxa"/>
            <w:tcBorders>
              <w:top w:val="nil"/>
              <w:left w:val="nil"/>
              <w:bottom w:val="nil"/>
              <w:right w:val="single" w:sz="4" w:space="0" w:color="000000"/>
            </w:tcBorders>
            <w:shd w:val="clear" w:color="000000" w:fill="FFFFFF"/>
            <w:hideMark/>
          </w:tcPr>
          <w:p w14:paraId="63B727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Voto en blanco. Es aquel que se marca en la casilla correspondiente de voto en blanco, y como tal constituye voto válido para los efectos previstos en la Constitución Política y en este código.</w:t>
            </w:r>
          </w:p>
        </w:tc>
        <w:tc>
          <w:tcPr>
            <w:tcW w:w="3798" w:type="dxa"/>
            <w:tcBorders>
              <w:top w:val="nil"/>
              <w:left w:val="nil"/>
              <w:bottom w:val="nil"/>
              <w:right w:val="single" w:sz="4" w:space="0" w:color="000000"/>
            </w:tcBorders>
            <w:shd w:val="clear" w:color="000000" w:fill="FFFFFF"/>
            <w:hideMark/>
          </w:tcPr>
          <w:p w14:paraId="046F63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Voto en blanco. Es aquel que se marca en la casilla correspondiente de voto en blanco, y como tal constituye voto válido para los efectos previstos en la Constitución Política y en este código.</w:t>
            </w:r>
          </w:p>
        </w:tc>
        <w:tc>
          <w:tcPr>
            <w:tcW w:w="1480" w:type="dxa"/>
            <w:tcBorders>
              <w:top w:val="nil"/>
              <w:left w:val="nil"/>
              <w:bottom w:val="nil"/>
              <w:right w:val="single" w:sz="4" w:space="0" w:color="000000"/>
            </w:tcBorders>
            <w:shd w:val="clear" w:color="000000" w:fill="FFFFFF"/>
            <w:hideMark/>
          </w:tcPr>
          <w:p w14:paraId="403C77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457C3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99CA2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Voto nulo. El voto será nulo cuando no se pueda determinar con certeza el sentido de la decisión del sufragante, o cuando no tenga ninguna marcación, así como cuando se marque por un candidato o lista totalmente revocada o candidatos retirados. El voto nulo no será contabilizado como un voto válido. </w:t>
            </w:r>
          </w:p>
        </w:tc>
        <w:tc>
          <w:tcPr>
            <w:tcW w:w="3798" w:type="dxa"/>
            <w:tcBorders>
              <w:top w:val="nil"/>
              <w:left w:val="nil"/>
              <w:bottom w:val="nil"/>
              <w:right w:val="single" w:sz="4" w:space="0" w:color="000000"/>
            </w:tcBorders>
            <w:shd w:val="clear" w:color="000000" w:fill="FFFFFF"/>
            <w:hideMark/>
          </w:tcPr>
          <w:p w14:paraId="0918F6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Voto nulo. El voto será nulo cuando no se pueda determinar con certeza el sentido de la decisión del sufragante, o cuando no tenga ninguna marcación, así como cuando se marque por un candidato o lista totalmente revocada o candidatos retirados. El voto nulo no será contabilizado como un voto válido.</w:t>
            </w:r>
          </w:p>
        </w:tc>
        <w:tc>
          <w:tcPr>
            <w:tcW w:w="3798" w:type="dxa"/>
            <w:tcBorders>
              <w:top w:val="nil"/>
              <w:left w:val="nil"/>
              <w:bottom w:val="nil"/>
              <w:right w:val="single" w:sz="4" w:space="0" w:color="000000"/>
            </w:tcBorders>
            <w:shd w:val="clear" w:color="000000" w:fill="FFFFFF"/>
            <w:hideMark/>
          </w:tcPr>
          <w:p w14:paraId="1DB377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Voto nulo. El voto será nulo cuando no se pueda determinar con certeza el sentido de la decisión del sufragante, o cuando no tenga ninguna marcación, así como cuando se marque por un candidato o lista totalmente revocada o candidatos retirados. El voto nulo no será contabilizado como un voto válido.</w:t>
            </w:r>
          </w:p>
        </w:tc>
        <w:tc>
          <w:tcPr>
            <w:tcW w:w="1480" w:type="dxa"/>
            <w:tcBorders>
              <w:top w:val="nil"/>
              <w:left w:val="nil"/>
              <w:bottom w:val="nil"/>
              <w:right w:val="single" w:sz="4" w:space="0" w:color="000000"/>
            </w:tcBorders>
            <w:shd w:val="clear" w:color="000000" w:fill="FFFFFF"/>
            <w:hideMark/>
          </w:tcPr>
          <w:p w14:paraId="08FCBF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CED52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BBC38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voto electrónico mixto no habrá posibilidad de voto nulo. </w:t>
            </w:r>
          </w:p>
        </w:tc>
        <w:tc>
          <w:tcPr>
            <w:tcW w:w="3798" w:type="dxa"/>
            <w:tcBorders>
              <w:top w:val="nil"/>
              <w:left w:val="nil"/>
              <w:bottom w:val="nil"/>
              <w:right w:val="single" w:sz="4" w:space="0" w:color="000000"/>
            </w:tcBorders>
            <w:shd w:val="clear" w:color="000000" w:fill="FFFFFF"/>
            <w:hideMark/>
          </w:tcPr>
          <w:p w14:paraId="7EC603E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voto electrónico mixto no habrá posibilidad de voto nulo.</w:t>
            </w:r>
          </w:p>
        </w:tc>
        <w:tc>
          <w:tcPr>
            <w:tcW w:w="3798" w:type="dxa"/>
            <w:tcBorders>
              <w:top w:val="nil"/>
              <w:left w:val="nil"/>
              <w:bottom w:val="nil"/>
              <w:right w:val="single" w:sz="4" w:space="0" w:color="000000"/>
            </w:tcBorders>
            <w:shd w:val="clear" w:color="000000" w:fill="FFFFFF"/>
            <w:hideMark/>
          </w:tcPr>
          <w:p w14:paraId="0D8F9D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voto electrónico mixto no habrá posibilidad de voto nulo.</w:t>
            </w:r>
          </w:p>
        </w:tc>
        <w:tc>
          <w:tcPr>
            <w:tcW w:w="1480" w:type="dxa"/>
            <w:tcBorders>
              <w:top w:val="nil"/>
              <w:left w:val="nil"/>
              <w:bottom w:val="nil"/>
              <w:right w:val="single" w:sz="4" w:space="0" w:color="000000"/>
            </w:tcBorders>
            <w:shd w:val="clear" w:color="000000" w:fill="FFFFFF"/>
            <w:hideMark/>
          </w:tcPr>
          <w:p w14:paraId="59999A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0FC548"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3DD3325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el voto no tenga marcación será debidamente identificado como tal por el jurado, mediante el procedimiento que establezca la autoridad electoral.</w:t>
            </w:r>
          </w:p>
        </w:tc>
        <w:tc>
          <w:tcPr>
            <w:tcW w:w="3798" w:type="dxa"/>
            <w:tcBorders>
              <w:top w:val="nil"/>
              <w:left w:val="nil"/>
              <w:bottom w:val="single" w:sz="4" w:space="0" w:color="000000"/>
              <w:right w:val="single" w:sz="4" w:space="0" w:color="000000"/>
            </w:tcBorders>
            <w:shd w:val="clear" w:color="000000" w:fill="FFFFFF"/>
            <w:hideMark/>
          </w:tcPr>
          <w:p w14:paraId="6A4049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el voto no tenga marcación será debidamente identificado como tal por el jurado, mediante el procedimiento que establezca la autoridad electoral.</w:t>
            </w:r>
          </w:p>
        </w:tc>
        <w:tc>
          <w:tcPr>
            <w:tcW w:w="3798" w:type="dxa"/>
            <w:tcBorders>
              <w:top w:val="nil"/>
              <w:left w:val="nil"/>
              <w:bottom w:val="single" w:sz="4" w:space="0" w:color="000000"/>
              <w:right w:val="single" w:sz="4" w:space="0" w:color="000000"/>
            </w:tcBorders>
            <w:shd w:val="clear" w:color="000000" w:fill="FFFFFF"/>
            <w:hideMark/>
          </w:tcPr>
          <w:p w14:paraId="3F44BF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el voto no tenga marcación será debidamente identificado como tal por el jurado, mediante el procedimiento que establezca la autoridad electoral.</w:t>
            </w:r>
          </w:p>
        </w:tc>
        <w:tc>
          <w:tcPr>
            <w:tcW w:w="1480" w:type="dxa"/>
            <w:tcBorders>
              <w:top w:val="nil"/>
              <w:left w:val="nil"/>
              <w:bottom w:val="nil"/>
              <w:right w:val="single" w:sz="4" w:space="0" w:color="000000"/>
            </w:tcBorders>
            <w:shd w:val="clear" w:color="000000" w:fill="FFFFFF"/>
            <w:hideMark/>
          </w:tcPr>
          <w:p w14:paraId="4B6454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DB192B"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6F1053B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166.- Transporte gratuito en la jornada electoral.</w:t>
            </w:r>
            <w:r w:rsidRPr="00222F34">
              <w:rPr>
                <w:rFonts w:ascii="Calibri" w:eastAsia="Times New Roman" w:hAnsi="Calibri" w:cs="Calibri"/>
                <w:color w:val="000000"/>
                <w:lang w:val="es-CO" w:eastAsia="es-CO" w:bidi="ar-SA"/>
              </w:rPr>
              <w:t xml:space="preserve"> El Estado garantizará el día de las elecciones el funcionamiento gratuito del servicio público de transporte masivo y colectivo, y del transporte especial terrestre y fluvial, y demás que la autoridad de transporte habilite el día de las elecciones. El día de las elecciones el transporte público deberá ser prestado garantizando rutas hasta los </w:t>
            </w:r>
            <w:r w:rsidRPr="00222F34">
              <w:rPr>
                <w:rFonts w:ascii="Calibri" w:eastAsia="Times New Roman" w:hAnsi="Calibri" w:cs="Calibri"/>
                <w:color w:val="000000"/>
                <w:lang w:val="es-CO" w:eastAsia="es-CO" w:bidi="ar-SA"/>
              </w:rPr>
              <w:lastRenderedPageBreak/>
              <w:t xml:space="preserve">puestos de votación urbanos y rurales, en el horario comprendido entre las siete de la mañana (7:00 a. m.) y las seis de la tarde (6:00 p.m.). </w:t>
            </w:r>
          </w:p>
        </w:tc>
        <w:tc>
          <w:tcPr>
            <w:tcW w:w="3798" w:type="dxa"/>
            <w:tcBorders>
              <w:top w:val="nil"/>
              <w:left w:val="nil"/>
              <w:bottom w:val="nil"/>
              <w:right w:val="single" w:sz="4" w:space="0" w:color="000000"/>
            </w:tcBorders>
            <w:shd w:val="clear" w:color="000000" w:fill="FFFFFF"/>
            <w:hideMark/>
          </w:tcPr>
          <w:p w14:paraId="606877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170.- Transporte en la jornada electoral. </w:t>
            </w:r>
            <w:r w:rsidRPr="00222F34">
              <w:rPr>
                <w:rFonts w:ascii="Calibri" w:eastAsia="Times New Roman" w:hAnsi="Calibri" w:cs="Calibri"/>
                <w:color w:val="000000"/>
                <w:lang w:val="es-CO" w:eastAsia="es-CO" w:bidi="ar-SA"/>
              </w:rPr>
              <w:t xml:space="preserve">El Estado garantizará el día de las elecciones el funcionamiento del servicio público de transporte masivo y colectivo, y del transporte especial terrestre y fluvial, y demás que la autoridad de transporte habilite el día de las elecciones. El día de las elecciones el transporte público deberá ser prestado garantizando rutas hasta los puestos de votación urbanos y </w:t>
            </w:r>
            <w:r w:rsidRPr="00222F34">
              <w:rPr>
                <w:rFonts w:ascii="Calibri" w:eastAsia="Times New Roman" w:hAnsi="Calibri" w:cs="Calibri"/>
                <w:color w:val="000000"/>
                <w:lang w:val="es-CO" w:eastAsia="es-CO" w:bidi="ar-SA"/>
              </w:rPr>
              <w:lastRenderedPageBreak/>
              <w:t>rurales, sin distinción de afinidad o partido político alguno y en igual de condiciones para todos los ciudadanos, en el horario comprendido entre las siete de la mañana (7:00 a. m.) y las seis de la tarde (6:00 p.m.).</w:t>
            </w:r>
          </w:p>
        </w:tc>
        <w:tc>
          <w:tcPr>
            <w:tcW w:w="3798" w:type="dxa"/>
            <w:tcBorders>
              <w:top w:val="nil"/>
              <w:left w:val="nil"/>
              <w:bottom w:val="nil"/>
              <w:right w:val="single" w:sz="4" w:space="0" w:color="000000"/>
            </w:tcBorders>
            <w:shd w:val="clear" w:color="000000" w:fill="FFFFFF"/>
            <w:hideMark/>
          </w:tcPr>
          <w:p w14:paraId="22B503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170.- Transporte en la jornada electoral. </w:t>
            </w:r>
            <w:r w:rsidRPr="00222F34">
              <w:rPr>
                <w:rFonts w:ascii="Calibri" w:eastAsia="Times New Roman" w:hAnsi="Calibri" w:cs="Calibri"/>
                <w:color w:val="000000"/>
                <w:lang w:val="es-CO" w:eastAsia="es-CO" w:bidi="ar-SA"/>
              </w:rPr>
              <w:t xml:space="preserve">El Estado garantizará el día de las elecciones el funcionamiento del servicio público de transporte masivo y colectivo, y del transporte especial terrestre y fluvial, y demás que la autoridad de transporte habilite el día de las elecciones. El día de las elecciones el transporte público deberá ser prestado garantizando rutas hasta los puestos de votación urbanos y </w:t>
            </w:r>
            <w:r w:rsidRPr="00222F34">
              <w:rPr>
                <w:rFonts w:ascii="Calibri" w:eastAsia="Times New Roman" w:hAnsi="Calibri" w:cs="Calibri"/>
                <w:color w:val="000000"/>
                <w:lang w:val="es-CO" w:eastAsia="es-CO" w:bidi="ar-SA"/>
              </w:rPr>
              <w:lastRenderedPageBreak/>
              <w:t>rurales, sin distinción de afinidad o partido político alguno y en igual de condiciones para todos los ciudadanos, en el horario comprendido entre las siete de la mañana (7:00 a. m.) y las seis de la tarde (6:00 p.m.).</w:t>
            </w:r>
          </w:p>
        </w:tc>
        <w:tc>
          <w:tcPr>
            <w:tcW w:w="1480" w:type="dxa"/>
            <w:tcBorders>
              <w:top w:val="single" w:sz="4" w:space="0" w:color="000000"/>
              <w:left w:val="nil"/>
              <w:bottom w:val="nil"/>
              <w:right w:val="single" w:sz="4" w:space="0" w:color="000000"/>
            </w:tcBorders>
            <w:shd w:val="clear" w:color="000000" w:fill="FFFFFF"/>
            <w:hideMark/>
          </w:tcPr>
          <w:p w14:paraId="154AEFB8" w14:textId="3E95B12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CD4925" w:rsidRPr="00222F34" w14:paraId="43BA181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E6170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Gobierno Nacional destinará los recursos a las gobernaciones y municipios para que coordinen con los transportadores el traslado de los electores habilitando las rutas de transporte que sean necesarias para que se garantice la mayor cobertura de este servicio. </w:t>
            </w:r>
          </w:p>
        </w:tc>
        <w:tc>
          <w:tcPr>
            <w:tcW w:w="3798" w:type="dxa"/>
            <w:tcBorders>
              <w:top w:val="nil"/>
              <w:left w:val="nil"/>
              <w:bottom w:val="nil"/>
              <w:right w:val="single" w:sz="4" w:space="0" w:color="000000"/>
            </w:tcBorders>
            <w:shd w:val="clear" w:color="FFC000" w:fill="FFFFFF"/>
            <w:hideMark/>
          </w:tcPr>
          <w:p w14:paraId="0B2E247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FFC000" w:fill="FFFFFF"/>
            <w:hideMark/>
          </w:tcPr>
          <w:p w14:paraId="043A29C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466249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D5B153"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53BA0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Gobierno Nacional de acuerdo con su Marco Fiscal de Mediano Plazo destinará los recursos a las gobernaciones y municipios con base en su censo electoral, para que coordinen con los transportadores el traslado de los electores habilitando las rutas de transporte que sean necesarias para que se garantice la mayor cobertura de este servicio. </w:t>
            </w:r>
          </w:p>
        </w:tc>
        <w:tc>
          <w:tcPr>
            <w:tcW w:w="3798" w:type="dxa"/>
            <w:tcBorders>
              <w:top w:val="nil"/>
              <w:left w:val="nil"/>
              <w:bottom w:val="nil"/>
              <w:right w:val="single" w:sz="4" w:space="0" w:color="000000"/>
            </w:tcBorders>
            <w:shd w:val="clear" w:color="FFC000" w:fill="FFFFFF"/>
            <w:hideMark/>
          </w:tcPr>
          <w:p w14:paraId="6B9A354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FFC000" w:fill="FFFFFF"/>
            <w:hideMark/>
          </w:tcPr>
          <w:p w14:paraId="15FB156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C70C8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9F140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A00B9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Gobierno Nacional implementará con los entes territoriales las disposiciones contenidas en el inciso anterior a la entrada en vigencia de la presente ley y </w:t>
            </w:r>
            <w:r w:rsidRPr="00222F34">
              <w:rPr>
                <w:rFonts w:ascii="Calibri" w:eastAsia="Times New Roman" w:hAnsi="Calibri" w:cs="Calibri"/>
                <w:color w:val="000000"/>
                <w:lang w:val="es-CO" w:eastAsia="es-CO" w:bidi="ar-SA"/>
              </w:rPr>
              <w:lastRenderedPageBreak/>
              <w:t xml:space="preserve">reglamentará las condiciones para la prestación de este servicio. </w:t>
            </w:r>
          </w:p>
        </w:tc>
        <w:tc>
          <w:tcPr>
            <w:tcW w:w="3798" w:type="dxa"/>
            <w:tcBorders>
              <w:top w:val="nil"/>
              <w:left w:val="nil"/>
              <w:bottom w:val="nil"/>
              <w:right w:val="single" w:sz="4" w:space="0" w:color="000000"/>
            </w:tcBorders>
            <w:shd w:val="clear" w:color="000000" w:fill="FFFFFF"/>
            <w:hideMark/>
          </w:tcPr>
          <w:p w14:paraId="48D7A4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Gobierno Nacional implementará con los entes territoriales las disposiciones contenidas en el inciso anterior a la entrada en vigencia de la presente ley y </w:t>
            </w:r>
            <w:r w:rsidRPr="00222F34">
              <w:rPr>
                <w:rFonts w:ascii="Calibri" w:eastAsia="Times New Roman" w:hAnsi="Calibri" w:cs="Calibri"/>
                <w:color w:val="000000"/>
                <w:lang w:val="es-CO" w:eastAsia="es-CO" w:bidi="ar-SA"/>
              </w:rPr>
              <w:lastRenderedPageBreak/>
              <w:t>reglamentará las condiciones para la prestación de este servicio.</w:t>
            </w:r>
          </w:p>
        </w:tc>
        <w:tc>
          <w:tcPr>
            <w:tcW w:w="3798" w:type="dxa"/>
            <w:tcBorders>
              <w:top w:val="nil"/>
              <w:left w:val="nil"/>
              <w:bottom w:val="nil"/>
              <w:right w:val="single" w:sz="4" w:space="0" w:color="000000"/>
            </w:tcBorders>
            <w:shd w:val="clear" w:color="000000" w:fill="FFFFFF"/>
            <w:hideMark/>
          </w:tcPr>
          <w:p w14:paraId="13CFC5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Gobierno Nacional implementará con los entes territoriales las disposiciones contenidas en el inciso anterior a la entrada en vigencia de la presente ley y </w:t>
            </w:r>
            <w:r w:rsidRPr="00222F34">
              <w:rPr>
                <w:rFonts w:ascii="Calibri" w:eastAsia="Times New Roman" w:hAnsi="Calibri" w:cs="Calibri"/>
                <w:color w:val="000000"/>
                <w:lang w:val="es-CO" w:eastAsia="es-CO" w:bidi="ar-SA"/>
              </w:rPr>
              <w:lastRenderedPageBreak/>
              <w:t>reglamentará las condiciones para la prestación de este servicio.</w:t>
            </w:r>
          </w:p>
        </w:tc>
        <w:tc>
          <w:tcPr>
            <w:tcW w:w="1480" w:type="dxa"/>
            <w:tcBorders>
              <w:top w:val="nil"/>
              <w:left w:val="nil"/>
              <w:bottom w:val="nil"/>
              <w:right w:val="single" w:sz="4" w:space="0" w:color="000000"/>
            </w:tcBorders>
            <w:shd w:val="clear" w:color="000000" w:fill="FFFFFF"/>
            <w:hideMark/>
          </w:tcPr>
          <w:p w14:paraId="24E725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AC92F3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BCF567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 </w:t>
            </w:r>
          </w:p>
        </w:tc>
        <w:tc>
          <w:tcPr>
            <w:tcW w:w="3798" w:type="dxa"/>
            <w:tcBorders>
              <w:top w:val="nil"/>
              <w:left w:val="nil"/>
              <w:bottom w:val="nil"/>
              <w:right w:val="single" w:sz="4" w:space="0" w:color="000000"/>
            </w:tcBorders>
            <w:shd w:val="clear" w:color="000000" w:fill="FFFFFF"/>
            <w:hideMark/>
          </w:tcPr>
          <w:p w14:paraId="1C35B1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w:t>
            </w:r>
          </w:p>
        </w:tc>
        <w:tc>
          <w:tcPr>
            <w:tcW w:w="3798" w:type="dxa"/>
            <w:tcBorders>
              <w:top w:val="nil"/>
              <w:left w:val="nil"/>
              <w:bottom w:val="nil"/>
              <w:right w:val="single" w:sz="4" w:space="0" w:color="000000"/>
            </w:tcBorders>
            <w:shd w:val="clear" w:color="000000" w:fill="FFFFFF"/>
            <w:hideMark/>
          </w:tcPr>
          <w:p w14:paraId="52D46B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w:t>
            </w:r>
          </w:p>
        </w:tc>
        <w:tc>
          <w:tcPr>
            <w:tcW w:w="1480" w:type="dxa"/>
            <w:tcBorders>
              <w:top w:val="nil"/>
              <w:left w:val="nil"/>
              <w:bottom w:val="nil"/>
              <w:right w:val="single" w:sz="4" w:space="0" w:color="000000"/>
            </w:tcBorders>
            <w:shd w:val="clear" w:color="000000" w:fill="FFFFFF"/>
            <w:hideMark/>
          </w:tcPr>
          <w:p w14:paraId="3A1AA2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CFEDE5D"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03240E5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194617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partidos políticos, grupos significativos y movimientos ciudadanos de la circunscripción territorial acordarán en la Comisión de seguimiento electoral las rutas a garantizar.</w:t>
            </w:r>
          </w:p>
        </w:tc>
        <w:tc>
          <w:tcPr>
            <w:tcW w:w="3798" w:type="dxa"/>
            <w:tcBorders>
              <w:top w:val="nil"/>
              <w:left w:val="nil"/>
              <w:bottom w:val="single" w:sz="4" w:space="0" w:color="000000"/>
              <w:right w:val="single" w:sz="4" w:space="0" w:color="000000"/>
            </w:tcBorders>
            <w:shd w:val="clear" w:color="000000" w:fill="FFFFFF"/>
            <w:hideMark/>
          </w:tcPr>
          <w:p w14:paraId="30EDA2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partidos políticos, grupos significativos y movimientos ciudadanos de la circunscripción territorial acordarán en la Comisión de seguimiento electoral las rutas a garantizar.</w:t>
            </w:r>
          </w:p>
        </w:tc>
        <w:tc>
          <w:tcPr>
            <w:tcW w:w="1480" w:type="dxa"/>
            <w:tcBorders>
              <w:top w:val="nil"/>
              <w:left w:val="nil"/>
              <w:bottom w:val="nil"/>
              <w:right w:val="single" w:sz="4" w:space="0" w:color="000000"/>
            </w:tcBorders>
            <w:shd w:val="clear" w:color="000000" w:fill="FFFFFF"/>
            <w:hideMark/>
          </w:tcPr>
          <w:p w14:paraId="278FA6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09938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8A5721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w:t>
            </w:r>
          </w:p>
        </w:tc>
        <w:tc>
          <w:tcPr>
            <w:tcW w:w="3798" w:type="dxa"/>
            <w:tcBorders>
              <w:top w:val="nil"/>
              <w:left w:val="nil"/>
              <w:bottom w:val="nil"/>
              <w:right w:val="single" w:sz="4" w:space="0" w:color="000000"/>
            </w:tcBorders>
            <w:shd w:val="clear" w:color="000000" w:fill="FFFFFF"/>
            <w:hideMark/>
          </w:tcPr>
          <w:p w14:paraId="2E16FA8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w:t>
            </w:r>
          </w:p>
        </w:tc>
        <w:tc>
          <w:tcPr>
            <w:tcW w:w="3798" w:type="dxa"/>
            <w:tcBorders>
              <w:top w:val="nil"/>
              <w:left w:val="nil"/>
              <w:bottom w:val="nil"/>
              <w:right w:val="single" w:sz="4" w:space="0" w:color="000000"/>
            </w:tcBorders>
            <w:shd w:val="clear" w:color="000000" w:fill="FFFFFF"/>
            <w:hideMark/>
          </w:tcPr>
          <w:p w14:paraId="4295F7E4"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w:t>
            </w:r>
          </w:p>
        </w:tc>
        <w:tc>
          <w:tcPr>
            <w:tcW w:w="1480" w:type="dxa"/>
            <w:tcBorders>
              <w:top w:val="single" w:sz="4" w:space="0" w:color="000000"/>
              <w:left w:val="nil"/>
              <w:bottom w:val="nil"/>
              <w:right w:val="single" w:sz="4" w:space="0" w:color="000000"/>
            </w:tcBorders>
            <w:shd w:val="clear" w:color="000000" w:fill="FFFFFF"/>
            <w:hideMark/>
          </w:tcPr>
          <w:p w14:paraId="0E53C0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462317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06C6C0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 LOS ESCRUTINIOS Y LA DECLARATORIA DE ELECCIÓN</w:t>
            </w:r>
          </w:p>
        </w:tc>
        <w:tc>
          <w:tcPr>
            <w:tcW w:w="3798" w:type="dxa"/>
            <w:tcBorders>
              <w:top w:val="nil"/>
              <w:left w:val="nil"/>
              <w:bottom w:val="nil"/>
              <w:right w:val="single" w:sz="4" w:space="0" w:color="000000"/>
            </w:tcBorders>
            <w:shd w:val="clear" w:color="000000" w:fill="FFFFFF"/>
            <w:hideMark/>
          </w:tcPr>
          <w:p w14:paraId="2A79B3F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 LOS ESCRUTINIOS Y LA DECLARATORIA DE ELECCIÓN</w:t>
            </w:r>
          </w:p>
        </w:tc>
        <w:tc>
          <w:tcPr>
            <w:tcW w:w="3798" w:type="dxa"/>
            <w:tcBorders>
              <w:top w:val="nil"/>
              <w:left w:val="nil"/>
              <w:bottom w:val="nil"/>
              <w:right w:val="single" w:sz="4" w:space="0" w:color="000000"/>
            </w:tcBorders>
            <w:shd w:val="clear" w:color="000000" w:fill="FFFFFF"/>
            <w:hideMark/>
          </w:tcPr>
          <w:p w14:paraId="19F9FFF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 LOS ESCRUTINIOS Y LA DECLARATORIA DE ELECCIÓN</w:t>
            </w:r>
          </w:p>
        </w:tc>
        <w:tc>
          <w:tcPr>
            <w:tcW w:w="1480" w:type="dxa"/>
            <w:tcBorders>
              <w:top w:val="nil"/>
              <w:left w:val="nil"/>
              <w:bottom w:val="nil"/>
              <w:right w:val="single" w:sz="4" w:space="0" w:color="000000"/>
            </w:tcBorders>
            <w:shd w:val="clear" w:color="000000" w:fill="FFFFFF"/>
            <w:hideMark/>
          </w:tcPr>
          <w:p w14:paraId="26DE97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62353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6116CA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658290F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5CFF6FE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4E75B3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809540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6A13E41"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w:t>
            </w:r>
          </w:p>
        </w:tc>
        <w:tc>
          <w:tcPr>
            <w:tcW w:w="3798" w:type="dxa"/>
            <w:tcBorders>
              <w:top w:val="nil"/>
              <w:left w:val="nil"/>
              <w:bottom w:val="nil"/>
              <w:right w:val="single" w:sz="4" w:space="0" w:color="000000"/>
            </w:tcBorders>
            <w:shd w:val="clear" w:color="000000" w:fill="FFFFFF"/>
            <w:hideMark/>
          </w:tcPr>
          <w:p w14:paraId="42DDF5F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w:t>
            </w:r>
          </w:p>
        </w:tc>
        <w:tc>
          <w:tcPr>
            <w:tcW w:w="3798" w:type="dxa"/>
            <w:tcBorders>
              <w:top w:val="nil"/>
              <w:left w:val="nil"/>
              <w:bottom w:val="nil"/>
              <w:right w:val="single" w:sz="4" w:space="0" w:color="000000"/>
            </w:tcBorders>
            <w:shd w:val="clear" w:color="000000" w:fill="FFFFFF"/>
            <w:hideMark/>
          </w:tcPr>
          <w:p w14:paraId="5831E0F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w:t>
            </w:r>
          </w:p>
        </w:tc>
        <w:tc>
          <w:tcPr>
            <w:tcW w:w="1480" w:type="dxa"/>
            <w:tcBorders>
              <w:top w:val="nil"/>
              <w:left w:val="nil"/>
              <w:bottom w:val="nil"/>
              <w:right w:val="single" w:sz="4" w:space="0" w:color="000000"/>
            </w:tcBorders>
            <w:shd w:val="clear" w:color="000000" w:fill="FFFFFF"/>
            <w:hideMark/>
          </w:tcPr>
          <w:p w14:paraId="0C9054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AC1AED" w14:textId="77777777" w:rsidTr="00222F34">
        <w:trPr>
          <w:trHeight w:val="2400"/>
        </w:trPr>
        <w:tc>
          <w:tcPr>
            <w:tcW w:w="3798" w:type="dxa"/>
            <w:tcBorders>
              <w:top w:val="single" w:sz="4" w:space="0" w:color="auto"/>
              <w:left w:val="single" w:sz="4" w:space="0" w:color="000000"/>
              <w:bottom w:val="nil"/>
              <w:right w:val="single" w:sz="4" w:space="0" w:color="000000"/>
            </w:tcBorders>
            <w:shd w:val="clear" w:color="000000" w:fill="FFFFFF"/>
            <w:hideMark/>
          </w:tcPr>
          <w:p w14:paraId="38E8AAF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167.- Definición del sistema de preconteo y su finalidad.</w:t>
            </w:r>
            <w:r w:rsidRPr="00222F34">
              <w:rPr>
                <w:rFonts w:ascii="Calibri" w:eastAsia="Times New Roman" w:hAnsi="Calibri" w:cs="Calibri"/>
                <w:color w:val="000000"/>
                <w:lang w:val="es-CO" w:eastAsia="es-CO" w:bidi="ar-SA"/>
              </w:rPr>
              <w:t xml:space="preserve"> El sistema de conteo preliminar o preconteo integra el conjunto de recursos utilizados para la transmisión, recepción y procesamiento de los resultados de las elecciones en Colombia y en el exterior. El preconteo se adelanta de manera ágil, el mismo día de las votaciones, con el propósito de brindar oportunamente, información a la ciudadanía, a los partidos y a los movimientos políticos con personería jurídica, a los grupos significativos de ciudadanos, a las organizaciones étnicas, a los candidatos y a las autoridades. </w:t>
            </w:r>
          </w:p>
        </w:tc>
        <w:tc>
          <w:tcPr>
            <w:tcW w:w="3798" w:type="dxa"/>
            <w:tcBorders>
              <w:top w:val="single" w:sz="4" w:space="0" w:color="auto"/>
              <w:left w:val="nil"/>
              <w:bottom w:val="nil"/>
              <w:right w:val="single" w:sz="4" w:space="0" w:color="000000"/>
            </w:tcBorders>
            <w:shd w:val="clear" w:color="000000" w:fill="FFFFFF"/>
            <w:hideMark/>
          </w:tcPr>
          <w:p w14:paraId="50F2AD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171.- Definición del sistema de preconteo y su finalidad. </w:t>
            </w:r>
            <w:r w:rsidRPr="00222F34">
              <w:rPr>
                <w:rFonts w:ascii="Calibri" w:eastAsia="Times New Roman" w:hAnsi="Calibri" w:cs="Calibri"/>
                <w:color w:val="000000"/>
                <w:lang w:val="es-CO" w:eastAsia="es-CO" w:bidi="ar-SA"/>
              </w:rPr>
              <w:t>El sistema de conteo preliminar o preconteo integra el conjunto de recursos utilizados para la transmisión, recepción y procesamiento de los resultados de las elecciones en Colombia y en el exterior. El preconteo se adelanta de manera ágil, el mismo día de las votaciones, con el propósito de brindar oportunamente, información a la ciudadanía, a los partidos y a los movimientos políticos con personería jurídica, a los grupos significativos de ciudadanos, a las organizaciones étnicas, a los candidatos y a las autoridades.</w:t>
            </w:r>
          </w:p>
        </w:tc>
        <w:tc>
          <w:tcPr>
            <w:tcW w:w="3798" w:type="dxa"/>
            <w:tcBorders>
              <w:top w:val="single" w:sz="4" w:space="0" w:color="auto"/>
              <w:left w:val="nil"/>
              <w:bottom w:val="nil"/>
              <w:right w:val="single" w:sz="4" w:space="0" w:color="000000"/>
            </w:tcBorders>
            <w:shd w:val="clear" w:color="000000" w:fill="FFFFFF"/>
            <w:hideMark/>
          </w:tcPr>
          <w:p w14:paraId="08FE97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171.- Definición del sistema de preconteo y su finalidad. </w:t>
            </w:r>
            <w:r w:rsidRPr="00222F34">
              <w:rPr>
                <w:rFonts w:ascii="Calibri" w:eastAsia="Times New Roman" w:hAnsi="Calibri" w:cs="Calibri"/>
                <w:color w:val="000000"/>
                <w:lang w:val="es-CO" w:eastAsia="es-CO" w:bidi="ar-SA"/>
              </w:rPr>
              <w:t>El sistema de conteo preliminar o preconteo integra el conjunto de recursos utilizados para la transmisión, recepción y procesamiento de los resultados de las elecciones en Colombia y en el exterior. El preconteo se adelanta de manera ágil, el mismo día de las votaciones, con el propósito de brindar oportunamente, información a la ciudadanía, a los partidos y a los movimientos políticos con personería jurídica, a los grupos significativos de ciudadanos, a las organizaciones étnicas, a los candidatos y a las autoridades.</w:t>
            </w:r>
          </w:p>
        </w:tc>
        <w:tc>
          <w:tcPr>
            <w:tcW w:w="1480" w:type="dxa"/>
            <w:tcBorders>
              <w:top w:val="single" w:sz="4" w:space="0" w:color="auto"/>
              <w:left w:val="nil"/>
              <w:bottom w:val="nil"/>
              <w:right w:val="single" w:sz="4" w:space="0" w:color="000000"/>
            </w:tcBorders>
            <w:shd w:val="clear" w:color="000000" w:fill="FFFFFF"/>
            <w:hideMark/>
          </w:tcPr>
          <w:p w14:paraId="29FA6973" w14:textId="07C1F2A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5A45B3D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391A7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sistema de conteo preliminar o preconteo no tiene carácter vinculante ni obligatorio. Su función es meramente informativa. Los únicos datos de resultados oficiales son los derivados de los escrutinios. </w:t>
            </w:r>
          </w:p>
        </w:tc>
        <w:tc>
          <w:tcPr>
            <w:tcW w:w="3798" w:type="dxa"/>
            <w:tcBorders>
              <w:top w:val="nil"/>
              <w:left w:val="nil"/>
              <w:bottom w:val="nil"/>
              <w:right w:val="single" w:sz="4" w:space="0" w:color="000000"/>
            </w:tcBorders>
            <w:shd w:val="clear" w:color="000000" w:fill="FFFFFF"/>
            <w:hideMark/>
          </w:tcPr>
          <w:p w14:paraId="55DE41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sistema de conteo preliminar o preconteo no tiene carácter vinculante ni obligatorio. Su función es meramente informativa. Los únicos datos de resultados oficiales son los derivados de los escrutinios.</w:t>
            </w:r>
          </w:p>
        </w:tc>
        <w:tc>
          <w:tcPr>
            <w:tcW w:w="3798" w:type="dxa"/>
            <w:tcBorders>
              <w:top w:val="nil"/>
              <w:left w:val="nil"/>
              <w:bottom w:val="nil"/>
              <w:right w:val="single" w:sz="4" w:space="0" w:color="000000"/>
            </w:tcBorders>
            <w:shd w:val="clear" w:color="000000" w:fill="FFFFFF"/>
            <w:hideMark/>
          </w:tcPr>
          <w:p w14:paraId="4A774A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sistema de conteo preliminar o preconteo no tiene carácter vinculante ni obligatorio. Su función es meramente informativa. Los únicos datos de resultados oficiales son los derivados de los escrutinios.</w:t>
            </w:r>
          </w:p>
        </w:tc>
        <w:tc>
          <w:tcPr>
            <w:tcW w:w="1480" w:type="dxa"/>
            <w:tcBorders>
              <w:top w:val="nil"/>
              <w:left w:val="nil"/>
              <w:bottom w:val="nil"/>
              <w:right w:val="single" w:sz="4" w:space="0" w:color="000000"/>
            </w:tcBorders>
            <w:shd w:val="clear" w:color="000000" w:fill="FFFFFF"/>
            <w:hideMark/>
          </w:tcPr>
          <w:p w14:paraId="5D81DE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E33E0C" w14:textId="77777777" w:rsidTr="00222F34">
        <w:trPr>
          <w:trHeight w:val="3000"/>
        </w:trPr>
        <w:tc>
          <w:tcPr>
            <w:tcW w:w="3798" w:type="dxa"/>
            <w:tcBorders>
              <w:top w:val="nil"/>
              <w:left w:val="single" w:sz="4" w:space="0" w:color="000000"/>
              <w:bottom w:val="nil"/>
              <w:right w:val="single" w:sz="4" w:space="0" w:color="000000"/>
            </w:tcBorders>
            <w:shd w:val="clear" w:color="000000" w:fill="FFFFFF"/>
            <w:hideMark/>
          </w:tcPr>
          <w:p w14:paraId="3F11A0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gestión del sistema de conteo preliminar o preconteo integrará componentes para garantizar la seguridad e integridad, calidad y fidelidad de la información, como la adecuación de recursos y capacidades tecnológicas que le permitan dotar de todas las seguridades y publicidad a esta fase, así como modernizar las técnicas y herramientas utilizadas y optimizar su procesamiento, con el fin de que los resultados preliminares sean conocidos por los candidatos, los auditores y delegados de los partidos y movimientos políticos, grupos significativos de ciudadanos, comités promotores del voto en blanco y organizaciones de observación electoral, a medida que se van trasmitiendo en tiempo real, y por la ciudadanía en el menor tiempo posible. El sistema debe estar dotado de las seguridades tecnológicas necesarias.</w:t>
            </w:r>
          </w:p>
        </w:tc>
        <w:tc>
          <w:tcPr>
            <w:tcW w:w="3798" w:type="dxa"/>
            <w:tcBorders>
              <w:top w:val="nil"/>
              <w:left w:val="nil"/>
              <w:bottom w:val="nil"/>
              <w:right w:val="single" w:sz="4" w:space="0" w:color="000000"/>
            </w:tcBorders>
            <w:shd w:val="clear" w:color="000000" w:fill="FFFFFF"/>
            <w:hideMark/>
          </w:tcPr>
          <w:p w14:paraId="224103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gestión del sistema de conteo preliminar o preconteo integrará componentes para garantizar la seguridad e integridad, calidad y fidelidad de la información, como la adecuación de recursos y capacidades tecnológicas que le permitan dotar de todas las seguridades y publicidad a esta fase, así como modernizar las técnicas y herramientas utilizadas y optimizar su procesamiento, con el fin de que los resultados preliminares sean conocidos por los candidatos, los auditores y delegados de los partidos y movimientos políticos, grupos significativos de ciudadanos, comités promotores del voto en blanco y organizaciones de observación electoral, a medida que se van transmitiendo en tiempo real, y por la ciudadanía en el menor tiempo posible. El sistema debe estar dotado de las seguridades tecnológicas necesarias.</w:t>
            </w:r>
          </w:p>
        </w:tc>
        <w:tc>
          <w:tcPr>
            <w:tcW w:w="3798" w:type="dxa"/>
            <w:tcBorders>
              <w:top w:val="nil"/>
              <w:left w:val="nil"/>
              <w:bottom w:val="nil"/>
              <w:right w:val="single" w:sz="4" w:space="0" w:color="000000"/>
            </w:tcBorders>
            <w:shd w:val="clear" w:color="000000" w:fill="FFFFFF"/>
            <w:hideMark/>
          </w:tcPr>
          <w:p w14:paraId="333F3D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gestión del sistema de conteo preliminar o preconteo integrará componentes para garantizar la seguridad e integridad, calidad y fidelidad de la información, como la adecuación de recursos y capacidades tecnológicas que le permitan dotar de todas las seguridades y publicidad a esta fase, así como modernizar las técnicas y herramientas utilizadas y optimizar su procesamiento, con el fin de que los resultados preliminares sean conocidos por los candidatos, los auditores y delegados de los partidos y movimientos políticos, grupos significativos de ciudadanos, comités promotores del voto en blanco y organizaciones de observación electoral, a medida que se van transmitiendo en tiempo real, y por la ciudadanía en el menor tiempo posible. El sistema debe estar dotado de las seguridades tecnológicas necesarias.</w:t>
            </w:r>
          </w:p>
        </w:tc>
        <w:tc>
          <w:tcPr>
            <w:tcW w:w="1480" w:type="dxa"/>
            <w:tcBorders>
              <w:top w:val="nil"/>
              <w:left w:val="nil"/>
              <w:bottom w:val="nil"/>
              <w:right w:val="single" w:sz="4" w:space="0" w:color="000000"/>
            </w:tcBorders>
            <w:shd w:val="clear" w:color="000000" w:fill="FFFFFF"/>
            <w:hideMark/>
          </w:tcPr>
          <w:p w14:paraId="1C1FE6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6A581E8" w14:textId="77777777" w:rsidTr="00222F34">
        <w:trPr>
          <w:trHeight w:val="1800"/>
        </w:trPr>
        <w:tc>
          <w:tcPr>
            <w:tcW w:w="3798" w:type="dxa"/>
            <w:tcBorders>
              <w:top w:val="single" w:sz="4" w:space="0" w:color="000000"/>
              <w:left w:val="single" w:sz="4" w:space="0" w:color="000000"/>
              <w:bottom w:val="nil"/>
              <w:right w:val="single" w:sz="4" w:space="0" w:color="000000"/>
            </w:tcBorders>
            <w:shd w:val="clear" w:color="000000" w:fill="FFFFFF"/>
            <w:hideMark/>
          </w:tcPr>
          <w:p w14:paraId="3ED008F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168.- Sistema de preconteo. </w:t>
            </w:r>
            <w:r w:rsidRPr="00222F34">
              <w:rPr>
                <w:rFonts w:ascii="Calibri" w:eastAsia="Times New Roman" w:hAnsi="Calibri" w:cs="Calibri"/>
                <w:color w:val="000000"/>
                <w:lang w:val="es-CO" w:eastAsia="es-CO" w:bidi="ar-SA"/>
              </w:rPr>
              <w:t xml:space="preserve">La Registraduría Nacional del Estado Civil organizará un sistema de preconteo que le permita la dirección, control y coordinación del desarrollo de la transmisión confiable, accesible, verificable y auditable, en tiempo oportuno de resultados electorales desde los puestos de votación hacia los </w:t>
            </w:r>
            <w:r w:rsidRPr="00222F34">
              <w:rPr>
                <w:rFonts w:ascii="Calibri" w:eastAsia="Times New Roman" w:hAnsi="Calibri" w:cs="Calibri"/>
                <w:color w:val="000000"/>
                <w:lang w:val="es-CO" w:eastAsia="es-CO" w:bidi="ar-SA"/>
              </w:rPr>
              <w:lastRenderedPageBreak/>
              <w:t xml:space="preserve">puestos de recepción de datos, centros de procesamiento de información, de consolidación de los resultados y de divulgación de los mismos. </w:t>
            </w:r>
          </w:p>
        </w:tc>
        <w:tc>
          <w:tcPr>
            <w:tcW w:w="3798" w:type="dxa"/>
            <w:tcBorders>
              <w:top w:val="single" w:sz="4" w:space="0" w:color="000000"/>
              <w:left w:val="nil"/>
              <w:bottom w:val="nil"/>
              <w:right w:val="single" w:sz="4" w:space="0" w:color="000000"/>
            </w:tcBorders>
            <w:shd w:val="clear" w:color="000000" w:fill="FFFFFF"/>
            <w:hideMark/>
          </w:tcPr>
          <w:p w14:paraId="4DF56E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172.- Sistema de preconteo. </w:t>
            </w:r>
            <w:r w:rsidRPr="00222F34">
              <w:rPr>
                <w:rFonts w:ascii="Calibri" w:eastAsia="Times New Roman" w:hAnsi="Calibri" w:cs="Calibri"/>
                <w:color w:val="000000"/>
                <w:lang w:val="es-CO" w:eastAsia="es-CO" w:bidi="ar-SA"/>
              </w:rPr>
              <w:t xml:space="preserve">La Registraduría Nacional del Estado Civil organizará un sistema de preconteo que le permita la dirección, control y coordinación del desarrollo de la transmisión confiable, accesible, verificable y auditable, en tiempo oportuno de resultados electorales desde los puestos de votación hacia los </w:t>
            </w:r>
            <w:r w:rsidRPr="00222F34">
              <w:rPr>
                <w:rFonts w:ascii="Calibri" w:eastAsia="Times New Roman" w:hAnsi="Calibri" w:cs="Calibri"/>
                <w:color w:val="000000"/>
                <w:lang w:val="es-CO" w:eastAsia="es-CO" w:bidi="ar-SA"/>
              </w:rPr>
              <w:lastRenderedPageBreak/>
              <w:t>puestos de recepción de datos, centros de procesamiento de información, de consolidación de los resultados y de divulgación de los mismos.</w:t>
            </w:r>
          </w:p>
        </w:tc>
        <w:tc>
          <w:tcPr>
            <w:tcW w:w="3798" w:type="dxa"/>
            <w:tcBorders>
              <w:top w:val="single" w:sz="4" w:space="0" w:color="000000"/>
              <w:left w:val="nil"/>
              <w:bottom w:val="nil"/>
              <w:right w:val="single" w:sz="4" w:space="0" w:color="000000"/>
            </w:tcBorders>
            <w:shd w:val="clear" w:color="000000" w:fill="FFFFFF"/>
            <w:hideMark/>
          </w:tcPr>
          <w:p w14:paraId="5BAF7F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172.- Sistema de preconteo. </w:t>
            </w:r>
            <w:r w:rsidRPr="00222F34">
              <w:rPr>
                <w:rFonts w:ascii="Calibri" w:eastAsia="Times New Roman" w:hAnsi="Calibri" w:cs="Calibri"/>
                <w:color w:val="000000"/>
                <w:lang w:val="es-CO" w:eastAsia="es-CO" w:bidi="ar-SA"/>
              </w:rPr>
              <w:t xml:space="preserve">La Registraduría Nacional del Estado Civil organizará un sistema de preconteo que le permita la dirección, control y coordinación del desarrollo de la transmisión confiable, accesible, verificable y auditable, en tiempo oportuno de resultados electorales desde los puestos de votación hacia los </w:t>
            </w:r>
            <w:r w:rsidRPr="00222F34">
              <w:rPr>
                <w:rFonts w:ascii="Calibri" w:eastAsia="Times New Roman" w:hAnsi="Calibri" w:cs="Calibri"/>
                <w:color w:val="000000"/>
                <w:lang w:val="es-CO" w:eastAsia="es-CO" w:bidi="ar-SA"/>
              </w:rPr>
              <w:lastRenderedPageBreak/>
              <w:t>puestos de recepción de datos, centros de procesamiento de información, de consolidación de los resultados y de divulgación de los mismos.</w:t>
            </w:r>
          </w:p>
        </w:tc>
        <w:tc>
          <w:tcPr>
            <w:tcW w:w="1480" w:type="dxa"/>
            <w:tcBorders>
              <w:top w:val="single" w:sz="4" w:space="0" w:color="auto"/>
              <w:left w:val="nil"/>
              <w:bottom w:val="nil"/>
              <w:right w:val="single" w:sz="4" w:space="0" w:color="000000"/>
            </w:tcBorders>
            <w:shd w:val="clear" w:color="000000" w:fill="FFFFFF"/>
            <w:hideMark/>
          </w:tcPr>
          <w:p w14:paraId="76B3B14B" w14:textId="6388315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Pr="00222F34">
              <w:rPr>
                <w:rFonts w:ascii="Calibri" w:eastAsia="Times New Roman" w:hAnsi="Calibri" w:cs="Calibri"/>
                <w:color w:val="000000"/>
                <w:lang w:val="es-CO" w:eastAsia="es-CO" w:bidi="ar-SA"/>
              </w:rPr>
              <w:t xml:space="preserve"> </w:t>
            </w:r>
          </w:p>
        </w:tc>
      </w:tr>
      <w:tr w:rsidR="00CD4925" w:rsidRPr="00222F34" w14:paraId="0C8AA182" w14:textId="77777777" w:rsidTr="00222F34">
        <w:trPr>
          <w:trHeight w:val="3000"/>
        </w:trPr>
        <w:tc>
          <w:tcPr>
            <w:tcW w:w="3798" w:type="dxa"/>
            <w:tcBorders>
              <w:top w:val="nil"/>
              <w:left w:val="single" w:sz="4" w:space="0" w:color="000000"/>
              <w:bottom w:val="nil"/>
              <w:right w:val="single" w:sz="4" w:space="0" w:color="000000"/>
            </w:tcBorders>
            <w:shd w:val="clear" w:color="000000" w:fill="FFFFFF"/>
            <w:hideMark/>
          </w:tcPr>
          <w:p w14:paraId="76757E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 candidatos, los auditores y delegados de los partidos y movimientos políticos, grupos significativos de ciudadanos y comités promotores del voto en blanco, a medida que se van trasmitiendo en tiempo real, y por la ciudadanía en el menor tiempo posible. El sistema debe estar dotado de las seguridades tecnológicas necesarias.  En esta etapa se aplicarán los mecanismos de auditoria informática electoral y auditoría técnica que contiene este Código. </w:t>
            </w:r>
          </w:p>
        </w:tc>
        <w:tc>
          <w:tcPr>
            <w:tcW w:w="3798" w:type="dxa"/>
            <w:tcBorders>
              <w:top w:val="nil"/>
              <w:left w:val="nil"/>
              <w:bottom w:val="nil"/>
              <w:right w:val="single" w:sz="4" w:space="0" w:color="000000"/>
            </w:tcBorders>
            <w:shd w:val="clear" w:color="000000" w:fill="FFFFFF"/>
            <w:hideMark/>
          </w:tcPr>
          <w:p w14:paraId="1479E0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 candidatos, los auditores y delegados de los partidos y movimientos políticos, grupos significativos de ciudadanos y comités promotores del voto en blanco, a medida que se van transmitiendo en tiempo real, y por la ciudadanía en el menor tiempo posible. El sistema debe estar dotado de las seguridades tecnológicas necesarias. En esta etapa se aplicarán los mecanismos de auditoría informática electoral y auditoría técnica que contiene este Código.</w:t>
            </w:r>
          </w:p>
        </w:tc>
        <w:tc>
          <w:tcPr>
            <w:tcW w:w="3798" w:type="dxa"/>
            <w:tcBorders>
              <w:top w:val="nil"/>
              <w:left w:val="nil"/>
              <w:bottom w:val="nil"/>
              <w:right w:val="single" w:sz="4" w:space="0" w:color="000000"/>
            </w:tcBorders>
            <w:shd w:val="clear" w:color="000000" w:fill="FFFFFF"/>
            <w:hideMark/>
          </w:tcPr>
          <w:p w14:paraId="22A67A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 candidatos, los auditores y delegados de los partidos y movimientos políticos, grupos significativos de ciudadanos y comités promotores del voto en blanco, a medida que se van transmitiendo en tiempo real, y por la ciudadanía en el menor tiempo posible. El sistema debe estar dotado de las seguridades tecnológicas necesarias. En esta etapa se aplicarán los mecanismos de auditoría informática electoral y auditoría técnica que contiene este Código.</w:t>
            </w:r>
          </w:p>
        </w:tc>
        <w:tc>
          <w:tcPr>
            <w:tcW w:w="1480" w:type="dxa"/>
            <w:tcBorders>
              <w:top w:val="nil"/>
              <w:left w:val="nil"/>
              <w:bottom w:val="nil"/>
              <w:right w:val="single" w:sz="4" w:space="0" w:color="000000"/>
            </w:tcBorders>
            <w:shd w:val="clear" w:color="000000" w:fill="FFFFFF"/>
            <w:hideMark/>
          </w:tcPr>
          <w:p w14:paraId="67BB03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3A66C8"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3D62AE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 </w:t>
            </w:r>
          </w:p>
        </w:tc>
        <w:tc>
          <w:tcPr>
            <w:tcW w:w="3798" w:type="dxa"/>
            <w:tcBorders>
              <w:top w:val="nil"/>
              <w:left w:val="nil"/>
              <w:bottom w:val="single" w:sz="4" w:space="0" w:color="000000"/>
              <w:right w:val="single" w:sz="4" w:space="0" w:color="000000"/>
            </w:tcBorders>
            <w:shd w:val="clear" w:color="000000" w:fill="FFFFFF"/>
            <w:hideMark/>
          </w:tcPr>
          <w:p w14:paraId="0DD7C4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w:t>
            </w:r>
          </w:p>
        </w:tc>
        <w:tc>
          <w:tcPr>
            <w:tcW w:w="3798" w:type="dxa"/>
            <w:tcBorders>
              <w:top w:val="nil"/>
              <w:left w:val="nil"/>
              <w:bottom w:val="single" w:sz="4" w:space="0" w:color="000000"/>
              <w:right w:val="single" w:sz="4" w:space="0" w:color="000000"/>
            </w:tcBorders>
            <w:shd w:val="clear" w:color="000000" w:fill="FFFFFF"/>
            <w:hideMark/>
          </w:tcPr>
          <w:p w14:paraId="29A436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w:t>
            </w:r>
          </w:p>
        </w:tc>
        <w:tc>
          <w:tcPr>
            <w:tcW w:w="1480" w:type="dxa"/>
            <w:tcBorders>
              <w:top w:val="nil"/>
              <w:left w:val="nil"/>
              <w:bottom w:val="single" w:sz="4" w:space="0" w:color="000000"/>
              <w:right w:val="single" w:sz="4" w:space="0" w:color="000000"/>
            </w:tcBorders>
            <w:shd w:val="clear" w:color="000000" w:fill="FFFFFF"/>
            <w:hideMark/>
          </w:tcPr>
          <w:p w14:paraId="1BD40E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72ECB0F"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885D1D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169.- Entrega de resultados preliminares.</w:t>
            </w:r>
            <w:r w:rsidRPr="00222F34">
              <w:rPr>
                <w:rFonts w:ascii="Calibri" w:eastAsia="Times New Roman" w:hAnsi="Calibri" w:cs="Calibri"/>
                <w:color w:val="000000"/>
                <w:lang w:val="es-CO" w:eastAsia="es-CO" w:bidi="ar-SA"/>
              </w:rPr>
              <w:t xml:space="preserve"> La Registraduría Nacional del Estado Civil dispondrá los recursos necesarios para garantizar la entrega, a más tardar al día siguiente de las votaciones, de los datos derivados del sistema de preconteo. De igual manera, la Registraduría Nacional del Estado Civil tendrá la obligación de publicar en la página de la Registraduría Nacional del Estado Civil las actas de escrutinio de mesa, una vez finalizada la jornada electoral y hasta el día siguiente.  </w:t>
            </w:r>
          </w:p>
        </w:tc>
        <w:tc>
          <w:tcPr>
            <w:tcW w:w="3798" w:type="dxa"/>
            <w:tcBorders>
              <w:top w:val="nil"/>
              <w:left w:val="nil"/>
              <w:bottom w:val="nil"/>
              <w:right w:val="single" w:sz="4" w:space="0" w:color="000000"/>
            </w:tcBorders>
            <w:shd w:val="clear" w:color="000000" w:fill="FFFFFF"/>
            <w:hideMark/>
          </w:tcPr>
          <w:p w14:paraId="30CED3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173.- Entrega de resultados preliminares. </w:t>
            </w:r>
            <w:r w:rsidRPr="00222F34">
              <w:rPr>
                <w:rFonts w:ascii="Calibri" w:eastAsia="Times New Roman" w:hAnsi="Calibri" w:cs="Calibri"/>
                <w:color w:val="000000"/>
                <w:lang w:val="es-CO" w:eastAsia="es-CO" w:bidi="ar-SA"/>
              </w:rPr>
              <w:t>La Registraduría Nacional del Estado Civil dispondrá los recursos necesarios para garantizar la entrega, a más tardar al día siguiente de las votaciones, de los datos derivados del sistema de preconteo. De igual manera, la Registraduría Nacional del Estado Civil tendrá la obligación de publicar por su página web oficial las actas de escrutinio de mesa, una vez finalizada la jornada electoral y hasta el día siguiente.</w:t>
            </w:r>
          </w:p>
        </w:tc>
        <w:tc>
          <w:tcPr>
            <w:tcW w:w="3798" w:type="dxa"/>
            <w:tcBorders>
              <w:top w:val="nil"/>
              <w:left w:val="nil"/>
              <w:bottom w:val="nil"/>
              <w:right w:val="single" w:sz="4" w:space="0" w:color="000000"/>
            </w:tcBorders>
            <w:shd w:val="clear" w:color="000000" w:fill="FFFFFF"/>
            <w:hideMark/>
          </w:tcPr>
          <w:p w14:paraId="098781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173.- Entrega de resultados preliminares. </w:t>
            </w:r>
            <w:r w:rsidRPr="00222F34">
              <w:rPr>
                <w:rFonts w:ascii="Calibri" w:eastAsia="Times New Roman" w:hAnsi="Calibri" w:cs="Calibri"/>
                <w:color w:val="000000"/>
                <w:lang w:val="es-CO" w:eastAsia="es-CO" w:bidi="ar-SA"/>
              </w:rPr>
              <w:t>La Registraduría Nacional del Estado Civil dispondrá los recursos necesarios para garantizar la entrega, a más tardar al día siguiente de las votaciones, de los datos derivados del sistema de preconteo. De igual manera, la Registraduría Nacional del Estado Civil tendrá la obligación de publicar por su página web oficial las actas de escrutinio de mesa, una vez finalizada la jornada electoral y hasta el día siguiente.</w:t>
            </w:r>
          </w:p>
        </w:tc>
        <w:tc>
          <w:tcPr>
            <w:tcW w:w="1480" w:type="dxa"/>
            <w:tcBorders>
              <w:top w:val="nil"/>
              <w:left w:val="nil"/>
              <w:bottom w:val="nil"/>
              <w:right w:val="single" w:sz="4" w:space="0" w:color="000000"/>
            </w:tcBorders>
            <w:shd w:val="clear" w:color="000000" w:fill="FFFFFF"/>
            <w:hideMark/>
          </w:tcPr>
          <w:p w14:paraId="2E6D6E57" w14:textId="685055D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4C34D902"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1930D4E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habilitará un canal especial o un repositorio de datos para que los auditores de los partidos y movimientos políticos, grupos significativos de ciudadanos, comités promotores del voto en blanco y de las diferentes opciones en los mecanismos de </w:t>
            </w:r>
            <w:r w:rsidRPr="00222F34">
              <w:rPr>
                <w:rFonts w:ascii="Calibri" w:eastAsia="Times New Roman" w:hAnsi="Calibri" w:cs="Calibri"/>
                <w:color w:val="000000"/>
                <w:lang w:val="es-CO" w:eastAsia="es-CO" w:bidi="ar-SA"/>
              </w:rPr>
              <w:lastRenderedPageBreak/>
              <w:t xml:space="preserve">participación ciudadana puedan acceder al archivo plano o en formato de datos abiertos a los resultados parciales y finales del preconteo, con el informe de las mesas no transmitidas. </w:t>
            </w:r>
          </w:p>
        </w:tc>
        <w:tc>
          <w:tcPr>
            <w:tcW w:w="3798" w:type="dxa"/>
            <w:tcBorders>
              <w:top w:val="nil"/>
              <w:left w:val="nil"/>
              <w:bottom w:val="single" w:sz="4" w:space="0" w:color="000000"/>
              <w:right w:val="single" w:sz="4" w:space="0" w:color="000000"/>
            </w:tcBorders>
            <w:shd w:val="clear" w:color="000000" w:fill="FFFFFF"/>
            <w:hideMark/>
          </w:tcPr>
          <w:p w14:paraId="016506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La Registraduría Nacional del Estado Civil habilitará un canal especial o un repositorio de datos para que los auditores de los partidos y movimientos políticos, grupos significativos de ciudadanos, comités promotores del voto en blanco y de las diferentes opciones en los mecanismos de </w:t>
            </w:r>
            <w:r w:rsidRPr="00222F34">
              <w:rPr>
                <w:rFonts w:ascii="Calibri" w:eastAsia="Times New Roman" w:hAnsi="Calibri" w:cs="Calibri"/>
                <w:color w:val="000000"/>
                <w:lang w:val="es-CO" w:eastAsia="es-CO" w:bidi="ar-SA"/>
              </w:rPr>
              <w:lastRenderedPageBreak/>
              <w:t>participación ciudadana puedan acceder al archivo plano o en formato de datos abiertos a los resultados parciales y finales del preconteo, con el informe de las mesas no transmitidas.</w:t>
            </w:r>
          </w:p>
        </w:tc>
        <w:tc>
          <w:tcPr>
            <w:tcW w:w="3798" w:type="dxa"/>
            <w:tcBorders>
              <w:top w:val="nil"/>
              <w:left w:val="nil"/>
              <w:bottom w:val="single" w:sz="4" w:space="0" w:color="000000"/>
              <w:right w:val="single" w:sz="4" w:space="0" w:color="000000"/>
            </w:tcBorders>
            <w:shd w:val="clear" w:color="000000" w:fill="FFFFFF"/>
            <w:hideMark/>
          </w:tcPr>
          <w:p w14:paraId="1BB263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La Registraduría Nacional del Estado Civil habilitará un canal especial o un repositorio de datos para que los auditores de los partidos y movimientos políticos, grupos significativos de ciudadanos, comités promotores del voto en blanco y de las diferentes opciones en los mecanismos de </w:t>
            </w:r>
            <w:r w:rsidRPr="00222F34">
              <w:rPr>
                <w:rFonts w:ascii="Calibri" w:eastAsia="Times New Roman" w:hAnsi="Calibri" w:cs="Calibri"/>
                <w:color w:val="000000"/>
                <w:lang w:val="es-CO" w:eastAsia="es-CO" w:bidi="ar-SA"/>
              </w:rPr>
              <w:lastRenderedPageBreak/>
              <w:t>participación ciudadana puedan acceder al archivo plano o en formato de datos abiertos a los resultados parciales y finales del preconteo, con el informe de las mesas no transmitidas.</w:t>
            </w:r>
          </w:p>
        </w:tc>
        <w:tc>
          <w:tcPr>
            <w:tcW w:w="1480" w:type="dxa"/>
            <w:tcBorders>
              <w:top w:val="nil"/>
              <w:left w:val="nil"/>
              <w:bottom w:val="nil"/>
              <w:right w:val="single" w:sz="4" w:space="0" w:color="000000"/>
            </w:tcBorders>
            <w:shd w:val="clear" w:color="000000" w:fill="FFFFFF"/>
            <w:hideMark/>
          </w:tcPr>
          <w:p w14:paraId="25AF2B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56635A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27602E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CAPÍTULO II</w:t>
            </w:r>
          </w:p>
        </w:tc>
        <w:tc>
          <w:tcPr>
            <w:tcW w:w="3798" w:type="dxa"/>
            <w:tcBorders>
              <w:top w:val="nil"/>
              <w:left w:val="nil"/>
              <w:bottom w:val="nil"/>
              <w:right w:val="single" w:sz="4" w:space="0" w:color="000000"/>
            </w:tcBorders>
            <w:shd w:val="clear" w:color="000000" w:fill="FFFFFF"/>
            <w:hideMark/>
          </w:tcPr>
          <w:p w14:paraId="2458FEC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0532E30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single" w:sz="4" w:space="0" w:color="000000"/>
              <w:left w:val="nil"/>
              <w:bottom w:val="nil"/>
              <w:right w:val="single" w:sz="4" w:space="0" w:color="000000"/>
            </w:tcBorders>
            <w:shd w:val="clear" w:color="000000" w:fill="FFFFFF"/>
            <w:hideMark/>
          </w:tcPr>
          <w:p w14:paraId="0C3B2E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87815BA"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4D253D4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Ámbito de aplicación y definiciones asociadas a los escrutinios</w:t>
            </w:r>
          </w:p>
        </w:tc>
        <w:tc>
          <w:tcPr>
            <w:tcW w:w="3798" w:type="dxa"/>
            <w:tcBorders>
              <w:top w:val="nil"/>
              <w:left w:val="nil"/>
              <w:bottom w:val="single" w:sz="4" w:space="0" w:color="000000"/>
              <w:right w:val="single" w:sz="4" w:space="0" w:color="000000"/>
            </w:tcBorders>
            <w:shd w:val="clear" w:color="000000" w:fill="FFFFFF"/>
            <w:hideMark/>
          </w:tcPr>
          <w:p w14:paraId="28ADB9E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Ámbito de aplicación y definiciones asociadas a los escrutinios</w:t>
            </w:r>
          </w:p>
        </w:tc>
        <w:tc>
          <w:tcPr>
            <w:tcW w:w="3798" w:type="dxa"/>
            <w:tcBorders>
              <w:top w:val="nil"/>
              <w:left w:val="nil"/>
              <w:bottom w:val="single" w:sz="4" w:space="0" w:color="000000"/>
              <w:right w:val="single" w:sz="4" w:space="0" w:color="000000"/>
            </w:tcBorders>
            <w:shd w:val="clear" w:color="000000" w:fill="FFFFFF"/>
            <w:hideMark/>
          </w:tcPr>
          <w:p w14:paraId="2BC24B6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Ámbito de aplicación y definiciones asociadas a los escrutinios</w:t>
            </w:r>
          </w:p>
        </w:tc>
        <w:tc>
          <w:tcPr>
            <w:tcW w:w="1480" w:type="dxa"/>
            <w:tcBorders>
              <w:top w:val="nil"/>
              <w:left w:val="nil"/>
              <w:bottom w:val="single" w:sz="4" w:space="0" w:color="000000"/>
              <w:right w:val="single" w:sz="4" w:space="0" w:color="000000"/>
            </w:tcBorders>
            <w:shd w:val="clear" w:color="000000" w:fill="FFFFFF"/>
            <w:noWrap/>
            <w:vAlign w:val="bottom"/>
            <w:hideMark/>
          </w:tcPr>
          <w:p w14:paraId="57D2AE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0C435A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1E668A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170.- Definición y finalidad del escrutinio.</w:t>
            </w:r>
            <w:r w:rsidRPr="00222F34">
              <w:rPr>
                <w:rFonts w:ascii="Calibri" w:eastAsia="Times New Roman" w:hAnsi="Calibri" w:cs="Calibri"/>
                <w:color w:val="000000"/>
                <w:lang w:val="es-CO" w:eastAsia="es-CO" w:bidi="ar-SA"/>
              </w:rPr>
              <w:t xml:space="preserve"> El escrutinio es la función pública bajo la supervisión del Consejo Nacional Electoral, mediante la cual se verifican y se consolidan los resultados de las votaciones. Consiste en el conteo y consolidación de los votos válidos depositados para cada candidato, lista de candidatos, votos en blanco, votos nulos y opciones en mecanismos de participación ciudadana. </w:t>
            </w:r>
          </w:p>
        </w:tc>
        <w:tc>
          <w:tcPr>
            <w:tcW w:w="3798" w:type="dxa"/>
            <w:tcBorders>
              <w:top w:val="nil"/>
              <w:left w:val="nil"/>
              <w:bottom w:val="nil"/>
              <w:right w:val="single" w:sz="4" w:space="0" w:color="000000"/>
            </w:tcBorders>
            <w:shd w:val="clear" w:color="000000" w:fill="FFFFFF"/>
            <w:hideMark/>
          </w:tcPr>
          <w:p w14:paraId="3F4967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174.- Definición y finalidad del escrutinio.</w:t>
            </w:r>
            <w:r w:rsidRPr="00222F34">
              <w:rPr>
                <w:rFonts w:ascii="Calibri" w:eastAsia="Times New Roman" w:hAnsi="Calibri" w:cs="Calibri"/>
                <w:color w:val="000000"/>
                <w:lang w:val="es-CO" w:eastAsia="es-CO" w:bidi="ar-SA"/>
              </w:rPr>
              <w:t xml:space="preserve"> El escrutinio es la función pública bajo la supervisión del Consejo Nacional Electoral, mediante la cual se verifican y se consolidan los resultados de las votaciones. Consiste en el conteo y consolidación de los votos válidos depositados para cada candidato, lista de candidatos, votos en blanco, votos nulos y opciones en mecanismos de participación ciudadana.</w:t>
            </w:r>
          </w:p>
        </w:tc>
        <w:tc>
          <w:tcPr>
            <w:tcW w:w="3798" w:type="dxa"/>
            <w:tcBorders>
              <w:top w:val="nil"/>
              <w:left w:val="nil"/>
              <w:bottom w:val="nil"/>
              <w:right w:val="single" w:sz="4" w:space="0" w:color="000000"/>
            </w:tcBorders>
            <w:shd w:val="clear" w:color="000000" w:fill="FFFFFF"/>
            <w:hideMark/>
          </w:tcPr>
          <w:p w14:paraId="7E0AA5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174.- Definición y finalidad del escrutinio.</w:t>
            </w:r>
            <w:r w:rsidRPr="00222F34">
              <w:rPr>
                <w:rFonts w:ascii="Calibri" w:eastAsia="Times New Roman" w:hAnsi="Calibri" w:cs="Calibri"/>
                <w:color w:val="000000"/>
                <w:lang w:val="es-CO" w:eastAsia="es-CO" w:bidi="ar-SA"/>
              </w:rPr>
              <w:t xml:space="preserve"> El escrutinio es la función pública bajo la supervisión del Consejo Nacional Electoral, mediante la cual se verifican y se consolidan los resultados de las votaciones. Consiste en el conteo y consolidación de los votos válidos depositados para cada candidato, lista de candidatos, votos en blanco, votos nulos y opciones en mecanismos de participación ciudadana.</w:t>
            </w:r>
          </w:p>
        </w:tc>
        <w:tc>
          <w:tcPr>
            <w:tcW w:w="1480" w:type="dxa"/>
            <w:tcBorders>
              <w:top w:val="nil"/>
              <w:left w:val="nil"/>
              <w:bottom w:val="nil"/>
              <w:right w:val="single" w:sz="4" w:space="0" w:color="000000"/>
            </w:tcBorders>
            <w:shd w:val="clear" w:color="000000" w:fill="FFFFFF"/>
            <w:hideMark/>
          </w:tcPr>
          <w:p w14:paraId="797D8E2C" w14:textId="54C8EA1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818F174"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24C2C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Estará organizado por un sistema escalonado de etapas preclusivas desde los jurados de votación hasta el Consejo Nacional Electoral, para garantizar la verdad electoral, el derecho de defensa, al debido proceso y contradicción. No podrán presentarse ante una comisión escrutadora reclamaciones o recursos que debieron haber sido tramitadas en una etapa anterior, de conformidad con </w:t>
            </w:r>
            <w:r w:rsidRPr="00222F34">
              <w:rPr>
                <w:rFonts w:ascii="Calibri" w:eastAsia="Times New Roman" w:hAnsi="Calibri" w:cs="Calibri"/>
                <w:color w:val="000000"/>
                <w:lang w:val="es-CO" w:eastAsia="es-CO" w:bidi="ar-SA"/>
              </w:rPr>
              <w:lastRenderedPageBreak/>
              <w:t xml:space="preserve">lo previsto en este Código para los escrutinios de mesa y de comisiones. </w:t>
            </w:r>
          </w:p>
        </w:tc>
        <w:tc>
          <w:tcPr>
            <w:tcW w:w="3798" w:type="dxa"/>
            <w:tcBorders>
              <w:top w:val="nil"/>
              <w:left w:val="nil"/>
              <w:bottom w:val="single" w:sz="4" w:space="0" w:color="000000"/>
              <w:right w:val="single" w:sz="4" w:space="0" w:color="000000"/>
            </w:tcBorders>
            <w:shd w:val="clear" w:color="000000" w:fill="FFFFFF"/>
            <w:hideMark/>
          </w:tcPr>
          <w:p w14:paraId="1F4A7D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Estará organizado por un sistema escalonado de etapas preclusivas desde los jurados de votación hasta el Consejo Nacional Electoral, para garantizar la verdad electoral, el derecho de defensa, al debido proceso y contradicción. No podrán presentarse ante una comisión escrutadora reclamaciones o recursos que debieron haber sido tramitadas en una etapa anterior, de conformidad con </w:t>
            </w:r>
            <w:r w:rsidRPr="00222F34">
              <w:rPr>
                <w:rFonts w:ascii="Calibri" w:eastAsia="Times New Roman" w:hAnsi="Calibri" w:cs="Calibri"/>
                <w:color w:val="000000"/>
                <w:lang w:val="es-CO" w:eastAsia="es-CO" w:bidi="ar-SA"/>
              </w:rPr>
              <w:lastRenderedPageBreak/>
              <w:t>lo previsto en este Código para los escrutinios de mesa y de comisiones.</w:t>
            </w:r>
          </w:p>
        </w:tc>
        <w:tc>
          <w:tcPr>
            <w:tcW w:w="3798" w:type="dxa"/>
            <w:tcBorders>
              <w:top w:val="nil"/>
              <w:left w:val="nil"/>
              <w:bottom w:val="single" w:sz="4" w:space="0" w:color="000000"/>
              <w:right w:val="single" w:sz="4" w:space="0" w:color="000000"/>
            </w:tcBorders>
            <w:shd w:val="clear" w:color="000000" w:fill="FFFFFF"/>
            <w:hideMark/>
          </w:tcPr>
          <w:p w14:paraId="07BD60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Estará organizado por un sistema escalonado de etapas preclusivas desde los jurados de votación hasta el Consejo Nacional Electoral, para garantizar la verdad electoral, el derecho de defensa, al debido proceso y contradicción. No podrán presentarse ante una comisión escrutadora reclamaciones o recursos que debieron haber sido tramitadas en una etapa anterior, de conformidad con </w:t>
            </w:r>
            <w:r w:rsidRPr="00222F34">
              <w:rPr>
                <w:rFonts w:ascii="Calibri" w:eastAsia="Times New Roman" w:hAnsi="Calibri" w:cs="Calibri"/>
                <w:color w:val="000000"/>
                <w:lang w:val="es-CO" w:eastAsia="es-CO" w:bidi="ar-SA"/>
              </w:rPr>
              <w:lastRenderedPageBreak/>
              <w:t>lo previsto en este Código para los escrutinios de mesa y de comisiones.</w:t>
            </w:r>
          </w:p>
        </w:tc>
        <w:tc>
          <w:tcPr>
            <w:tcW w:w="1480" w:type="dxa"/>
            <w:tcBorders>
              <w:top w:val="nil"/>
              <w:left w:val="nil"/>
              <w:bottom w:val="nil"/>
              <w:right w:val="single" w:sz="4" w:space="0" w:color="000000"/>
            </w:tcBorders>
            <w:shd w:val="clear" w:color="000000" w:fill="FFFFFF"/>
            <w:hideMark/>
          </w:tcPr>
          <w:p w14:paraId="0733C4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55C5DB0"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1FF3DD4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171.- De los acuerdos.</w:t>
            </w:r>
            <w:r w:rsidRPr="00222F34">
              <w:rPr>
                <w:rFonts w:ascii="Calibri" w:eastAsia="Times New Roman" w:hAnsi="Calibri" w:cs="Calibri"/>
                <w:color w:val="000000"/>
                <w:lang w:val="es-CO" w:eastAsia="es-CO" w:bidi="ar-SA"/>
              </w:rPr>
              <w:t xml:space="preserve"> 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 </w:t>
            </w:r>
          </w:p>
        </w:tc>
        <w:tc>
          <w:tcPr>
            <w:tcW w:w="3798" w:type="dxa"/>
            <w:tcBorders>
              <w:top w:val="nil"/>
              <w:left w:val="nil"/>
              <w:bottom w:val="nil"/>
              <w:right w:val="single" w:sz="4" w:space="0" w:color="000000"/>
            </w:tcBorders>
            <w:shd w:val="clear" w:color="000000" w:fill="FFFFFF"/>
            <w:hideMark/>
          </w:tcPr>
          <w:p w14:paraId="697D13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175.- De los acuerdos. </w:t>
            </w:r>
            <w:r w:rsidRPr="00222F34">
              <w:rPr>
                <w:rFonts w:ascii="Calibri" w:eastAsia="Times New Roman" w:hAnsi="Calibri" w:cs="Calibri"/>
                <w:color w:val="000000"/>
                <w:lang w:val="es-CO" w:eastAsia="es-CO" w:bidi="ar-SA"/>
              </w:rPr>
              <w:t>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w:t>
            </w:r>
          </w:p>
        </w:tc>
        <w:tc>
          <w:tcPr>
            <w:tcW w:w="3798" w:type="dxa"/>
            <w:tcBorders>
              <w:top w:val="nil"/>
              <w:left w:val="nil"/>
              <w:bottom w:val="nil"/>
              <w:right w:val="single" w:sz="4" w:space="0" w:color="000000"/>
            </w:tcBorders>
            <w:shd w:val="clear" w:color="000000" w:fill="FFFFFF"/>
            <w:hideMark/>
          </w:tcPr>
          <w:p w14:paraId="7E6DC1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175.- De los acuerdos. </w:t>
            </w:r>
            <w:r w:rsidRPr="00222F34">
              <w:rPr>
                <w:rFonts w:ascii="Calibri" w:eastAsia="Times New Roman" w:hAnsi="Calibri" w:cs="Calibri"/>
                <w:color w:val="000000"/>
                <w:lang w:val="es-CO" w:eastAsia="es-CO" w:bidi="ar-SA"/>
              </w:rPr>
              <w:t>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w:t>
            </w:r>
          </w:p>
        </w:tc>
        <w:tc>
          <w:tcPr>
            <w:tcW w:w="1480" w:type="dxa"/>
            <w:tcBorders>
              <w:top w:val="single" w:sz="4" w:space="0" w:color="000000"/>
              <w:left w:val="nil"/>
              <w:bottom w:val="nil"/>
              <w:right w:val="single" w:sz="4" w:space="0" w:color="000000"/>
            </w:tcBorders>
            <w:shd w:val="clear" w:color="000000" w:fill="FFFFFF"/>
            <w:hideMark/>
          </w:tcPr>
          <w:p w14:paraId="539E2774" w14:textId="4D865C0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C78414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3830C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antes de resolver en ejercicio de dicha atribución, podrá solicitar de urgencia al funcionario correspondiente la prueba documental pública que se requiera en garantía de los principios del derecho electoral. </w:t>
            </w:r>
          </w:p>
        </w:tc>
        <w:tc>
          <w:tcPr>
            <w:tcW w:w="3798" w:type="dxa"/>
            <w:tcBorders>
              <w:top w:val="nil"/>
              <w:left w:val="nil"/>
              <w:bottom w:val="nil"/>
              <w:right w:val="single" w:sz="4" w:space="0" w:color="000000"/>
            </w:tcBorders>
            <w:shd w:val="clear" w:color="000000" w:fill="FFFFFF"/>
            <w:hideMark/>
          </w:tcPr>
          <w:p w14:paraId="05926C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antes de resolver en ejercicio de dicha atribución, podrá solicitar de urgencia al funcionario correspondiente la prueba documental pública que se requiera en garantía de los principios del derecho electoral.</w:t>
            </w:r>
          </w:p>
        </w:tc>
        <w:tc>
          <w:tcPr>
            <w:tcW w:w="3798" w:type="dxa"/>
            <w:tcBorders>
              <w:top w:val="nil"/>
              <w:left w:val="nil"/>
              <w:bottom w:val="nil"/>
              <w:right w:val="single" w:sz="4" w:space="0" w:color="000000"/>
            </w:tcBorders>
            <w:shd w:val="clear" w:color="000000" w:fill="FFFFFF"/>
            <w:hideMark/>
          </w:tcPr>
          <w:p w14:paraId="5D5F3D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antes de resolver en ejercicio de dicha atribución, podrá solicitar de urgencia al funcionario correspondiente la prueba documental pública que se requiera en garantía de los principios del derecho electoral.</w:t>
            </w:r>
          </w:p>
        </w:tc>
        <w:tc>
          <w:tcPr>
            <w:tcW w:w="1480" w:type="dxa"/>
            <w:tcBorders>
              <w:top w:val="nil"/>
              <w:left w:val="nil"/>
              <w:bottom w:val="nil"/>
              <w:right w:val="single" w:sz="4" w:space="0" w:color="000000"/>
            </w:tcBorders>
            <w:shd w:val="clear" w:color="000000" w:fill="FFFFFF"/>
            <w:hideMark/>
          </w:tcPr>
          <w:p w14:paraId="29BAC0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63C248B"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2C6CF2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 </w:t>
            </w:r>
          </w:p>
        </w:tc>
        <w:tc>
          <w:tcPr>
            <w:tcW w:w="3798" w:type="dxa"/>
            <w:tcBorders>
              <w:top w:val="nil"/>
              <w:left w:val="nil"/>
              <w:bottom w:val="single" w:sz="4" w:space="0" w:color="000000"/>
              <w:right w:val="single" w:sz="4" w:space="0" w:color="000000"/>
            </w:tcBorders>
            <w:shd w:val="clear" w:color="000000" w:fill="FFFFFF"/>
            <w:hideMark/>
          </w:tcPr>
          <w:p w14:paraId="6AA1AF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w:t>
            </w:r>
          </w:p>
        </w:tc>
        <w:tc>
          <w:tcPr>
            <w:tcW w:w="3798" w:type="dxa"/>
            <w:tcBorders>
              <w:top w:val="nil"/>
              <w:left w:val="nil"/>
              <w:bottom w:val="single" w:sz="4" w:space="0" w:color="000000"/>
              <w:right w:val="single" w:sz="4" w:space="0" w:color="000000"/>
            </w:tcBorders>
            <w:shd w:val="clear" w:color="000000" w:fill="FFFFFF"/>
            <w:hideMark/>
          </w:tcPr>
          <w:p w14:paraId="57DEC4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w:t>
            </w:r>
          </w:p>
        </w:tc>
        <w:tc>
          <w:tcPr>
            <w:tcW w:w="1480" w:type="dxa"/>
            <w:tcBorders>
              <w:top w:val="nil"/>
              <w:left w:val="nil"/>
              <w:bottom w:val="nil"/>
              <w:right w:val="single" w:sz="4" w:space="0" w:color="000000"/>
            </w:tcBorders>
            <w:shd w:val="clear" w:color="000000" w:fill="FFFFFF"/>
            <w:hideMark/>
          </w:tcPr>
          <w:p w14:paraId="1827B4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52336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C52C20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172.- Documentos electorales.</w:t>
            </w:r>
            <w:r w:rsidRPr="00222F34">
              <w:rPr>
                <w:rFonts w:ascii="Calibri" w:eastAsia="Times New Roman" w:hAnsi="Calibri" w:cs="Calibri"/>
                <w:color w:val="000000"/>
                <w:lang w:val="es-CO" w:eastAsia="es-CO" w:bidi="ar-SA"/>
              </w:rPr>
              <w:t xml:space="preserve"> 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 </w:t>
            </w:r>
          </w:p>
        </w:tc>
        <w:tc>
          <w:tcPr>
            <w:tcW w:w="3798" w:type="dxa"/>
            <w:tcBorders>
              <w:top w:val="nil"/>
              <w:left w:val="nil"/>
              <w:bottom w:val="nil"/>
              <w:right w:val="single" w:sz="4" w:space="0" w:color="000000"/>
            </w:tcBorders>
            <w:shd w:val="clear" w:color="000000" w:fill="FFFFFF"/>
            <w:hideMark/>
          </w:tcPr>
          <w:p w14:paraId="5DEAAF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176.- Documentos electorales</w:t>
            </w:r>
            <w:r w:rsidRPr="00222F34">
              <w:rPr>
                <w:rFonts w:ascii="Calibri" w:eastAsia="Times New Roman" w:hAnsi="Calibri" w:cs="Calibri"/>
                <w:color w:val="000000"/>
                <w:lang w:val="es-CO" w:eastAsia="es-CO" w:bidi="ar-SA"/>
              </w:rPr>
              <w:t>. 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p>
        </w:tc>
        <w:tc>
          <w:tcPr>
            <w:tcW w:w="3798" w:type="dxa"/>
            <w:tcBorders>
              <w:top w:val="nil"/>
              <w:left w:val="nil"/>
              <w:bottom w:val="nil"/>
              <w:right w:val="single" w:sz="4" w:space="0" w:color="000000"/>
            </w:tcBorders>
            <w:shd w:val="clear" w:color="000000" w:fill="FFFFFF"/>
            <w:hideMark/>
          </w:tcPr>
          <w:p w14:paraId="0F58F8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176.- Documentos electorales</w:t>
            </w:r>
            <w:r w:rsidRPr="00222F34">
              <w:rPr>
                <w:rFonts w:ascii="Calibri" w:eastAsia="Times New Roman" w:hAnsi="Calibri" w:cs="Calibri"/>
                <w:color w:val="000000"/>
                <w:lang w:val="es-CO" w:eastAsia="es-CO" w:bidi="ar-SA"/>
              </w:rPr>
              <w:t>. 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p>
        </w:tc>
        <w:tc>
          <w:tcPr>
            <w:tcW w:w="1480" w:type="dxa"/>
            <w:tcBorders>
              <w:top w:val="single" w:sz="4" w:space="0" w:color="000000"/>
              <w:left w:val="nil"/>
              <w:bottom w:val="nil"/>
              <w:right w:val="single" w:sz="4" w:space="0" w:color="000000"/>
            </w:tcBorders>
            <w:shd w:val="clear" w:color="000000" w:fill="FFFFFF"/>
            <w:hideMark/>
          </w:tcPr>
          <w:p w14:paraId="634EF678" w14:textId="433EE36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06AD16C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78BFA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 </w:t>
            </w:r>
          </w:p>
        </w:tc>
        <w:tc>
          <w:tcPr>
            <w:tcW w:w="3798" w:type="dxa"/>
            <w:tcBorders>
              <w:top w:val="nil"/>
              <w:left w:val="nil"/>
              <w:bottom w:val="nil"/>
              <w:right w:val="single" w:sz="4" w:space="0" w:color="000000"/>
            </w:tcBorders>
            <w:shd w:val="clear" w:color="000000" w:fill="FFFFFF"/>
            <w:hideMark/>
          </w:tcPr>
          <w:p w14:paraId="3028E2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w:t>
            </w:r>
          </w:p>
        </w:tc>
        <w:tc>
          <w:tcPr>
            <w:tcW w:w="3798" w:type="dxa"/>
            <w:tcBorders>
              <w:top w:val="nil"/>
              <w:left w:val="nil"/>
              <w:bottom w:val="nil"/>
              <w:right w:val="single" w:sz="4" w:space="0" w:color="000000"/>
            </w:tcBorders>
            <w:shd w:val="clear" w:color="000000" w:fill="FFFFFF"/>
            <w:hideMark/>
          </w:tcPr>
          <w:p w14:paraId="2B73F4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w:t>
            </w:r>
          </w:p>
        </w:tc>
        <w:tc>
          <w:tcPr>
            <w:tcW w:w="1480" w:type="dxa"/>
            <w:tcBorders>
              <w:top w:val="nil"/>
              <w:left w:val="nil"/>
              <w:bottom w:val="nil"/>
              <w:right w:val="single" w:sz="4" w:space="0" w:color="000000"/>
            </w:tcBorders>
            <w:shd w:val="clear" w:color="000000" w:fill="FFFFFF"/>
            <w:hideMark/>
          </w:tcPr>
          <w:p w14:paraId="1A81F5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714C05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94F3E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 </w:t>
            </w:r>
          </w:p>
        </w:tc>
        <w:tc>
          <w:tcPr>
            <w:tcW w:w="3798" w:type="dxa"/>
            <w:tcBorders>
              <w:top w:val="nil"/>
              <w:left w:val="nil"/>
              <w:bottom w:val="nil"/>
              <w:right w:val="single" w:sz="4" w:space="0" w:color="000000"/>
            </w:tcBorders>
            <w:shd w:val="clear" w:color="000000" w:fill="FFFFFF"/>
            <w:hideMark/>
          </w:tcPr>
          <w:p w14:paraId="300DA6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w:t>
            </w:r>
          </w:p>
        </w:tc>
        <w:tc>
          <w:tcPr>
            <w:tcW w:w="3798" w:type="dxa"/>
            <w:tcBorders>
              <w:top w:val="nil"/>
              <w:left w:val="nil"/>
              <w:bottom w:val="nil"/>
              <w:right w:val="single" w:sz="4" w:space="0" w:color="000000"/>
            </w:tcBorders>
            <w:shd w:val="clear" w:color="000000" w:fill="FFFFFF"/>
            <w:hideMark/>
          </w:tcPr>
          <w:p w14:paraId="16B9C5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w:t>
            </w:r>
          </w:p>
        </w:tc>
        <w:tc>
          <w:tcPr>
            <w:tcW w:w="1480" w:type="dxa"/>
            <w:tcBorders>
              <w:top w:val="nil"/>
              <w:left w:val="nil"/>
              <w:bottom w:val="nil"/>
              <w:right w:val="single" w:sz="4" w:space="0" w:color="000000"/>
            </w:tcBorders>
            <w:shd w:val="clear" w:color="000000" w:fill="FFFFFF"/>
            <w:hideMark/>
          </w:tcPr>
          <w:p w14:paraId="6FD059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C89A91A" w14:textId="77777777" w:rsidTr="00222F34">
        <w:trPr>
          <w:trHeight w:val="4500"/>
        </w:trPr>
        <w:tc>
          <w:tcPr>
            <w:tcW w:w="3798" w:type="dxa"/>
            <w:tcBorders>
              <w:top w:val="nil"/>
              <w:left w:val="single" w:sz="4" w:space="0" w:color="000000"/>
              <w:bottom w:val="nil"/>
              <w:right w:val="single" w:sz="4" w:space="0" w:color="000000"/>
            </w:tcBorders>
            <w:shd w:val="clear" w:color="000000" w:fill="FFFFFF"/>
            <w:hideMark/>
          </w:tcPr>
          <w:p w14:paraId="62248F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Son documentos electorales, entre otros, las tarjetas electorales; las listas de sufragantes;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w:t>
            </w:r>
            <w:r w:rsidRPr="00222F34">
              <w:rPr>
                <w:rFonts w:ascii="Calibri" w:eastAsia="Times New Roman" w:hAnsi="Calibri" w:cs="Calibri"/>
                <w:color w:val="000000"/>
                <w:lang w:val="es-CO" w:eastAsia="es-CO" w:bidi="ar-SA"/>
              </w:rPr>
              <w:lastRenderedPageBreak/>
              <w:t xml:space="preserve">documentos del depósito seguro; la resolución que reemplaza la comisión escrutadora; los resultados mesa a mesa de cada nivel de escrutinios; el acta parcial de escrutinio de cada nivel de escrutinios; el acta general de escrutinio; los log del software de escrutinios y los actos administrativos que resuelvan reclamaciones, recursos de apelación o solicitudes de saneamiento de nulidad electoral y en general, todos los documentos que se generen con ocasión del proceso de escrutinios con fines probatorios.  </w:t>
            </w:r>
          </w:p>
        </w:tc>
        <w:tc>
          <w:tcPr>
            <w:tcW w:w="3798" w:type="dxa"/>
            <w:tcBorders>
              <w:top w:val="nil"/>
              <w:left w:val="nil"/>
              <w:bottom w:val="nil"/>
              <w:right w:val="single" w:sz="4" w:space="0" w:color="000000"/>
            </w:tcBorders>
            <w:shd w:val="clear" w:color="000000" w:fill="FFFFFF"/>
            <w:hideMark/>
          </w:tcPr>
          <w:p w14:paraId="2FA0C6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Son documentos electorales, entre otros, las tarjetas electorales; las listas de sufragantes;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w:t>
            </w:r>
            <w:r w:rsidRPr="00222F34">
              <w:rPr>
                <w:rFonts w:ascii="Calibri" w:eastAsia="Times New Roman" w:hAnsi="Calibri" w:cs="Calibri"/>
                <w:color w:val="000000"/>
                <w:lang w:val="es-CO" w:eastAsia="es-CO" w:bidi="ar-SA"/>
              </w:rPr>
              <w:lastRenderedPageBreak/>
              <w:t>documentos del depósito seguro; la resolución que reemplaza la comisión escrutadora; los resultados mesa a mesa de cada nivel de escrutinios; el acta parcial de escrutinio de cada nivel de escrutinios; el acta general de escrutinio; los diferentes tipos de logs de la totalidad del software de escrutinios y los actos administrativos que resuelvan reclamaciones, recursos de apelación o solicitudes de saneamiento de nulidad electoral y en general, todos los documentos que se generen con ocasión del proceso de escrutinios con fines probatorios.</w:t>
            </w:r>
          </w:p>
        </w:tc>
        <w:tc>
          <w:tcPr>
            <w:tcW w:w="3798" w:type="dxa"/>
            <w:tcBorders>
              <w:top w:val="nil"/>
              <w:left w:val="nil"/>
              <w:bottom w:val="nil"/>
              <w:right w:val="single" w:sz="4" w:space="0" w:color="000000"/>
            </w:tcBorders>
            <w:shd w:val="clear" w:color="000000" w:fill="FFFFFF"/>
            <w:hideMark/>
          </w:tcPr>
          <w:p w14:paraId="45F3FE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Son documentos electorales, entre otros, las tarjetas electorales; las listas de sufragantes;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w:t>
            </w:r>
            <w:r w:rsidRPr="00222F34">
              <w:rPr>
                <w:rFonts w:ascii="Calibri" w:eastAsia="Times New Roman" w:hAnsi="Calibri" w:cs="Calibri"/>
                <w:color w:val="000000"/>
                <w:lang w:val="es-CO" w:eastAsia="es-CO" w:bidi="ar-SA"/>
              </w:rPr>
              <w:lastRenderedPageBreak/>
              <w:t>documentos del depósito seguro; la resolución que reemplaza la comisión escrutadora; los resultados mesa a mesa de cada nivel de escrutinios; el acta parcial de escrutinio de cada nivel de escrutinios; el acta general de escrutinio; los diferentes tipos de logs de la totalidad del software de escrutinios y los actos administrativos que resuelvan reclamaciones, recursos de apelación o solicitudes de saneamiento de nulidad electoral y en general, todos los documentos que se generen con ocasión del proceso de escrutinios con fines probatorios.</w:t>
            </w:r>
          </w:p>
        </w:tc>
        <w:tc>
          <w:tcPr>
            <w:tcW w:w="1480" w:type="dxa"/>
            <w:tcBorders>
              <w:top w:val="nil"/>
              <w:left w:val="nil"/>
              <w:bottom w:val="nil"/>
              <w:right w:val="single" w:sz="4" w:space="0" w:color="000000"/>
            </w:tcBorders>
            <w:shd w:val="clear" w:color="000000" w:fill="FFFFFF"/>
            <w:hideMark/>
          </w:tcPr>
          <w:p w14:paraId="3C895B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A8A94B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82940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expedición de los documentos electorales, tanto físicos como electrónicos, deberá cumplir con los siguientes requisitos: </w:t>
            </w:r>
          </w:p>
        </w:tc>
        <w:tc>
          <w:tcPr>
            <w:tcW w:w="3798" w:type="dxa"/>
            <w:tcBorders>
              <w:top w:val="nil"/>
              <w:left w:val="nil"/>
              <w:bottom w:val="nil"/>
              <w:right w:val="single" w:sz="4" w:space="0" w:color="000000"/>
            </w:tcBorders>
            <w:shd w:val="clear" w:color="000000" w:fill="FFFFFF"/>
            <w:hideMark/>
          </w:tcPr>
          <w:p w14:paraId="71A904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expedición de los documentos electorales, tanto físicos como electrónicos, deberá cumplir con los siguientes requisitos:</w:t>
            </w:r>
          </w:p>
        </w:tc>
        <w:tc>
          <w:tcPr>
            <w:tcW w:w="3798" w:type="dxa"/>
            <w:tcBorders>
              <w:top w:val="nil"/>
              <w:left w:val="nil"/>
              <w:bottom w:val="nil"/>
              <w:right w:val="single" w:sz="4" w:space="0" w:color="000000"/>
            </w:tcBorders>
            <w:shd w:val="clear" w:color="000000" w:fill="FFFFFF"/>
            <w:hideMark/>
          </w:tcPr>
          <w:p w14:paraId="7C2E87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expedición de los documentos electorales, tanto físicos como electrónicos, deberá cumplir con los siguientes requisitos:</w:t>
            </w:r>
          </w:p>
        </w:tc>
        <w:tc>
          <w:tcPr>
            <w:tcW w:w="1480" w:type="dxa"/>
            <w:tcBorders>
              <w:top w:val="nil"/>
              <w:left w:val="nil"/>
              <w:bottom w:val="nil"/>
              <w:right w:val="single" w:sz="4" w:space="0" w:color="000000"/>
            </w:tcBorders>
            <w:shd w:val="clear" w:color="000000" w:fill="FFFFFF"/>
            <w:hideMark/>
          </w:tcPr>
          <w:p w14:paraId="201256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EB1914"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1776F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 </w:t>
            </w:r>
          </w:p>
        </w:tc>
        <w:tc>
          <w:tcPr>
            <w:tcW w:w="3798" w:type="dxa"/>
            <w:tcBorders>
              <w:top w:val="nil"/>
              <w:left w:val="nil"/>
              <w:bottom w:val="nil"/>
              <w:right w:val="single" w:sz="4" w:space="0" w:color="000000"/>
            </w:tcBorders>
            <w:shd w:val="clear" w:color="000000" w:fill="FFFFFF"/>
            <w:hideMark/>
          </w:tcPr>
          <w:p w14:paraId="4E00E8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w:t>
            </w:r>
          </w:p>
        </w:tc>
        <w:tc>
          <w:tcPr>
            <w:tcW w:w="3798" w:type="dxa"/>
            <w:tcBorders>
              <w:top w:val="nil"/>
              <w:left w:val="nil"/>
              <w:bottom w:val="nil"/>
              <w:right w:val="single" w:sz="4" w:space="0" w:color="000000"/>
            </w:tcBorders>
            <w:shd w:val="clear" w:color="000000" w:fill="FFFFFF"/>
            <w:hideMark/>
          </w:tcPr>
          <w:p w14:paraId="13EAC8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w:t>
            </w:r>
          </w:p>
        </w:tc>
        <w:tc>
          <w:tcPr>
            <w:tcW w:w="1480" w:type="dxa"/>
            <w:tcBorders>
              <w:top w:val="nil"/>
              <w:left w:val="nil"/>
              <w:bottom w:val="nil"/>
              <w:right w:val="single" w:sz="4" w:space="0" w:color="000000"/>
            </w:tcBorders>
            <w:shd w:val="clear" w:color="000000" w:fill="FFFFFF"/>
            <w:hideMark/>
          </w:tcPr>
          <w:p w14:paraId="312560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C107506"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332DB7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Los documentos impresos deberán estar firmados por las autoridades electorales competentes, sin perjuicio del uso de la firma digital, electrónica o medio biométrico. </w:t>
            </w:r>
          </w:p>
        </w:tc>
        <w:tc>
          <w:tcPr>
            <w:tcW w:w="3798" w:type="dxa"/>
            <w:tcBorders>
              <w:top w:val="nil"/>
              <w:left w:val="nil"/>
              <w:bottom w:val="single" w:sz="4" w:space="0" w:color="000000"/>
              <w:right w:val="single" w:sz="4" w:space="0" w:color="000000"/>
            </w:tcBorders>
            <w:shd w:val="clear" w:color="000000" w:fill="FFFFFF"/>
            <w:hideMark/>
          </w:tcPr>
          <w:p w14:paraId="7BF331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Los documentos impresos deberán estar firmados por las autoridades electorales competentes, sin perjuicio del uso de la firma digital, electrónica o medio biométrico.</w:t>
            </w:r>
          </w:p>
        </w:tc>
        <w:tc>
          <w:tcPr>
            <w:tcW w:w="3798" w:type="dxa"/>
            <w:tcBorders>
              <w:top w:val="nil"/>
              <w:left w:val="nil"/>
              <w:bottom w:val="single" w:sz="4" w:space="0" w:color="000000"/>
              <w:right w:val="single" w:sz="4" w:space="0" w:color="000000"/>
            </w:tcBorders>
            <w:shd w:val="clear" w:color="000000" w:fill="FFFFFF"/>
            <w:hideMark/>
          </w:tcPr>
          <w:p w14:paraId="3BB00D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Los documentos impresos deberán estar firmados por las autoridades electorales competentes, sin perjuicio del uso de la firma digital, electrónica o medio biométrico.</w:t>
            </w:r>
          </w:p>
        </w:tc>
        <w:tc>
          <w:tcPr>
            <w:tcW w:w="1480" w:type="dxa"/>
            <w:tcBorders>
              <w:top w:val="nil"/>
              <w:left w:val="nil"/>
              <w:bottom w:val="nil"/>
              <w:right w:val="single" w:sz="4" w:space="0" w:color="000000"/>
            </w:tcBorders>
            <w:shd w:val="clear" w:color="000000" w:fill="FFFFFF"/>
            <w:hideMark/>
          </w:tcPr>
          <w:p w14:paraId="6BF89F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AC465CB"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E662E2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173.- Plataformas tecnológicas para los escrutinios.</w:t>
            </w:r>
            <w:r w:rsidRPr="00222F34">
              <w:rPr>
                <w:rFonts w:ascii="Calibri" w:eastAsia="Times New Roman" w:hAnsi="Calibri" w:cs="Calibri"/>
                <w:color w:val="000000"/>
                <w:lang w:val="es-CO" w:eastAsia="es-CO" w:bidi="ar-SA"/>
              </w:rPr>
              <w:t xml:space="preserve"> 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 </w:t>
            </w:r>
          </w:p>
        </w:tc>
        <w:tc>
          <w:tcPr>
            <w:tcW w:w="3798" w:type="dxa"/>
            <w:tcBorders>
              <w:top w:val="nil"/>
              <w:left w:val="nil"/>
              <w:bottom w:val="nil"/>
              <w:right w:val="single" w:sz="4" w:space="0" w:color="000000"/>
            </w:tcBorders>
            <w:shd w:val="clear" w:color="00FF00" w:fill="FFFFFF"/>
            <w:hideMark/>
          </w:tcPr>
          <w:p w14:paraId="1104CF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177.- Plataformas tecnológicas para los escrutinios. </w:t>
            </w:r>
            <w:r w:rsidRPr="00222F34">
              <w:rPr>
                <w:rFonts w:ascii="Calibri" w:eastAsia="Times New Roman" w:hAnsi="Calibri" w:cs="Calibri"/>
                <w:color w:val="000000"/>
                <w:lang w:val="es-CO" w:eastAsia="es-CO" w:bidi="ar-SA"/>
              </w:rPr>
              <w:t>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w:t>
            </w:r>
          </w:p>
        </w:tc>
        <w:tc>
          <w:tcPr>
            <w:tcW w:w="3798" w:type="dxa"/>
            <w:tcBorders>
              <w:top w:val="nil"/>
              <w:left w:val="nil"/>
              <w:bottom w:val="nil"/>
              <w:right w:val="single" w:sz="4" w:space="0" w:color="000000"/>
            </w:tcBorders>
            <w:shd w:val="clear" w:color="00FF00" w:fill="FFFFFF"/>
            <w:hideMark/>
          </w:tcPr>
          <w:p w14:paraId="00890E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177.- Plataformas tecnológicas para los escrutinios. </w:t>
            </w:r>
            <w:r w:rsidRPr="00222F34">
              <w:rPr>
                <w:rFonts w:ascii="Calibri" w:eastAsia="Times New Roman" w:hAnsi="Calibri" w:cs="Calibri"/>
                <w:color w:val="000000"/>
                <w:lang w:val="es-CO" w:eastAsia="es-CO" w:bidi="ar-SA"/>
              </w:rPr>
              <w:t>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w:t>
            </w:r>
          </w:p>
        </w:tc>
        <w:tc>
          <w:tcPr>
            <w:tcW w:w="1480" w:type="dxa"/>
            <w:tcBorders>
              <w:top w:val="single" w:sz="4" w:space="0" w:color="000000"/>
              <w:left w:val="nil"/>
              <w:bottom w:val="nil"/>
              <w:right w:val="single" w:sz="4" w:space="0" w:color="000000"/>
            </w:tcBorders>
            <w:shd w:val="clear" w:color="000000" w:fill="FFFFFF"/>
            <w:hideMark/>
          </w:tcPr>
          <w:p w14:paraId="24F8759A" w14:textId="6035ED8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salvo el último inciso y el parágrafo 2 y se ajusta la numeración en consecuencia. </w:t>
            </w:r>
          </w:p>
        </w:tc>
      </w:tr>
      <w:tr w:rsidR="00CD4925" w:rsidRPr="00222F34" w14:paraId="17580F8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B8201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contará con un módulo de auditoría de las diferentes comisiones de escrutinio, que permitirá monitorear en tiempo real el desarrollo de los escrutinios y consolidar todo lo acontecido en cada uno de los niveles de las comisiones escrutadoras. </w:t>
            </w:r>
          </w:p>
        </w:tc>
        <w:tc>
          <w:tcPr>
            <w:tcW w:w="3798" w:type="dxa"/>
            <w:tcBorders>
              <w:top w:val="nil"/>
              <w:left w:val="nil"/>
              <w:bottom w:val="nil"/>
              <w:right w:val="single" w:sz="4" w:space="0" w:color="000000"/>
            </w:tcBorders>
            <w:shd w:val="clear" w:color="00FF00" w:fill="FFFFFF"/>
            <w:hideMark/>
          </w:tcPr>
          <w:p w14:paraId="158887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contará con un módulo de auditoría de las diferentes comisiones de escrutinio, que permitirá monitorear en tiempo real el desarrollo de los escrutinios y consolidar todo lo acontecido en cada uno de los niveles de las comisiones escrutadoras.</w:t>
            </w:r>
          </w:p>
        </w:tc>
        <w:tc>
          <w:tcPr>
            <w:tcW w:w="3798" w:type="dxa"/>
            <w:tcBorders>
              <w:top w:val="nil"/>
              <w:left w:val="nil"/>
              <w:bottom w:val="nil"/>
              <w:right w:val="single" w:sz="4" w:space="0" w:color="000000"/>
            </w:tcBorders>
            <w:shd w:val="clear" w:color="00FF00" w:fill="FFFFFF"/>
            <w:hideMark/>
          </w:tcPr>
          <w:p w14:paraId="31AFC3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contará con un módulo de auditoría de las diferentes comisiones de escrutinio, que permitirá monitorear en tiempo real el desarrollo de los escrutinios y consolidar todo lo acontecido en cada uno de los niveles de las comisiones escrutadoras.</w:t>
            </w:r>
          </w:p>
        </w:tc>
        <w:tc>
          <w:tcPr>
            <w:tcW w:w="1480" w:type="dxa"/>
            <w:tcBorders>
              <w:top w:val="nil"/>
              <w:left w:val="nil"/>
              <w:bottom w:val="nil"/>
              <w:right w:val="single" w:sz="4" w:space="0" w:color="000000"/>
            </w:tcBorders>
            <w:shd w:val="clear" w:color="000000" w:fill="FFFFFF"/>
            <w:hideMark/>
          </w:tcPr>
          <w:p w14:paraId="3EE5F7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F1D5B69"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2859A1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w:t>
            </w:r>
            <w:r w:rsidRPr="00222F34">
              <w:rPr>
                <w:rFonts w:ascii="Calibri" w:eastAsia="Times New Roman" w:hAnsi="Calibri" w:cs="Calibri"/>
                <w:color w:val="000000"/>
                <w:lang w:val="es-CO" w:eastAsia="es-CO" w:bidi="ar-SA"/>
              </w:rPr>
              <w:lastRenderedPageBreak/>
              <w:t xml:space="preserve">opciones de mecanismos de participación ciudadana. La Organización Electoral también garantizará a las organizaciones políticas la consulta de este módulo con posterioridad a los escrutinios para efectos de ejercer el medio de control de nulidad electoral, si fuere el caso. </w:t>
            </w:r>
          </w:p>
        </w:tc>
        <w:tc>
          <w:tcPr>
            <w:tcW w:w="3798" w:type="dxa"/>
            <w:tcBorders>
              <w:top w:val="nil"/>
              <w:left w:val="nil"/>
              <w:bottom w:val="nil"/>
              <w:right w:val="single" w:sz="4" w:space="0" w:color="000000"/>
            </w:tcBorders>
            <w:shd w:val="clear" w:color="00FF00" w:fill="FFFFFF"/>
            <w:hideMark/>
          </w:tcPr>
          <w:p w14:paraId="118895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w:t>
            </w:r>
            <w:r w:rsidRPr="00222F34">
              <w:rPr>
                <w:rFonts w:ascii="Calibri" w:eastAsia="Times New Roman" w:hAnsi="Calibri" w:cs="Calibri"/>
                <w:color w:val="000000"/>
                <w:lang w:val="es-CO" w:eastAsia="es-CO" w:bidi="ar-SA"/>
              </w:rPr>
              <w:lastRenderedPageBreak/>
              <w:t>opciones de mecanismos de participación ciudadana. La Organización Electoral también garantizará a las organizaciones políticas la consulta de este módulo con posterioridad a los escrutinios para efectos de ejercer el medio de control de nulidad electoral, si fuere el caso.</w:t>
            </w:r>
          </w:p>
        </w:tc>
        <w:tc>
          <w:tcPr>
            <w:tcW w:w="3798" w:type="dxa"/>
            <w:tcBorders>
              <w:top w:val="nil"/>
              <w:left w:val="nil"/>
              <w:bottom w:val="nil"/>
              <w:right w:val="single" w:sz="4" w:space="0" w:color="000000"/>
            </w:tcBorders>
            <w:shd w:val="clear" w:color="00FF00" w:fill="FFFFFF"/>
            <w:hideMark/>
          </w:tcPr>
          <w:p w14:paraId="3FD3E0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w:t>
            </w:r>
            <w:r w:rsidRPr="00222F34">
              <w:rPr>
                <w:rFonts w:ascii="Calibri" w:eastAsia="Times New Roman" w:hAnsi="Calibri" w:cs="Calibri"/>
                <w:color w:val="000000"/>
                <w:lang w:val="es-CO" w:eastAsia="es-CO" w:bidi="ar-SA"/>
              </w:rPr>
              <w:lastRenderedPageBreak/>
              <w:t>opciones de mecanismos de participación ciudadana. La Organización Electoral también garantizará a las organizaciones políticas la consulta de este módulo con posterioridad a los escrutinios para efectos de ejercer el medio de control de nulidad electoral, si fuere el caso.</w:t>
            </w:r>
          </w:p>
        </w:tc>
        <w:tc>
          <w:tcPr>
            <w:tcW w:w="1480" w:type="dxa"/>
            <w:tcBorders>
              <w:top w:val="nil"/>
              <w:left w:val="nil"/>
              <w:bottom w:val="nil"/>
              <w:right w:val="single" w:sz="4" w:space="0" w:color="000000"/>
            </w:tcBorders>
            <w:shd w:val="clear" w:color="000000" w:fill="FFFFFF"/>
            <w:hideMark/>
          </w:tcPr>
          <w:p w14:paraId="3E668C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9614EB8"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448D8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Esta plataforma tecnológica de escrutinios también permitirá guardar copias digitales del trabajo y de los resultados de todas las comisiones escrutadoras; copias que deberán ser custodiadas por la Registraduría Nacional del Estado Civil y estar disponibles como mínimo por el tiempo que dure el periodo de los elegidos, según corresponda, para las investigaciones de las autoridades de control y judiciales. </w:t>
            </w:r>
          </w:p>
        </w:tc>
        <w:tc>
          <w:tcPr>
            <w:tcW w:w="3798" w:type="dxa"/>
            <w:tcBorders>
              <w:top w:val="nil"/>
              <w:left w:val="nil"/>
              <w:bottom w:val="nil"/>
              <w:right w:val="single" w:sz="4" w:space="0" w:color="000000"/>
            </w:tcBorders>
            <w:shd w:val="clear" w:color="00FF00" w:fill="FFFFFF"/>
            <w:hideMark/>
          </w:tcPr>
          <w:p w14:paraId="1993B1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plataforma tecnológica de escrutinios también permitirá guardar copias digitales del trabajo y de los resultados de todas las comisiones escrutadoras; copias que deberán ser custodiadas por la Registraduría Nacional del Estado Civil y estar disponibles como mínimo por el tiempo que dure el periodo de los elegidos, según corresponda, para las investigaciones de las autoridades de control y judiciales.</w:t>
            </w:r>
          </w:p>
        </w:tc>
        <w:tc>
          <w:tcPr>
            <w:tcW w:w="3798" w:type="dxa"/>
            <w:tcBorders>
              <w:top w:val="nil"/>
              <w:left w:val="nil"/>
              <w:bottom w:val="nil"/>
              <w:right w:val="single" w:sz="4" w:space="0" w:color="000000"/>
            </w:tcBorders>
            <w:shd w:val="clear" w:color="00FF00" w:fill="FFFFFF"/>
            <w:hideMark/>
          </w:tcPr>
          <w:p w14:paraId="51FFD2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plataforma tecnológica de escrutinios también permitirá guardar copias digitales del trabajo y de los resultados de todas las comisiones escrutadoras; copias que deberán ser custodiadas por la Registraduría Nacional del Estado Civil y estar disponibles como mínimo por el tiempo que dure el periodo de los elegidos, según corresponda, para las investigaciones de las autoridades de control y judiciales.</w:t>
            </w:r>
          </w:p>
        </w:tc>
        <w:tc>
          <w:tcPr>
            <w:tcW w:w="1480" w:type="dxa"/>
            <w:tcBorders>
              <w:top w:val="nil"/>
              <w:left w:val="nil"/>
              <w:bottom w:val="nil"/>
              <w:right w:val="single" w:sz="4" w:space="0" w:color="000000"/>
            </w:tcBorders>
            <w:shd w:val="clear" w:color="000000" w:fill="FFFFFF"/>
            <w:hideMark/>
          </w:tcPr>
          <w:p w14:paraId="5E32AE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B13737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515BD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2E170E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MINTIC propenderá por expandir la conectividad digital y acceso a internet de todas las registradurías y puestos de votación en Colombia para efectos de la implementación de voto mixto.</w:t>
            </w:r>
          </w:p>
        </w:tc>
        <w:tc>
          <w:tcPr>
            <w:tcW w:w="3798" w:type="dxa"/>
            <w:tcBorders>
              <w:top w:val="nil"/>
              <w:left w:val="nil"/>
              <w:bottom w:val="nil"/>
              <w:right w:val="single" w:sz="4" w:space="0" w:color="000000"/>
            </w:tcBorders>
            <w:shd w:val="clear" w:color="00FF00" w:fill="FFFFFF"/>
            <w:hideMark/>
          </w:tcPr>
          <w:p w14:paraId="45827A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39AA73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6B8FBCC" w14:textId="77777777" w:rsidTr="00222F34">
        <w:trPr>
          <w:trHeight w:val="3300"/>
        </w:trPr>
        <w:tc>
          <w:tcPr>
            <w:tcW w:w="3798" w:type="dxa"/>
            <w:tcBorders>
              <w:top w:val="nil"/>
              <w:left w:val="single" w:sz="4" w:space="0" w:color="000000"/>
              <w:bottom w:val="nil"/>
              <w:right w:val="single" w:sz="4" w:space="0" w:color="000000"/>
            </w:tcBorders>
            <w:shd w:val="clear" w:color="000000" w:fill="FFFFFF"/>
            <w:hideMark/>
          </w:tcPr>
          <w:p w14:paraId="1441EF6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w:t>
            </w:r>
            <w:r w:rsidRPr="00222F34">
              <w:rPr>
                <w:rFonts w:ascii="Calibri" w:eastAsia="Times New Roman" w:hAnsi="Calibri" w:cs="Calibri"/>
                <w:color w:val="000000"/>
                <w:lang w:val="es-CO" w:eastAsia="es-CO" w:bidi="ar-SA"/>
              </w:rPr>
              <w:t>La plataforma tecnológica de la que dispondrá la Registraduría Nacional del Estado Civil para los escrutinios deberá ser probada con anterioridad a cada respectiva elección, realizando una serie de simulacros que permitan garantizar que esta funcione a cabalidad durante la jornada de elecciones y de esta forma las copias digitales de los resultados y la información en vivo sea veraz y actualizada.</w:t>
            </w:r>
          </w:p>
        </w:tc>
        <w:tc>
          <w:tcPr>
            <w:tcW w:w="3798" w:type="dxa"/>
            <w:tcBorders>
              <w:top w:val="nil"/>
              <w:left w:val="nil"/>
              <w:bottom w:val="nil"/>
              <w:right w:val="single" w:sz="4" w:space="0" w:color="000000"/>
            </w:tcBorders>
            <w:shd w:val="clear" w:color="00FF00" w:fill="FFFFFF"/>
            <w:hideMark/>
          </w:tcPr>
          <w:p w14:paraId="408930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plataforma tecnológica de la que dispondrá la Registraduría Nacional del Estado Civil para los escrutinios deberá ser probada con anterioridad a cada respectiva elección, realizando pruebas, simulacros y auditorías que permitan garantizar que ésta funcione a cabalidad durante la jornada de elecciones y de esta forma las copias digitales de los resultados y la información en vivo sea veraz y actualizada. La comisión asesora para la implementación progresiva de los sistemas de asistencia tecnológica conceptuará acerca de la seguridad, pertinencia e idoneidad, viabilidad técnica, plena funcionalidad y transparencia de la plataforma tecnológica dispuesta. En cada una de las pruebas y simulacros se garantizará el acceso y la participación efectiva de los partidos y movimientos políticos, grupos significativos de ciudadanos y observadores internacionales.</w:t>
            </w:r>
          </w:p>
        </w:tc>
        <w:tc>
          <w:tcPr>
            <w:tcW w:w="3798" w:type="dxa"/>
            <w:tcBorders>
              <w:top w:val="nil"/>
              <w:left w:val="nil"/>
              <w:bottom w:val="nil"/>
              <w:right w:val="single" w:sz="4" w:space="0" w:color="000000"/>
            </w:tcBorders>
            <w:shd w:val="clear" w:color="00FF00" w:fill="FFFFFF"/>
            <w:hideMark/>
          </w:tcPr>
          <w:p w14:paraId="6A2337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plataforma tecnológica de la que dispondrá la Registraduría Nacional del Estado Civil para los escrutinios deberá ser probada con anterioridad a cada respectiva elección, realizando pruebas, simulacros y auditorías que permitan garantizar que ésta funcione a cabalidad durante la jornada de elecciones y de esta forma las copias digitales de los resultados y la información en vivo sea veraz y actualizada. La comisión asesora para la implementación progresiva de los sistemas de asistencia tecnológica conceptuará acerca de la seguridad, pertinencia e idoneidad, viabilidad técnica, plena funcionalidad y transparencia de la plataforma tecnológica dispuesta. En cada una de las pruebas y simulacros se garantizará el acceso y la participación efectiva de los partidos y movimientos políticos, grupos significativos de ciudadanos y observadores internacionales.</w:t>
            </w:r>
          </w:p>
        </w:tc>
        <w:tc>
          <w:tcPr>
            <w:tcW w:w="1480" w:type="dxa"/>
            <w:tcBorders>
              <w:top w:val="nil"/>
              <w:left w:val="nil"/>
              <w:bottom w:val="nil"/>
              <w:right w:val="single" w:sz="4" w:space="0" w:color="000000"/>
            </w:tcBorders>
            <w:shd w:val="clear" w:color="000000" w:fill="FFFFFF"/>
            <w:hideMark/>
          </w:tcPr>
          <w:p w14:paraId="6427D2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983D127" w14:textId="77777777" w:rsidTr="00222F34">
        <w:trPr>
          <w:trHeight w:val="1500"/>
        </w:trPr>
        <w:tc>
          <w:tcPr>
            <w:tcW w:w="3798" w:type="dxa"/>
            <w:tcBorders>
              <w:top w:val="nil"/>
              <w:left w:val="single" w:sz="4" w:space="0" w:color="000000"/>
              <w:bottom w:val="nil"/>
              <w:right w:val="single" w:sz="4" w:space="0" w:color="000000"/>
            </w:tcBorders>
            <w:shd w:val="clear" w:color="FFC000" w:fill="FFFFFF"/>
            <w:hideMark/>
          </w:tcPr>
          <w:p w14:paraId="61A09D3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00FF00" w:fill="FFFFFF"/>
            <w:hideMark/>
          </w:tcPr>
          <w:p w14:paraId="69BB6A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 xml:space="preserve">La plataforma tecnológica de la que dispondrá la Registraduría Nacional del Estado Civil para los escrutinios permitirá el acceso a veedurías, partidos o movimientos políticos, grupo significativo de ciudadanos, organizaciones étnicas y </w:t>
            </w:r>
            <w:r w:rsidRPr="00222F34">
              <w:rPr>
                <w:rFonts w:ascii="Calibri" w:eastAsia="Times New Roman" w:hAnsi="Calibri" w:cs="Calibri"/>
                <w:color w:val="000000"/>
                <w:lang w:val="es-CO" w:eastAsia="es-CO" w:bidi="ar-SA"/>
              </w:rPr>
              <w:lastRenderedPageBreak/>
              <w:t>coaliciones o agrupaciones políticas, para imparcialidad, garantizar su funcionamiento y que la información registrada sea veraz y actualizada.</w:t>
            </w:r>
          </w:p>
        </w:tc>
        <w:tc>
          <w:tcPr>
            <w:tcW w:w="3798" w:type="dxa"/>
            <w:tcBorders>
              <w:top w:val="nil"/>
              <w:left w:val="nil"/>
              <w:bottom w:val="nil"/>
              <w:right w:val="single" w:sz="4" w:space="0" w:color="000000"/>
            </w:tcBorders>
            <w:shd w:val="clear" w:color="00FF00" w:fill="FFFFFF"/>
            <w:hideMark/>
          </w:tcPr>
          <w:p w14:paraId="55E105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1480" w:type="dxa"/>
            <w:tcBorders>
              <w:top w:val="nil"/>
              <w:left w:val="nil"/>
              <w:bottom w:val="nil"/>
              <w:right w:val="single" w:sz="4" w:space="0" w:color="000000"/>
            </w:tcBorders>
            <w:shd w:val="clear" w:color="000000" w:fill="FFFFFF"/>
            <w:hideMark/>
          </w:tcPr>
          <w:p w14:paraId="349880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FD3B97"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FFC000" w:fill="FFFFFF"/>
            <w:hideMark/>
          </w:tcPr>
          <w:p w14:paraId="30FBB32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43151E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El Consejo Nacional Electoral vigilará e inspeccionará todo lo relacionado con las plataformas tecnológicas para los escrutinios.</w:t>
            </w:r>
          </w:p>
        </w:tc>
        <w:tc>
          <w:tcPr>
            <w:tcW w:w="3798" w:type="dxa"/>
            <w:tcBorders>
              <w:top w:val="nil"/>
              <w:left w:val="nil"/>
              <w:bottom w:val="single" w:sz="4" w:space="0" w:color="000000"/>
              <w:right w:val="single" w:sz="4" w:space="0" w:color="000000"/>
            </w:tcBorders>
            <w:shd w:val="clear" w:color="00FF00" w:fill="FFFFFF"/>
            <w:hideMark/>
          </w:tcPr>
          <w:p w14:paraId="1C4424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Consejo Nacional Electoral vigilará e inspeccionará todo lo relacionado con las plataformas tecnológicas para los escrutinios.</w:t>
            </w:r>
          </w:p>
        </w:tc>
        <w:tc>
          <w:tcPr>
            <w:tcW w:w="1480" w:type="dxa"/>
            <w:tcBorders>
              <w:top w:val="nil"/>
              <w:left w:val="nil"/>
              <w:bottom w:val="nil"/>
              <w:right w:val="single" w:sz="4" w:space="0" w:color="000000"/>
            </w:tcBorders>
            <w:shd w:val="clear" w:color="000000" w:fill="FFFFFF"/>
            <w:hideMark/>
          </w:tcPr>
          <w:p w14:paraId="7D272D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5F2E469"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27E3EFB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174.- Gestión de los documentos electorales.</w:t>
            </w:r>
            <w:r w:rsidRPr="00222F34">
              <w:rPr>
                <w:rFonts w:ascii="Calibri" w:eastAsia="Times New Roman" w:hAnsi="Calibri" w:cs="Calibri"/>
                <w:color w:val="000000"/>
                <w:lang w:val="es-CO" w:eastAsia="es-CO" w:bidi="ar-SA"/>
              </w:rPr>
              <w:t xml:space="preserve"> El acta de instalación y registro general de votantes; la autorización de voto a ciudadanos que no hacen 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tc>
        <w:tc>
          <w:tcPr>
            <w:tcW w:w="3798" w:type="dxa"/>
            <w:tcBorders>
              <w:top w:val="nil"/>
              <w:left w:val="nil"/>
              <w:bottom w:val="nil"/>
              <w:right w:val="single" w:sz="4" w:space="0" w:color="000000"/>
            </w:tcBorders>
            <w:shd w:val="clear" w:color="000000" w:fill="FFFFFF"/>
            <w:hideMark/>
          </w:tcPr>
          <w:p w14:paraId="6E6F18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178.- Gestión de los documentos electorales. </w:t>
            </w:r>
            <w:r w:rsidRPr="00222F34">
              <w:rPr>
                <w:rFonts w:ascii="Calibri" w:eastAsia="Times New Roman" w:hAnsi="Calibri" w:cs="Calibri"/>
                <w:color w:val="000000"/>
                <w:lang w:val="es-CO" w:eastAsia="es-CO" w:bidi="ar-SA"/>
              </w:rPr>
              <w:t>El acta de instalación y registro general de votantes; la autorización de voto a ciudadanos que no hacen 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tc>
        <w:tc>
          <w:tcPr>
            <w:tcW w:w="3798" w:type="dxa"/>
            <w:tcBorders>
              <w:top w:val="nil"/>
              <w:left w:val="nil"/>
              <w:bottom w:val="nil"/>
              <w:right w:val="single" w:sz="4" w:space="0" w:color="000000"/>
            </w:tcBorders>
            <w:shd w:val="clear" w:color="000000" w:fill="FFFFFF"/>
            <w:hideMark/>
          </w:tcPr>
          <w:p w14:paraId="371E8A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178.- Gestión de los documentos electorales. </w:t>
            </w:r>
            <w:r w:rsidRPr="00222F34">
              <w:rPr>
                <w:rFonts w:ascii="Calibri" w:eastAsia="Times New Roman" w:hAnsi="Calibri" w:cs="Calibri"/>
                <w:color w:val="000000"/>
                <w:lang w:val="es-CO" w:eastAsia="es-CO" w:bidi="ar-SA"/>
              </w:rPr>
              <w:t>El acta de instalación y registro general de votantes; la autorización de voto a ciudadanos que no hacen 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tc>
        <w:tc>
          <w:tcPr>
            <w:tcW w:w="1480" w:type="dxa"/>
            <w:tcBorders>
              <w:top w:val="single" w:sz="4" w:space="0" w:color="000000"/>
              <w:left w:val="nil"/>
              <w:bottom w:val="nil"/>
              <w:right w:val="single" w:sz="4" w:space="0" w:color="000000"/>
            </w:tcBorders>
            <w:shd w:val="clear" w:color="000000" w:fill="FFFFFF"/>
            <w:hideMark/>
          </w:tcPr>
          <w:p w14:paraId="29C2EC60" w14:textId="45F2794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D16A6A6"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23159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  </w:t>
            </w:r>
          </w:p>
        </w:tc>
        <w:tc>
          <w:tcPr>
            <w:tcW w:w="3798" w:type="dxa"/>
            <w:tcBorders>
              <w:top w:val="nil"/>
              <w:left w:val="nil"/>
              <w:bottom w:val="nil"/>
              <w:right w:val="single" w:sz="4" w:space="0" w:color="000000"/>
            </w:tcBorders>
            <w:shd w:val="clear" w:color="000000" w:fill="FFFFFF"/>
            <w:hideMark/>
          </w:tcPr>
          <w:p w14:paraId="7A37D7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w:t>
            </w:r>
          </w:p>
        </w:tc>
        <w:tc>
          <w:tcPr>
            <w:tcW w:w="3798" w:type="dxa"/>
            <w:tcBorders>
              <w:top w:val="nil"/>
              <w:left w:val="nil"/>
              <w:bottom w:val="nil"/>
              <w:right w:val="single" w:sz="4" w:space="0" w:color="000000"/>
            </w:tcBorders>
            <w:shd w:val="clear" w:color="000000" w:fill="FFFFFF"/>
            <w:hideMark/>
          </w:tcPr>
          <w:p w14:paraId="4B47283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w:t>
            </w:r>
          </w:p>
        </w:tc>
        <w:tc>
          <w:tcPr>
            <w:tcW w:w="1480" w:type="dxa"/>
            <w:tcBorders>
              <w:top w:val="nil"/>
              <w:left w:val="nil"/>
              <w:bottom w:val="nil"/>
              <w:right w:val="single" w:sz="4" w:space="0" w:color="000000"/>
            </w:tcBorders>
            <w:shd w:val="clear" w:color="000000" w:fill="FFFFFF"/>
            <w:hideMark/>
          </w:tcPr>
          <w:p w14:paraId="03DF00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8C56A42"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90402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Todas las personas que tengan contacto con los documentos electorales prestarán la debida diligencia para garantizar la integridad de los mismos, la transparencia en su tratamiento y su cadena de custodia. </w:t>
            </w:r>
          </w:p>
        </w:tc>
        <w:tc>
          <w:tcPr>
            <w:tcW w:w="3798" w:type="dxa"/>
            <w:tcBorders>
              <w:top w:val="nil"/>
              <w:left w:val="nil"/>
              <w:bottom w:val="single" w:sz="4" w:space="0" w:color="000000"/>
              <w:right w:val="single" w:sz="4" w:space="0" w:color="000000"/>
            </w:tcBorders>
            <w:shd w:val="clear" w:color="000000" w:fill="FFFFFF"/>
            <w:hideMark/>
          </w:tcPr>
          <w:p w14:paraId="79D34F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Todas las personas que tengan contacto con los documentos electorales prestarán la debida diligencia para garantizar la integridad de los mismos, la transparencia en su tratamiento y su cadena de custodia.</w:t>
            </w:r>
          </w:p>
        </w:tc>
        <w:tc>
          <w:tcPr>
            <w:tcW w:w="3798" w:type="dxa"/>
            <w:tcBorders>
              <w:top w:val="nil"/>
              <w:left w:val="nil"/>
              <w:bottom w:val="single" w:sz="4" w:space="0" w:color="000000"/>
              <w:right w:val="single" w:sz="4" w:space="0" w:color="000000"/>
            </w:tcBorders>
            <w:shd w:val="clear" w:color="000000" w:fill="FFFFFF"/>
            <w:hideMark/>
          </w:tcPr>
          <w:p w14:paraId="3A9C2B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Todas las personas que tengan contacto con los documentos electorales prestarán la debida diligencia para garantizar la integridad de los mismos, la transparencia en su tratamiento y su cadena de custodia.</w:t>
            </w:r>
          </w:p>
        </w:tc>
        <w:tc>
          <w:tcPr>
            <w:tcW w:w="1480" w:type="dxa"/>
            <w:tcBorders>
              <w:top w:val="nil"/>
              <w:left w:val="nil"/>
              <w:bottom w:val="nil"/>
              <w:right w:val="single" w:sz="4" w:space="0" w:color="000000"/>
            </w:tcBorders>
            <w:shd w:val="clear" w:color="000000" w:fill="FFFFFF"/>
            <w:hideMark/>
          </w:tcPr>
          <w:p w14:paraId="14443C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A820D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88A2CA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175.- Protección de los documentos electorales.</w:t>
            </w:r>
            <w:r w:rsidRPr="00222F34">
              <w:rPr>
                <w:rFonts w:ascii="Calibri" w:eastAsia="Times New Roman" w:hAnsi="Calibri" w:cs="Calibri"/>
                <w:color w:val="000000"/>
                <w:lang w:val="es-CO" w:eastAsia="es-CO" w:bidi="ar-SA"/>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las comisiones escrutadoras de cada nivel, ante la presencia de los testigos electorales que se hubieren acreditado. </w:t>
            </w:r>
          </w:p>
        </w:tc>
        <w:tc>
          <w:tcPr>
            <w:tcW w:w="3798" w:type="dxa"/>
            <w:tcBorders>
              <w:top w:val="nil"/>
              <w:left w:val="nil"/>
              <w:bottom w:val="nil"/>
              <w:right w:val="single" w:sz="4" w:space="0" w:color="000000"/>
            </w:tcBorders>
            <w:shd w:val="clear" w:color="000000" w:fill="FFFFFF"/>
            <w:hideMark/>
          </w:tcPr>
          <w:p w14:paraId="17DF27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179.- Protección de los documentos electorales.</w:t>
            </w:r>
            <w:r w:rsidRPr="00222F34">
              <w:rPr>
                <w:rFonts w:ascii="Calibri" w:eastAsia="Times New Roman" w:hAnsi="Calibri" w:cs="Calibri"/>
                <w:color w:val="000000"/>
                <w:lang w:val="es-CO" w:eastAsia="es-CO" w:bidi="ar-SA"/>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las comisiones escrutadoras de cada nivel, ante la presencia de los testigos electorales que se hubieren acreditado.</w:t>
            </w:r>
          </w:p>
        </w:tc>
        <w:tc>
          <w:tcPr>
            <w:tcW w:w="3798" w:type="dxa"/>
            <w:tcBorders>
              <w:top w:val="nil"/>
              <w:left w:val="nil"/>
              <w:bottom w:val="nil"/>
              <w:right w:val="single" w:sz="4" w:space="0" w:color="000000"/>
            </w:tcBorders>
            <w:shd w:val="clear" w:color="000000" w:fill="FFFFFF"/>
            <w:hideMark/>
          </w:tcPr>
          <w:p w14:paraId="670310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179.- Protección de los documentos electorales.</w:t>
            </w:r>
            <w:r w:rsidRPr="00222F34">
              <w:rPr>
                <w:rFonts w:ascii="Calibri" w:eastAsia="Times New Roman" w:hAnsi="Calibri" w:cs="Calibri"/>
                <w:color w:val="000000"/>
                <w:lang w:val="es-CO" w:eastAsia="es-CO" w:bidi="ar-SA"/>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las comisiones escrutadoras de cada nivel, ante la presencia de los testigos electorales que se hubieren acreditado.</w:t>
            </w:r>
          </w:p>
        </w:tc>
        <w:tc>
          <w:tcPr>
            <w:tcW w:w="1480" w:type="dxa"/>
            <w:tcBorders>
              <w:top w:val="single" w:sz="4" w:space="0" w:color="000000"/>
              <w:left w:val="nil"/>
              <w:bottom w:val="nil"/>
              <w:right w:val="single" w:sz="4" w:space="0" w:color="000000"/>
            </w:tcBorders>
            <w:shd w:val="clear" w:color="000000" w:fill="FFFFFF"/>
            <w:hideMark/>
          </w:tcPr>
          <w:p w14:paraId="7BAE8EC5" w14:textId="7A0730C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15F439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7019D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Cada vez que se suspenda la actividad de la comisión escrutadora de cualquier nivel, el material electoral y equipos tecnológicos utilizados en el escrutinio serán colocados en un depósito seguro. </w:t>
            </w:r>
          </w:p>
        </w:tc>
        <w:tc>
          <w:tcPr>
            <w:tcW w:w="3798" w:type="dxa"/>
            <w:tcBorders>
              <w:top w:val="nil"/>
              <w:left w:val="nil"/>
              <w:bottom w:val="nil"/>
              <w:right w:val="single" w:sz="4" w:space="0" w:color="000000"/>
            </w:tcBorders>
            <w:shd w:val="clear" w:color="000000" w:fill="FFFFFF"/>
            <w:hideMark/>
          </w:tcPr>
          <w:p w14:paraId="5404CC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Cada vez que se suspenda la actividad de la comisión escrutadora de cualquier nivel, el material electoral y equipos tecnológicos utilizados en el escrutinio serán colocados en un depósito seguro.</w:t>
            </w:r>
          </w:p>
        </w:tc>
        <w:tc>
          <w:tcPr>
            <w:tcW w:w="3798" w:type="dxa"/>
            <w:tcBorders>
              <w:top w:val="nil"/>
              <w:left w:val="nil"/>
              <w:bottom w:val="nil"/>
              <w:right w:val="single" w:sz="4" w:space="0" w:color="000000"/>
            </w:tcBorders>
            <w:shd w:val="clear" w:color="000000" w:fill="FFFFFF"/>
            <w:hideMark/>
          </w:tcPr>
          <w:p w14:paraId="571545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Cada vez que se suspenda la actividad de la comisión escrutadora de cualquier nivel, el material electoral y equipos tecnológicos utilizados en el escrutinio serán colocados en un depósito seguro.</w:t>
            </w:r>
          </w:p>
        </w:tc>
        <w:tc>
          <w:tcPr>
            <w:tcW w:w="1480" w:type="dxa"/>
            <w:tcBorders>
              <w:top w:val="nil"/>
              <w:left w:val="nil"/>
              <w:bottom w:val="nil"/>
              <w:right w:val="single" w:sz="4" w:space="0" w:color="000000"/>
            </w:tcBorders>
            <w:shd w:val="clear" w:color="000000" w:fill="FFFFFF"/>
            <w:hideMark/>
          </w:tcPr>
          <w:p w14:paraId="662B2C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C7045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EB0F3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documentos electorales deberán conservarse en su formato original por un lapso no inferior al comprendido entre su diligenciamiento, su firma y la terminación del periodo del cargo o corporación electa, mediante el proceso en que el documento fue utilizado. </w:t>
            </w:r>
          </w:p>
        </w:tc>
        <w:tc>
          <w:tcPr>
            <w:tcW w:w="3798" w:type="dxa"/>
            <w:tcBorders>
              <w:top w:val="nil"/>
              <w:left w:val="nil"/>
              <w:bottom w:val="nil"/>
              <w:right w:val="single" w:sz="4" w:space="0" w:color="000000"/>
            </w:tcBorders>
            <w:shd w:val="clear" w:color="000000" w:fill="FFFFFF"/>
            <w:hideMark/>
          </w:tcPr>
          <w:p w14:paraId="457131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documentos electorales deberán conservarse en su formato original por un lapso no inferior al comprendido entre su diligenciamiento, su firma y la terminación del periodo del cargo o corporación electa, mediante el proceso en que el documento fue utilizado.</w:t>
            </w:r>
          </w:p>
        </w:tc>
        <w:tc>
          <w:tcPr>
            <w:tcW w:w="3798" w:type="dxa"/>
            <w:tcBorders>
              <w:top w:val="nil"/>
              <w:left w:val="nil"/>
              <w:bottom w:val="nil"/>
              <w:right w:val="single" w:sz="4" w:space="0" w:color="000000"/>
            </w:tcBorders>
            <w:shd w:val="clear" w:color="000000" w:fill="FFFFFF"/>
            <w:hideMark/>
          </w:tcPr>
          <w:p w14:paraId="2280EA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documentos electorales deberán conservarse en su formato original por un lapso no inferior al comprendido entre su diligenciamiento, su firma y la terminación del periodo del cargo o corporación electa, mediante el proceso en que el documento fue utilizado.</w:t>
            </w:r>
          </w:p>
        </w:tc>
        <w:tc>
          <w:tcPr>
            <w:tcW w:w="1480" w:type="dxa"/>
            <w:tcBorders>
              <w:top w:val="nil"/>
              <w:left w:val="nil"/>
              <w:bottom w:val="nil"/>
              <w:right w:val="single" w:sz="4" w:space="0" w:color="000000"/>
            </w:tcBorders>
            <w:shd w:val="clear" w:color="000000" w:fill="FFFFFF"/>
            <w:hideMark/>
          </w:tcPr>
          <w:p w14:paraId="46B6BE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85ADDFB"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4CFDE4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en ejercicio de la secretaría de las comisiones escrutadoras, mantendrá bajo su custodia copias digitales del desarrollo del proceso electoral, tales como los archivos de preconteo,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 </w:t>
            </w:r>
          </w:p>
        </w:tc>
        <w:tc>
          <w:tcPr>
            <w:tcW w:w="3798" w:type="dxa"/>
            <w:tcBorders>
              <w:top w:val="nil"/>
              <w:left w:val="nil"/>
              <w:bottom w:val="nil"/>
              <w:right w:val="single" w:sz="4" w:space="0" w:color="000000"/>
            </w:tcBorders>
            <w:shd w:val="clear" w:color="000000" w:fill="FFFFFF"/>
            <w:hideMark/>
          </w:tcPr>
          <w:p w14:paraId="434267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en ejercicio de la secretaría de las comisiones escrutadoras, mantendrá bajo su custodia copias digitales del desarrollo del proceso electoral, tales como los archivos de preconteo,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w:t>
            </w:r>
          </w:p>
        </w:tc>
        <w:tc>
          <w:tcPr>
            <w:tcW w:w="3798" w:type="dxa"/>
            <w:tcBorders>
              <w:top w:val="nil"/>
              <w:left w:val="nil"/>
              <w:bottom w:val="nil"/>
              <w:right w:val="single" w:sz="4" w:space="0" w:color="000000"/>
            </w:tcBorders>
            <w:shd w:val="clear" w:color="000000" w:fill="FFFFFF"/>
            <w:hideMark/>
          </w:tcPr>
          <w:p w14:paraId="659BAC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en ejercicio de la secretaría de las comisiones escrutadoras, mantendrá bajo su custodia copias digitales del desarrollo del proceso electoral, tales como los archivos de preconteo,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w:t>
            </w:r>
          </w:p>
        </w:tc>
        <w:tc>
          <w:tcPr>
            <w:tcW w:w="1480" w:type="dxa"/>
            <w:tcBorders>
              <w:top w:val="nil"/>
              <w:left w:val="nil"/>
              <w:bottom w:val="nil"/>
              <w:right w:val="single" w:sz="4" w:space="0" w:color="000000"/>
            </w:tcBorders>
            <w:shd w:val="clear" w:color="000000" w:fill="FFFFFF"/>
            <w:hideMark/>
          </w:tcPr>
          <w:p w14:paraId="202DCE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1F13D0"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7102B4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actualizado o modificado, con indicación de las condiciones de seguridad o autenticidad del mismo, tales como código de barras, código hash, código  QR, entre otras.  </w:t>
            </w:r>
          </w:p>
        </w:tc>
        <w:tc>
          <w:tcPr>
            <w:tcW w:w="3798" w:type="dxa"/>
            <w:tcBorders>
              <w:top w:val="nil"/>
              <w:left w:val="nil"/>
              <w:bottom w:val="nil"/>
              <w:right w:val="single" w:sz="4" w:space="0" w:color="000000"/>
            </w:tcBorders>
            <w:shd w:val="clear" w:color="000000" w:fill="FFFFFF"/>
            <w:hideMark/>
          </w:tcPr>
          <w:p w14:paraId="0FCD0C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actualizado o modificado, con indicación de las condiciones de seguridad o autenticidad del mismo, tales como código de barras, código hash, código QR, entre otras.</w:t>
            </w:r>
          </w:p>
        </w:tc>
        <w:tc>
          <w:tcPr>
            <w:tcW w:w="3798" w:type="dxa"/>
            <w:tcBorders>
              <w:top w:val="nil"/>
              <w:left w:val="nil"/>
              <w:bottom w:val="nil"/>
              <w:right w:val="single" w:sz="4" w:space="0" w:color="000000"/>
            </w:tcBorders>
            <w:shd w:val="clear" w:color="000000" w:fill="FFFFFF"/>
            <w:hideMark/>
          </w:tcPr>
          <w:p w14:paraId="485338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actualizado o modificado, con indicación de las condiciones de seguridad o autenticidad del mismo, tales como código de barras, código hash, código QR, entre otras.</w:t>
            </w:r>
          </w:p>
        </w:tc>
        <w:tc>
          <w:tcPr>
            <w:tcW w:w="1480" w:type="dxa"/>
            <w:tcBorders>
              <w:top w:val="nil"/>
              <w:left w:val="nil"/>
              <w:bottom w:val="nil"/>
              <w:right w:val="single" w:sz="4" w:space="0" w:color="000000"/>
            </w:tcBorders>
            <w:shd w:val="clear" w:color="000000" w:fill="FFFFFF"/>
            <w:hideMark/>
          </w:tcPr>
          <w:p w14:paraId="3BB68B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3B0D12E"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7447FD8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 </w:t>
            </w:r>
          </w:p>
        </w:tc>
        <w:tc>
          <w:tcPr>
            <w:tcW w:w="3798" w:type="dxa"/>
            <w:tcBorders>
              <w:top w:val="nil"/>
              <w:left w:val="nil"/>
              <w:bottom w:val="single" w:sz="4" w:space="0" w:color="000000"/>
              <w:right w:val="single" w:sz="4" w:space="0" w:color="000000"/>
            </w:tcBorders>
            <w:shd w:val="clear" w:color="000000" w:fill="FFFFFF"/>
            <w:hideMark/>
          </w:tcPr>
          <w:p w14:paraId="08D73F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w:t>
            </w:r>
          </w:p>
        </w:tc>
        <w:tc>
          <w:tcPr>
            <w:tcW w:w="3798" w:type="dxa"/>
            <w:tcBorders>
              <w:top w:val="nil"/>
              <w:left w:val="nil"/>
              <w:bottom w:val="single" w:sz="4" w:space="0" w:color="000000"/>
              <w:right w:val="single" w:sz="4" w:space="0" w:color="000000"/>
            </w:tcBorders>
            <w:shd w:val="clear" w:color="000000" w:fill="FFFFFF"/>
            <w:hideMark/>
          </w:tcPr>
          <w:p w14:paraId="44AAED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w:t>
            </w:r>
          </w:p>
        </w:tc>
        <w:tc>
          <w:tcPr>
            <w:tcW w:w="1480" w:type="dxa"/>
            <w:tcBorders>
              <w:top w:val="nil"/>
              <w:left w:val="nil"/>
              <w:bottom w:val="nil"/>
              <w:right w:val="single" w:sz="4" w:space="0" w:color="000000"/>
            </w:tcBorders>
            <w:shd w:val="clear" w:color="000000" w:fill="FFFFFF"/>
            <w:hideMark/>
          </w:tcPr>
          <w:p w14:paraId="6C70EF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39837FF"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1559E3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176.- Acta de escrutinios.</w:t>
            </w:r>
            <w:r w:rsidRPr="00222F34">
              <w:rPr>
                <w:rFonts w:ascii="Calibri" w:eastAsia="Times New Roman" w:hAnsi="Calibri" w:cs="Calibri"/>
                <w:color w:val="000000"/>
                <w:lang w:val="es-CO" w:eastAsia="es-CO" w:bidi="ar-SA"/>
              </w:rPr>
              <w:t xml:space="preserve"> 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 </w:t>
            </w:r>
          </w:p>
        </w:tc>
        <w:tc>
          <w:tcPr>
            <w:tcW w:w="3798" w:type="dxa"/>
            <w:tcBorders>
              <w:top w:val="nil"/>
              <w:left w:val="nil"/>
              <w:bottom w:val="nil"/>
              <w:right w:val="single" w:sz="4" w:space="0" w:color="000000"/>
            </w:tcBorders>
            <w:shd w:val="clear" w:color="000000" w:fill="FFFFFF"/>
            <w:hideMark/>
          </w:tcPr>
          <w:p w14:paraId="7CA368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180.- Acta de escrutinios.</w:t>
            </w:r>
            <w:r w:rsidRPr="00222F34">
              <w:rPr>
                <w:rFonts w:ascii="Calibri" w:eastAsia="Times New Roman" w:hAnsi="Calibri" w:cs="Calibri"/>
                <w:color w:val="000000"/>
                <w:lang w:val="es-CO" w:eastAsia="es-CO" w:bidi="ar-SA"/>
              </w:rPr>
              <w:t xml:space="preserve"> 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p>
        </w:tc>
        <w:tc>
          <w:tcPr>
            <w:tcW w:w="3798" w:type="dxa"/>
            <w:tcBorders>
              <w:top w:val="nil"/>
              <w:left w:val="nil"/>
              <w:bottom w:val="nil"/>
              <w:right w:val="single" w:sz="4" w:space="0" w:color="000000"/>
            </w:tcBorders>
            <w:shd w:val="clear" w:color="000000" w:fill="FFFFFF"/>
            <w:hideMark/>
          </w:tcPr>
          <w:p w14:paraId="23FCB7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180.- Acta de escrutinios.</w:t>
            </w:r>
            <w:r w:rsidRPr="00222F34">
              <w:rPr>
                <w:rFonts w:ascii="Calibri" w:eastAsia="Times New Roman" w:hAnsi="Calibri" w:cs="Calibri"/>
                <w:color w:val="000000"/>
                <w:lang w:val="es-CO" w:eastAsia="es-CO" w:bidi="ar-SA"/>
              </w:rPr>
              <w:t xml:space="preserve"> 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p>
        </w:tc>
        <w:tc>
          <w:tcPr>
            <w:tcW w:w="1480" w:type="dxa"/>
            <w:tcBorders>
              <w:top w:val="single" w:sz="4" w:space="0" w:color="000000"/>
              <w:left w:val="nil"/>
              <w:bottom w:val="nil"/>
              <w:right w:val="single" w:sz="4" w:space="0" w:color="000000"/>
            </w:tcBorders>
            <w:shd w:val="clear" w:color="000000" w:fill="FFFFFF"/>
            <w:hideMark/>
          </w:tcPr>
          <w:p w14:paraId="3106F956" w14:textId="689DB8C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02AB442"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31A937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 </w:t>
            </w:r>
          </w:p>
        </w:tc>
        <w:tc>
          <w:tcPr>
            <w:tcW w:w="3798" w:type="dxa"/>
            <w:tcBorders>
              <w:top w:val="nil"/>
              <w:left w:val="nil"/>
              <w:bottom w:val="single" w:sz="4" w:space="0" w:color="000000"/>
              <w:right w:val="single" w:sz="4" w:space="0" w:color="000000"/>
            </w:tcBorders>
            <w:shd w:val="clear" w:color="000000" w:fill="FFFFFF"/>
            <w:hideMark/>
          </w:tcPr>
          <w:p w14:paraId="43B30D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w:t>
            </w:r>
          </w:p>
        </w:tc>
        <w:tc>
          <w:tcPr>
            <w:tcW w:w="3798" w:type="dxa"/>
            <w:tcBorders>
              <w:top w:val="nil"/>
              <w:left w:val="nil"/>
              <w:bottom w:val="single" w:sz="4" w:space="0" w:color="000000"/>
              <w:right w:val="single" w:sz="4" w:space="0" w:color="000000"/>
            </w:tcBorders>
            <w:shd w:val="clear" w:color="000000" w:fill="FFFFFF"/>
            <w:hideMark/>
          </w:tcPr>
          <w:p w14:paraId="47253D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w:t>
            </w:r>
          </w:p>
        </w:tc>
        <w:tc>
          <w:tcPr>
            <w:tcW w:w="1480" w:type="dxa"/>
            <w:tcBorders>
              <w:top w:val="nil"/>
              <w:left w:val="nil"/>
              <w:bottom w:val="single" w:sz="4" w:space="0" w:color="000000"/>
              <w:right w:val="single" w:sz="4" w:space="0" w:color="000000"/>
            </w:tcBorders>
            <w:shd w:val="clear" w:color="000000" w:fill="FFFFFF"/>
            <w:hideMark/>
          </w:tcPr>
          <w:p w14:paraId="7AC484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88D07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1522004"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26A323B4"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3798" w:type="dxa"/>
            <w:tcBorders>
              <w:top w:val="nil"/>
              <w:left w:val="nil"/>
              <w:bottom w:val="nil"/>
              <w:right w:val="single" w:sz="4" w:space="0" w:color="000000"/>
            </w:tcBorders>
            <w:shd w:val="clear" w:color="000000" w:fill="FFFFFF"/>
            <w:hideMark/>
          </w:tcPr>
          <w:p w14:paraId="5B9D799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tc>
        <w:tc>
          <w:tcPr>
            <w:tcW w:w="1480" w:type="dxa"/>
            <w:tcBorders>
              <w:top w:val="nil"/>
              <w:left w:val="nil"/>
              <w:bottom w:val="nil"/>
              <w:right w:val="single" w:sz="4" w:space="0" w:color="000000"/>
            </w:tcBorders>
            <w:shd w:val="clear" w:color="000000" w:fill="FFFFFF"/>
            <w:hideMark/>
          </w:tcPr>
          <w:p w14:paraId="434EA7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6CC45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AB279B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escrutinio de mesa de votación</w:t>
            </w:r>
          </w:p>
        </w:tc>
        <w:tc>
          <w:tcPr>
            <w:tcW w:w="3798" w:type="dxa"/>
            <w:tcBorders>
              <w:top w:val="nil"/>
              <w:left w:val="nil"/>
              <w:bottom w:val="nil"/>
              <w:right w:val="single" w:sz="4" w:space="0" w:color="000000"/>
            </w:tcBorders>
            <w:shd w:val="clear" w:color="000000" w:fill="FFFFFF"/>
            <w:hideMark/>
          </w:tcPr>
          <w:p w14:paraId="7BF521F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escrutinio de mesa de votación</w:t>
            </w:r>
          </w:p>
        </w:tc>
        <w:tc>
          <w:tcPr>
            <w:tcW w:w="3798" w:type="dxa"/>
            <w:tcBorders>
              <w:top w:val="nil"/>
              <w:left w:val="nil"/>
              <w:bottom w:val="nil"/>
              <w:right w:val="single" w:sz="4" w:space="0" w:color="000000"/>
            </w:tcBorders>
            <w:shd w:val="clear" w:color="000000" w:fill="FFFFFF"/>
            <w:hideMark/>
          </w:tcPr>
          <w:p w14:paraId="06243C6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escrutinio de mesa de votación</w:t>
            </w:r>
          </w:p>
        </w:tc>
        <w:tc>
          <w:tcPr>
            <w:tcW w:w="1480" w:type="dxa"/>
            <w:tcBorders>
              <w:top w:val="nil"/>
              <w:left w:val="nil"/>
              <w:bottom w:val="nil"/>
              <w:right w:val="single" w:sz="4" w:space="0" w:color="000000"/>
            </w:tcBorders>
            <w:shd w:val="clear" w:color="000000" w:fill="FFFFFF"/>
            <w:hideMark/>
          </w:tcPr>
          <w:p w14:paraId="372DD5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27288E9" w14:textId="77777777" w:rsidTr="00222F34">
        <w:trPr>
          <w:trHeight w:val="900"/>
        </w:trPr>
        <w:tc>
          <w:tcPr>
            <w:tcW w:w="3798" w:type="dxa"/>
            <w:tcBorders>
              <w:top w:val="single" w:sz="4" w:space="0" w:color="000000"/>
              <w:left w:val="single" w:sz="4" w:space="0" w:color="000000"/>
              <w:bottom w:val="nil"/>
              <w:right w:val="single" w:sz="4" w:space="0" w:color="000000"/>
            </w:tcBorders>
            <w:shd w:val="clear" w:color="000000" w:fill="FFFFFF"/>
            <w:hideMark/>
          </w:tcPr>
          <w:p w14:paraId="0BB4346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177.- Procedimiento del escrutinio de mesa.</w:t>
            </w:r>
            <w:r w:rsidRPr="00222F34">
              <w:rPr>
                <w:rFonts w:ascii="Calibri" w:eastAsia="Times New Roman" w:hAnsi="Calibri" w:cs="Calibri"/>
                <w:color w:val="000000"/>
                <w:lang w:val="es-CO" w:eastAsia="es-CO" w:bidi="ar-SA"/>
              </w:rPr>
              <w:t xml:space="preserve"> Las votaciones se cerrarán a las cinco de la tarde (5:00 p. m.). A esa hora, el delegado de puesto anunciará el cierre de las mesas de votación. </w:t>
            </w:r>
          </w:p>
        </w:tc>
        <w:tc>
          <w:tcPr>
            <w:tcW w:w="3798" w:type="dxa"/>
            <w:tcBorders>
              <w:top w:val="single" w:sz="4" w:space="0" w:color="000000"/>
              <w:left w:val="nil"/>
              <w:bottom w:val="nil"/>
              <w:right w:val="single" w:sz="4" w:space="0" w:color="000000"/>
            </w:tcBorders>
            <w:shd w:val="clear" w:color="000000" w:fill="FFFFFF"/>
            <w:hideMark/>
          </w:tcPr>
          <w:p w14:paraId="1B4B8A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181.- </w:t>
            </w:r>
            <w:r w:rsidRPr="00222F34">
              <w:rPr>
                <w:rFonts w:ascii="Calibri" w:eastAsia="Times New Roman" w:hAnsi="Calibri" w:cs="Calibri"/>
                <w:color w:val="000000"/>
                <w:lang w:val="es-CO" w:eastAsia="es-CO" w:bidi="ar-SA"/>
              </w:rPr>
              <w:t>Procedimiento del escrutinio de mesa. Las votaciones se cerrarán a las cinco de la tarde (5:00 p. m.). A esa hora, el delegado de puesto anunciará el cierre de las mesas de votación.</w:t>
            </w:r>
          </w:p>
        </w:tc>
        <w:tc>
          <w:tcPr>
            <w:tcW w:w="3798" w:type="dxa"/>
            <w:tcBorders>
              <w:top w:val="single" w:sz="4" w:space="0" w:color="000000"/>
              <w:left w:val="nil"/>
              <w:bottom w:val="nil"/>
              <w:right w:val="single" w:sz="4" w:space="0" w:color="000000"/>
            </w:tcBorders>
            <w:shd w:val="clear" w:color="000000" w:fill="FFFFFF"/>
            <w:hideMark/>
          </w:tcPr>
          <w:p w14:paraId="3BFAAE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181.- </w:t>
            </w:r>
            <w:r w:rsidRPr="00222F34">
              <w:rPr>
                <w:rFonts w:ascii="Calibri" w:eastAsia="Times New Roman" w:hAnsi="Calibri" w:cs="Calibri"/>
                <w:color w:val="000000"/>
                <w:lang w:val="es-CO" w:eastAsia="es-CO" w:bidi="ar-SA"/>
              </w:rPr>
              <w:t>Procedimiento del escrutinio de mesa. Las votaciones se cerrarán a las cinco de la tarde (5:00 p. m.). A esa hora, el delegado de puesto anunciará el cierre de las mesas de votación.</w:t>
            </w:r>
          </w:p>
        </w:tc>
        <w:tc>
          <w:tcPr>
            <w:tcW w:w="1480" w:type="dxa"/>
            <w:tcBorders>
              <w:top w:val="single" w:sz="4" w:space="0" w:color="000000"/>
              <w:left w:val="nil"/>
              <w:bottom w:val="nil"/>
              <w:right w:val="single" w:sz="4" w:space="0" w:color="000000"/>
            </w:tcBorders>
            <w:shd w:val="clear" w:color="000000" w:fill="FFFFFF"/>
            <w:hideMark/>
          </w:tcPr>
          <w:p w14:paraId="1B06E456" w14:textId="13DE73A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14FF84D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FB52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jurados de votación realizarán el escrutinio de mesa con base en los votos depositados en la urna. </w:t>
            </w:r>
          </w:p>
        </w:tc>
        <w:tc>
          <w:tcPr>
            <w:tcW w:w="3798" w:type="dxa"/>
            <w:tcBorders>
              <w:top w:val="nil"/>
              <w:left w:val="nil"/>
              <w:bottom w:val="nil"/>
              <w:right w:val="single" w:sz="4" w:space="0" w:color="000000"/>
            </w:tcBorders>
            <w:shd w:val="clear" w:color="000000" w:fill="FFFFFF"/>
            <w:hideMark/>
          </w:tcPr>
          <w:p w14:paraId="7A94E1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jurados de votación realizarán el escrutinio de mesa con base en los votos depositados en la urna.</w:t>
            </w:r>
          </w:p>
        </w:tc>
        <w:tc>
          <w:tcPr>
            <w:tcW w:w="3798" w:type="dxa"/>
            <w:tcBorders>
              <w:top w:val="nil"/>
              <w:left w:val="nil"/>
              <w:bottom w:val="nil"/>
              <w:right w:val="single" w:sz="4" w:space="0" w:color="000000"/>
            </w:tcBorders>
            <w:shd w:val="clear" w:color="000000" w:fill="FFFFFF"/>
            <w:hideMark/>
          </w:tcPr>
          <w:p w14:paraId="3C9632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jurados de votación realizarán el escrutinio de mesa con base en los votos depositados en la urna.</w:t>
            </w:r>
          </w:p>
        </w:tc>
        <w:tc>
          <w:tcPr>
            <w:tcW w:w="1480" w:type="dxa"/>
            <w:tcBorders>
              <w:top w:val="nil"/>
              <w:left w:val="nil"/>
              <w:bottom w:val="nil"/>
              <w:right w:val="single" w:sz="4" w:space="0" w:color="000000"/>
            </w:tcBorders>
            <w:shd w:val="clear" w:color="000000" w:fill="FFFFFF"/>
            <w:hideMark/>
          </w:tcPr>
          <w:p w14:paraId="6926EA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4FBB9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99849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Enseguida, los jurados, según la distribución de actividades que hubieren realizado entre ellos, procederán, en estricto orden, de la siguiente manera: </w:t>
            </w:r>
          </w:p>
        </w:tc>
        <w:tc>
          <w:tcPr>
            <w:tcW w:w="3798" w:type="dxa"/>
            <w:tcBorders>
              <w:top w:val="nil"/>
              <w:left w:val="nil"/>
              <w:bottom w:val="nil"/>
              <w:right w:val="single" w:sz="4" w:space="0" w:color="000000"/>
            </w:tcBorders>
            <w:shd w:val="clear" w:color="000000" w:fill="FFFFFF"/>
            <w:hideMark/>
          </w:tcPr>
          <w:p w14:paraId="525531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Enseguida, los jurados, según la distribución de actividades que hubieren realizado entre ellos, procederán, en estricto orden, de la siguiente manera:</w:t>
            </w:r>
          </w:p>
        </w:tc>
        <w:tc>
          <w:tcPr>
            <w:tcW w:w="3798" w:type="dxa"/>
            <w:tcBorders>
              <w:top w:val="nil"/>
              <w:left w:val="nil"/>
              <w:bottom w:val="nil"/>
              <w:right w:val="single" w:sz="4" w:space="0" w:color="000000"/>
            </w:tcBorders>
            <w:shd w:val="clear" w:color="000000" w:fill="FFFFFF"/>
            <w:hideMark/>
          </w:tcPr>
          <w:p w14:paraId="2955A2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Enseguida, los jurados, según la distribución de actividades que hubieren realizado entre ellos, procederán, en estricto orden, de la siguiente manera:</w:t>
            </w:r>
          </w:p>
        </w:tc>
        <w:tc>
          <w:tcPr>
            <w:tcW w:w="1480" w:type="dxa"/>
            <w:tcBorders>
              <w:top w:val="nil"/>
              <w:left w:val="nil"/>
              <w:bottom w:val="nil"/>
              <w:right w:val="single" w:sz="4" w:space="0" w:color="000000"/>
            </w:tcBorders>
            <w:shd w:val="clear" w:color="000000" w:fill="FFFFFF"/>
            <w:hideMark/>
          </w:tcPr>
          <w:p w14:paraId="555441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1A8929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9DBF7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 </w:t>
            </w:r>
          </w:p>
        </w:tc>
        <w:tc>
          <w:tcPr>
            <w:tcW w:w="3798" w:type="dxa"/>
            <w:tcBorders>
              <w:top w:val="nil"/>
              <w:left w:val="nil"/>
              <w:bottom w:val="nil"/>
              <w:right w:val="single" w:sz="4" w:space="0" w:color="000000"/>
            </w:tcBorders>
            <w:shd w:val="clear" w:color="000000" w:fill="FFFFFF"/>
            <w:hideMark/>
          </w:tcPr>
          <w:p w14:paraId="46AA48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w:t>
            </w:r>
          </w:p>
        </w:tc>
        <w:tc>
          <w:tcPr>
            <w:tcW w:w="3798" w:type="dxa"/>
            <w:tcBorders>
              <w:top w:val="nil"/>
              <w:left w:val="nil"/>
              <w:bottom w:val="nil"/>
              <w:right w:val="single" w:sz="4" w:space="0" w:color="000000"/>
            </w:tcBorders>
            <w:shd w:val="clear" w:color="000000" w:fill="FFFFFF"/>
            <w:hideMark/>
          </w:tcPr>
          <w:p w14:paraId="0DB854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w:t>
            </w:r>
          </w:p>
        </w:tc>
        <w:tc>
          <w:tcPr>
            <w:tcW w:w="1480" w:type="dxa"/>
            <w:tcBorders>
              <w:top w:val="nil"/>
              <w:left w:val="nil"/>
              <w:bottom w:val="nil"/>
              <w:right w:val="single" w:sz="4" w:space="0" w:color="000000"/>
            </w:tcBorders>
            <w:shd w:val="clear" w:color="000000" w:fill="FFFFFF"/>
            <w:hideMark/>
          </w:tcPr>
          <w:p w14:paraId="7391F6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821D5E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0B70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Leerán en voz alta el número total de votantes del formulario de registro de votantes y lo anotarán en el acta de escrutinio de mesa.  </w:t>
            </w:r>
          </w:p>
        </w:tc>
        <w:tc>
          <w:tcPr>
            <w:tcW w:w="3798" w:type="dxa"/>
            <w:tcBorders>
              <w:top w:val="nil"/>
              <w:left w:val="nil"/>
              <w:bottom w:val="nil"/>
              <w:right w:val="single" w:sz="4" w:space="0" w:color="000000"/>
            </w:tcBorders>
            <w:shd w:val="clear" w:color="000000" w:fill="FFFFFF"/>
            <w:hideMark/>
          </w:tcPr>
          <w:p w14:paraId="00EDCE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Leerán en voz alta el número total de votantes del formulario de registro de votantes y lo anotarán en el acta de escrutinio de mesa.</w:t>
            </w:r>
          </w:p>
        </w:tc>
        <w:tc>
          <w:tcPr>
            <w:tcW w:w="3798" w:type="dxa"/>
            <w:tcBorders>
              <w:top w:val="nil"/>
              <w:left w:val="nil"/>
              <w:bottom w:val="nil"/>
              <w:right w:val="single" w:sz="4" w:space="0" w:color="000000"/>
            </w:tcBorders>
            <w:shd w:val="clear" w:color="000000" w:fill="FFFFFF"/>
            <w:hideMark/>
          </w:tcPr>
          <w:p w14:paraId="3E2251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Leerán en voz alta el número total de votantes del formulario de registro de votantes y lo anotarán en el acta de escrutinio de mesa.</w:t>
            </w:r>
          </w:p>
        </w:tc>
        <w:tc>
          <w:tcPr>
            <w:tcW w:w="1480" w:type="dxa"/>
            <w:tcBorders>
              <w:top w:val="nil"/>
              <w:left w:val="nil"/>
              <w:bottom w:val="nil"/>
              <w:right w:val="single" w:sz="4" w:space="0" w:color="000000"/>
            </w:tcBorders>
            <w:shd w:val="clear" w:color="000000" w:fill="FFFFFF"/>
            <w:hideMark/>
          </w:tcPr>
          <w:p w14:paraId="45A077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5D9EB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5171F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Romperán los sellos y abrirán públicamente las urnas. </w:t>
            </w:r>
          </w:p>
        </w:tc>
        <w:tc>
          <w:tcPr>
            <w:tcW w:w="3798" w:type="dxa"/>
            <w:tcBorders>
              <w:top w:val="nil"/>
              <w:left w:val="nil"/>
              <w:bottom w:val="nil"/>
              <w:right w:val="single" w:sz="4" w:space="0" w:color="000000"/>
            </w:tcBorders>
            <w:shd w:val="clear" w:color="000000" w:fill="FFFFFF"/>
            <w:hideMark/>
          </w:tcPr>
          <w:p w14:paraId="63105C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Romperán los sellos y abrirán públicamente las urnas.</w:t>
            </w:r>
          </w:p>
        </w:tc>
        <w:tc>
          <w:tcPr>
            <w:tcW w:w="3798" w:type="dxa"/>
            <w:tcBorders>
              <w:top w:val="nil"/>
              <w:left w:val="nil"/>
              <w:bottom w:val="nil"/>
              <w:right w:val="single" w:sz="4" w:space="0" w:color="000000"/>
            </w:tcBorders>
            <w:shd w:val="clear" w:color="000000" w:fill="FFFFFF"/>
            <w:hideMark/>
          </w:tcPr>
          <w:p w14:paraId="05BDFA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Romperán los sellos y abrirán públicamente las urnas.</w:t>
            </w:r>
          </w:p>
        </w:tc>
        <w:tc>
          <w:tcPr>
            <w:tcW w:w="1480" w:type="dxa"/>
            <w:tcBorders>
              <w:top w:val="nil"/>
              <w:left w:val="nil"/>
              <w:bottom w:val="nil"/>
              <w:right w:val="single" w:sz="4" w:space="0" w:color="000000"/>
            </w:tcBorders>
            <w:shd w:val="clear" w:color="000000" w:fill="FFFFFF"/>
            <w:hideMark/>
          </w:tcPr>
          <w:p w14:paraId="6431B0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B7195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F9E76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Agruparán las tarjetas electorales depositadas en la urna por cada cargo, corporación o mecanismo de participación y sin abrirlas ni verificar el sentido del voto, las contarán en voz alta. </w:t>
            </w:r>
          </w:p>
        </w:tc>
        <w:tc>
          <w:tcPr>
            <w:tcW w:w="3798" w:type="dxa"/>
            <w:tcBorders>
              <w:top w:val="nil"/>
              <w:left w:val="nil"/>
              <w:bottom w:val="nil"/>
              <w:right w:val="single" w:sz="4" w:space="0" w:color="000000"/>
            </w:tcBorders>
            <w:shd w:val="clear" w:color="000000" w:fill="FFFFFF"/>
            <w:hideMark/>
          </w:tcPr>
          <w:p w14:paraId="5D32D4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Agruparán las tarjetas electorales depositadas en la urna por cada cargo, corporación o mecanismo de participación y sin abrirlas ni verificar el sentido del voto, las contarán en voz alta.</w:t>
            </w:r>
          </w:p>
        </w:tc>
        <w:tc>
          <w:tcPr>
            <w:tcW w:w="3798" w:type="dxa"/>
            <w:tcBorders>
              <w:top w:val="nil"/>
              <w:left w:val="nil"/>
              <w:bottom w:val="nil"/>
              <w:right w:val="single" w:sz="4" w:space="0" w:color="000000"/>
            </w:tcBorders>
            <w:shd w:val="clear" w:color="000000" w:fill="FFFFFF"/>
            <w:hideMark/>
          </w:tcPr>
          <w:p w14:paraId="020CFBE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Agruparán las tarjetas electorales depositadas en la urna por cada cargo, corporación o mecanismo de participación y sin abrirlas ni verificar el sentido del voto, las contarán en voz alta.</w:t>
            </w:r>
          </w:p>
        </w:tc>
        <w:tc>
          <w:tcPr>
            <w:tcW w:w="1480" w:type="dxa"/>
            <w:tcBorders>
              <w:top w:val="nil"/>
              <w:left w:val="nil"/>
              <w:bottom w:val="nil"/>
              <w:right w:val="single" w:sz="4" w:space="0" w:color="000000"/>
            </w:tcBorders>
            <w:shd w:val="clear" w:color="000000" w:fill="FFFFFF"/>
            <w:hideMark/>
          </w:tcPr>
          <w:p w14:paraId="472767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87E252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453E2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Si hubiere un número de tarjetas electorales superior al de personas que votaron en la mesa para la respectiva </w:t>
            </w:r>
            <w:r w:rsidRPr="00222F34">
              <w:rPr>
                <w:rFonts w:ascii="Calibri" w:eastAsia="Times New Roman" w:hAnsi="Calibri" w:cs="Calibri"/>
                <w:color w:val="000000"/>
                <w:lang w:val="es-CO" w:eastAsia="es-CO" w:bidi="ar-SA"/>
              </w:rPr>
              <w:lastRenderedPageBreak/>
              <w:t xml:space="preserve">votación, se actuará de la siguiente manera: </w:t>
            </w:r>
          </w:p>
        </w:tc>
        <w:tc>
          <w:tcPr>
            <w:tcW w:w="3798" w:type="dxa"/>
            <w:tcBorders>
              <w:top w:val="nil"/>
              <w:left w:val="nil"/>
              <w:bottom w:val="nil"/>
              <w:right w:val="single" w:sz="4" w:space="0" w:color="000000"/>
            </w:tcBorders>
            <w:shd w:val="clear" w:color="000000" w:fill="FFFFFF"/>
            <w:hideMark/>
          </w:tcPr>
          <w:p w14:paraId="211945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Si hubiere un número de tarjetas electorales superior al de personas que votaron en la mesa para la respectiva </w:t>
            </w:r>
            <w:r w:rsidRPr="00222F34">
              <w:rPr>
                <w:rFonts w:ascii="Calibri" w:eastAsia="Times New Roman" w:hAnsi="Calibri" w:cs="Calibri"/>
                <w:color w:val="000000"/>
                <w:lang w:val="es-CO" w:eastAsia="es-CO" w:bidi="ar-SA"/>
              </w:rPr>
              <w:lastRenderedPageBreak/>
              <w:t>votación, se actuará de la siguiente manera:</w:t>
            </w:r>
          </w:p>
        </w:tc>
        <w:tc>
          <w:tcPr>
            <w:tcW w:w="3798" w:type="dxa"/>
            <w:tcBorders>
              <w:top w:val="nil"/>
              <w:left w:val="nil"/>
              <w:bottom w:val="nil"/>
              <w:right w:val="single" w:sz="4" w:space="0" w:color="000000"/>
            </w:tcBorders>
            <w:shd w:val="clear" w:color="000000" w:fill="FFFFFF"/>
            <w:hideMark/>
          </w:tcPr>
          <w:p w14:paraId="618BEED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Si hubiere un número de tarjetas electorales superior al de personas que votaron en la mesa para la respectiva </w:t>
            </w:r>
            <w:r w:rsidRPr="00222F34">
              <w:rPr>
                <w:rFonts w:ascii="Calibri" w:eastAsia="Times New Roman" w:hAnsi="Calibri" w:cs="Calibri"/>
                <w:color w:val="000000"/>
                <w:lang w:val="es-CO" w:eastAsia="es-CO" w:bidi="ar-SA"/>
              </w:rPr>
              <w:lastRenderedPageBreak/>
              <w:t>votación, se actuará de la siguiente manera:</w:t>
            </w:r>
          </w:p>
        </w:tc>
        <w:tc>
          <w:tcPr>
            <w:tcW w:w="1480" w:type="dxa"/>
            <w:tcBorders>
              <w:top w:val="nil"/>
              <w:left w:val="nil"/>
              <w:bottom w:val="nil"/>
              <w:right w:val="single" w:sz="4" w:space="0" w:color="000000"/>
            </w:tcBorders>
            <w:shd w:val="clear" w:color="000000" w:fill="FFFFFF"/>
            <w:hideMark/>
          </w:tcPr>
          <w:p w14:paraId="505719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10AFB0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A650F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i) Nivelar la mesa, para lo cual deberán introducir los votos de nuevo, en forma aleatoria en la urna, alterando su colocación y sacarán al azar un número igual al excedente. </w:t>
            </w:r>
          </w:p>
        </w:tc>
        <w:tc>
          <w:tcPr>
            <w:tcW w:w="3798" w:type="dxa"/>
            <w:tcBorders>
              <w:top w:val="nil"/>
              <w:left w:val="nil"/>
              <w:bottom w:val="nil"/>
              <w:right w:val="single" w:sz="4" w:space="0" w:color="000000"/>
            </w:tcBorders>
            <w:shd w:val="clear" w:color="000000" w:fill="FFFFFF"/>
            <w:hideMark/>
          </w:tcPr>
          <w:p w14:paraId="7209FD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Nivelar la mesa, para lo cual deberán introducir los votos de nuevo, en forma aleatoria en la urna, alterando su colocación y sacarán al azar un número igual al excedente.</w:t>
            </w:r>
          </w:p>
        </w:tc>
        <w:tc>
          <w:tcPr>
            <w:tcW w:w="3798" w:type="dxa"/>
            <w:tcBorders>
              <w:top w:val="nil"/>
              <w:left w:val="nil"/>
              <w:bottom w:val="nil"/>
              <w:right w:val="single" w:sz="4" w:space="0" w:color="000000"/>
            </w:tcBorders>
            <w:shd w:val="clear" w:color="000000" w:fill="FFFFFF"/>
            <w:hideMark/>
          </w:tcPr>
          <w:p w14:paraId="044F1E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Nivelar la mesa, para lo cual deberán introducir los votos de nuevo, en forma aleatoria en la urna, alterando su colocación y sacarán al azar un número igual al excedente.</w:t>
            </w:r>
          </w:p>
        </w:tc>
        <w:tc>
          <w:tcPr>
            <w:tcW w:w="1480" w:type="dxa"/>
            <w:tcBorders>
              <w:top w:val="nil"/>
              <w:left w:val="nil"/>
              <w:bottom w:val="nil"/>
              <w:right w:val="single" w:sz="4" w:space="0" w:color="000000"/>
            </w:tcBorders>
            <w:shd w:val="clear" w:color="000000" w:fill="FFFFFF"/>
            <w:hideMark/>
          </w:tcPr>
          <w:p w14:paraId="6A559A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2C0E07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D4C8E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ii) Los votos retirados por exceso serán destruidos de inmediato en forma pública, dejando constancia en el acta de escrutinio de mesa de esta circunstancia, indicando, además, el número de destruidos o incinerados. </w:t>
            </w:r>
          </w:p>
        </w:tc>
        <w:tc>
          <w:tcPr>
            <w:tcW w:w="3798" w:type="dxa"/>
            <w:tcBorders>
              <w:top w:val="nil"/>
              <w:left w:val="nil"/>
              <w:bottom w:val="nil"/>
              <w:right w:val="single" w:sz="4" w:space="0" w:color="000000"/>
            </w:tcBorders>
            <w:shd w:val="clear" w:color="000000" w:fill="FFFFFF"/>
            <w:hideMark/>
          </w:tcPr>
          <w:p w14:paraId="0D09CA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ii) Los votos retirados por exceso serán destruidos de inmediato en forma pública, dejando constancia en el acta de escrutinio de mesa de esta circunstancia, indicando, además, el número de destruidos o incinerados.</w:t>
            </w:r>
          </w:p>
        </w:tc>
        <w:tc>
          <w:tcPr>
            <w:tcW w:w="3798" w:type="dxa"/>
            <w:tcBorders>
              <w:top w:val="nil"/>
              <w:left w:val="nil"/>
              <w:bottom w:val="nil"/>
              <w:right w:val="single" w:sz="4" w:space="0" w:color="000000"/>
            </w:tcBorders>
            <w:shd w:val="clear" w:color="000000" w:fill="FFFFFF"/>
            <w:hideMark/>
          </w:tcPr>
          <w:p w14:paraId="4BB8D9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ii) Los votos retirados por exceso serán destruidos de inmediato en forma pública, dejando constancia en el acta de escrutinio de mesa de esta circunstancia, indicando, además, el número de destruidos o incinerados.</w:t>
            </w:r>
          </w:p>
        </w:tc>
        <w:tc>
          <w:tcPr>
            <w:tcW w:w="1480" w:type="dxa"/>
            <w:tcBorders>
              <w:top w:val="nil"/>
              <w:left w:val="nil"/>
              <w:bottom w:val="nil"/>
              <w:right w:val="single" w:sz="4" w:space="0" w:color="000000"/>
            </w:tcBorders>
            <w:shd w:val="clear" w:color="000000" w:fill="FFFFFF"/>
            <w:hideMark/>
          </w:tcPr>
          <w:p w14:paraId="0D7453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6C8BC8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C6FA6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Si hubiera un número de votos inferior al de personas que votaron en la mesa para la respectiva votación se continuará el escrutinio y se dejará constancia en la respectiva acta.</w:t>
            </w:r>
          </w:p>
        </w:tc>
        <w:tc>
          <w:tcPr>
            <w:tcW w:w="3798" w:type="dxa"/>
            <w:tcBorders>
              <w:top w:val="nil"/>
              <w:left w:val="nil"/>
              <w:bottom w:val="nil"/>
              <w:right w:val="single" w:sz="4" w:space="0" w:color="000000"/>
            </w:tcBorders>
            <w:shd w:val="clear" w:color="000000" w:fill="FFFFFF"/>
            <w:hideMark/>
          </w:tcPr>
          <w:p w14:paraId="624C6C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Si hubiera un número de votos inferior al de personas que votaron en la mesa para la respectiva votación se continuará el escrutinio y se dejará constancia en la respectiva acta.</w:t>
            </w:r>
          </w:p>
        </w:tc>
        <w:tc>
          <w:tcPr>
            <w:tcW w:w="3798" w:type="dxa"/>
            <w:tcBorders>
              <w:top w:val="nil"/>
              <w:left w:val="nil"/>
              <w:bottom w:val="nil"/>
              <w:right w:val="single" w:sz="4" w:space="0" w:color="000000"/>
            </w:tcBorders>
            <w:shd w:val="clear" w:color="000000" w:fill="FFFFFF"/>
            <w:hideMark/>
          </w:tcPr>
          <w:p w14:paraId="28D868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Si hubiera un número de votos inferior al de personas que votaron en la mesa para la respectiva votación se continuará el escrutinio y se dejará constancia en la respectiva acta.</w:t>
            </w:r>
          </w:p>
        </w:tc>
        <w:tc>
          <w:tcPr>
            <w:tcW w:w="1480" w:type="dxa"/>
            <w:tcBorders>
              <w:top w:val="nil"/>
              <w:left w:val="nil"/>
              <w:bottom w:val="nil"/>
              <w:right w:val="single" w:sz="4" w:space="0" w:color="000000"/>
            </w:tcBorders>
            <w:shd w:val="clear" w:color="000000" w:fill="FFFFFF"/>
            <w:hideMark/>
          </w:tcPr>
          <w:p w14:paraId="113B9B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BFBFD8"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4DF5C1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w:t>
            </w:r>
            <w:r w:rsidRPr="00222F34">
              <w:rPr>
                <w:rFonts w:ascii="Calibri" w:eastAsia="Times New Roman" w:hAnsi="Calibri" w:cs="Calibri"/>
                <w:color w:val="000000"/>
                <w:lang w:val="es-CO" w:eastAsia="es-CO" w:bidi="ar-SA"/>
              </w:rPr>
              <w:lastRenderedPageBreak/>
              <w:t xml:space="preserve">obtenidos por los candidatos que las integran y los votos a favor de la lista. Finalmente, se contabilizarán los votos en blanco y los votos nulos. </w:t>
            </w:r>
          </w:p>
        </w:tc>
        <w:tc>
          <w:tcPr>
            <w:tcW w:w="3798" w:type="dxa"/>
            <w:tcBorders>
              <w:top w:val="nil"/>
              <w:left w:val="nil"/>
              <w:bottom w:val="nil"/>
              <w:right w:val="single" w:sz="4" w:space="0" w:color="000000"/>
            </w:tcBorders>
            <w:shd w:val="clear" w:color="000000" w:fill="FFFFFF"/>
            <w:hideMark/>
          </w:tcPr>
          <w:p w14:paraId="680BC9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w:t>
            </w:r>
            <w:r w:rsidRPr="00222F34">
              <w:rPr>
                <w:rFonts w:ascii="Calibri" w:eastAsia="Times New Roman" w:hAnsi="Calibri" w:cs="Calibri"/>
                <w:color w:val="000000"/>
                <w:lang w:val="es-CO" w:eastAsia="es-CO" w:bidi="ar-SA"/>
              </w:rPr>
              <w:lastRenderedPageBreak/>
              <w:t>obtenidos por los candidatos que las integran y los votos a favor de la lista. Finalmente, se contabilizarán los votos en blanco y los votos nulos.</w:t>
            </w:r>
          </w:p>
        </w:tc>
        <w:tc>
          <w:tcPr>
            <w:tcW w:w="3798" w:type="dxa"/>
            <w:tcBorders>
              <w:top w:val="nil"/>
              <w:left w:val="nil"/>
              <w:bottom w:val="nil"/>
              <w:right w:val="single" w:sz="4" w:space="0" w:color="000000"/>
            </w:tcBorders>
            <w:shd w:val="clear" w:color="000000" w:fill="FFFFFF"/>
            <w:hideMark/>
          </w:tcPr>
          <w:p w14:paraId="272DA5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w:t>
            </w:r>
            <w:r w:rsidRPr="00222F34">
              <w:rPr>
                <w:rFonts w:ascii="Calibri" w:eastAsia="Times New Roman" w:hAnsi="Calibri" w:cs="Calibri"/>
                <w:color w:val="000000"/>
                <w:lang w:val="es-CO" w:eastAsia="es-CO" w:bidi="ar-SA"/>
              </w:rPr>
              <w:lastRenderedPageBreak/>
              <w:t>obtenidos por los candidatos que las integran y los votos a favor de la lista. Finalmente, se contabilizarán los votos en blanco y los votos nulos.</w:t>
            </w:r>
          </w:p>
        </w:tc>
        <w:tc>
          <w:tcPr>
            <w:tcW w:w="1480" w:type="dxa"/>
            <w:tcBorders>
              <w:top w:val="nil"/>
              <w:left w:val="nil"/>
              <w:bottom w:val="nil"/>
              <w:right w:val="single" w:sz="4" w:space="0" w:color="000000"/>
            </w:tcBorders>
            <w:shd w:val="clear" w:color="000000" w:fill="FFFFFF"/>
            <w:hideMark/>
          </w:tcPr>
          <w:p w14:paraId="1D2E85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6D5DC21"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032F80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8. 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los delegados para asuntos electorales. La Registraduría Nacional del Estado Civil podrá establecer una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 </w:t>
            </w:r>
          </w:p>
        </w:tc>
        <w:tc>
          <w:tcPr>
            <w:tcW w:w="3798" w:type="dxa"/>
            <w:tcBorders>
              <w:top w:val="nil"/>
              <w:left w:val="nil"/>
              <w:bottom w:val="nil"/>
              <w:right w:val="single" w:sz="4" w:space="0" w:color="000000"/>
            </w:tcBorders>
            <w:shd w:val="clear" w:color="000000" w:fill="FFFFFF"/>
            <w:hideMark/>
          </w:tcPr>
          <w:p w14:paraId="5066A5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el Registrador departamental. La Registraduría Nacional del Estado Civil podrá establecer una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w:t>
            </w:r>
          </w:p>
        </w:tc>
        <w:tc>
          <w:tcPr>
            <w:tcW w:w="3798" w:type="dxa"/>
            <w:tcBorders>
              <w:top w:val="nil"/>
              <w:left w:val="nil"/>
              <w:bottom w:val="nil"/>
              <w:right w:val="single" w:sz="4" w:space="0" w:color="000000"/>
            </w:tcBorders>
            <w:shd w:val="clear" w:color="000000" w:fill="FFFFFF"/>
            <w:hideMark/>
          </w:tcPr>
          <w:p w14:paraId="0CE48F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el Registrador departamental. La Registraduría Nacional del Estado Civil podrá establecer una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w:t>
            </w:r>
          </w:p>
        </w:tc>
        <w:tc>
          <w:tcPr>
            <w:tcW w:w="1480" w:type="dxa"/>
            <w:tcBorders>
              <w:top w:val="nil"/>
              <w:left w:val="nil"/>
              <w:bottom w:val="nil"/>
              <w:right w:val="single" w:sz="4" w:space="0" w:color="000000"/>
            </w:tcBorders>
            <w:shd w:val="clear" w:color="000000" w:fill="FFFFFF"/>
            <w:hideMark/>
          </w:tcPr>
          <w:p w14:paraId="376E8A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B73286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56AB2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9. 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 </w:t>
            </w:r>
          </w:p>
        </w:tc>
        <w:tc>
          <w:tcPr>
            <w:tcW w:w="3798" w:type="dxa"/>
            <w:tcBorders>
              <w:top w:val="nil"/>
              <w:left w:val="nil"/>
              <w:bottom w:val="nil"/>
              <w:right w:val="single" w:sz="4" w:space="0" w:color="000000"/>
            </w:tcBorders>
            <w:shd w:val="clear" w:color="000000" w:fill="FFFFFF"/>
            <w:hideMark/>
          </w:tcPr>
          <w:p w14:paraId="195D5A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w:t>
            </w:r>
          </w:p>
        </w:tc>
        <w:tc>
          <w:tcPr>
            <w:tcW w:w="3798" w:type="dxa"/>
            <w:tcBorders>
              <w:top w:val="nil"/>
              <w:left w:val="nil"/>
              <w:bottom w:val="nil"/>
              <w:right w:val="single" w:sz="4" w:space="0" w:color="000000"/>
            </w:tcBorders>
            <w:shd w:val="clear" w:color="000000" w:fill="FFFFFF"/>
            <w:hideMark/>
          </w:tcPr>
          <w:p w14:paraId="2D5B19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w:t>
            </w:r>
          </w:p>
        </w:tc>
        <w:tc>
          <w:tcPr>
            <w:tcW w:w="1480" w:type="dxa"/>
            <w:tcBorders>
              <w:top w:val="nil"/>
              <w:left w:val="nil"/>
              <w:bottom w:val="nil"/>
              <w:right w:val="single" w:sz="4" w:space="0" w:color="000000"/>
            </w:tcBorders>
            <w:shd w:val="clear" w:color="000000" w:fill="FFFFFF"/>
            <w:hideMark/>
          </w:tcPr>
          <w:p w14:paraId="1AEFC5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D13FE4"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BE294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 </w:t>
            </w:r>
          </w:p>
        </w:tc>
        <w:tc>
          <w:tcPr>
            <w:tcW w:w="3798" w:type="dxa"/>
            <w:tcBorders>
              <w:top w:val="nil"/>
              <w:left w:val="nil"/>
              <w:bottom w:val="nil"/>
              <w:right w:val="single" w:sz="4" w:space="0" w:color="000000"/>
            </w:tcBorders>
            <w:shd w:val="clear" w:color="000000" w:fill="FFFFFF"/>
            <w:hideMark/>
          </w:tcPr>
          <w:p w14:paraId="0E65B1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w:t>
            </w:r>
          </w:p>
        </w:tc>
        <w:tc>
          <w:tcPr>
            <w:tcW w:w="3798" w:type="dxa"/>
            <w:tcBorders>
              <w:top w:val="nil"/>
              <w:left w:val="nil"/>
              <w:bottom w:val="nil"/>
              <w:right w:val="single" w:sz="4" w:space="0" w:color="000000"/>
            </w:tcBorders>
            <w:shd w:val="clear" w:color="000000" w:fill="FFFFFF"/>
            <w:hideMark/>
          </w:tcPr>
          <w:p w14:paraId="6E6118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w:t>
            </w:r>
          </w:p>
        </w:tc>
        <w:tc>
          <w:tcPr>
            <w:tcW w:w="1480" w:type="dxa"/>
            <w:tcBorders>
              <w:top w:val="nil"/>
              <w:left w:val="nil"/>
              <w:bottom w:val="nil"/>
              <w:right w:val="single" w:sz="4" w:space="0" w:color="000000"/>
            </w:tcBorders>
            <w:shd w:val="clear" w:color="000000" w:fill="FFFFFF"/>
            <w:hideMark/>
          </w:tcPr>
          <w:p w14:paraId="1E0402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0266F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88CDA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  </w:t>
            </w:r>
          </w:p>
        </w:tc>
        <w:tc>
          <w:tcPr>
            <w:tcW w:w="3798" w:type="dxa"/>
            <w:tcBorders>
              <w:top w:val="nil"/>
              <w:left w:val="nil"/>
              <w:bottom w:val="nil"/>
              <w:right w:val="single" w:sz="4" w:space="0" w:color="000000"/>
            </w:tcBorders>
            <w:shd w:val="clear" w:color="000000" w:fill="FFFFFF"/>
            <w:hideMark/>
          </w:tcPr>
          <w:p w14:paraId="7E9DD3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w:t>
            </w:r>
          </w:p>
        </w:tc>
        <w:tc>
          <w:tcPr>
            <w:tcW w:w="3798" w:type="dxa"/>
            <w:tcBorders>
              <w:top w:val="nil"/>
              <w:left w:val="nil"/>
              <w:bottom w:val="nil"/>
              <w:right w:val="single" w:sz="4" w:space="0" w:color="000000"/>
            </w:tcBorders>
            <w:shd w:val="clear" w:color="000000" w:fill="FFFFFF"/>
            <w:hideMark/>
          </w:tcPr>
          <w:p w14:paraId="07D8A6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w:t>
            </w:r>
          </w:p>
        </w:tc>
        <w:tc>
          <w:tcPr>
            <w:tcW w:w="1480" w:type="dxa"/>
            <w:tcBorders>
              <w:top w:val="nil"/>
              <w:left w:val="nil"/>
              <w:bottom w:val="nil"/>
              <w:right w:val="single" w:sz="4" w:space="0" w:color="000000"/>
            </w:tcBorders>
            <w:shd w:val="clear" w:color="000000" w:fill="FFFFFF"/>
            <w:hideMark/>
          </w:tcPr>
          <w:p w14:paraId="1D8045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F8E6242"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0360DD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 </w:t>
            </w:r>
          </w:p>
        </w:tc>
        <w:tc>
          <w:tcPr>
            <w:tcW w:w="3798" w:type="dxa"/>
            <w:tcBorders>
              <w:top w:val="nil"/>
              <w:left w:val="nil"/>
              <w:bottom w:val="nil"/>
              <w:right w:val="single" w:sz="4" w:space="0" w:color="000000"/>
            </w:tcBorders>
            <w:shd w:val="clear" w:color="000000" w:fill="FFFFFF"/>
            <w:hideMark/>
          </w:tcPr>
          <w:p w14:paraId="74BDDC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w:t>
            </w:r>
          </w:p>
        </w:tc>
        <w:tc>
          <w:tcPr>
            <w:tcW w:w="3798" w:type="dxa"/>
            <w:tcBorders>
              <w:top w:val="nil"/>
              <w:left w:val="nil"/>
              <w:bottom w:val="nil"/>
              <w:right w:val="single" w:sz="4" w:space="0" w:color="000000"/>
            </w:tcBorders>
            <w:shd w:val="clear" w:color="000000" w:fill="FFFFFF"/>
            <w:hideMark/>
          </w:tcPr>
          <w:p w14:paraId="32C8B8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w:t>
            </w:r>
          </w:p>
        </w:tc>
        <w:tc>
          <w:tcPr>
            <w:tcW w:w="1480" w:type="dxa"/>
            <w:tcBorders>
              <w:top w:val="nil"/>
              <w:left w:val="nil"/>
              <w:bottom w:val="nil"/>
              <w:right w:val="single" w:sz="4" w:space="0" w:color="000000"/>
            </w:tcBorders>
            <w:shd w:val="clear" w:color="000000" w:fill="FFFFFF"/>
            <w:hideMark/>
          </w:tcPr>
          <w:p w14:paraId="596B97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DB14D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45C289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sistema debe expedir y permitir la impresión del acta de escrutinio de mesa con los resultados y el número de votantes.  </w:t>
            </w:r>
          </w:p>
        </w:tc>
        <w:tc>
          <w:tcPr>
            <w:tcW w:w="3798" w:type="dxa"/>
            <w:tcBorders>
              <w:top w:val="nil"/>
              <w:left w:val="nil"/>
              <w:bottom w:val="nil"/>
              <w:right w:val="single" w:sz="4" w:space="0" w:color="000000"/>
            </w:tcBorders>
            <w:shd w:val="clear" w:color="000000" w:fill="FFFFFF"/>
            <w:hideMark/>
          </w:tcPr>
          <w:p w14:paraId="3E8ED0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sistema debe expedir y permitir la impresión del acta de escrutinio de mesa con los resultados y el número de votantes.</w:t>
            </w:r>
          </w:p>
        </w:tc>
        <w:tc>
          <w:tcPr>
            <w:tcW w:w="3798" w:type="dxa"/>
            <w:tcBorders>
              <w:top w:val="nil"/>
              <w:left w:val="nil"/>
              <w:bottom w:val="nil"/>
              <w:right w:val="single" w:sz="4" w:space="0" w:color="000000"/>
            </w:tcBorders>
            <w:shd w:val="clear" w:color="000000" w:fill="FFFFFF"/>
            <w:hideMark/>
          </w:tcPr>
          <w:p w14:paraId="07D135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sistema debe expedir y permitir la impresión del acta de escrutinio de mesa con los resultados y el número de votantes.</w:t>
            </w:r>
          </w:p>
        </w:tc>
        <w:tc>
          <w:tcPr>
            <w:tcW w:w="1480" w:type="dxa"/>
            <w:tcBorders>
              <w:top w:val="nil"/>
              <w:left w:val="nil"/>
              <w:bottom w:val="nil"/>
              <w:right w:val="single" w:sz="4" w:space="0" w:color="000000"/>
            </w:tcBorders>
            <w:shd w:val="clear" w:color="000000" w:fill="FFFFFF"/>
            <w:hideMark/>
          </w:tcPr>
          <w:p w14:paraId="000BDA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86C1F1F"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2CBC167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los jurados de votación de una misma mesa podrán escrutar más de un cargo o una corporación al mismo tiempo. </w:t>
            </w:r>
          </w:p>
        </w:tc>
        <w:tc>
          <w:tcPr>
            <w:tcW w:w="3798" w:type="dxa"/>
            <w:tcBorders>
              <w:top w:val="nil"/>
              <w:left w:val="nil"/>
              <w:bottom w:val="single" w:sz="4" w:space="0" w:color="000000"/>
              <w:right w:val="single" w:sz="4" w:space="0" w:color="000000"/>
            </w:tcBorders>
            <w:shd w:val="clear" w:color="000000" w:fill="FFFFFF"/>
            <w:hideMark/>
          </w:tcPr>
          <w:p w14:paraId="46B597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los jurados de votación de una misma mesa podrán escrutar más de un cargo o una corporación al mismo tiempo.</w:t>
            </w:r>
          </w:p>
        </w:tc>
        <w:tc>
          <w:tcPr>
            <w:tcW w:w="3798" w:type="dxa"/>
            <w:tcBorders>
              <w:top w:val="nil"/>
              <w:left w:val="nil"/>
              <w:bottom w:val="single" w:sz="4" w:space="0" w:color="000000"/>
              <w:right w:val="single" w:sz="4" w:space="0" w:color="000000"/>
            </w:tcBorders>
            <w:shd w:val="clear" w:color="000000" w:fill="FFFFFF"/>
            <w:hideMark/>
          </w:tcPr>
          <w:p w14:paraId="3F947B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los jurados de votación de una misma mesa podrán escrutar más de un cargo o una corporación al mismo tiempo.</w:t>
            </w:r>
          </w:p>
        </w:tc>
        <w:tc>
          <w:tcPr>
            <w:tcW w:w="1480" w:type="dxa"/>
            <w:tcBorders>
              <w:top w:val="nil"/>
              <w:left w:val="nil"/>
              <w:bottom w:val="nil"/>
              <w:right w:val="single" w:sz="4" w:space="0" w:color="000000"/>
            </w:tcBorders>
            <w:shd w:val="clear" w:color="000000" w:fill="FFFFFF"/>
            <w:hideMark/>
          </w:tcPr>
          <w:p w14:paraId="3E511A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474C5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6F2C5D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178.- De la custodia del material electoral y proceso de escrutinio en el exterior.</w:t>
            </w:r>
            <w:r w:rsidRPr="00222F34">
              <w:rPr>
                <w:rFonts w:ascii="Calibri" w:eastAsia="Times New Roman" w:hAnsi="Calibri" w:cs="Calibri"/>
                <w:color w:val="000000"/>
                <w:lang w:val="es-CO" w:eastAsia="es-CO" w:bidi="ar-SA"/>
              </w:rPr>
              <w:t xml:space="preserve"> Finalizada la jornada electoral del primer día los jurados de votación sellarán la urna con su firma y con la de los testigos electorales presentes. </w:t>
            </w:r>
          </w:p>
        </w:tc>
        <w:tc>
          <w:tcPr>
            <w:tcW w:w="3798" w:type="dxa"/>
            <w:tcBorders>
              <w:top w:val="nil"/>
              <w:left w:val="nil"/>
              <w:bottom w:val="nil"/>
              <w:right w:val="single" w:sz="4" w:space="0" w:color="000000"/>
            </w:tcBorders>
            <w:shd w:val="clear" w:color="000000" w:fill="FFFFFF"/>
            <w:hideMark/>
          </w:tcPr>
          <w:p w14:paraId="5A9CEA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182.- De la custodia del material electoral y proceso de escrutinio en el exterior.</w:t>
            </w:r>
            <w:r w:rsidRPr="00222F34">
              <w:rPr>
                <w:rFonts w:ascii="Calibri" w:eastAsia="Times New Roman" w:hAnsi="Calibri" w:cs="Calibri"/>
                <w:color w:val="000000"/>
                <w:lang w:val="es-CO" w:eastAsia="es-CO" w:bidi="ar-SA"/>
              </w:rPr>
              <w:t xml:space="preserve"> Finalizada la jornada electoral del primer día los jurados de votación sellarán la urna con su firma y con la de los testigos electorales presentes. Las urnas se diseñarán y sellarán de tal forma que permitan verificar cualquier manipulación y dejar registro de las aperturas realizadas.</w:t>
            </w:r>
          </w:p>
        </w:tc>
        <w:tc>
          <w:tcPr>
            <w:tcW w:w="3798" w:type="dxa"/>
            <w:tcBorders>
              <w:top w:val="nil"/>
              <w:left w:val="nil"/>
              <w:bottom w:val="nil"/>
              <w:right w:val="single" w:sz="4" w:space="0" w:color="000000"/>
            </w:tcBorders>
            <w:shd w:val="clear" w:color="000000" w:fill="FFFFFF"/>
            <w:hideMark/>
          </w:tcPr>
          <w:p w14:paraId="50E2D3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182.- De la custodia del material electoral y proceso de escrutinio en el exterior.</w:t>
            </w:r>
            <w:r w:rsidRPr="00222F34">
              <w:rPr>
                <w:rFonts w:ascii="Calibri" w:eastAsia="Times New Roman" w:hAnsi="Calibri" w:cs="Calibri"/>
                <w:color w:val="000000"/>
                <w:lang w:val="es-CO" w:eastAsia="es-CO" w:bidi="ar-SA"/>
              </w:rPr>
              <w:t xml:space="preserve"> Finalizada la jornada electoral del primer día los jurados de votación sellarán la urna con su firma y con la de los testigos electorales presentes. Las urnas se diseñarán y sellarán de tal forma que permitan verificar cualquier manipulación y dejar registro de las aperturas realizadas.</w:t>
            </w:r>
          </w:p>
        </w:tc>
        <w:tc>
          <w:tcPr>
            <w:tcW w:w="1480" w:type="dxa"/>
            <w:tcBorders>
              <w:top w:val="single" w:sz="4" w:space="0" w:color="000000"/>
              <w:left w:val="nil"/>
              <w:bottom w:val="nil"/>
              <w:right w:val="single" w:sz="4" w:space="0" w:color="000000"/>
            </w:tcBorders>
            <w:shd w:val="clear" w:color="000000" w:fill="FFFFFF"/>
            <w:hideMark/>
          </w:tcPr>
          <w:p w14:paraId="28E5003F" w14:textId="5CF0D66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p>
        </w:tc>
      </w:tr>
      <w:tr w:rsidR="00CD4925" w:rsidRPr="00222F34" w14:paraId="09B8E50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E49D0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 </w:t>
            </w:r>
          </w:p>
        </w:tc>
        <w:tc>
          <w:tcPr>
            <w:tcW w:w="3798" w:type="dxa"/>
            <w:tcBorders>
              <w:top w:val="nil"/>
              <w:left w:val="nil"/>
              <w:bottom w:val="nil"/>
              <w:right w:val="single" w:sz="4" w:space="0" w:color="000000"/>
            </w:tcBorders>
            <w:shd w:val="clear" w:color="000000" w:fill="FFFFFF"/>
            <w:hideMark/>
          </w:tcPr>
          <w:p w14:paraId="20CCA4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tc>
        <w:tc>
          <w:tcPr>
            <w:tcW w:w="3798" w:type="dxa"/>
            <w:tcBorders>
              <w:top w:val="nil"/>
              <w:left w:val="nil"/>
              <w:bottom w:val="nil"/>
              <w:right w:val="single" w:sz="4" w:space="0" w:color="000000"/>
            </w:tcBorders>
            <w:shd w:val="clear" w:color="000000" w:fill="FFFFFF"/>
            <w:hideMark/>
          </w:tcPr>
          <w:p w14:paraId="65CFE5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tc>
        <w:tc>
          <w:tcPr>
            <w:tcW w:w="1480" w:type="dxa"/>
            <w:tcBorders>
              <w:top w:val="nil"/>
              <w:left w:val="nil"/>
              <w:bottom w:val="nil"/>
              <w:right w:val="single" w:sz="4" w:space="0" w:color="000000"/>
            </w:tcBorders>
            <w:shd w:val="clear" w:color="000000" w:fill="FFFFFF"/>
            <w:hideMark/>
          </w:tcPr>
          <w:p w14:paraId="73AE88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59A98E"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1537481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 </w:t>
            </w:r>
          </w:p>
        </w:tc>
        <w:tc>
          <w:tcPr>
            <w:tcW w:w="3798" w:type="dxa"/>
            <w:tcBorders>
              <w:top w:val="nil"/>
              <w:left w:val="nil"/>
              <w:bottom w:val="single" w:sz="4" w:space="0" w:color="000000"/>
              <w:right w:val="single" w:sz="4" w:space="0" w:color="000000"/>
            </w:tcBorders>
            <w:shd w:val="clear" w:color="000000" w:fill="FFFFFF"/>
            <w:hideMark/>
          </w:tcPr>
          <w:p w14:paraId="04D548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w:t>
            </w:r>
          </w:p>
        </w:tc>
        <w:tc>
          <w:tcPr>
            <w:tcW w:w="3798" w:type="dxa"/>
            <w:tcBorders>
              <w:top w:val="nil"/>
              <w:left w:val="nil"/>
              <w:bottom w:val="single" w:sz="4" w:space="0" w:color="000000"/>
              <w:right w:val="single" w:sz="4" w:space="0" w:color="000000"/>
            </w:tcBorders>
            <w:shd w:val="clear" w:color="000000" w:fill="FFFFFF"/>
            <w:hideMark/>
          </w:tcPr>
          <w:p w14:paraId="05401F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w:t>
            </w:r>
          </w:p>
        </w:tc>
        <w:tc>
          <w:tcPr>
            <w:tcW w:w="1480" w:type="dxa"/>
            <w:tcBorders>
              <w:top w:val="nil"/>
              <w:left w:val="nil"/>
              <w:bottom w:val="nil"/>
              <w:right w:val="single" w:sz="4" w:space="0" w:color="000000"/>
            </w:tcBorders>
            <w:shd w:val="clear" w:color="000000" w:fill="FFFFFF"/>
            <w:hideMark/>
          </w:tcPr>
          <w:p w14:paraId="080EE4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8B21C8C"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10CA73E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179.- Proceso de escrutinio en el exterior.</w:t>
            </w:r>
            <w:r w:rsidRPr="00222F34">
              <w:rPr>
                <w:rFonts w:ascii="Calibri" w:eastAsia="Times New Roman" w:hAnsi="Calibri" w:cs="Calibri"/>
                <w:color w:val="000000"/>
                <w:lang w:val="es-CO" w:eastAsia="es-CO" w:bidi="ar-SA"/>
              </w:rPr>
              <w:t xml:space="preserve"> Finalizados los días de la jornada electoral, los jurados de votación consignarán diariamente en el registro general de votantes, o el formato que aplique, el número de electores que emitieron su sufragio ese día, en los términos previstos en este Código. Así mismo, diariamente se realizará el escrutinio de los votos, de </w:t>
            </w:r>
            <w:r w:rsidRPr="00222F34">
              <w:rPr>
                <w:rFonts w:ascii="Calibri" w:eastAsia="Times New Roman" w:hAnsi="Calibri" w:cs="Calibri"/>
                <w:color w:val="000000"/>
                <w:lang w:val="es-CO" w:eastAsia="es-CO" w:bidi="ar-SA"/>
              </w:rPr>
              <w:lastRenderedPageBreak/>
              <w:t xml:space="preserve">acuerdo con el proceso de escrutinio de mesa previsto en este código.  </w:t>
            </w:r>
          </w:p>
        </w:tc>
        <w:tc>
          <w:tcPr>
            <w:tcW w:w="3798" w:type="dxa"/>
            <w:tcBorders>
              <w:top w:val="nil"/>
              <w:left w:val="nil"/>
              <w:bottom w:val="single" w:sz="4" w:space="0" w:color="000000"/>
              <w:right w:val="single" w:sz="4" w:space="0" w:color="000000"/>
            </w:tcBorders>
            <w:shd w:val="clear" w:color="000000" w:fill="FFFFFF"/>
            <w:hideMark/>
          </w:tcPr>
          <w:p w14:paraId="41CDD5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183.- Proceso de escrutinio en el exterior. F</w:t>
            </w:r>
            <w:r w:rsidRPr="00222F34">
              <w:rPr>
                <w:rFonts w:ascii="Calibri" w:eastAsia="Times New Roman" w:hAnsi="Calibri" w:cs="Calibri"/>
                <w:color w:val="000000"/>
                <w:lang w:val="es-CO" w:eastAsia="es-CO" w:bidi="ar-SA"/>
              </w:rPr>
              <w:t xml:space="preserve">inalizados los días de la jornada electoral, los jurados de votación consignarán diariamente en el registro general de votantes, o el formato que aplique, el número de electores que emitieron su sufragio ese día, en los términos previstos en este Código. Así mismo, diariamente se realizará el escrutinio de los votos, de </w:t>
            </w:r>
            <w:r w:rsidRPr="00222F34">
              <w:rPr>
                <w:rFonts w:ascii="Calibri" w:eastAsia="Times New Roman" w:hAnsi="Calibri" w:cs="Calibri"/>
                <w:color w:val="000000"/>
                <w:lang w:val="es-CO" w:eastAsia="es-CO" w:bidi="ar-SA"/>
              </w:rPr>
              <w:lastRenderedPageBreak/>
              <w:t>acuerdo con el proceso de escrutinio de mesa previsto en este código.</w:t>
            </w:r>
          </w:p>
        </w:tc>
        <w:tc>
          <w:tcPr>
            <w:tcW w:w="3798" w:type="dxa"/>
            <w:tcBorders>
              <w:top w:val="nil"/>
              <w:left w:val="nil"/>
              <w:bottom w:val="single" w:sz="4" w:space="0" w:color="000000"/>
              <w:right w:val="single" w:sz="4" w:space="0" w:color="000000"/>
            </w:tcBorders>
            <w:shd w:val="clear" w:color="000000" w:fill="FFFFFF"/>
            <w:hideMark/>
          </w:tcPr>
          <w:p w14:paraId="107966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183.- Proceso de escrutinio en el exterior. F</w:t>
            </w:r>
            <w:r w:rsidRPr="00222F34">
              <w:rPr>
                <w:rFonts w:ascii="Calibri" w:eastAsia="Times New Roman" w:hAnsi="Calibri" w:cs="Calibri"/>
                <w:color w:val="000000"/>
                <w:lang w:val="es-CO" w:eastAsia="es-CO" w:bidi="ar-SA"/>
              </w:rPr>
              <w:t xml:space="preserve">inalizados los días de la jornada electoral, los jurados de votación consignarán diariamente en el registro general de votantes, o el formato que aplique, el número de electores que emitieron su sufragio ese día, en los términos previstos en este Código. Así mismo, diariamente se realizará el escrutinio de los votos, de </w:t>
            </w:r>
            <w:r w:rsidRPr="00222F34">
              <w:rPr>
                <w:rFonts w:ascii="Calibri" w:eastAsia="Times New Roman" w:hAnsi="Calibri" w:cs="Calibri"/>
                <w:color w:val="000000"/>
                <w:lang w:val="es-CO" w:eastAsia="es-CO" w:bidi="ar-SA"/>
              </w:rPr>
              <w:lastRenderedPageBreak/>
              <w:t>acuerdo con el proceso de escrutinio de mesa previsto en este código.</w:t>
            </w:r>
          </w:p>
        </w:tc>
        <w:tc>
          <w:tcPr>
            <w:tcW w:w="1480" w:type="dxa"/>
            <w:tcBorders>
              <w:top w:val="single" w:sz="4" w:space="0" w:color="000000"/>
              <w:left w:val="nil"/>
              <w:bottom w:val="single" w:sz="4" w:space="0" w:color="000000"/>
              <w:right w:val="single" w:sz="4" w:space="0" w:color="000000"/>
            </w:tcBorders>
            <w:shd w:val="clear" w:color="000000" w:fill="FFFFFF"/>
            <w:hideMark/>
          </w:tcPr>
          <w:p w14:paraId="1C5CA1A6" w14:textId="442E307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652F667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3FDE60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180.- Causales de reclamación ante los jurados de votación.</w:t>
            </w:r>
            <w:r w:rsidRPr="00222F34">
              <w:rPr>
                <w:rFonts w:ascii="Calibri" w:eastAsia="Times New Roman" w:hAnsi="Calibri" w:cs="Calibri"/>
                <w:color w:val="000000"/>
                <w:lang w:val="es-CO" w:eastAsia="es-CO" w:bidi="ar-SA"/>
              </w:rPr>
              <w:t xml:space="preserve"> Los testigos electorales, los candidatos o sus apoderados podrán presentar reclamaciones ante los jurados de votación por las siguientes causales: </w:t>
            </w:r>
          </w:p>
        </w:tc>
        <w:tc>
          <w:tcPr>
            <w:tcW w:w="3798" w:type="dxa"/>
            <w:tcBorders>
              <w:top w:val="nil"/>
              <w:left w:val="nil"/>
              <w:bottom w:val="nil"/>
              <w:right w:val="single" w:sz="4" w:space="0" w:color="000000"/>
            </w:tcBorders>
            <w:shd w:val="clear" w:color="000000" w:fill="FFFFFF"/>
            <w:hideMark/>
          </w:tcPr>
          <w:p w14:paraId="4E6E52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184.- Causales de reclamación ante los jurados de votación</w:t>
            </w:r>
            <w:r w:rsidRPr="00222F34">
              <w:rPr>
                <w:rFonts w:ascii="Calibri" w:eastAsia="Times New Roman" w:hAnsi="Calibri" w:cs="Calibri"/>
                <w:color w:val="000000"/>
                <w:lang w:val="es-CO" w:eastAsia="es-CO" w:bidi="ar-SA"/>
              </w:rPr>
              <w:t>. Los testigos electorales, los candidatos o sus apoderados podrán presentar reclamaciones ante los jurados de votación por las siguientes causales:</w:t>
            </w:r>
          </w:p>
        </w:tc>
        <w:tc>
          <w:tcPr>
            <w:tcW w:w="3798" w:type="dxa"/>
            <w:tcBorders>
              <w:top w:val="nil"/>
              <w:left w:val="nil"/>
              <w:bottom w:val="nil"/>
              <w:right w:val="single" w:sz="4" w:space="0" w:color="000000"/>
            </w:tcBorders>
            <w:shd w:val="clear" w:color="000000" w:fill="FFFFFF"/>
            <w:hideMark/>
          </w:tcPr>
          <w:p w14:paraId="7968FF5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184.- Causales de reclamación ante los jurados de votación.</w:t>
            </w:r>
            <w:r w:rsidRPr="00222F34">
              <w:rPr>
                <w:rFonts w:ascii="Calibri" w:eastAsia="Times New Roman" w:hAnsi="Calibri" w:cs="Calibri"/>
                <w:color w:val="000000"/>
                <w:lang w:val="es-CO" w:eastAsia="es-CO" w:bidi="ar-SA"/>
              </w:rPr>
              <w:t xml:space="preserve"> Los testigos electorales, los candidatos o sus apoderados podrán presentar reclamaciones ante los jurados de votación por las siguientes causales: </w:t>
            </w:r>
          </w:p>
        </w:tc>
        <w:tc>
          <w:tcPr>
            <w:tcW w:w="1480" w:type="dxa"/>
            <w:tcBorders>
              <w:top w:val="nil"/>
              <w:left w:val="nil"/>
              <w:bottom w:val="nil"/>
              <w:right w:val="single" w:sz="4" w:space="0" w:color="000000"/>
            </w:tcBorders>
            <w:shd w:val="clear" w:color="000000" w:fill="FFFFFF"/>
            <w:hideMark/>
          </w:tcPr>
          <w:p w14:paraId="4C188EE9" w14:textId="7128722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CD79AD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67B04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no se haya registrado el número de votantes en el formulario de registro de votantes o en el acta de escrutinio o el número de votos depositados en la urna. En este caso, se dispondrá obligatoriamente que se realice la sumatoria del registro de votantes y se consigne en el acta de escrutinio. Se hará lo propio cuando se deje de registrar el número de votos depositados en la urna, según corresponda.</w:t>
            </w:r>
          </w:p>
        </w:tc>
        <w:tc>
          <w:tcPr>
            <w:tcW w:w="3798" w:type="dxa"/>
            <w:tcBorders>
              <w:top w:val="nil"/>
              <w:left w:val="nil"/>
              <w:bottom w:val="nil"/>
              <w:right w:val="single" w:sz="4" w:space="0" w:color="000000"/>
            </w:tcBorders>
            <w:shd w:val="clear" w:color="000000" w:fill="FFFFFF"/>
            <w:hideMark/>
          </w:tcPr>
          <w:p w14:paraId="185652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no se haya registrado el número de votantes en el formulario de registro de votantes o en el acta de escrutinio o el número de votos depositados en la urna.</w:t>
            </w:r>
            <w:r w:rsidRPr="00222F34">
              <w:rPr>
                <w:rFonts w:ascii="Calibri" w:eastAsia="Times New Roman" w:hAnsi="Calibri" w:cs="Calibri"/>
                <w:color w:val="000000"/>
                <w:lang w:val="es-CO" w:eastAsia="es-CO" w:bidi="ar-SA"/>
              </w:rPr>
              <w:br/>
              <w:t>En este caso, se dispondrá obligatoriamente que se realice la sumatoria del registro de votantes y se consigne en el acta de escrutinio. Se hará lo propio cuando se deje de registrar el número de votos depositados en la urna, según corresponda.</w:t>
            </w:r>
          </w:p>
        </w:tc>
        <w:tc>
          <w:tcPr>
            <w:tcW w:w="3798" w:type="dxa"/>
            <w:tcBorders>
              <w:top w:val="nil"/>
              <w:left w:val="nil"/>
              <w:bottom w:val="nil"/>
              <w:right w:val="single" w:sz="4" w:space="0" w:color="000000"/>
            </w:tcBorders>
            <w:shd w:val="clear" w:color="000000" w:fill="FFFFFF"/>
            <w:hideMark/>
          </w:tcPr>
          <w:p w14:paraId="42B100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no se haya registrado el número de votantes en el formulario de registro de votantes o en el acta de escrutinio o el número de votos depositados en la urna. En este caso, se dispondrá obligatoriamente que se realice la sumatoria del registro de votantes y se consigne en el acta de escrutinio. Se hará lo propio cuando se deje de registrar el número de votos depositados en la urna, según corresponda.</w:t>
            </w:r>
          </w:p>
        </w:tc>
        <w:tc>
          <w:tcPr>
            <w:tcW w:w="1480" w:type="dxa"/>
            <w:tcBorders>
              <w:top w:val="nil"/>
              <w:left w:val="nil"/>
              <w:bottom w:val="nil"/>
              <w:right w:val="single" w:sz="4" w:space="0" w:color="000000"/>
            </w:tcBorders>
            <w:shd w:val="clear" w:color="000000" w:fill="FFFFFF"/>
            <w:hideMark/>
          </w:tcPr>
          <w:p w14:paraId="1B6BAC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AABCA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65BB7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Cuando el acta de escrutinio presente datos ilegibles, enmendaduras, tachaduras, borrones o cualquier otra circunstancia que implique una posible alteración de los resultados. En este caso se dispondrá obligatoriamente por una sola vez el recuento de votos. </w:t>
            </w:r>
          </w:p>
        </w:tc>
        <w:tc>
          <w:tcPr>
            <w:tcW w:w="3798" w:type="dxa"/>
            <w:tcBorders>
              <w:top w:val="nil"/>
              <w:left w:val="nil"/>
              <w:bottom w:val="nil"/>
              <w:right w:val="single" w:sz="4" w:space="0" w:color="000000"/>
            </w:tcBorders>
            <w:shd w:val="clear" w:color="000000" w:fill="FFFFFF"/>
            <w:hideMark/>
          </w:tcPr>
          <w:p w14:paraId="478AF1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Cuando el acta de escrutinio presente datos ilegibles, enmendaduras, tachaduras, borrones o cualquier otra circunstancia que implique una posible alteración de los resultados. En este caso se dispondrá obligatoriamente por una sola vez el recuento de votos.</w:t>
            </w:r>
          </w:p>
        </w:tc>
        <w:tc>
          <w:tcPr>
            <w:tcW w:w="3798" w:type="dxa"/>
            <w:tcBorders>
              <w:top w:val="nil"/>
              <w:left w:val="nil"/>
              <w:bottom w:val="nil"/>
              <w:right w:val="single" w:sz="4" w:space="0" w:color="000000"/>
            </w:tcBorders>
            <w:shd w:val="clear" w:color="000000" w:fill="FFFFFF"/>
            <w:hideMark/>
          </w:tcPr>
          <w:p w14:paraId="3856EC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el acta de escrutinio presente datos ilegibles, enmendaduras, tachaduras, borrones o cualquier otra circunstancia que implique una posible alteración de los resultados. En este caso se dispondrá obligatoriamente por una sola vez el recuento de votos. </w:t>
            </w:r>
          </w:p>
        </w:tc>
        <w:tc>
          <w:tcPr>
            <w:tcW w:w="1480" w:type="dxa"/>
            <w:tcBorders>
              <w:top w:val="nil"/>
              <w:left w:val="nil"/>
              <w:bottom w:val="nil"/>
              <w:right w:val="single" w:sz="4" w:space="0" w:color="000000"/>
            </w:tcBorders>
            <w:shd w:val="clear" w:color="000000" w:fill="FFFFFF"/>
            <w:hideMark/>
          </w:tcPr>
          <w:p w14:paraId="79AAEF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E01496F"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A152E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se presenten fallas, durante la jornada electoral, en el funcionamiento de la plataforma que soporta el voto electrónico mixto para la votación. En este caso, el cómputo general de los votos se tomará de la sumatoria de los comprobantes físicos que arroje el medio tecnológico y los votos físicos de contingencia depositados con posterioridad a la falla. Los jurados de votación anotarán los resultados en un acta de escrutinio de mesa. </w:t>
            </w:r>
          </w:p>
        </w:tc>
        <w:tc>
          <w:tcPr>
            <w:tcW w:w="3798" w:type="dxa"/>
            <w:tcBorders>
              <w:top w:val="nil"/>
              <w:left w:val="nil"/>
              <w:bottom w:val="nil"/>
              <w:right w:val="single" w:sz="4" w:space="0" w:color="000000"/>
            </w:tcBorders>
            <w:shd w:val="clear" w:color="000000" w:fill="FFFFFF"/>
            <w:hideMark/>
          </w:tcPr>
          <w:p w14:paraId="6996CC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Cuando se presenten fallas, durante la jornada electoral, en el funcionamiento de la plataforma que soporta el voto electrónico mixto para la votación. En este caso, el cómputo general de los votos se tomará de la sumatoria de los comprobantes físicos que arroje el medio tecnológico y los votos físicos de contingencia depositados con posterioridad a la falla. Los jurados de votación anotarán los resultados en un acta de escrutinio de mesa.</w:t>
            </w:r>
          </w:p>
        </w:tc>
        <w:tc>
          <w:tcPr>
            <w:tcW w:w="3798" w:type="dxa"/>
            <w:tcBorders>
              <w:top w:val="nil"/>
              <w:left w:val="nil"/>
              <w:bottom w:val="nil"/>
              <w:right w:val="single" w:sz="4" w:space="0" w:color="000000"/>
            </w:tcBorders>
            <w:shd w:val="clear" w:color="000000" w:fill="FFFFFF"/>
            <w:hideMark/>
          </w:tcPr>
          <w:p w14:paraId="59278D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se presenten fallas, durante la jornada electoral, en el funcionamiento de la plataforma que soporta el voto electrónico mixto para la votación. En este caso, el cómputo general de los votos se tomará de la sumatoria de los comprobantes físicos que arroje el medio tecnológico y los votos físicos de contingencia depositados con posterioridad a la falla. Los jurados de votación anotarán los resultados en un acta de escrutinio de mesa. </w:t>
            </w:r>
          </w:p>
        </w:tc>
        <w:tc>
          <w:tcPr>
            <w:tcW w:w="1480" w:type="dxa"/>
            <w:tcBorders>
              <w:top w:val="nil"/>
              <w:left w:val="nil"/>
              <w:bottom w:val="nil"/>
              <w:right w:val="single" w:sz="4" w:space="0" w:color="000000"/>
            </w:tcBorders>
            <w:shd w:val="clear" w:color="000000" w:fill="FFFFFF"/>
            <w:hideMark/>
          </w:tcPr>
          <w:p w14:paraId="5D5AC3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4F4A9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26B29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Cuando se presenten más votos que número de votantes. En este caso los jurados deberán realizar la nivelación de la mesa de acuerdo al procedimiento de escrutinio de mesa. </w:t>
            </w:r>
          </w:p>
        </w:tc>
        <w:tc>
          <w:tcPr>
            <w:tcW w:w="3798" w:type="dxa"/>
            <w:tcBorders>
              <w:top w:val="nil"/>
              <w:left w:val="nil"/>
              <w:bottom w:val="nil"/>
              <w:right w:val="single" w:sz="4" w:space="0" w:color="000000"/>
            </w:tcBorders>
            <w:shd w:val="clear" w:color="000000" w:fill="FFFFFF"/>
            <w:hideMark/>
          </w:tcPr>
          <w:p w14:paraId="342B93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Cuando se presenten más votos que número de votantes. En este caso los jurados deberán realizar la nivelación de la mesa de acuerdo al procedimiento de escrutinio de mesa.</w:t>
            </w:r>
          </w:p>
        </w:tc>
        <w:tc>
          <w:tcPr>
            <w:tcW w:w="3798" w:type="dxa"/>
            <w:tcBorders>
              <w:top w:val="nil"/>
              <w:left w:val="nil"/>
              <w:bottom w:val="nil"/>
              <w:right w:val="single" w:sz="4" w:space="0" w:color="000000"/>
            </w:tcBorders>
            <w:shd w:val="clear" w:color="000000" w:fill="FFFFFF"/>
            <w:hideMark/>
          </w:tcPr>
          <w:p w14:paraId="06D83F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Cuando se presenten más votos que número de votantes. En este caso los jurados deberán realizar la nivelación de la mesa de acuerdo al procedimiento de escrutinio de mesa. </w:t>
            </w:r>
          </w:p>
        </w:tc>
        <w:tc>
          <w:tcPr>
            <w:tcW w:w="1480" w:type="dxa"/>
            <w:tcBorders>
              <w:top w:val="nil"/>
              <w:left w:val="nil"/>
              <w:bottom w:val="nil"/>
              <w:right w:val="single" w:sz="4" w:space="0" w:color="000000"/>
            </w:tcBorders>
            <w:shd w:val="clear" w:color="000000" w:fill="FFFFFF"/>
            <w:hideMark/>
          </w:tcPr>
          <w:p w14:paraId="31108F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68C72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3EE45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Cuando se presente error aritmético en la suma de los votos de los respectivos candidatos, listas, votos en blancos y nulos. En este caso los jurados harán el cómputo correcto y anotarán el resultado. </w:t>
            </w:r>
          </w:p>
        </w:tc>
        <w:tc>
          <w:tcPr>
            <w:tcW w:w="3798" w:type="dxa"/>
            <w:tcBorders>
              <w:top w:val="nil"/>
              <w:left w:val="nil"/>
              <w:bottom w:val="nil"/>
              <w:right w:val="single" w:sz="4" w:space="0" w:color="000000"/>
            </w:tcBorders>
            <w:shd w:val="clear" w:color="000000" w:fill="FFFFFF"/>
            <w:hideMark/>
          </w:tcPr>
          <w:p w14:paraId="16E458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Cuando se presente error aritmético en la suma de los votos de los respectivos candidatos, listas, votos en blancos y nulos. En este caso los jurados harán el cómputo correcto y anotarán el resultado.</w:t>
            </w:r>
          </w:p>
        </w:tc>
        <w:tc>
          <w:tcPr>
            <w:tcW w:w="3798" w:type="dxa"/>
            <w:tcBorders>
              <w:top w:val="nil"/>
              <w:left w:val="nil"/>
              <w:bottom w:val="nil"/>
              <w:right w:val="single" w:sz="4" w:space="0" w:color="000000"/>
            </w:tcBorders>
            <w:shd w:val="clear" w:color="000000" w:fill="FFFFFF"/>
            <w:hideMark/>
          </w:tcPr>
          <w:p w14:paraId="5133AB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Cuando se presente error aritmético en la suma de los votos de los respectivos candidatos, listas, votos en blancos y nulos. En este caso los jurados harán el cómputo correcto y anotarán el resultado. </w:t>
            </w:r>
          </w:p>
        </w:tc>
        <w:tc>
          <w:tcPr>
            <w:tcW w:w="1480" w:type="dxa"/>
            <w:tcBorders>
              <w:top w:val="nil"/>
              <w:left w:val="nil"/>
              <w:bottom w:val="nil"/>
              <w:right w:val="single" w:sz="4" w:space="0" w:color="000000"/>
            </w:tcBorders>
            <w:shd w:val="clear" w:color="000000" w:fill="FFFFFF"/>
            <w:hideMark/>
          </w:tcPr>
          <w:p w14:paraId="464350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A62E51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1AD5B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Cuando falte la firma de al menos dos (2) jurados en el acta de escrutinio. En este caso los jurados de votación procederán a firmar las actas. </w:t>
            </w:r>
          </w:p>
        </w:tc>
        <w:tc>
          <w:tcPr>
            <w:tcW w:w="3798" w:type="dxa"/>
            <w:tcBorders>
              <w:top w:val="nil"/>
              <w:left w:val="nil"/>
              <w:bottom w:val="nil"/>
              <w:right w:val="single" w:sz="4" w:space="0" w:color="000000"/>
            </w:tcBorders>
            <w:shd w:val="clear" w:color="000000" w:fill="FFFFFF"/>
            <w:hideMark/>
          </w:tcPr>
          <w:p w14:paraId="42A743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falte la firma de al menos dos (2) jurados en el acta de escrutinio. En este caso los jurados de votación procederán a firmar las actas.</w:t>
            </w:r>
          </w:p>
        </w:tc>
        <w:tc>
          <w:tcPr>
            <w:tcW w:w="3798" w:type="dxa"/>
            <w:tcBorders>
              <w:top w:val="nil"/>
              <w:left w:val="nil"/>
              <w:bottom w:val="nil"/>
              <w:right w:val="single" w:sz="4" w:space="0" w:color="000000"/>
            </w:tcBorders>
            <w:shd w:val="clear" w:color="000000" w:fill="FFFFFF"/>
            <w:hideMark/>
          </w:tcPr>
          <w:p w14:paraId="25E0ED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Cuando falte la firma de al menos dos (2) jurados en el acta de escrutinio. En este caso los jurados de votación procederán a firmar las actas. </w:t>
            </w:r>
          </w:p>
        </w:tc>
        <w:tc>
          <w:tcPr>
            <w:tcW w:w="1480" w:type="dxa"/>
            <w:tcBorders>
              <w:top w:val="nil"/>
              <w:left w:val="nil"/>
              <w:bottom w:val="nil"/>
              <w:right w:val="single" w:sz="4" w:space="0" w:color="000000"/>
            </w:tcBorders>
            <w:shd w:val="clear" w:color="000000" w:fill="FFFFFF"/>
            <w:hideMark/>
          </w:tcPr>
          <w:p w14:paraId="40F60D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0F47D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EFC44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Cuando exista diferencia entre los testigos electorales y los jurados de votación respecto a la calificación o interpretación de un voto emitido. Si esta persiste será resuelta por la comisión escrutadora respectiva. </w:t>
            </w:r>
          </w:p>
        </w:tc>
        <w:tc>
          <w:tcPr>
            <w:tcW w:w="3798" w:type="dxa"/>
            <w:tcBorders>
              <w:top w:val="nil"/>
              <w:left w:val="nil"/>
              <w:bottom w:val="nil"/>
              <w:right w:val="single" w:sz="4" w:space="0" w:color="000000"/>
            </w:tcBorders>
            <w:shd w:val="clear" w:color="000000" w:fill="FFFFFF"/>
            <w:hideMark/>
          </w:tcPr>
          <w:p w14:paraId="2EDCE0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exista diferencia entre los testigos electorales y los jurados de votación respecto a la calificación o interpretación de un voto emitido. Si esta persiste será resuelta por la comisión escrutadora respectiva.</w:t>
            </w:r>
          </w:p>
        </w:tc>
        <w:tc>
          <w:tcPr>
            <w:tcW w:w="3798" w:type="dxa"/>
            <w:tcBorders>
              <w:top w:val="nil"/>
              <w:left w:val="nil"/>
              <w:bottom w:val="nil"/>
              <w:right w:val="single" w:sz="4" w:space="0" w:color="000000"/>
            </w:tcBorders>
            <w:shd w:val="clear" w:color="000000" w:fill="FFFFFF"/>
            <w:hideMark/>
          </w:tcPr>
          <w:p w14:paraId="6AAA08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Cuando exista diferencia entre los testigos electorales y los jurados de votación respecto a la calificación o interpretación de un voto emitido. Si esta persiste será resuelta por la comisión escrutadora respectiva. </w:t>
            </w:r>
          </w:p>
        </w:tc>
        <w:tc>
          <w:tcPr>
            <w:tcW w:w="1480" w:type="dxa"/>
            <w:tcBorders>
              <w:top w:val="nil"/>
              <w:left w:val="nil"/>
              <w:bottom w:val="nil"/>
              <w:right w:val="single" w:sz="4" w:space="0" w:color="000000"/>
            </w:tcBorders>
            <w:shd w:val="clear" w:color="000000" w:fill="FFFFFF"/>
            <w:hideMark/>
          </w:tcPr>
          <w:p w14:paraId="1812D8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7DE209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34367D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reclamaciones anteriores que tuvieren por objeto solicitar el recuento de votos serán atendidas de forma inmediata por los jurados de votación, situación que se hará constar en acta suscrita por los jurados. </w:t>
            </w:r>
          </w:p>
        </w:tc>
        <w:tc>
          <w:tcPr>
            <w:tcW w:w="3798" w:type="dxa"/>
            <w:tcBorders>
              <w:top w:val="nil"/>
              <w:left w:val="nil"/>
              <w:bottom w:val="nil"/>
              <w:right w:val="single" w:sz="4" w:space="0" w:color="000000"/>
            </w:tcBorders>
            <w:shd w:val="clear" w:color="000000" w:fill="FFFFFF"/>
            <w:hideMark/>
          </w:tcPr>
          <w:p w14:paraId="3BF32B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reclamaciones anteriores que tuvieren por objeto solicitar el recuento de votos serán atendidas de forma inmediata por los jurados de votación, situación que se hará constar en acta suscrita por los jurados.</w:t>
            </w:r>
          </w:p>
        </w:tc>
        <w:tc>
          <w:tcPr>
            <w:tcW w:w="3798" w:type="dxa"/>
            <w:tcBorders>
              <w:top w:val="nil"/>
              <w:left w:val="nil"/>
              <w:bottom w:val="nil"/>
              <w:right w:val="single" w:sz="4" w:space="0" w:color="000000"/>
            </w:tcBorders>
            <w:shd w:val="clear" w:color="000000" w:fill="FFFFFF"/>
            <w:hideMark/>
          </w:tcPr>
          <w:p w14:paraId="7AE12DC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reclamaciones anteriores que tuvieren por objeto solicitar el recuento de votos serán atendidas de forma inmediata por los jurados de votación, situación que se hará constar en acta suscrita por los jurados. </w:t>
            </w:r>
          </w:p>
        </w:tc>
        <w:tc>
          <w:tcPr>
            <w:tcW w:w="1480" w:type="dxa"/>
            <w:tcBorders>
              <w:top w:val="nil"/>
              <w:left w:val="nil"/>
              <w:bottom w:val="nil"/>
              <w:right w:val="single" w:sz="4" w:space="0" w:color="000000"/>
            </w:tcBorders>
            <w:shd w:val="clear" w:color="000000" w:fill="FFFFFF"/>
            <w:hideMark/>
          </w:tcPr>
          <w:p w14:paraId="2BA5EF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0C3BEC1"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F959A2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 </w:t>
            </w:r>
          </w:p>
        </w:tc>
        <w:tc>
          <w:tcPr>
            <w:tcW w:w="3798" w:type="dxa"/>
            <w:tcBorders>
              <w:top w:val="nil"/>
              <w:left w:val="nil"/>
              <w:bottom w:val="single" w:sz="4" w:space="0" w:color="000000"/>
              <w:right w:val="single" w:sz="4" w:space="0" w:color="000000"/>
            </w:tcBorders>
            <w:shd w:val="clear" w:color="000000" w:fill="FFFFFF"/>
            <w:hideMark/>
          </w:tcPr>
          <w:p w14:paraId="694774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w:t>
            </w:r>
          </w:p>
        </w:tc>
        <w:tc>
          <w:tcPr>
            <w:tcW w:w="3798" w:type="dxa"/>
            <w:tcBorders>
              <w:top w:val="nil"/>
              <w:left w:val="nil"/>
              <w:bottom w:val="single" w:sz="4" w:space="0" w:color="000000"/>
              <w:right w:val="single" w:sz="4" w:space="0" w:color="000000"/>
            </w:tcBorders>
            <w:shd w:val="clear" w:color="000000" w:fill="FFFFFF"/>
            <w:hideMark/>
          </w:tcPr>
          <w:p w14:paraId="754784A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 </w:t>
            </w:r>
          </w:p>
        </w:tc>
        <w:tc>
          <w:tcPr>
            <w:tcW w:w="1480" w:type="dxa"/>
            <w:tcBorders>
              <w:top w:val="nil"/>
              <w:left w:val="nil"/>
              <w:bottom w:val="nil"/>
              <w:right w:val="single" w:sz="4" w:space="0" w:color="000000"/>
            </w:tcBorders>
            <w:shd w:val="clear" w:color="000000" w:fill="FFFFFF"/>
            <w:hideMark/>
          </w:tcPr>
          <w:p w14:paraId="53B8B9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CDB4E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079D38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3798" w:type="dxa"/>
            <w:tcBorders>
              <w:top w:val="nil"/>
              <w:left w:val="nil"/>
              <w:bottom w:val="nil"/>
              <w:right w:val="single" w:sz="4" w:space="0" w:color="000000"/>
            </w:tcBorders>
            <w:shd w:val="clear" w:color="000000" w:fill="FFFFFF"/>
            <w:hideMark/>
          </w:tcPr>
          <w:p w14:paraId="7CB4743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3798" w:type="dxa"/>
            <w:tcBorders>
              <w:top w:val="nil"/>
              <w:left w:val="nil"/>
              <w:bottom w:val="nil"/>
              <w:right w:val="single" w:sz="4" w:space="0" w:color="000000"/>
            </w:tcBorders>
            <w:shd w:val="clear" w:color="000000" w:fill="FFFFFF"/>
            <w:hideMark/>
          </w:tcPr>
          <w:p w14:paraId="31DC9A6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tc>
        <w:tc>
          <w:tcPr>
            <w:tcW w:w="1480" w:type="dxa"/>
            <w:tcBorders>
              <w:top w:val="single" w:sz="4" w:space="0" w:color="000000"/>
              <w:left w:val="nil"/>
              <w:bottom w:val="nil"/>
              <w:right w:val="single" w:sz="4" w:space="0" w:color="000000"/>
            </w:tcBorders>
            <w:shd w:val="clear" w:color="000000" w:fill="FFFFFF"/>
            <w:hideMark/>
          </w:tcPr>
          <w:p w14:paraId="771C7B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24EA5E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0A22F6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custodia y recepción de los documentos electorales</w:t>
            </w:r>
          </w:p>
        </w:tc>
        <w:tc>
          <w:tcPr>
            <w:tcW w:w="3798" w:type="dxa"/>
            <w:tcBorders>
              <w:top w:val="nil"/>
              <w:left w:val="nil"/>
              <w:bottom w:val="nil"/>
              <w:right w:val="single" w:sz="4" w:space="0" w:color="000000"/>
            </w:tcBorders>
            <w:shd w:val="clear" w:color="000000" w:fill="FFFFFF"/>
            <w:hideMark/>
          </w:tcPr>
          <w:p w14:paraId="490062D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custodia y recepción de los documentos electorales</w:t>
            </w:r>
          </w:p>
        </w:tc>
        <w:tc>
          <w:tcPr>
            <w:tcW w:w="3798" w:type="dxa"/>
            <w:tcBorders>
              <w:top w:val="nil"/>
              <w:left w:val="nil"/>
              <w:bottom w:val="nil"/>
              <w:right w:val="single" w:sz="4" w:space="0" w:color="000000"/>
            </w:tcBorders>
            <w:shd w:val="clear" w:color="000000" w:fill="FFFFFF"/>
            <w:hideMark/>
          </w:tcPr>
          <w:p w14:paraId="2EDBF02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custodia y recepción de los documentos electorales</w:t>
            </w:r>
          </w:p>
        </w:tc>
        <w:tc>
          <w:tcPr>
            <w:tcW w:w="1480" w:type="dxa"/>
            <w:tcBorders>
              <w:top w:val="nil"/>
              <w:left w:val="nil"/>
              <w:bottom w:val="single" w:sz="4" w:space="0" w:color="000000"/>
              <w:right w:val="single" w:sz="4" w:space="0" w:color="000000"/>
            </w:tcBorders>
            <w:shd w:val="clear" w:color="000000" w:fill="FFFFFF"/>
            <w:hideMark/>
          </w:tcPr>
          <w:p w14:paraId="4699B8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CF07EB9" w14:textId="77777777" w:rsidTr="00222F34">
        <w:trPr>
          <w:trHeight w:val="2400"/>
        </w:trPr>
        <w:tc>
          <w:tcPr>
            <w:tcW w:w="3798" w:type="dxa"/>
            <w:tcBorders>
              <w:top w:val="single" w:sz="4" w:space="0" w:color="000000"/>
              <w:left w:val="single" w:sz="4" w:space="0" w:color="000000"/>
              <w:bottom w:val="nil"/>
              <w:right w:val="single" w:sz="4" w:space="0" w:color="000000"/>
            </w:tcBorders>
            <w:shd w:val="clear" w:color="000000" w:fill="FFFFFF"/>
            <w:hideMark/>
          </w:tcPr>
          <w:p w14:paraId="6E3E8B3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181. Remisión y entrega de documentos electorales.</w:t>
            </w:r>
            <w:r w:rsidRPr="00222F34">
              <w:rPr>
                <w:rFonts w:ascii="Calibri" w:eastAsia="Times New Roman" w:hAnsi="Calibri" w:cs="Calibri"/>
                <w:color w:val="000000"/>
                <w:lang w:val="es-CO" w:eastAsia="es-CO" w:bidi="ar-SA"/>
              </w:rPr>
              <w:t xml:space="preserve"> Inmediatamente después de terminado el escrutinio en cada mesa de votación, pero en todo caso hasta las once (11:00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 </w:t>
            </w:r>
          </w:p>
        </w:tc>
        <w:tc>
          <w:tcPr>
            <w:tcW w:w="3798" w:type="dxa"/>
            <w:tcBorders>
              <w:top w:val="single" w:sz="4" w:space="0" w:color="000000"/>
              <w:left w:val="nil"/>
              <w:bottom w:val="nil"/>
              <w:right w:val="single" w:sz="4" w:space="0" w:color="000000"/>
            </w:tcBorders>
            <w:shd w:val="clear" w:color="000000" w:fill="FFFFFF"/>
            <w:hideMark/>
          </w:tcPr>
          <w:p w14:paraId="706ECA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185. Remisión y entrega de documentos electorales. </w:t>
            </w:r>
            <w:r w:rsidRPr="00222F34">
              <w:rPr>
                <w:rFonts w:ascii="Calibri" w:eastAsia="Times New Roman" w:hAnsi="Calibri" w:cs="Calibri"/>
                <w:color w:val="000000"/>
                <w:lang w:val="es-CO" w:eastAsia="es-CO" w:bidi="ar-SA"/>
              </w:rPr>
              <w:t>Inmediatamente después de terminado el escrutinio en cada mesa de votación, pero en todo caso hasta las once (11:00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w:t>
            </w:r>
          </w:p>
        </w:tc>
        <w:tc>
          <w:tcPr>
            <w:tcW w:w="3798" w:type="dxa"/>
            <w:tcBorders>
              <w:top w:val="single" w:sz="4" w:space="0" w:color="000000"/>
              <w:left w:val="nil"/>
              <w:bottom w:val="nil"/>
              <w:right w:val="single" w:sz="4" w:space="0" w:color="000000"/>
            </w:tcBorders>
            <w:shd w:val="clear" w:color="000000" w:fill="FFFFFF"/>
            <w:hideMark/>
          </w:tcPr>
          <w:p w14:paraId="655DE8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185. Remisión y entrega de documentos electorales. </w:t>
            </w:r>
            <w:r w:rsidRPr="00222F34">
              <w:rPr>
                <w:rFonts w:ascii="Calibri" w:eastAsia="Times New Roman" w:hAnsi="Calibri" w:cs="Calibri"/>
                <w:color w:val="000000"/>
                <w:lang w:val="es-CO" w:eastAsia="es-CO" w:bidi="ar-SA"/>
              </w:rPr>
              <w:t>Inmediatamente después de terminado el escrutinio en cada mesa de votación, pero en todo caso hasta las once (11:00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w:t>
            </w:r>
          </w:p>
        </w:tc>
        <w:tc>
          <w:tcPr>
            <w:tcW w:w="1480" w:type="dxa"/>
            <w:tcBorders>
              <w:top w:val="nil"/>
              <w:left w:val="nil"/>
              <w:bottom w:val="nil"/>
              <w:right w:val="single" w:sz="4" w:space="0" w:color="000000"/>
            </w:tcBorders>
            <w:shd w:val="clear" w:color="000000" w:fill="FFFFFF"/>
            <w:hideMark/>
          </w:tcPr>
          <w:p w14:paraId="5EB04FC1" w14:textId="479A5FA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01693EB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13A50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 </w:t>
            </w:r>
          </w:p>
        </w:tc>
        <w:tc>
          <w:tcPr>
            <w:tcW w:w="3798" w:type="dxa"/>
            <w:tcBorders>
              <w:top w:val="nil"/>
              <w:left w:val="nil"/>
              <w:bottom w:val="nil"/>
              <w:right w:val="single" w:sz="4" w:space="0" w:color="000000"/>
            </w:tcBorders>
            <w:shd w:val="clear" w:color="000000" w:fill="FFFFFF"/>
            <w:hideMark/>
          </w:tcPr>
          <w:p w14:paraId="552982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w:t>
            </w:r>
          </w:p>
        </w:tc>
        <w:tc>
          <w:tcPr>
            <w:tcW w:w="3798" w:type="dxa"/>
            <w:tcBorders>
              <w:top w:val="nil"/>
              <w:left w:val="nil"/>
              <w:bottom w:val="nil"/>
              <w:right w:val="single" w:sz="4" w:space="0" w:color="000000"/>
            </w:tcBorders>
            <w:shd w:val="clear" w:color="000000" w:fill="FFFFFF"/>
            <w:hideMark/>
          </w:tcPr>
          <w:p w14:paraId="346E57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w:t>
            </w:r>
          </w:p>
        </w:tc>
        <w:tc>
          <w:tcPr>
            <w:tcW w:w="1480" w:type="dxa"/>
            <w:tcBorders>
              <w:top w:val="nil"/>
              <w:left w:val="nil"/>
              <w:bottom w:val="nil"/>
              <w:right w:val="single" w:sz="4" w:space="0" w:color="000000"/>
            </w:tcBorders>
            <w:shd w:val="clear" w:color="000000" w:fill="FFFFFF"/>
            <w:hideMark/>
          </w:tcPr>
          <w:p w14:paraId="083201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7B91A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D96E3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Cuando por causa de alteración al orden público, de fuerza mayor o caso fortuito se incumplan los términos establecidos en el presente artículo, el delegado de la Registraduría deberá justificar lo sucedido aportando certificación de autoridad competente. </w:t>
            </w:r>
          </w:p>
        </w:tc>
        <w:tc>
          <w:tcPr>
            <w:tcW w:w="3798" w:type="dxa"/>
            <w:tcBorders>
              <w:top w:val="nil"/>
              <w:left w:val="nil"/>
              <w:bottom w:val="nil"/>
              <w:right w:val="single" w:sz="4" w:space="0" w:color="000000"/>
            </w:tcBorders>
            <w:shd w:val="clear" w:color="000000" w:fill="FFFFFF"/>
            <w:hideMark/>
          </w:tcPr>
          <w:p w14:paraId="60B468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por causa de alteración al orden público, de fuerza mayor o caso fortuito se incumplan los términos establecidos en el presente artículo, el delegado de la Registraduría deberá justificar lo sucedido aportando certificación de autoridad competente.</w:t>
            </w:r>
          </w:p>
        </w:tc>
        <w:tc>
          <w:tcPr>
            <w:tcW w:w="3798" w:type="dxa"/>
            <w:tcBorders>
              <w:top w:val="nil"/>
              <w:left w:val="nil"/>
              <w:bottom w:val="nil"/>
              <w:right w:val="single" w:sz="4" w:space="0" w:color="000000"/>
            </w:tcBorders>
            <w:shd w:val="clear" w:color="000000" w:fill="FFFFFF"/>
            <w:hideMark/>
          </w:tcPr>
          <w:p w14:paraId="0419DF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por causa de alteración al orden público, de fuerza mayor o caso fortuito se incumplan los términos establecidos en el presente artículo, el delegado de la Registraduría deberá justificar lo sucedido aportando certificación de autoridad competente.</w:t>
            </w:r>
          </w:p>
        </w:tc>
        <w:tc>
          <w:tcPr>
            <w:tcW w:w="1480" w:type="dxa"/>
            <w:tcBorders>
              <w:top w:val="nil"/>
              <w:left w:val="nil"/>
              <w:bottom w:val="nil"/>
              <w:right w:val="single" w:sz="4" w:space="0" w:color="000000"/>
            </w:tcBorders>
            <w:shd w:val="clear" w:color="000000" w:fill="FFFFFF"/>
            <w:hideMark/>
          </w:tcPr>
          <w:p w14:paraId="6FAA90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636B4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88FCF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aplicarán las tecnologías necesarias para garantizar la trazabilidad y la integridad de los documentos electorales digitales o físicos que permitan su remisión con medidas de seguridad. </w:t>
            </w:r>
          </w:p>
        </w:tc>
        <w:tc>
          <w:tcPr>
            <w:tcW w:w="3798" w:type="dxa"/>
            <w:tcBorders>
              <w:top w:val="nil"/>
              <w:left w:val="nil"/>
              <w:bottom w:val="nil"/>
              <w:right w:val="single" w:sz="4" w:space="0" w:color="000000"/>
            </w:tcBorders>
            <w:shd w:val="clear" w:color="000000" w:fill="FFFFFF"/>
            <w:hideMark/>
          </w:tcPr>
          <w:p w14:paraId="100A94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aplicarán las tecnologías necesarias para garantizar la trazabilidad y la integridad de los documentos electorales digitales o físicos que permitan su remisión con medidas de seguridad.</w:t>
            </w:r>
          </w:p>
        </w:tc>
        <w:tc>
          <w:tcPr>
            <w:tcW w:w="3798" w:type="dxa"/>
            <w:tcBorders>
              <w:top w:val="nil"/>
              <w:left w:val="nil"/>
              <w:bottom w:val="nil"/>
              <w:right w:val="single" w:sz="4" w:space="0" w:color="000000"/>
            </w:tcBorders>
            <w:shd w:val="clear" w:color="000000" w:fill="FFFFFF"/>
            <w:hideMark/>
          </w:tcPr>
          <w:p w14:paraId="00F6DA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aplicarán las tecnologías necesarias para garantizar la trazabilidad y la integridad de los documentos electorales digitales o físicos que permitan su remisión con medidas de seguridad.</w:t>
            </w:r>
          </w:p>
        </w:tc>
        <w:tc>
          <w:tcPr>
            <w:tcW w:w="1480" w:type="dxa"/>
            <w:tcBorders>
              <w:top w:val="nil"/>
              <w:left w:val="nil"/>
              <w:bottom w:val="nil"/>
              <w:right w:val="single" w:sz="4" w:space="0" w:color="000000"/>
            </w:tcBorders>
            <w:shd w:val="clear" w:color="000000" w:fill="FFFFFF"/>
            <w:hideMark/>
          </w:tcPr>
          <w:p w14:paraId="19176A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40C67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B17434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Cuando los documentos electorales se expidan mediante actos administrativos físicos sin el uso de tecnologías, le corresponderá al delegado seccional en lo electoral, en condición de secretario de la comisión escrutadora departamental, entregarlos ante el Consejo Nacional Electoral. </w:t>
            </w:r>
          </w:p>
        </w:tc>
        <w:tc>
          <w:tcPr>
            <w:tcW w:w="3798" w:type="dxa"/>
            <w:tcBorders>
              <w:top w:val="nil"/>
              <w:left w:val="nil"/>
              <w:bottom w:val="nil"/>
              <w:right w:val="single" w:sz="4" w:space="0" w:color="000000"/>
            </w:tcBorders>
            <w:shd w:val="clear" w:color="000000" w:fill="FFFFFF"/>
            <w:hideMark/>
          </w:tcPr>
          <w:p w14:paraId="367C80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los documentos electorales se expidan mediante actos administrativos físicos sin el uso de tecnologías, le corresponderá al Registrador departamental, en condición de secretario de la comisión escrutadora departamental, entregarlos ante el Consejo Nacional Electoral.</w:t>
            </w:r>
          </w:p>
        </w:tc>
        <w:tc>
          <w:tcPr>
            <w:tcW w:w="3798" w:type="dxa"/>
            <w:tcBorders>
              <w:top w:val="nil"/>
              <w:left w:val="nil"/>
              <w:bottom w:val="nil"/>
              <w:right w:val="single" w:sz="4" w:space="0" w:color="000000"/>
            </w:tcBorders>
            <w:shd w:val="clear" w:color="000000" w:fill="FFFFFF"/>
            <w:hideMark/>
          </w:tcPr>
          <w:p w14:paraId="6152DE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los documentos electorales se expidan mediante actos administrativos físicos sin el uso de tecnologías, le corresponderá al Registrador departamental, en condición de secretario de la comisión escrutadora departamental, entregarlos ante el Consejo Nacional Electoral.</w:t>
            </w:r>
          </w:p>
        </w:tc>
        <w:tc>
          <w:tcPr>
            <w:tcW w:w="1480" w:type="dxa"/>
            <w:tcBorders>
              <w:top w:val="nil"/>
              <w:left w:val="nil"/>
              <w:bottom w:val="nil"/>
              <w:right w:val="single" w:sz="4" w:space="0" w:color="000000"/>
            </w:tcBorders>
            <w:shd w:val="clear" w:color="000000" w:fill="FFFFFF"/>
            <w:hideMark/>
          </w:tcPr>
          <w:p w14:paraId="431E8E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ABAAD2" w14:textId="77777777" w:rsidTr="00222F34">
        <w:trPr>
          <w:trHeight w:val="1800"/>
        </w:trPr>
        <w:tc>
          <w:tcPr>
            <w:tcW w:w="3798" w:type="dxa"/>
            <w:tcBorders>
              <w:top w:val="single" w:sz="4" w:space="0" w:color="auto"/>
              <w:left w:val="single" w:sz="4" w:space="0" w:color="000000"/>
              <w:bottom w:val="nil"/>
              <w:right w:val="single" w:sz="4" w:space="0" w:color="000000"/>
            </w:tcBorders>
            <w:shd w:val="clear" w:color="000000" w:fill="FFFFFF"/>
            <w:hideMark/>
          </w:tcPr>
          <w:p w14:paraId="7E0B6C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182. Recepción y registro de documentos electorales.</w:t>
            </w:r>
            <w:r w:rsidRPr="00222F34">
              <w:rPr>
                <w:rFonts w:ascii="Calibri" w:eastAsia="Times New Roman" w:hAnsi="Calibri" w:cs="Calibri"/>
                <w:color w:val="000000"/>
                <w:lang w:val="es-CO" w:eastAsia="es-CO" w:bidi="ar-SA"/>
              </w:rPr>
              <w:t xml:space="preserve"> 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w:t>
            </w:r>
            <w:r w:rsidRPr="00222F34">
              <w:rPr>
                <w:rFonts w:ascii="Calibri" w:eastAsia="Times New Roman" w:hAnsi="Calibri" w:cs="Calibri"/>
                <w:color w:val="000000"/>
                <w:lang w:val="es-CO" w:eastAsia="es-CO" w:bidi="ar-SA"/>
              </w:rPr>
              <w:lastRenderedPageBreak/>
              <w:t xml:space="preserve">acta el día, la hora y el estado de los sobres que contienen. </w:t>
            </w:r>
          </w:p>
        </w:tc>
        <w:tc>
          <w:tcPr>
            <w:tcW w:w="3798" w:type="dxa"/>
            <w:tcBorders>
              <w:top w:val="single" w:sz="4" w:space="0" w:color="auto"/>
              <w:left w:val="nil"/>
              <w:bottom w:val="nil"/>
              <w:right w:val="single" w:sz="4" w:space="0" w:color="000000"/>
            </w:tcBorders>
            <w:shd w:val="clear" w:color="000000" w:fill="FFFFFF"/>
            <w:hideMark/>
          </w:tcPr>
          <w:p w14:paraId="173EC7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186. Recepción y registro de documentos electorales. </w:t>
            </w:r>
            <w:r w:rsidRPr="00222F34">
              <w:rPr>
                <w:rFonts w:ascii="Calibri" w:eastAsia="Times New Roman" w:hAnsi="Calibri" w:cs="Calibri"/>
                <w:color w:val="000000"/>
                <w:lang w:val="es-CO" w:eastAsia="es-CO" w:bidi="ar-SA"/>
              </w:rPr>
              <w:t xml:space="preserve">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w:t>
            </w:r>
            <w:r w:rsidRPr="00222F34">
              <w:rPr>
                <w:rFonts w:ascii="Calibri" w:eastAsia="Times New Roman" w:hAnsi="Calibri" w:cs="Calibri"/>
                <w:color w:val="000000"/>
                <w:lang w:val="es-CO" w:eastAsia="es-CO" w:bidi="ar-SA"/>
              </w:rPr>
              <w:lastRenderedPageBreak/>
              <w:t>acta el día, la hora y el estado de los sobres que contienen.</w:t>
            </w:r>
          </w:p>
        </w:tc>
        <w:tc>
          <w:tcPr>
            <w:tcW w:w="3798" w:type="dxa"/>
            <w:tcBorders>
              <w:top w:val="single" w:sz="4" w:space="0" w:color="auto"/>
              <w:left w:val="nil"/>
              <w:bottom w:val="nil"/>
              <w:right w:val="single" w:sz="4" w:space="0" w:color="000000"/>
            </w:tcBorders>
            <w:shd w:val="clear" w:color="000000" w:fill="FFFFFF"/>
            <w:hideMark/>
          </w:tcPr>
          <w:p w14:paraId="5E8709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186. Recepción y registro de documentos electorales. </w:t>
            </w:r>
            <w:r w:rsidRPr="00222F34">
              <w:rPr>
                <w:rFonts w:ascii="Calibri" w:eastAsia="Times New Roman" w:hAnsi="Calibri" w:cs="Calibri"/>
                <w:color w:val="000000"/>
                <w:lang w:val="es-CO" w:eastAsia="es-CO" w:bidi="ar-SA"/>
              </w:rPr>
              <w:t xml:space="preserve">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w:t>
            </w:r>
            <w:r w:rsidRPr="00222F34">
              <w:rPr>
                <w:rFonts w:ascii="Calibri" w:eastAsia="Times New Roman" w:hAnsi="Calibri" w:cs="Calibri"/>
                <w:color w:val="000000"/>
                <w:lang w:val="es-CO" w:eastAsia="es-CO" w:bidi="ar-SA"/>
              </w:rPr>
              <w:lastRenderedPageBreak/>
              <w:t>acta el día, la hora y el estado de los sobres que contienen.</w:t>
            </w:r>
          </w:p>
        </w:tc>
        <w:tc>
          <w:tcPr>
            <w:tcW w:w="1480" w:type="dxa"/>
            <w:tcBorders>
              <w:top w:val="single" w:sz="4" w:space="0" w:color="000000"/>
              <w:left w:val="nil"/>
              <w:bottom w:val="nil"/>
              <w:right w:val="single" w:sz="4" w:space="0" w:color="000000"/>
            </w:tcBorders>
            <w:shd w:val="clear" w:color="000000" w:fill="FFFFFF"/>
            <w:hideMark/>
          </w:tcPr>
          <w:p w14:paraId="7D96DD10" w14:textId="726FE3B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6CD1002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7C505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los puestos de votación en el exterior se coordinará el traslado de los documentos electorales con el Ministerio de Relaciones Exteriores.  </w:t>
            </w:r>
          </w:p>
        </w:tc>
        <w:tc>
          <w:tcPr>
            <w:tcW w:w="3798" w:type="dxa"/>
            <w:tcBorders>
              <w:top w:val="nil"/>
              <w:left w:val="nil"/>
              <w:bottom w:val="nil"/>
              <w:right w:val="single" w:sz="4" w:space="0" w:color="000000"/>
            </w:tcBorders>
            <w:shd w:val="clear" w:color="000000" w:fill="FFFFFF"/>
            <w:hideMark/>
          </w:tcPr>
          <w:p w14:paraId="7C6EA1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puestos de votación en el exterior se coordinará el traslado de los documentos electorales con el Ministerio de Relaciones Exteriores.</w:t>
            </w:r>
          </w:p>
        </w:tc>
        <w:tc>
          <w:tcPr>
            <w:tcW w:w="3798" w:type="dxa"/>
            <w:tcBorders>
              <w:top w:val="nil"/>
              <w:left w:val="nil"/>
              <w:bottom w:val="nil"/>
              <w:right w:val="single" w:sz="4" w:space="0" w:color="000000"/>
            </w:tcBorders>
            <w:shd w:val="clear" w:color="000000" w:fill="FFFFFF"/>
            <w:hideMark/>
          </w:tcPr>
          <w:p w14:paraId="3B23A5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puestos de votación en el exterior se coordinará el traslado de los documentos electorales con el Ministerio de Relaciones Exteriores.</w:t>
            </w:r>
          </w:p>
        </w:tc>
        <w:tc>
          <w:tcPr>
            <w:tcW w:w="1480" w:type="dxa"/>
            <w:tcBorders>
              <w:top w:val="nil"/>
              <w:left w:val="nil"/>
              <w:bottom w:val="nil"/>
              <w:right w:val="single" w:sz="4" w:space="0" w:color="000000"/>
            </w:tcBorders>
            <w:shd w:val="clear" w:color="000000" w:fill="FFFFFF"/>
            <w:hideMark/>
          </w:tcPr>
          <w:p w14:paraId="618600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9043F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90103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testigos electorales podrán acompañar el traslado de los documentos electorales desde los puestos de votación hasta el lugar de escrutinios. En ningún caso, los testigos podrán llevar a cabo este acompañamiento en los vehículos que transportan los documentos electorales. </w:t>
            </w:r>
          </w:p>
        </w:tc>
        <w:tc>
          <w:tcPr>
            <w:tcW w:w="3798" w:type="dxa"/>
            <w:tcBorders>
              <w:top w:val="nil"/>
              <w:left w:val="nil"/>
              <w:bottom w:val="nil"/>
              <w:right w:val="single" w:sz="4" w:space="0" w:color="000000"/>
            </w:tcBorders>
            <w:shd w:val="clear" w:color="000000" w:fill="FFFFFF"/>
            <w:hideMark/>
          </w:tcPr>
          <w:p w14:paraId="26FB01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testigos electorales podrán acompañar el traslado de los documentos electorales desde los puestos de votación hasta el lugar de escrutinios. En ningún caso, los testigos podrán llevar a cabo este acompañamiento en los vehículos que transportan los documentos electorales.</w:t>
            </w:r>
          </w:p>
        </w:tc>
        <w:tc>
          <w:tcPr>
            <w:tcW w:w="3798" w:type="dxa"/>
            <w:tcBorders>
              <w:top w:val="nil"/>
              <w:left w:val="nil"/>
              <w:bottom w:val="nil"/>
              <w:right w:val="single" w:sz="4" w:space="0" w:color="000000"/>
            </w:tcBorders>
            <w:shd w:val="clear" w:color="000000" w:fill="FFFFFF"/>
            <w:hideMark/>
          </w:tcPr>
          <w:p w14:paraId="067455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testigos electorales podrán acompañar el traslado de los documentos electorales desde los puestos de votación hasta el lugar de escrutinios. En ningún caso, los testigos podrán llevar a cabo este acompañamiento en los vehículos que transportan los documentos electorales.</w:t>
            </w:r>
          </w:p>
        </w:tc>
        <w:tc>
          <w:tcPr>
            <w:tcW w:w="1480" w:type="dxa"/>
            <w:tcBorders>
              <w:top w:val="nil"/>
              <w:left w:val="nil"/>
              <w:bottom w:val="nil"/>
              <w:right w:val="single" w:sz="4" w:space="0" w:color="000000"/>
            </w:tcBorders>
            <w:shd w:val="clear" w:color="000000" w:fill="FFFFFF"/>
            <w:hideMark/>
          </w:tcPr>
          <w:p w14:paraId="37FE01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921049A" w14:textId="77777777" w:rsidTr="00222F34">
        <w:trPr>
          <w:trHeight w:val="1800"/>
        </w:trPr>
        <w:tc>
          <w:tcPr>
            <w:tcW w:w="3798" w:type="dxa"/>
            <w:tcBorders>
              <w:top w:val="single" w:sz="4" w:space="0" w:color="000000"/>
              <w:left w:val="single" w:sz="4" w:space="0" w:color="000000"/>
              <w:bottom w:val="nil"/>
              <w:right w:val="single" w:sz="4" w:space="0" w:color="000000"/>
            </w:tcBorders>
            <w:shd w:val="clear" w:color="000000" w:fill="FFFFFF"/>
            <w:hideMark/>
          </w:tcPr>
          <w:p w14:paraId="078C3E7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183.- Custodia de documentos electorales.</w:t>
            </w:r>
            <w:r w:rsidRPr="00222F34">
              <w:rPr>
                <w:rFonts w:ascii="Calibri" w:eastAsia="Times New Roman" w:hAnsi="Calibri" w:cs="Calibri"/>
                <w:color w:val="000000"/>
                <w:lang w:val="es-CO" w:eastAsia="es-CO" w:bidi="ar-SA"/>
              </w:rPr>
              <w:t xml:space="preserve"> Los documentos electorales se ubicarán en un depósito seguro, que deberá ser un recinto mueble o inmueble almacenamientos electrónicos o digitales destinados a conservar y custodiar los documentos electorales. Estos estarán bajo la custodia de las comisiones escrutadoras en todos los niveles, que para el desarrollo de sus </w:t>
            </w:r>
            <w:r w:rsidRPr="00222F34">
              <w:rPr>
                <w:rFonts w:ascii="Calibri" w:eastAsia="Times New Roman" w:hAnsi="Calibri" w:cs="Calibri"/>
                <w:color w:val="000000"/>
                <w:lang w:val="es-CO" w:eastAsia="es-CO" w:bidi="ar-SA"/>
              </w:rPr>
              <w:lastRenderedPageBreak/>
              <w:t xml:space="preserve">funciones contarán con el apoyo de la Fuerza Pública. </w:t>
            </w:r>
          </w:p>
        </w:tc>
        <w:tc>
          <w:tcPr>
            <w:tcW w:w="3798" w:type="dxa"/>
            <w:tcBorders>
              <w:top w:val="single" w:sz="4" w:space="0" w:color="000000"/>
              <w:left w:val="nil"/>
              <w:bottom w:val="nil"/>
              <w:right w:val="single" w:sz="4" w:space="0" w:color="000000"/>
            </w:tcBorders>
            <w:shd w:val="clear" w:color="000000" w:fill="FFFFFF"/>
            <w:hideMark/>
          </w:tcPr>
          <w:p w14:paraId="2A4505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187.- Custodia de documentos electorales. </w:t>
            </w:r>
            <w:r w:rsidRPr="00222F34">
              <w:rPr>
                <w:rFonts w:ascii="Calibri" w:eastAsia="Times New Roman" w:hAnsi="Calibri" w:cs="Calibri"/>
                <w:color w:val="000000"/>
                <w:lang w:val="es-CO" w:eastAsia="es-CO" w:bidi="ar-SA"/>
              </w:rPr>
              <w:t xml:space="preserve">Los documentos electorales se ubicarán en un depósito seguro, que deberá ser un recinto mueble o inmueble almacenamientos electrónicos o digitales destinados a conservar y custodiar los documentos electorales. Estos estarán bajo la custodia de las comisiones escrutadoras en todos los niveles, que para el desarrollo de sus </w:t>
            </w:r>
            <w:r w:rsidRPr="00222F34">
              <w:rPr>
                <w:rFonts w:ascii="Calibri" w:eastAsia="Times New Roman" w:hAnsi="Calibri" w:cs="Calibri"/>
                <w:color w:val="000000"/>
                <w:lang w:val="es-CO" w:eastAsia="es-CO" w:bidi="ar-SA"/>
              </w:rPr>
              <w:lastRenderedPageBreak/>
              <w:t>funciones contarán con el apoyo de la Fuerza Pública.</w:t>
            </w:r>
          </w:p>
        </w:tc>
        <w:tc>
          <w:tcPr>
            <w:tcW w:w="3798" w:type="dxa"/>
            <w:tcBorders>
              <w:top w:val="single" w:sz="4" w:space="0" w:color="000000"/>
              <w:left w:val="nil"/>
              <w:bottom w:val="nil"/>
              <w:right w:val="single" w:sz="4" w:space="0" w:color="000000"/>
            </w:tcBorders>
            <w:shd w:val="clear" w:color="000000" w:fill="FFFFFF"/>
            <w:hideMark/>
          </w:tcPr>
          <w:p w14:paraId="34F637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187.- Custodia de documentos electorales. </w:t>
            </w:r>
            <w:r w:rsidRPr="00222F34">
              <w:rPr>
                <w:rFonts w:ascii="Calibri" w:eastAsia="Times New Roman" w:hAnsi="Calibri" w:cs="Calibri"/>
                <w:color w:val="000000"/>
                <w:lang w:val="es-CO" w:eastAsia="es-CO" w:bidi="ar-SA"/>
              </w:rPr>
              <w:t xml:space="preserve">Los documentos electorales se ubicarán en un depósito seguro, que deberá ser un recinto mueble o inmueble almacenamientos electrónicos o digitales destinados a conservar y custodiar los documentos electorales. Estos estarán bajo la custodia de las comisiones escrutadoras en todos los niveles, que para el desarrollo de sus </w:t>
            </w:r>
            <w:r w:rsidRPr="00222F34">
              <w:rPr>
                <w:rFonts w:ascii="Calibri" w:eastAsia="Times New Roman" w:hAnsi="Calibri" w:cs="Calibri"/>
                <w:color w:val="000000"/>
                <w:lang w:val="es-CO" w:eastAsia="es-CO" w:bidi="ar-SA"/>
              </w:rPr>
              <w:lastRenderedPageBreak/>
              <w:t>funciones contarán con el apoyo de la Fuerza Pública.</w:t>
            </w:r>
          </w:p>
        </w:tc>
        <w:tc>
          <w:tcPr>
            <w:tcW w:w="1480" w:type="dxa"/>
            <w:tcBorders>
              <w:top w:val="single" w:sz="4" w:space="0" w:color="000000"/>
              <w:left w:val="nil"/>
              <w:bottom w:val="nil"/>
              <w:right w:val="single" w:sz="4" w:space="0" w:color="000000"/>
            </w:tcBorders>
            <w:shd w:val="clear" w:color="000000" w:fill="FFFFFF"/>
            <w:hideMark/>
          </w:tcPr>
          <w:p w14:paraId="64ABAD37" w14:textId="4145265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Pr="00222F34">
              <w:rPr>
                <w:rFonts w:ascii="Calibri" w:eastAsia="Times New Roman" w:hAnsi="Calibri" w:cs="Calibri"/>
                <w:color w:val="000000"/>
                <w:lang w:val="es-CO" w:eastAsia="es-CO" w:bidi="ar-SA"/>
              </w:rPr>
              <w:t xml:space="preserve"> y se corrige redacción en el parágrafo</w:t>
            </w:r>
          </w:p>
        </w:tc>
      </w:tr>
      <w:tr w:rsidR="00CD4925" w:rsidRPr="00222F34" w14:paraId="3A2F687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2BA57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horarios establecidos para las audiencias de los escrutinios, inclusive en los recesos.  </w:t>
            </w:r>
          </w:p>
        </w:tc>
        <w:tc>
          <w:tcPr>
            <w:tcW w:w="3798" w:type="dxa"/>
            <w:tcBorders>
              <w:top w:val="nil"/>
              <w:left w:val="nil"/>
              <w:bottom w:val="nil"/>
              <w:right w:val="single" w:sz="4" w:space="0" w:color="000000"/>
            </w:tcBorders>
            <w:shd w:val="clear" w:color="000000" w:fill="FFFFFF"/>
            <w:hideMark/>
          </w:tcPr>
          <w:p w14:paraId="71C7DE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horarios establecidos para las audiencias de los escrutinios, inclusive en los recesos.</w:t>
            </w:r>
          </w:p>
        </w:tc>
        <w:tc>
          <w:tcPr>
            <w:tcW w:w="3798" w:type="dxa"/>
            <w:tcBorders>
              <w:top w:val="nil"/>
              <w:left w:val="nil"/>
              <w:bottom w:val="nil"/>
              <w:right w:val="single" w:sz="4" w:space="0" w:color="000000"/>
            </w:tcBorders>
            <w:shd w:val="clear" w:color="000000" w:fill="FFFFFF"/>
            <w:hideMark/>
          </w:tcPr>
          <w:p w14:paraId="1BBEB5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horarios establecidos para las audiencias de los escrutinios, inclusive en los recesos.</w:t>
            </w:r>
          </w:p>
        </w:tc>
        <w:tc>
          <w:tcPr>
            <w:tcW w:w="1480" w:type="dxa"/>
            <w:tcBorders>
              <w:top w:val="nil"/>
              <w:left w:val="nil"/>
              <w:bottom w:val="nil"/>
              <w:right w:val="single" w:sz="4" w:space="0" w:color="000000"/>
            </w:tcBorders>
            <w:shd w:val="clear" w:color="000000" w:fill="FFFFFF"/>
            <w:hideMark/>
          </w:tcPr>
          <w:p w14:paraId="7E3E61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D859DAB"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47C80FA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610C37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el traslado de los documentos electorales la Registraduría Nacional del Estado Civil podrá en los casos en que se estime conveniente, contratar a un tercero que garantice la seguridad de los documentos.</w:t>
            </w:r>
          </w:p>
        </w:tc>
        <w:tc>
          <w:tcPr>
            <w:tcW w:w="3798" w:type="dxa"/>
            <w:tcBorders>
              <w:top w:val="nil"/>
              <w:left w:val="nil"/>
              <w:bottom w:val="single" w:sz="4" w:space="0" w:color="000000"/>
              <w:right w:val="single" w:sz="4" w:space="0" w:color="000000"/>
            </w:tcBorders>
            <w:shd w:val="clear" w:color="000000" w:fill="FFFFFF"/>
            <w:hideMark/>
          </w:tcPr>
          <w:p w14:paraId="2CC97D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el traslado de los documentos electorales la Registraduría Nacional del Estado Civil podrá</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en los casos en que se estime conveniente, contratar a un tercero que garantice la seguridad de los documentos.</w:t>
            </w:r>
          </w:p>
        </w:tc>
        <w:tc>
          <w:tcPr>
            <w:tcW w:w="1480" w:type="dxa"/>
            <w:tcBorders>
              <w:top w:val="nil"/>
              <w:left w:val="nil"/>
              <w:bottom w:val="single" w:sz="4" w:space="0" w:color="000000"/>
              <w:right w:val="single" w:sz="4" w:space="0" w:color="000000"/>
            </w:tcBorders>
            <w:shd w:val="clear" w:color="000000" w:fill="FFFFFF"/>
            <w:hideMark/>
          </w:tcPr>
          <w:p w14:paraId="48DC7B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692606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9FE862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3798" w:type="dxa"/>
            <w:tcBorders>
              <w:top w:val="nil"/>
              <w:left w:val="nil"/>
              <w:bottom w:val="nil"/>
              <w:right w:val="single" w:sz="4" w:space="0" w:color="000000"/>
            </w:tcBorders>
            <w:shd w:val="clear" w:color="000000" w:fill="FFFFFF"/>
            <w:hideMark/>
          </w:tcPr>
          <w:p w14:paraId="546E837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3798" w:type="dxa"/>
            <w:tcBorders>
              <w:top w:val="nil"/>
              <w:left w:val="nil"/>
              <w:bottom w:val="nil"/>
              <w:right w:val="single" w:sz="4" w:space="0" w:color="000000"/>
            </w:tcBorders>
            <w:shd w:val="clear" w:color="000000" w:fill="FFFFFF"/>
            <w:hideMark/>
          </w:tcPr>
          <w:p w14:paraId="2EB6C75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tc>
        <w:tc>
          <w:tcPr>
            <w:tcW w:w="1480" w:type="dxa"/>
            <w:tcBorders>
              <w:top w:val="nil"/>
              <w:left w:val="nil"/>
              <w:bottom w:val="nil"/>
              <w:right w:val="single" w:sz="4" w:space="0" w:color="000000"/>
            </w:tcBorders>
            <w:shd w:val="clear" w:color="000000" w:fill="FFFFFF"/>
            <w:hideMark/>
          </w:tcPr>
          <w:p w14:paraId="350973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23AF3D"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88917B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comisiones escrutadoras</w:t>
            </w:r>
          </w:p>
        </w:tc>
        <w:tc>
          <w:tcPr>
            <w:tcW w:w="3798" w:type="dxa"/>
            <w:tcBorders>
              <w:top w:val="nil"/>
              <w:left w:val="nil"/>
              <w:bottom w:val="single" w:sz="4" w:space="0" w:color="000000"/>
              <w:right w:val="single" w:sz="4" w:space="0" w:color="000000"/>
            </w:tcBorders>
            <w:shd w:val="clear" w:color="000000" w:fill="FFFFFF"/>
            <w:hideMark/>
          </w:tcPr>
          <w:p w14:paraId="3E5FF8E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comisiones escrutadoras</w:t>
            </w:r>
          </w:p>
        </w:tc>
        <w:tc>
          <w:tcPr>
            <w:tcW w:w="3798" w:type="dxa"/>
            <w:tcBorders>
              <w:top w:val="nil"/>
              <w:left w:val="nil"/>
              <w:bottom w:val="single" w:sz="4" w:space="0" w:color="000000"/>
              <w:right w:val="single" w:sz="4" w:space="0" w:color="000000"/>
            </w:tcBorders>
            <w:shd w:val="clear" w:color="000000" w:fill="FFFFFF"/>
            <w:hideMark/>
          </w:tcPr>
          <w:p w14:paraId="02DCE14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comisiones escrutadoras</w:t>
            </w:r>
          </w:p>
        </w:tc>
        <w:tc>
          <w:tcPr>
            <w:tcW w:w="1480" w:type="dxa"/>
            <w:tcBorders>
              <w:top w:val="nil"/>
              <w:left w:val="nil"/>
              <w:bottom w:val="single" w:sz="4" w:space="0" w:color="000000"/>
              <w:right w:val="single" w:sz="4" w:space="0" w:color="000000"/>
            </w:tcBorders>
            <w:shd w:val="clear" w:color="000000" w:fill="FFFFFF"/>
            <w:hideMark/>
          </w:tcPr>
          <w:p w14:paraId="6EBB4A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E8E8D0"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E068E0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184.- Lugar de los escrutinios a cargo de las comisiones escrutadoras.</w:t>
            </w:r>
            <w:r w:rsidRPr="00222F34">
              <w:rPr>
                <w:rFonts w:ascii="Calibri" w:eastAsia="Times New Roman" w:hAnsi="Calibri" w:cs="Calibri"/>
                <w:color w:val="000000"/>
                <w:lang w:val="es-CO" w:eastAsia="es-CO" w:bidi="ar-SA"/>
              </w:rPr>
              <w:t xml:space="preserve"> El registrador Nacional, distrital, departamental, especial, municipal y auxiliar del Estado Civil y el delegado seccional en lo Electoral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 </w:t>
            </w:r>
          </w:p>
        </w:tc>
        <w:tc>
          <w:tcPr>
            <w:tcW w:w="3798" w:type="dxa"/>
            <w:tcBorders>
              <w:top w:val="nil"/>
              <w:left w:val="nil"/>
              <w:bottom w:val="nil"/>
              <w:right w:val="single" w:sz="4" w:space="0" w:color="000000"/>
            </w:tcBorders>
            <w:shd w:val="clear" w:color="000000" w:fill="FFFFFF"/>
            <w:hideMark/>
          </w:tcPr>
          <w:p w14:paraId="6C8283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188.- Lugar de los escrutinios a cargo de las comisiones escrutadoras.</w:t>
            </w:r>
            <w:r w:rsidRPr="00222F34">
              <w:rPr>
                <w:rFonts w:ascii="Calibri" w:eastAsia="Times New Roman" w:hAnsi="Calibri" w:cs="Calibri"/>
                <w:color w:val="000000"/>
                <w:lang w:val="es-CO" w:eastAsia="es-CO" w:bidi="ar-SA"/>
              </w:rPr>
              <w:t xml:space="preserve"> El registrador Nacional, distrital, departamental, especial, municipal y auxiliar del Estado Civil y el delegado seccional en lo Electoral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w:t>
            </w:r>
          </w:p>
        </w:tc>
        <w:tc>
          <w:tcPr>
            <w:tcW w:w="3798" w:type="dxa"/>
            <w:tcBorders>
              <w:top w:val="nil"/>
              <w:left w:val="nil"/>
              <w:bottom w:val="nil"/>
              <w:right w:val="single" w:sz="4" w:space="0" w:color="000000"/>
            </w:tcBorders>
            <w:shd w:val="clear" w:color="000000" w:fill="FFFFFF"/>
            <w:hideMark/>
          </w:tcPr>
          <w:p w14:paraId="6608DA3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188.- Lugar de los escrutinios a cargo de las comisiones escrutadoras.</w:t>
            </w:r>
            <w:r w:rsidRPr="00222F34">
              <w:rPr>
                <w:rFonts w:ascii="Calibri" w:eastAsia="Times New Roman" w:hAnsi="Calibri" w:cs="Calibri"/>
                <w:color w:val="000000"/>
                <w:lang w:val="es-CO" w:eastAsia="es-CO" w:bidi="ar-SA"/>
              </w:rPr>
              <w:t xml:space="preserve"> El registrador Nacional, distrital, departamental, especial, municipal y auxiliar del Estado Civil y el delegado seccional en lo Electoral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w:t>
            </w:r>
          </w:p>
        </w:tc>
        <w:tc>
          <w:tcPr>
            <w:tcW w:w="1480" w:type="dxa"/>
            <w:tcBorders>
              <w:top w:val="nil"/>
              <w:left w:val="nil"/>
              <w:bottom w:val="nil"/>
              <w:right w:val="single" w:sz="4" w:space="0" w:color="000000"/>
            </w:tcBorders>
            <w:shd w:val="clear" w:color="000000" w:fill="FFFFFF"/>
            <w:hideMark/>
          </w:tcPr>
          <w:p w14:paraId="7CA98890" w14:textId="3ABB959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927EED1" w14:textId="77777777" w:rsidTr="00222F34">
        <w:trPr>
          <w:trHeight w:val="1245"/>
        </w:trPr>
        <w:tc>
          <w:tcPr>
            <w:tcW w:w="3798" w:type="dxa"/>
            <w:tcBorders>
              <w:top w:val="nil"/>
              <w:left w:val="single" w:sz="4" w:space="0" w:color="000000"/>
              <w:bottom w:val="nil"/>
              <w:right w:val="single" w:sz="4" w:space="0" w:color="000000"/>
            </w:tcBorders>
            <w:shd w:val="clear" w:color="000000" w:fill="FFFFFF"/>
            <w:hideMark/>
          </w:tcPr>
          <w:p w14:paraId="183827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 </w:t>
            </w:r>
          </w:p>
        </w:tc>
        <w:tc>
          <w:tcPr>
            <w:tcW w:w="3798" w:type="dxa"/>
            <w:tcBorders>
              <w:top w:val="nil"/>
              <w:left w:val="nil"/>
              <w:bottom w:val="nil"/>
              <w:right w:val="single" w:sz="4" w:space="0" w:color="000000"/>
            </w:tcBorders>
            <w:shd w:val="clear" w:color="000000" w:fill="FFFFFF"/>
            <w:hideMark/>
          </w:tcPr>
          <w:p w14:paraId="3D557B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w:t>
            </w:r>
          </w:p>
        </w:tc>
        <w:tc>
          <w:tcPr>
            <w:tcW w:w="3798" w:type="dxa"/>
            <w:tcBorders>
              <w:top w:val="nil"/>
              <w:left w:val="nil"/>
              <w:bottom w:val="nil"/>
              <w:right w:val="single" w:sz="4" w:space="0" w:color="000000"/>
            </w:tcBorders>
            <w:shd w:val="clear" w:color="000000" w:fill="FFFFFF"/>
            <w:hideMark/>
          </w:tcPr>
          <w:p w14:paraId="1366E4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w:t>
            </w:r>
          </w:p>
        </w:tc>
        <w:tc>
          <w:tcPr>
            <w:tcW w:w="1480" w:type="dxa"/>
            <w:tcBorders>
              <w:top w:val="nil"/>
              <w:left w:val="nil"/>
              <w:bottom w:val="nil"/>
              <w:right w:val="single" w:sz="4" w:space="0" w:color="000000"/>
            </w:tcBorders>
            <w:shd w:val="clear" w:color="000000" w:fill="FFFFFF"/>
            <w:hideMark/>
          </w:tcPr>
          <w:p w14:paraId="6D6650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248FB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C0188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Una vez determinado el lugar de escrutinio, solo procederá el traslado del mismo por caso fortuito, fuerza mayor o por la evidencia de riesgo que tenga la potencialidad de impedir el normal desarrollo del escrutinio, certificado por autoridad competente. El registrador competente expedirá el acto </w:t>
            </w:r>
            <w:r w:rsidRPr="00222F34">
              <w:rPr>
                <w:rFonts w:ascii="Calibri" w:eastAsia="Times New Roman" w:hAnsi="Calibri" w:cs="Calibri"/>
                <w:color w:val="000000"/>
                <w:lang w:val="es-CO" w:eastAsia="es-CO" w:bidi="ar-SA"/>
              </w:rPr>
              <w:lastRenderedPageBreak/>
              <w:t>administrativo modificatorio, que deberá ser publicado en la forma indicada en el inciso precedente.</w:t>
            </w:r>
          </w:p>
        </w:tc>
        <w:tc>
          <w:tcPr>
            <w:tcW w:w="3798" w:type="dxa"/>
            <w:tcBorders>
              <w:top w:val="nil"/>
              <w:left w:val="nil"/>
              <w:bottom w:val="nil"/>
              <w:right w:val="single" w:sz="4" w:space="0" w:color="000000"/>
            </w:tcBorders>
            <w:shd w:val="clear" w:color="000000" w:fill="FFFFFF"/>
            <w:hideMark/>
          </w:tcPr>
          <w:p w14:paraId="41E1D9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Una vez determinado el lugar de escrutinio, sólo procederá el traslado del mismo por caso fortuito, fuerza mayor o por la evidencia de riesgo que tenga la potencialidad de impedir el normal desarrollo del escrutinio, certificado por autoridad competente. El registrador competente expedirá el acto </w:t>
            </w:r>
            <w:r w:rsidRPr="00222F34">
              <w:rPr>
                <w:rFonts w:ascii="Calibri" w:eastAsia="Times New Roman" w:hAnsi="Calibri" w:cs="Calibri"/>
                <w:color w:val="000000"/>
                <w:lang w:val="es-CO" w:eastAsia="es-CO" w:bidi="ar-SA"/>
              </w:rPr>
              <w:lastRenderedPageBreak/>
              <w:t>administrativo modificatorio, que deberá ser publicado en la forma indicada en el inciso precedente.</w:t>
            </w:r>
          </w:p>
        </w:tc>
        <w:tc>
          <w:tcPr>
            <w:tcW w:w="3798" w:type="dxa"/>
            <w:tcBorders>
              <w:top w:val="nil"/>
              <w:left w:val="nil"/>
              <w:bottom w:val="nil"/>
              <w:right w:val="single" w:sz="4" w:space="0" w:color="000000"/>
            </w:tcBorders>
            <w:shd w:val="clear" w:color="000000" w:fill="FFFFFF"/>
            <w:hideMark/>
          </w:tcPr>
          <w:p w14:paraId="105B48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Una vez determinado el lugar de escrutinio, sólo procederá el traslado del mismo por caso fortuito, fuerza mayor o por la evidencia de riesgo que tenga la potencialidad de impedir el normal desarrollo del escrutinio, certificado por autoridad competente. El registrador competente expedirá el acto </w:t>
            </w:r>
            <w:r w:rsidRPr="00222F34">
              <w:rPr>
                <w:rFonts w:ascii="Calibri" w:eastAsia="Times New Roman" w:hAnsi="Calibri" w:cs="Calibri"/>
                <w:color w:val="000000"/>
                <w:lang w:val="es-CO" w:eastAsia="es-CO" w:bidi="ar-SA"/>
              </w:rPr>
              <w:lastRenderedPageBreak/>
              <w:t>administrativo modificatorio, que deberá ser publicado en la forma indicada en el inciso precedente.</w:t>
            </w:r>
          </w:p>
        </w:tc>
        <w:tc>
          <w:tcPr>
            <w:tcW w:w="1480" w:type="dxa"/>
            <w:tcBorders>
              <w:top w:val="nil"/>
              <w:left w:val="nil"/>
              <w:bottom w:val="nil"/>
              <w:right w:val="single" w:sz="4" w:space="0" w:color="000000"/>
            </w:tcBorders>
            <w:shd w:val="clear" w:color="000000" w:fill="FFFFFF"/>
            <w:hideMark/>
          </w:tcPr>
          <w:p w14:paraId="18F940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B2CBB88" w14:textId="77777777" w:rsidTr="00222F34">
        <w:trPr>
          <w:trHeight w:val="1800"/>
        </w:trPr>
        <w:tc>
          <w:tcPr>
            <w:tcW w:w="3798" w:type="dxa"/>
            <w:tcBorders>
              <w:top w:val="single" w:sz="4" w:space="0" w:color="auto"/>
              <w:left w:val="single" w:sz="4" w:space="0" w:color="000000"/>
              <w:bottom w:val="nil"/>
              <w:right w:val="single" w:sz="4" w:space="0" w:color="000000"/>
            </w:tcBorders>
            <w:shd w:val="clear" w:color="000000" w:fill="FFFFFF"/>
            <w:hideMark/>
          </w:tcPr>
          <w:p w14:paraId="6EAAD6E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185.- Composición y designación de las comisiones escrutadoras.</w:t>
            </w:r>
            <w:r w:rsidRPr="00222F34">
              <w:rPr>
                <w:rFonts w:ascii="Calibri" w:eastAsia="Times New Roman" w:hAnsi="Calibri" w:cs="Calibri"/>
                <w:color w:val="000000"/>
                <w:lang w:val="es-CO" w:eastAsia="es-CO" w:bidi="ar-SA"/>
              </w:rPr>
              <w:t xml:space="preserve"> Las comisiones escrutadoras zonales, municipales, distrital y general en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 </w:t>
            </w:r>
          </w:p>
        </w:tc>
        <w:tc>
          <w:tcPr>
            <w:tcW w:w="3798" w:type="dxa"/>
            <w:tcBorders>
              <w:top w:val="single" w:sz="4" w:space="0" w:color="auto"/>
              <w:left w:val="nil"/>
              <w:bottom w:val="nil"/>
              <w:right w:val="single" w:sz="4" w:space="0" w:color="000000"/>
            </w:tcBorders>
            <w:shd w:val="clear" w:color="00FF00" w:fill="FFFFFF"/>
            <w:hideMark/>
          </w:tcPr>
          <w:p w14:paraId="2B02E0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189.- Composición y designación de las comisiones escrutadoras. </w:t>
            </w:r>
            <w:r w:rsidRPr="00222F34">
              <w:rPr>
                <w:rFonts w:ascii="Calibri" w:eastAsia="Times New Roman" w:hAnsi="Calibri" w:cs="Calibri"/>
                <w:color w:val="000000"/>
                <w:lang w:val="es-CO" w:eastAsia="es-CO" w:bidi="ar-SA"/>
              </w:rPr>
              <w:t>Las comisiones escrutadoras zonales, municipales y distrital de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w:t>
            </w:r>
          </w:p>
        </w:tc>
        <w:tc>
          <w:tcPr>
            <w:tcW w:w="3798" w:type="dxa"/>
            <w:tcBorders>
              <w:top w:val="single" w:sz="4" w:space="0" w:color="auto"/>
              <w:left w:val="nil"/>
              <w:bottom w:val="nil"/>
              <w:right w:val="single" w:sz="4" w:space="0" w:color="000000"/>
            </w:tcBorders>
            <w:shd w:val="clear" w:color="00FF00" w:fill="FFFFFF"/>
            <w:hideMark/>
          </w:tcPr>
          <w:p w14:paraId="286AF8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189.- Composición y designación de las comisiones escrutadoras. </w:t>
            </w:r>
            <w:r w:rsidRPr="00222F34">
              <w:rPr>
                <w:rFonts w:ascii="Calibri" w:eastAsia="Times New Roman" w:hAnsi="Calibri" w:cs="Calibri"/>
                <w:color w:val="000000"/>
                <w:lang w:val="es-CO" w:eastAsia="es-CO" w:bidi="ar-SA"/>
              </w:rPr>
              <w:t>Las comisiones escrutadoras zonales, municipales y distrital de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w:t>
            </w:r>
          </w:p>
        </w:tc>
        <w:tc>
          <w:tcPr>
            <w:tcW w:w="1480" w:type="dxa"/>
            <w:tcBorders>
              <w:top w:val="single" w:sz="4" w:space="0" w:color="auto"/>
              <w:left w:val="nil"/>
              <w:bottom w:val="nil"/>
              <w:right w:val="single" w:sz="4" w:space="0" w:color="000000"/>
            </w:tcBorders>
            <w:shd w:val="clear" w:color="000000" w:fill="FFFFFF"/>
            <w:hideMark/>
          </w:tcPr>
          <w:p w14:paraId="2AC8247E" w14:textId="7BEA7CD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5CF76A6D"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5E232E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comisiones escrutadoras distrital de Bogotá y las departamentales estarán integradas por dos (2) ciudadanos, que deberán acreditar las mismas calidades y requisitos para ser magistrados de Tribunal Superior del Distrito Judicial, y serán designados por la Sala Plena del Consejo Nacional Electoral. Un (1) mes antes de la correspondiente votación, el Consejo Nacional Electoral conformará una lista de no menos de ochenta (80) </w:t>
            </w:r>
            <w:r w:rsidRPr="00222F34">
              <w:rPr>
                <w:rFonts w:ascii="Calibri" w:eastAsia="Times New Roman" w:hAnsi="Calibri" w:cs="Calibri"/>
                <w:color w:val="000000"/>
                <w:lang w:val="es-CO" w:eastAsia="es-CO" w:bidi="ar-SA"/>
              </w:rPr>
              <w:lastRenderedPageBreak/>
              <w:t xml:space="preserve">ciudadanos, y designará por sorteo público en qué comisión departamental cumplirán su función, quedando como remanentes quienes no fuesen designados en alguna comisión departamental. </w:t>
            </w:r>
          </w:p>
        </w:tc>
        <w:tc>
          <w:tcPr>
            <w:tcW w:w="3798" w:type="dxa"/>
            <w:tcBorders>
              <w:top w:val="nil"/>
              <w:left w:val="nil"/>
              <w:bottom w:val="nil"/>
              <w:right w:val="single" w:sz="4" w:space="0" w:color="000000"/>
            </w:tcBorders>
            <w:shd w:val="clear" w:color="00FF00" w:fill="FFFFFF"/>
            <w:hideMark/>
          </w:tcPr>
          <w:p w14:paraId="06B69D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comisiones escrutadoras General de Bogotá y las Comisiones escrutadoras departamentales estarán integradas por dos (2) ciudadanos, que deberán acreditar las mismas calidades y requisitos para ser magistrados del Tribunal Superior del Distrito Judicial, y serán designados por la Sala Plena del Consejo Nacional Electoral. Un (1) mes antes de la correspondiente votación, el Consejo Nacional Electoral conformará </w:t>
            </w:r>
            <w:r w:rsidRPr="00222F34">
              <w:rPr>
                <w:rFonts w:ascii="Calibri" w:eastAsia="Times New Roman" w:hAnsi="Calibri" w:cs="Calibri"/>
                <w:color w:val="000000"/>
                <w:lang w:val="es-CO" w:eastAsia="es-CO" w:bidi="ar-SA"/>
              </w:rPr>
              <w:lastRenderedPageBreak/>
              <w:t>una lista de no menos de ochenta (80) ciudadanos, y designará por sorteo público en qué comisión departamental cumplirán su función, quedando como remanentes quienes no fuesen designados en alguna comisión general o departamental.</w:t>
            </w:r>
          </w:p>
        </w:tc>
        <w:tc>
          <w:tcPr>
            <w:tcW w:w="3798" w:type="dxa"/>
            <w:tcBorders>
              <w:top w:val="nil"/>
              <w:left w:val="nil"/>
              <w:bottom w:val="nil"/>
              <w:right w:val="single" w:sz="4" w:space="0" w:color="000000"/>
            </w:tcBorders>
            <w:shd w:val="clear" w:color="00FF00" w:fill="FFFFFF"/>
            <w:hideMark/>
          </w:tcPr>
          <w:p w14:paraId="26C2FB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comisiones escrutadoras General de Bogotá y las Comisiones escrutadoras departamentales estarán integradas por dos (2) ciudadanos, que deberán acreditar las mismas calidades y requisitos para ser magistrados del Tribunal Superior del Distrito Judicial, y serán designados por la Sala Plena del Consejo Nacional Electoral. Un (1) mes antes de la correspondiente votación, el Consejo Nacional Electoral conformará </w:t>
            </w:r>
            <w:r w:rsidRPr="00222F34">
              <w:rPr>
                <w:rFonts w:ascii="Calibri" w:eastAsia="Times New Roman" w:hAnsi="Calibri" w:cs="Calibri"/>
                <w:color w:val="000000"/>
                <w:lang w:val="es-CO" w:eastAsia="es-CO" w:bidi="ar-SA"/>
              </w:rPr>
              <w:lastRenderedPageBreak/>
              <w:t>una lista de no menos de ochenta (80) ciudadanos, y designará por sorteo público en qué comisión departamental cumplirán su función, quedando como remanentes quienes no fuesen designados en alguna comisión general o departamental.</w:t>
            </w:r>
          </w:p>
        </w:tc>
        <w:tc>
          <w:tcPr>
            <w:tcW w:w="1480" w:type="dxa"/>
            <w:tcBorders>
              <w:top w:val="nil"/>
              <w:left w:val="nil"/>
              <w:bottom w:val="nil"/>
              <w:right w:val="single" w:sz="4" w:space="0" w:color="000000"/>
            </w:tcBorders>
            <w:shd w:val="clear" w:color="000000" w:fill="FFFFFF"/>
            <w:hideMark/>
          </w:tcPr>
          <w:p w14:paraId="213081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418D4B9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ABAB53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Con el propósito de facilitar el adelantamiento de los escrutinios en los municipios zonificados o no zonificados con un alto número de mesas de votación, y para facilitar el desarrollo de los escrutinios, se podrán crear subcomisiones escrutadoras, sin que ello constituya un nivel diferente de escrutinio. </w:t>
            </w:r>
          </w:p>
        </w:tc>
        <w:tc>
          <w:tcPr>
            <w:tcW w:w="3798" w:type="dxa"/>
            <w:tcBorders>
              <w:top w:val="nil"/>
              <w:left w:val="nil"/>
              <w:bottom w:val="nil"/>
              <w:right w:val="single" w:sz="4" w:space="0" w:color="000000"/>
            </w:tcBorders>
            <w:shd w:val="clear" w:color="00FF00" w:fill="FFFFFF"/>
            <w:hideMark/>
          </w:tcPr>
          <w:p w14:paraId="07C5A0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Con el propósito de facilitar el adelantamiento de los escrutinios en los municipios zonificados o no zonificados con un alto número de mesas de votación el desarrollo de los escrutinios, se podrán crear subcomisiones escrutadoras, sin que ello constituya un nivel diferente de escrutinio.</w:t>
            </w:r>
          </w:p>
        </w:tc>
        <w:tc>
          <w:tcPr>
            <w:tcW w:w="3798" w:type="dxa"/>
            <w:tcBorders>
              <w:top w:val="nil"/>
              <w:left w:val="nil"/>
              <w:bottom w:val="nil"/>
              <w:right w:val="single" w:sz="4" w:space="0" w:color="000000"/>
            </w:tcBorders>
            <w:shd w:val="clear" w:color="00FF00" w:fill="FFFFFF"/>
            <w:hideMark/>
          </w:tcPr>
          <w:p w14:paraId="43BA3C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Con el propósito de facilitar el adelantamiento de los escrutinios en los municipios zonificados o no zonificados con un alto número de mesas de votación, el desarrollo de los escrutinios, se podrán crear subcomisiones escrutadoras, sin que ello constituya un nivel diferente de escrutinio.</w:t>
            </w:r>
          </w:p>
        </w:tc>
        <w:tc>
          <w:tcPr>
            <w:tcW w:w="1480" w:type="dxa"/>
            <w:tcBorders>
              <w:top w:val="nil"/>
              <w:left w:val="nil"/>
              <w:bottom w:val="nil"/>
              <w:right w:val="single" w:sz="4" w:space="0" w:color="000000"/>
            </w:tcBorders>
            <w:shd w:val="clear" w:color="000000" w:fill="FFFFFF"/>
            <w:hideMark/>
          </w:tcPr>
          <w:p w14:paraId="5AA9DC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6527F3"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4998B0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habeas corpus. </w:t>
            </w:r>
          </w:p>
        </w:tc>
        <w:tc>
          <w:tcPr>
            <w:tcW w:w="3798" w:type="dxa"/>
            <w:tcBorders>
              <w:top w:val="nil"/>
              <w:left w:val="nil"/>
              <w:bottom w:val="nil"/>
              <w:right w:val="single" w:sz="4" w:space="0" w:color="000000"/>
            </w:tcBorders>
            <w:shd w:val="clear" w:color="00FF00" w:fill="FFFFFF"/>
            <w:hideMark/>
          </w:tcPr>
          <w:p w14:paraId="7176E3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habeas corpus.</w:t>
            </w:r>
          </w:p>
        </w:tc>
        <w:tc>
          <w:tcPr>
            <w:tcW w:w="3798" w:type="dxa"/>
            <w:tcBorders>
              <w:top w:val="nil"/>
              <w:left w:val="nil"/>
              <w:bottom w:val="nil"/>
              <w:right w:val="single" w:sz="4" w:space="0" w:color="000000"/>
            </w:tcBorders>
            <w:shd w:val="clear" w:color="00FF00" w:fill="FFFFFF"/>
            <w:hideMark/>
          </w:tcPr>
          <w:p w14:paraId="791211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habeas corpus.</w:t>
            </w:r>
          </w:p>
        </w:tc>
        <w:tc>
          <w:tcPr>
            <w:tcW w:w="1480" w:type="dxa"/>
            <w:tcBorders>
              <w:top w:val="nil"/>
              <w:left w:val="nil"/>
              <w:bottom w:val="nil"/>
              <w:right w:val="single" w:sz="4" w:space="0" w:color="000000"/>
            </w:tcBorders>
            <w:shd w:val="clear" w:color="000000" w:fill="FFFFFF"/>
            <w:hideMark/>
          </w:tcPr>
          <w:p w14:paraId="453FBD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E85418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8BA77B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Si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  </w:t>
            </w:r>
          </w:p>
        </w:tc>
        <w:tc>
          <w:tcPr>
            <w:tcW w:w="3798" w:type="dxa"/>
            <w:tcBorders>
              <w:top w:val="nil"/>
              <w:left w:val="nil"/>
              <w:bottom w:val="nil"/>
              <w:right w:val="single" w:sz="4" w:space="0" w:color="000000"/>
            </w:tcBorders>
            <w:shd w:val="clear" w:color="00FF00" w:fill="FFFFFF"/>
            <w:hideMark/>
          </w:tcPr>
          <w:p w14:paraId="249034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 S</w:t>
            </w:r>
            <w:r w:rsidRPr="00222F34">
              <w:rPr>
                <w:rFonts w:ascii="Calibri" w:eastAsia="Times New Roman" w:hAnsi="Calibri" w:cs="Calibri"/>
                <w:color w:val="000000"/>
                <w:lang w:val="es-CO" w:eastAsia="es-CO" w:bidi="ar-SA"/>
              </w:rPr>
              <w:t>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w:t>
            </w:r>
          </w:p>
        </w:tc>
        <w:tc>
          <w:tcPr>
            <w:tcW w:w="3798" w:type="dxa"/>
            <w:tcBorders>
              <w:top w:val="nil"/>
              <w:left w:val="nil"/>
              <w:bottom w:val="nil"/>
              <w:right w:val="single" w:sz="4" w:space="0" w:color="000000"/>
            </w:tcBorders>
            <w:shd w:val="clear" w:color="00FF00" w:fill="FFFFFF"/>
            <w:hideMark/>
          </w:tcPr>
          <w:p w14:paraId="4B4282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 S</w:t>
            </w:r>
            <w:r w:rsidRPr="00222F34">
              <w:rPr>
                <w:rFonts w:ascii="Calibri" w:eastAsia="Times New Roman" w:hAnsi="Calibri" w:cs="Calibri"/>
                <w:color w:val="000000"/>
                <w:lang w:val="es-CO" w:eastAsia="es-CO" w:bidi="ar-SA"/>
              </w:rPr>
              <w:t>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w:t>
            </w:r>
          </w:p>
        </w:tc>
        <w:tc>
          <w:tcPr>
            <w:tcW w:w="1480" w:type="dxa"/>
            <w:tcBorders>
              <w:top w:val="nil"/>
              <w:left w:val="nil"/>
              <w:bottom w:val="nil"/>
              <w:right w:val="single" w:sz="4" w:space="0" w:color="000000"/>
            </w:tcBorders>
            <w:shd w:val="clear" w:color="000000" w:fill="FFFFFF"/>
            <w:hideMark/>
          </w:tcPr>
          <w:p w14:paraId="51A5BE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B6EDE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92F3A3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deberá garantizar la capacitación de los integrantes de las comisiones escrutadoras.</w:t>
            </w:r>
          </w:p>
        </w:tc>
        <w:tc>
          <w:tcPr>
            <w:tcW w:w="3798" w:type="dxa"/>
            <w:tcBorders>
              <w:top w:val="nil"/>
              <w:left w:val="nil"/>
              <w:bottom w:val="nil"/>
              <w:right w:val="single" w:sz="4" w:space="0" w:color="000000"/>
            </w:tcBorders>
            <w:shd w:val="clear" w:color="00FF00" w:fill="FFFFFF"/>
            <w:hideMark/>
          </w:tcPr>
          <w:p w14:paraId="63D96B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Organización Electoral deberá garantizar la capacitación de los integrantes de las comisiones escrutadoras.</w:t>
            </w:r>
          </w:p>
        </w:tc>
        <w:tc>
          <w:tcPr>
            <w:tcW w:w="3798" w:type="dxa"/>
            <w:tcBorders>
              <w:top w:val="nil"/>
              <w:left w:val="nil"/>
              <w:bottom w:val="nil"/>
              <w:right w:val="single" w:sz="4" w:space="0" w:color="000000"/>
            </w:tcBorders>
            <w:shd w:val="clear" w:color="00FF00" w:fill="FFFFFF"/>
            <w:hideMark/>
          </w:tcPr>
          <w:p w14:paraId="26F67D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Organización Electoral deberá garantizar la capacitación de los integrantes de las comisiones escrutadoras.</w:t>
            </w:r>
          </w:p>
        </w:tc>
        <w:tc>
          <w:tcPr>
            <w:tcW w:w="1480" w:type="dxa"/>
            <w:tcBorders>
              <w:top w:val="nil"/>
              <w:left w:val="nil"/>
              <w:bottom w:val="nil"/>
              <w:right w:val="single" w:sz="4" w:space="0" w:color="000000"/>
            </w:tcBorders>
            <w:shd w:val="clear" w:color="000000" w:fill="FFFFFF"/>
            <w:hideMark/>
          </w:tcPr>
          <w:p w14:paraId="5949F1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11CCC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8D239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Dicha capacitación tendrá como mínimo treinta (30) horas de intensidad y será de obligatoria asistencia. </w:t>
            </w:r>
          </w:p>
        </w:tc>
        <w:tc>
          <w:tcPr>
            <w:tcW w:w="3798" w:type="dxa"/>
            <w:tcBorders>
              <w:top w:val="nil"/>
              <w:left w:val="nil"/>
              <w:bottom w:val="nil"/>
              <w:right w:val="single" w:sz="4" w:space="0" w:color="000000"/>
            </w:tcBorders>
            <w:shd w:val="clear" w:color="00FF00" w:fill="FFFFFF"/>
            <w:hideMark/>
          </w:tcPr>
          <w:p w14:paraId="33FA50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Dicha capacitación tendrá como mínimo treinta (30) horas de intensidad y será de obligatoria asistencia.</w:t>
            </w:r>
          </w:p>
        </w:tc>
        <w:tc>
          <w:tcPr>
            <w:tcW w:w="3798" w:type="dxa"/>
            <w:tcBorders>
              <w:top w:val="nil"/>
              <w:left w:val="nil"/>
              <w:bottom w:val="nil"/>
              <w:right w:val="single" w:sz="4" w:space="0" w:color="000000"/>
            </w:tcBorders>
            <w:shd w:val="clear" w:color="00FF00" w:fill="FFFFFF"/>
            <w:hideMark/>
          </w:tcPr>
          <w:p w14:paraId="24F4C4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Dicha capacitación tendrá como mínimo treinta (30) horas de intensidad y será de obligatoria asistencia.</w:t>
            </w:r>
          </w:p>
        </w:tc>
        <w:tc>
          <w:tcPr>
            <w:tcW w:w="1480" w:type="dxa"/>
            <w:tcBorders>
              <w:top w:val="nil"/>
              <w:left w:val="nil"/>
              <w:bottom w:val="nil"/>
              <w:right w:val="single" w:sz="4" w:space="0" w:color="000000"/>
            </w:tcBorders>
            <w:shd w:val="clear" w:color="000000" w:fill="FFFFFF"/>
            <w:hideMark/>
          </w:tcPr>
          <w:p w14:paraId="5D2CC8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7D8AFA"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7EA87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inasistencia injustificada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tc>
        <w:tc>
          <w:tcPr>
            <w:tcW w:w="3798" w:type="dxa"/>
            <w:tcBorders>
              <w:top w:val="nil"/>
              <w:left w:val="nil"/>
              <w:bottom w:val="single" w:sz="4" w:space="0" w:color="000000"/>
              <w:right w:val="single" w:sz="4" w:space="0" w:color="000000"/>
            </w:tcBorders>
            <w:shd w:val="clear" w:color="00FF00" w:fill="FFFFFF"/>
            <w:hideMark/>
          </w:tcPr>
          <w:p w14:paraId="3B65A7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inasistencia injustificada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tc>
        <w:tc>
          <w:tcPr>
            <w:tcW w:w="3798" w:type="dxa"/>
            <w:tcBorders>
              <w:top w:val="nil"/>
              <w:left w:val="nil"/>
              <w:bottom w:val="single" w:sz="4" w:space="0" w:color="000000"/>
              <w:right w:val="single" w:sz="4" w:space="0" w:color="000000"/>
            </w:tcBorders>
            <w:shd w:val="clear" w:color="00FF00" w:fill="FFFFFF"/>
            <w:hideMark/>
          </w:tcPr>
          <w:p w14:paraId="45D173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inasistencia injustificada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tc>
        <w:tc>
          <w:tcPr>
            <w:tcW w:w="1480" w:type="dxa"/>
            <w:tcBorders>
              <w:top w:val="nil"/>
              <w:left w:val="nil"/>
              <w:bottom w:val="nil"/>
              <w:right w:val="single" w:sz="4" w:space="0" w:color="000000"/>
            </w:tcBorders>
            <w:shd w:val="clear" w:color="000000" w:fill="FFFFFF"/>
            <w:hideMark/>
          </w:tcPr>
          <w:p w14:paraId="0F5BCA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7898E7"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1E497C4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186.- Secretaría técnica de la comisión escrutadora.</w:t>
            </w:r>
            <w:r w:rsidRPr="00222F34">
              <w:rPr>
                <w:rFonts w:ascii="Calibri" w:eastAsia="Times New Roman" w:hAnsi="Calibri" w:cs="Calibri"/>
                <w:color w:val="000000"/>
                <w:lang w:val="es-CO" w:eastAsia="es-CO" w:bidi="ar-SA"/>
              </w:rPr>
              <w:t xml:space="preserve"> 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 </w:t>
            </w:r>
          </w:p>
        </w:tc>
        <w:tc>
          <w:tcPr>
            <w:tcW w:w="3798" w:type="dxa"/>
            <w:tcBorders>
              <w:top w:val="nil"/>
              <w:left w:val="nil"/>
              <w:bottom w:val="single" w:sz="4" w:space="0" w:color="000000"/>
              <w:right w:val="single" w:sz="4" w:space="0" w:color="000000"/>
            </w:tcBorders>
            <w:shd w:val="clear" w:color="000000" w:fill="FFFFFF"/>
            <w:hideMark/>
          </w:tcPr>
          <w:p w14:paraId="04307E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190.- Secretaría técnica de la comisión escrutadora</w:t>
            </w:r>
            <w:r w:rsidRPr="00222F34">
              <w:rPr>
                <w:rFonts w:ascii="Calibri" w:eastAsia="Times New Roman" w:hAnsi="Calibri" w:cs="Calibri"/>
                <w:color w:val="000000"/>
                <w:lang w:val="es-CO" w:eastAsia="es-CO" w:bidi="ar-SA"/>
              </w:rPr>
              <w:t>. 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w:t>
            </w:r>
          </w:p>
        </w:tc>
        <w:tc>
          <w:tcPr>
            <w:tcW w:w="3798" w:type="dxa"/>
            <w:tcBorders>
              <w:top w:val="nil"/>
              <w:left w:val="nil"/>
              <w:bottom w:val="single" w:sz="4" w:space="0" w:color="000000"/>
              <w:right w:val="single" w:sz="4" w:space="0" w:color="000000"/>
            </w:tcBorders>
            <w:shd w:val="clear" w:color="000000" w:fill="FFFFFF"/>
            <w:hideMark/>
          </w:tcPr>
          <w:p w14:paraId="53724A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190.- Secretaría técnica de la comisión escrutadora</w:t>
            </w:r>
            <w:r w:rsidRPr="00222F34">
              <w:rPr>
                <w:rFonts w:ascii="Calibri" w:eastAsia="Times New Roman" w:hAnsi="Calibri" w:cs="Calibri"/>
                <w:color w:val="000000"/>
                <w:lang w:val="es-CO" w:eastAsia="es-CO" w:bidi="ar-SA"/>
              </w:rPr>
              <w:t>. 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w:t>
            </w:r>
          </w:p>
        </w:tc>
        <w:tc>
          <w:tcPr>
            <w:tcW w:w="1480" w:type="dxa"/>
            <w:tcBorders>
              <w:top w:val="nil"/>
              <w:left w:val="nil"/>
              <w:bottom w:val="single" w:sz="4" w:space="0" w:color="auto"/>
              <w:right w:val="single" w:sz="4" w:space="0" w:color="000000"/>
            </w:tcBorders>
            <w:shd w:val="clear" w:color="000000" w:fill="FFFFFF"/>
            <w:hideMark/>
          </w:tcPr>
          <w:p w14:paraId="62A39ADA" w14:textId="2E53DCC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EF8E620"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28EAB7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187.- Inhabilidades de los miembros de las comisiones escrutadoras.</w:t>
            </w:r>
            <w:r w:rsidRPr="00222F34">
              <w:rPr>
                <w:rFonts w:ascii="Calibri" w:eastAsia="Times New Roman" w:hAnsi="Calibri" w:cs="Calibri"/>
                <w:color w:val="000000"/>
                <w:lang w:val="es-CO" w:eastAsia="es-CO" w:bidi="ar-SA"/>
              </w:rPr>
              <w:t xml:space="preserve"> Los candidatos a cargos y corporaciones públicas, sus cónyuges o parientes hasta el tercer grado de consanguinidad o de afinidad o primero civil, no podrán ser miembros de comisiones escrutadoras o secretarios de estas, dentro de la respectiva circunscripción electoral. </w:t>
            </w:r>
          </w:p>
        </w:tc>
        <w:tc>
          <w:tcPr>
            <w:tcW w:w="3798" w:type="dxa"/>
            <w:tcBorders>
              <w:top w:val="nil"/>
              <w:left w:val="nil"/>
              <w:bottom w:val="nil"/>
              <w:right w:val="single" w:sz="4" w:space="0" w:color="000000"/>
            </w:tcBorders>
            <w:shd w:val="clear" w:color="000000" w:fill="FFFFFF"/>
            <w:hideMark/>
          </w:tcPr>
          <w:p w14:paraId="16559E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191.- Inhabilidades de los miembros de las comisiones escrutadoras</w:t>
            </w:r>
            <w:r w:rsidRPr="00222F34">
              <w:rPr>
                <w:rFonts w:ascii="Calibri" w:eastAsia="Times New Roman" w:hAnsi="Calibri" w:cs="Calibri"/>
                <w:color w:val="000000"/>
                <w:lang w:val="es-CO" w:eastAsia="es-CO" w:bidi="ar-SA"/>
              </w:rPr>
              <w:t>. Los candidatos a cargos y corporaciones públicas, sus cónyuges o parientes hasta el tercer grado de consanguinidad o de afinidad o primero civil, no podrán ser miembros de comisiones escrutadoras o secretarios de estas, dentro de la respectiva circunscripción electoral.</w:t>
            </w:r>
          </w:p>
        </w:tc>
        <w:tc>
          <w:tcPr>
            <w:tcW w:w="3798" w:type="dxa"/>
            <w:tcBorders>
              <w:top w:val="nil"/>
              <w:left w:val="nil"/>
              <w:bottom w:val="nil"/>
              <w:right w:val="single" w:sz="4" w:space="0" w:color="000000"/>
            </w:tcBorders>
            <w:shd w:val="clear" w:color="000000" w:fill="FFFFFF"/>
            <w:hideMark/>
          </w:tcPr>
          <w:p w14:paraId="6DAF32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191.- Inhabilidades de los miembros de las comisiones escrutadoras</w:t>
            </w:r>
            <w:r w:rsidRPr="00222F34">
              <w:rPr>
                <w:rFonts w:ascii="Calibri" w:eastAsia="Times New Roman" w:hAnsi="Calibri" w:cs="Calibri"/>
                <w:color w:val="000000"/>
                <w:lang w:val="es-CO" w:eastAsia="es-CO" w:bidi="ar-SA"/>
              </w:rPr>
              <w:t>. Los candidatos a cargos y corporaciones públicas, sus cónyuges o parientes hasta el tercer grado de consanguinidad o de afinidad o primero civil, no podrán ser miembros de comisiones escrutadoras o secretarios de estas, dentro de la respectiva circunscripción electoral.</w:t>
            </w:r>
          </w:p>
        </w:tc>
        <w:tc>
          <w:tcPr>
            <w:tcW w:w="1480" w:type="dxa"/>
            <w:tcBorders>
              <w:top w:val="nil"/>
              <w:left w:val="nil"/>
              <w:bottom w:val="nil"/>
              <w:right w:val="single" w:sz="4" w:space="0" w:color="000000"/>
            </w:tcBorders>
            <w:shd w:val="clear" w:color="000000" w:fill="FFFFFF"/>
            <w:hideMark/>
          </w:tcPr>
          <w:p w14:paraId="752E5ED4" w14:textId="22EC9DD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469EBD5C"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7DA11D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290453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estarán inhabilitados para ser miembros de las comisiones escrutadoras las personas que tengan como ejercicio laboral, relación directa con los candidatos a cargos y corporaciones públicas en la elección.</w:t>
            </w:r>
          </w:p>
        </w:tc>
        <w:tc>
          <w:tcPr>
            <w:tcW w:w="3798" w:type="dxa"/>
            <w:tcBorders>
              <w:top w:val="nil"/>
              <w:left w:val="nil"/>
              <w:bottom w:val="single" w:sz="4" w:space="0" w:color="000000"/>
              <w:right w:val="single" w:sz="4" w:space="0" w:color="000000"/>
            </w:tcBorders>
            <w:shd w:val="clear" w:color="000000" w:fill="FFFFFF"/>
            <w:hideMark/>
          </w:tcPr>
          <w:p w14:paraId="25F6AF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estarán inhabilitados para ser miembros de las comisiones escrutadoras las personas que tengan como ejercicio laboral, relación directa con los candidatos a cargos y corporaciones públicas en la elección.</w:t>
            </w:r>
          </w:p>
        </w:tc>
        <w:tc>
          <w:tcPr>
            <w:tcW w:w="1480" w:type="dxa"/>
            <w:tcBorders>
              <w:top w:val="nil"/>
              <w:left w:val="nil"/>
              <w:bottom w:val="nil"/>
              <w:right w:val="single" w:sz="4" w:space="0" w:color="000000"/>
            </w:tcBorders>
            <w:shd w:val="clear" w:color="000000" w:fill="FFFFFF"/>
            <w:hideMark/>
          </w:tcPr>
          <w:p w14:paraId="03C8BA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996EB6"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52D3598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188.- Publicidad de la designación en comisión escrutadora.</w:t>
            </w:r>
            <w:r w:rsidRPr="00222F34">
              <w:rPr>
                <w:rFonts w:ascii="Calibri" w:eastAsia="Times New Roman" w:hAnsi="Calibri" w:cs="Calibri"/>
                <w:color w:val="000000"/>
                <w:lang w:val="es-CO" w:eastAsia="es-CO" w:bidi="ar-SA"/>
              </w:rPr>
              <w:t xml:space="preserve"> 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 </w:t>
            </w:r>
          </w:p>
        </w:tc>
        <w:tc>
          <w:tcPr>
            <w:tcW w:w="3798" w:type="dxa"/>
            <w:tcBorders>
              <w:top w:val="nil"/>
              <w:left w:val="nil"/>
              <w:bottom w:val="single" w:sz="4" w:space="0" w:color="000000"/>
              <w:right w:val="single" w:sz="4" w:space="0" w:color="000000"/>
            </w:tcBorders>
            <w:shd w:val="clear" w:color="000000" w:fill="FFFFFF"/>
            <w:hideMark/>
          </w:tcPr>
          <w:p w14:paraId="111E41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192.- Publicidad de la designación en comisión escrutadora</w:t>
            </w:r>
            <w:r w:rsidRPr="00222F34">
              <w:rPr>
                <w:rFonts w:ascii="Calibri" w:eastAsia="Times New Roman" w:hAnsi="Calibri" w:cs="Calibri"/>
                <w:color w:val="000000"/>
                <w:lang w:val="es-CO" w:eastAsia="es-CO" w:bidi="ar-SA"/>
              </w:rPr>
              <w:t>. 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w:t>
            </w:r>
          </w:p>
        </w:tc>
        <w:tc>
          <w:tcPr>
            <w:tcW w:w="3798" w:type="dxa"/>
            <w:tcBorders>
              <w:top w:val="nil"/>
              <w:left w:val="nil"/>
              <w:bottom w:val="single" w:sz="4" w:space="0" w:color="000000"/>
              <w:right w:val="single" w:sz="4" w:space="0" w:color="000000"/>
            </w:tcBorders>
            <w:shd w:val="clear" w:color="000000" w:fill="FFFFFF"/>
            <w:hideMark/>
          </w:tcPr>
          <w:p w14:paraId="50B51B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192.- Publicidad de la designación en comisión escrutadora</w:t>
            </w:r>
            <w:r w:rsidRPr="00222F34">
              <w:rPr>
                <w:rFonts w:ascii="Calibri" w:eastAsia="Times New Roman" w:hAnsi="Calibri" w:cs="Calibri"/>
                <w:color w:val="000000"/>
                <w:lang w:val="es-CO" w:eastAsia="es-CO" w:bidi="ar-SA"/>
              </w:rPr>
              <w:t>. 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w:t>
            </w:r>
          </w:p>
        </w:tc>
        <w:tc>
          <w:tcPr>
            <w:tcW w:w="1480" w:type="dxa"/>
            <w:tcBorders>
              <w:top w:val="nil"/>
              <w:left w:val="nil"/>
              <w:bottom w:val="nil"/>
              <w:right w:val="single" w:sz="4" w:space="0" w:color="000000"/>
            </w:tcBorders>
            <w:shd w:val="clear" w:color="000000" w:fill="FFFFFF"/>
            <w:hideMark/>
          </w:tcPr>
          <w:p w14:paraId="4EDE84CC" w14:textId="41DBC2C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3ABB98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E39057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189.- Naturaleza de la designación y sanciones a miembros de las comisiones escrutadoras.</w:t>
            </w:r>
            <w:r w:rsidRPr="00222F34">
              <w:rPr>
                <w:rFonts w:ascii="Calibri" w:eastAsia="Times New Roman" w:hAnsi="Calibri" w:cs="Calibri"/>
                <w:color w:val="000000"/>
                <w:lang w:val="es-CO" w:eastAsia="es-CO" w:bidi="ar-SA"/>
              </w:rPr>
              <w:t xml:space="preserve"> Los miembros de las comisiones escrutadoras ejercen esta función pública de forma transitoria y su designación es de forzosa aceptación. </w:t>
            </w:r>
          </w:p>
        </w:tc>
        <w:tc>
          <w:tcPr>
            <w:tcW w:w="3798" w:type="dxa"/>
            <w:tcBorders>
              <w:top w:val="nil"/>
              <w:left w:val="nil"/>
              <w:bottom w:val="nil"/>
              <w:right w:val="single" w:sz="4" w:space="0" w:color="000000"/>
            </w:tcBorders>
            <w:shd w:val="clear" w:color="000000" w:fill="FFFFFF"/>
            <w:hideMark/>
          </w:tcPr>
          <w:p w14:paraId="0C93C6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193- Naturaleza de la designación y sanciones a miembros de las comisiones escrutadoras</w:t>
            </w:r>
            <w:r w:rsidRPr="00222F34">
              <w:rPr>
                <w:rFonts w:ascii="Calibri" w:eastAsia="Times New Roman" w:hAnsi="Calibri" w:cs="Calibri"/>
                <w:color w:val="000000"/>
                <w:lang w:val="es-CO" w:eastAsia="es-CO" w:bidi="ar-SA"/>
              </w:rPr>
              <w:t>. Los miembros de las comisiones escrutadoras ejercen esta función pública de forma transitoria y su designación es de forzosa aceptación.</w:t>
            </w:r>
          </w:p>
        </w:tc>
        <w:tc>
          <w:tcPr>
            <w:tcW w:w="3798" w:type="dxa"/>
            <w:tcBorders>
              <w:top w:val="nil"/>
              <w:left w:val="nil"/>
              <w:bottom w:val="nil"/>
              <w:right w:val="single" w:sz="4" w:space="0" w:color="000000"/>
            </w:tcBorders>
            <w:shd w:val="clear" w:color="000000" w:fill="FFFFFF"/>
            <w:hideMark/>
          </w:tcPr>
          <w:p w14:paraId="1C24AB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193- Naturaleza de la designación y sanciones a miembros de las comisiones escrutadoras</w:t>
            </w:r>
            <w:r w:rsidRPr="00222F34">
              <w:rPr>
                <w:rFonts w:ascii="Calibri" w:eastAsia="Times New Roman" w:hAnsi="Calibri" w:cs="Calibri"/>
                <w:color w:val="000000"/>
                <w:lang w:val="es-CO" w:eastAsia="es-CO" w:bidi="ar-SA"/>
              </w:rPr>
              <w:t>. Los miembros de las comisiones escrutadoras ejercen esta función pública de forma transitoria y su designación es de forzosa aceptación.</w:t>
            </w:r>
          </w:p>
        </w:tc>
        <w:tc>
          <w:tcPr>
            <w:tcW w:w="1480" w:type="dxa"/>
            <w:tcBorders>
              <w:top w:val="single" w:sz="4" w:space="0" w:color="000000"/>
              <w:left w:val="nil"/>
              <w:bottom w:val="nil"/>
              <w:right w:val="single" w:sz="4" w:space="0" w:color="000000"/>
            </w:tcBorders>
            <w:shd w:val="clear" w:color="000000" w:fill="FFFFFF"/>
            <w:hideMark/>
          </w:tcPr>
          <w:p w14:paraId="45CC24C7" w14:textId="0942F76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A6ACCB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DF9B5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w:t>
            </w:r>
            <w:r w:rsidRPr="00222F34">
              <w:rPr>
                <w:rFonts w:ascii="Calibri" w:eastAsia="Times New Roman" w:hAnsi="Calibri" w:cs="Calibri"/>
                <w:color w:val="000000"/>
                <w:lang w:val="es-CO" w:eastAsia="es-CO" w:bidi="ar-SA"/>
              </w:rPr>
              <w:lastRenderedPageBreak/>
              <w:t xml:space="preserve">Contencioso Administrativo, por parte del Consejo Nacional Electoral. </w:t>
            </w:r>
          </w:p>
        </w:tc>
        <w:tc>
          <w:tcPr>
            <w:tcW w:w="3798" w:type="dxa"/>
            <w:tcBorders>
              <w:top w:val="nil"/>
              <w:left w:val="nil"/>
              <w:bottom w:val="nil"/>
              <w:right w:val="single" w:sz="4" w:space="0" w:color="000000"/>
            </w:tcBorders>
            <w:shd w:val="clear" w:color="000000" w:fill="FFFFFF"/>
            <w:hideMark/>
          </w:tcPr>
          <w:p w14:paraId="5FB11B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w:t>
            </w:r>
            <w:r w:rsidRPr="00222F34">
              <w:rPr>
                <w:rFonts w:ascii="Calibri" w:eastAsia="Times New Roman" w:hAnsi="Calibri" w:cs="Calibri"/>
                <w:color w:val="000000"/>
                <w:lang w:val="es-CO" w:eastAsia="es-CO" w:bidi="ar-SA"/>
              </w:rPr>
              <w:lastRenderedPageBreak/>
              <w:t>Contencioso Administrativo, por parte del Consejo Nacional Electoral.</w:t>
            </w:r>
          </w:p>
        </w:tc>
        <w:tc>
          <w:tcPr>
            <w:tcW w:w="3798" w:type="dxa"/>
            <w:tcBorders>
              <w:top w:val="nil"/>
              <w:left w:val="nil"/>
              <w:bottom w:val="nil"/>
              <w:right w:val="single" w:sz="4" w:space="0" w:color="000000"/>
            </w:tcBorders>
            <w:shd w:val="clear" w:color="000000" w:fill="FFFFFF"/>
            <w:hideMark/>
          </w:tcPr>
          <w:p w14:paraId="286CFA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w:t>
            </w:r>
            <w:r w:rsidRPr="00222F34">
              <w:rPr>
                <w:rFonts w:ascii="Calibri" w:eastAsia="Times New Roman" w:hAnsi="Calibri" w:cs="Calibri"/>
                <w:color w:val="000000"/>
                <w:lang w:val="es-CO" w:eastAsia="es-CO" w:bidi="ar-SA"/>
              </w:rPr>
              <w:lastRenderedPageBreak/>
              <w:t>Contencioso Administrativo, por parte del Consejo Nacional Electoral.</w:t>
            </w:r>
          </w:p>
        </w:tc>
        <w:tc>
          <w:tcPr>
            <w:tcW w:w="1480" w:type="dxa"/>
            <w:tcBorders>
              <w:top w:val="nil"/>
              <w:left w:val="nil"/>
              <w:bottom w:val="nil"/>
              <w:right w:val="single" w:sz="4" w:space="0" w:color="000000"/>
            </w:tcBorders>
            <w:shd w:val="clear" w:color="000000" w:fill="FFFFFF"/>
            <w:hideMark/>
          </w:tcPr>
          <w:p w14:paraId="77CFCF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CD32F1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E3C5E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funcionarios de la Organización Electoral informarán a las autoridades disciplinarias y penales sobre las conductas disciplinables y delitos en que pudieran incurrir los miembros de las comisiones escrutadoras en el ejercicio de sus funciones. </w:t>
            </w:r>
          </w:p>
        </w:tc>
        <w:tc>
          <w:tcPr>
            <w:tcW w:w="3798" w:type="dxa"/>
            <w:tcBorders>
              <w:top w:val="nil"/>
              <w:left w:val="nil"/>
              <w:bottom w:val="nil"/>
              <w:right w:val="single" w:sz="4" w:space="0" w:color="000000"/>
            </w:tcBorders>
            <w:shd w:val="clear" w:color="000000" w:fill="FFFFFF"/>
            <w:hideMark/>
          </w:tcPr>
          <w:p w14:paraId="1CF3BC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de la Organización Electoral informarán a las autoridades disciplinarias y penales sobre las conductas disciplinables y delitos en que pudieran incurrir los miembros de las comisiones escrutadoras en el ejercicio de sus funciones.</w:t>
            </w:r>
          </w:p>
        </w:tc>
        <w:tc>
          <w:tcPr>
            <w:tcW w:w="3798" w:type="dxa"/>
            <w:tcBorders>
              <w:top w:val="nil"/>
              <w:left w:val="nil"/>
              <w:bottom w:val="nil"/>
              <w:right w:val="single" w:sz="4" w:space="0" w:color="000000"/>
            </w:tcBorders>
            <w:shd w:val="clear" w:color="000000" w:fill="FFFFFF"/>
            <w:hideMark/>
          </w:tcPr>
          <w:p w14:paraId="4D9DFF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de la Organización Electoral informarán a las autoridades disciplinarias y penales sobre las conductas disciplinables y delitos en que pudieran incurrir los miembros de las comisiones escrutadoras en el ejercicio de sus funciones.</w:t>
            </w:r>
          </w:p>
        </w:tc>
        <w:tc>
          <w:tcPr>
            <w:tcW w:w="1480" w:type="dxa"/>
            <w:tcBorders>
              <w:top w:val="nil"/>
              <w:left w:val="nil"/>
              <w:bottom w:val="nil"/>
              <w:right w:val="single" w:sz="4" w:space="0" w:color="000000"/>
            </w:tcBorders>
            <w:shd w:val="clear" w:color="000000" w:fill="FFFFFF"/>
            <w:hideMark/>
          </w:tcPr>
          <w:p w14:paraId="4158F59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058DED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CC1B7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personas designadas como miembros de comisiones escrutadoras podrán ser eximidas del ejercicio de esta función por las mismas causales previstas para los jurados de votación en este código. </w:t>
            </w:r>
          </w:p>
        </w:tc>
        <w:tc>
          <w:tcPr>
            <w:tcW w:w="3798" w:type="dxa"/>
            <w:tcBorders>
              <w:top w:val="nil"/>
              <w:left w:val="nil"/>
              <w:bottom w:val="nil"/>
              <w:right w:val="single" w:sz="4" w:space="0" w:color="000000"/>
            </w:tcBorders>
            <w:shd w:val="clear" w:color="000000" w:fill="FFFFFF"/>
            <w:hideMark/>
          </w:tcPr>
          <w:p w14:paraId="4EB253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designadas como miembros de comisiones escrutadoras podrán ser eximidas del ejercicio de esta función por las mismas causales previstas para los jurados de votación en este código.</w:t>
            </w:r>
          </w:p>
        </w:tc>
        <w:tc>
          <w:tcPr>
            <w:tcW w:w="3798" w:type="dxa"/>
            <w:tcBorders>
              <w:top w:val="nil"/>
              <w:left w:val="nil"/>
              <w:bottom w:val="nil"/>
              <w:right w:val="single" w:sz="4" w:space="0" w:color="000000"/>
            </w:tcBorders>
            <w:shd w:val="clear" w:color="000000" w:fill="FFFFFF"/>
            <w:hideMark/>
          </w:tcPr>
          <w:p w14:paraId="2A48BB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designadas como miembros de comisiones escrutadoras podrán ser eximidas del ejercicio de esta función por las mismas causales previstas para los jurados de votación en este código.</w:t>
            </w:r>
          </w:p>
        </w:tc>
        <w:tc>
          <w:tcPr>
            <w:tcW w:w="1480" w:type="dxa"/>
            <w:tcBorders>
              <w:top w:val="nil"/>
              <w:left w:val="nil"/>
              <w:bottom w:val="nil"/>
              <w:right w:val="single" w:sz="4" w:space="0" w:color="000000"/>
            </w:tcBorders>
            <w:shd w:val="clear" w:color="000000" w:fill="FFFFFF"/>
            <w:hideMark/>
          </w:tcPr>
          <w:p w14:paraId="434DF2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040558C" w14:textId="77777777" w:rsidTr="00222F34">
        <w:trPr>
          <w:trHeight w:val="300"/>
        </w:trPr>
        <w:tc>
          <w:tcPr>
            <w:tcW w:w="3798" w:type="dxa"/>
            <w:tcBorders>
              <w:top w:val="single" w:sz="4" w:space="0" w:color="000000"/>
              <w:left w:val="single" w:sz="4" w:space="0" w:color="000000"/>
              <w:bottom w:val="nil"/>
              <w:right w:val="single" w:sz="4" w:space="0" w:color="000000"/>
            </w:tcBorders>
            <w:shd w:val="clear" w:color="000000" w:fill="FFFFFF"/>
            <w:hideMark/>
          </w:tcPr>
          <w:p w14:paraId="0C68AE6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w:t>
            </w:r>
          </w:p>
        </w:tc>
        <w:tc>
          <w:tcPr>
            <w:tcW w:w="3798" w:type="dxa"/>
            <w:tcBorders>
              <w:top w:val="single" w:sz="4" w:space="0" w:color="000000"/>
              <w:left w:val="nil"/>
              <w:bottom w:val="nil"/>
              <w:right w:val="single" w:sz="4" w:space="0" w:color="000000"/>
            </w:tcBorders>
            <w:shd w:val="clear" w:color="000000" w:fill="FFFFFF"/>
            <w:hideMark/>
          </w:tcPr>
          <w:p w14:paraId="26F75AE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w:t>
            </w:r>
          </w:p>
        </w:tc>
        <w:tc>
          <w:tcPr>
            <w:tcW w:w="3798" w:type="dxa"/>
            <w:tcBorders>
              <w:top w:val="single" w:sz="4" w:space="0" w:color="000000"/>
              <w:left w:val="nil"/>
              <w:bottom w:val="nil"/>
              <w:right w:val="single" w:sz="4" w:space="0" w:color="000000"/>
            </w:tcBorders>
            <w:shd w:val="clear" w:color="000000" w:fill="FFFFFF"/>
            <w:hideMark/>
          </w:tcPr>
          <w:p w14:paraId="7A67B75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w:t>
            </w:r>
          </w:p>
        </w:tc>
        <w:tc>
          <w:tcPr>
            <w:tcW w:w="1480" w:type="dxa"/>
            <w:tcBorders>
              <w:top w:val="single" w:sz="4" w:space="0" w:color="000000"/>
              <w:left w:val="nil"/>
              <w:bottom w:val="nil"/>
              <w:right w:val="single" w:sz="4" w:space="0" w:color="000000"/>
            </w:tcBorders>
            <w:shd w:val="clear" w:color="000000" w:fill="FFFFFF"/>
            <w:hideMark/>
          </w:tcPr>
          <w:p w14:paraId="77F294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A4F85A"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F1EBBB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escrutinios en comisiones</w:t>
            </w:r>
          </w:p>
        </w:tc>
        <w:tc>
          <w:tcPr>
            <w:tcW w:w="3798" w:type="dxa"/>
            <w:tcBorders>
              <w:top w:val="nil"/>
              <w:left w:val="nil"/>
              <w:bottom w:val="single" w:sz="4" w:space="0" w:color="000000"/>
              <w:right w:val="single" w:sz="4" w:space="0" w:color="000000"/>
            </w:tcBorders>
            <w:shd w:val="clear" w:color="000000" w:fill="FFFFFF"/>
            <w:hideMark/>
          </w:tcPr>
          <w:p w14:paraId="49135B5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escrutinios en comisiones</w:t>
            </w:r>
          </w:p>
        </w:tc>
        <w:tc>
          <w:tcPr>
            <w:tcW w:w="3798" w:type="dxa"/>
            <w:tcBorders>
              <w:top w:val="nil"/>
              <w:left w:val="nil"/>
              <w:bottom w:val="single" w:sz="4" w:space="0" w:color="000000"/>
              <w:right w:val="single" w:sz="4" w:space="0" w:color="000000"/>
            </w:tcBorders>
            <w:shd w:val="clear" w:color="000000" w:fill="FFFFFF"/>
            <w:hideMark/>
          </w:tcPr>
          <w:p w14:paraId="06A474A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escrutinios en comisiones</w:t>
            </w:r>
          </w:p>
        </w:tc>
        <w:tc>
          <w:tcPr>
            <w:tcW w:w="1480" w:type="dxa"/>
            <w:tcBorders>
              <w:top w:val="nil"/>
              <w:left w:val="nil"/>
              <w:bottom w:val="single" w:sz="4" w:space="0" w:color="000000"/>
              <w:right w:val="single" w:sz="4" w:space="0" w:color="000000"/>
            </w:tcBorders>
            <w:shd w:val="clear" w:color="000000" w:fill="FFFFFF"/>
            <w:hideMark/>
          </w:tcPr>
          <w:p w14:paraId="6E1CB0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741127C"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CD8885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190.- Horario.</w:t>
            </w:r>
            <w:r w:rsidRPr="00222F34">
              <w:rPr>
                <w:rFonts w:ascii="Calibri" w:eastAsia="Times New Roman" w:hAnsi="Calibri" w:cs="Calibri"/>
                <w:color w:val="000000"/>
                <w:lang w:val="es-CO" w:eastAsia="es-CO" w:bidi="ar-SA"/>
              </w:rPr>
              <w:t xml:space="preserve"> 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 </w:t>
            </w:r>
          </w:p>
        </w:tc>
        <w:tc>
          <w:tcPr>
            <w:tcW w:w="3798" w:type="dxa"/>
            <w:tcBorders>
              <w:top w:val="nil"/>
              <w:left w:val="nil"/>
              <w:bottom w:val="nil"/>
              <w:right w:val="single" w:sz="4" w:space="0" w:color="000000"/>
            </w:tcBorders>
            <w:shd w:val="clear" w:color="000000" w:fill="FFFFFF"/>
            <w:hideMark/>
          </w:tcPr>
          <w:p w14:paraId="39F222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194.- Horario</w:t>
            </w:r>
            <w:r w:rsidRPr="00222F34">
              <w:rPr>
                <w:rFonts w:ascii="Calibri" w:eastAsia="Times New Roman" w:hAnsi="Calibri" w:cs="Calibri"/>
                <w:color w:val="000000"/>
                <w:lang w:val="es-CO" w:eastAsia="es-CO" w:bidi="ar-SA"/>
              </w:rPr>
              <w:t>. 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p>
        </w:tc>
        <w:tc>
          <w:tcPr>
            <w:tcW w:w="3798" w:type="dxa"/>
            <w:tcBorders>
              <w:top w:val="nil"/>
              <w:left w:val="nil"/>
              <w:bottom w:val="nil"/>
              <w:right w:val="single" w:sz="4" w:space="0" w:color="000000"/>
            </w:tcBorders>
            <w:shd w:val="clear" w:color="000000" w:fill="FFFFFF"/>
            <w:hideMark/>
          </w:tcPr>
          <w:p w14:paraId="1933C5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194.- Horario</w:t>
            </w:r>
            <w:r w:rsidRPr="00222F34">
              <w:rPr>
                <w:rFonts w:ascii="Calibri" w:eastAsia="Times New Roman" w:hAnsi="Calibri" w:cs="Calibri"/>
                <w:color w:val="000000"/>
                <w:lang w:val="es-CO" w:eastAsia="es-CO" w:bidi="ar-SA"/>
              </w:rPr>
              <w:t>. 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p>
        </w:tc>
        <w:tc>
          <w:tcPr>
            <w:tcW w:w="1480" w:type="dxa"/>
            <w:tcBorders>
              <w:top w:val="nil"/>
              <w:left w:val="nil"/>
              <w:bottom w:val="nil"/>
              <w:right w:val="single" w:sz="4" w:space="0" w:color="000000"/>
            </w:tcBorders>
            <w:shd w:val="clear" w:color="000000" w:fill="FFFFFF"/>
            <w:hideMark/>
          </w:tcPr>
          <w:p w14:paraId="72393206" w14:textId="3BA891B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230C407C"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66ECD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 </w:t>
            </w:r>
          </w:p>
        </w:tc>
        <w:tc>
          <w:tcPr>
            <w:tcW w:w="3798" w:type="dxa"/>
            <w:tcBorders>
              <w:top w:val="nil"/>
              <w:left w:val="nil"/>
              <w:bottom w:val="nil"/>
              <w:right w:val="single" w:sz="4" w:space="0" w:color="000000"/>
            </w:tcBorders>
            <w:shd w:val="clear" w:color="000000" w:fill="FFFFFF"/>
            <w:hideMark/>
          </w:tcPr>
          <w:p w14:paraId="53D738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w:t>
            </w:r>
          </w:p>
        </w:tc>
        <w:tc>
          <w:tcPr>
            <w:tcW w:w="3798" w:type="dxa"/>
            <w:tcBorders>
              <w:top w:val="nil"/>
              <w:left w:val="nil"/>
              <w:bottom w:val="nil"/>
              <w:right w:val="single" w:sz="4" w:space="0" w:color="000000"/>
            </w:tcBorders>
            <w:shd w:val="clear" w:color="000000" w:fill="FFFFFF"/>
            <w:hideMark/>
          </w:tcPr>
          <w:p w14:paraId="02A44D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w:t>
            </w:r>
          </w:p>
        </w:tc>
        <w:tc>
          <w:tcPr>
            <w:tcW w:w="1480" w:type="dxa"/>
            <w:tcBorders>
              <w:top w:val="nil"/>
              <w:left w:val="nil"/>
              <w:bottom w:val="nil"/>
              <w:right w:val="single" w:sz="4" w:space="0" w:color="000000"/>
            </w:tcBorders>
            <w:shd w:val="clear" w:color="000000" w:fill="FFFFFF"/>
            <w:hideMark/>
          </w:tcPr>
          <w:p w14:paraId="742DFB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6EB7D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812A0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 </w:t>
            </w:r>
          </w:p>
        </w:tc>
        <w:tc>
          <w:tcPr>
            <w:tcW w:w="3798" w:type="dxa"/>
            <w:tcBorders>
              <w:top w:val="nil"/>
              <w:left w:val="nil"/>
              <w:bottom w:val="nil"/>
              <w:right w:val="single" w:sz="4" w:space="0" w:color="000000"/>
            </w:tcBorders>
            <w:shd w:val="clear" w:color="000000" w:fill="FFFFFF"/>
            <w:hideMark/>
          </w:tcPr>
          <w:p w14:paraId="6D92E5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w:t>
            </w:r>
          </w:p>
        </w:tc>
        <w:tc>
          <w:tcPr>
            <w:tcW w:w="3798" w:type="dxa"/>
            <w:tcBorders>
              <w:top w:val="nil"/>
              <w:left w:val="nil"/>
              <w:bottom w:val="nil"/>
              <w:right w:val="single" w:sz="4" w:space="0" w:color="000000"/>
            </w:tcBorders>
            <w:shd w:val="clear" w:color="000000" w:fill="FFFFFF"/>
            <w:hideMark/>
          </w:tcPr>
          <w:p w14:paraId="37848D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w:t>
            </w:r>
          </w:p>
        </w:tc>
        <w:tc>
          <w:tcPr>
            <w:tcW w:w="1480" w:type="dxa"/>
            <w:tcBorders>
              <w:top w:val="nil"/>
              <w:left w:val="nil"/>
              <w:bottom w:val="nil"/>
              <w:right w:val="single" w:sz="4" w:space="0" w:color="000000"/>
            </w:tcBorders>
            <w:shd w:val="clear" w:color="000000" w:fill="FFFFFF"/>
            <w:hideMark/>
          </w:tcPr>
          <w:p w14:paraId="733EF5F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C6BCA47"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1F8F3B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comisiones escrutadoras están facultadas para solicitar a la Registraduría Nacional del Estado Civil, los documentos que se requieran para el desarrollo del escrutinio. </w:t>
            </w:r>
          </w:p>
        </w:tc>
        <w:tc>
          <w:tcPr>
            <w:tcW w:w="3798" w:type="dxa"/>
            <w:tcBorders>
              <w:top w:val="nil"/>
              <w:left w:val="nil"/>
              <w:bottom w:val="single" w:sz="4" w:space="0" w:color="000000"/>
              <w:right w:val="single" w:sz="4" w:space="0" w:color="000000"/>
            </w:tcBorders>
            <w:shd w:val="clear" w:color="000000" w:fill="FFFFFF"/>
            <w:hideMark/>
          </w:tcPr>
          <w:p w14:paraId="54F2FD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están facultadas para solicitar a la Registraduría Nacional del Estado Civil, los documentos que se requieran para el desarrollo del escrutinio.</w:t>
            </w:r>
          </w:p>
        </w:tc>
        <w:tc>
          <w:tcPr>
            <w:tcW w:w="3798" w:type="dxa"/>
            <w:tcBorders>
              <w:top w:val="nil"/>
              <w:left w:val="nil"/>
              <w:bottom w:val="single" w:sz="4" w:space="0" w:color="000000"/>
              <w:right w:val="single" w:sz="4" w:space="0" w:color="000000"/>
            </w:tcBorders>
            <w:shd w:val="clear" w:color="000000" w:fill="FFFFFF"/>
            <w:hideMark/>
          </w:tcPr>
          <w:p w14:paraId="08FE7F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están facultadas para solicitar a la Registraduría Nacional del Estado Civil, los documentos que se requieran para el desarrollo del escrutinio.</w:t>
            </w:r>
          </w:p>
        </w:tc>
        <w:tc>
          <w:tcPr>
            <w:tcW w:w="1480" w:type="dxa"/>
            <w:tcBorders>
              <w:top w:val="nil"/>
              <w:left w:val="nil"/>
              <w:bottom w:val="nil"/>
              <w:right w:val="single" w:sz="4" w:space="0" w:color="000000"/>
            </w:tcBorders>
            <w:shd w:val="clear" w:color="000000" w:fill="FFFFFF"/>
            <w:hideMark/>
          </w:tcPr>
          <w:p w14:paraId="266A70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16037F"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2E3BDA7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191.- Publicación de actas de escrutinio de mesa.</w:t>
            </w:r>
            <w:r w:rsidRPr="00222F34">
              <w:rPr>
                <w:rFonts w:ascii="Calibri" w:eastAsia="Times New Roman" w:hAnsi="Calibri" w:cs="Calibri"/>
                <w:color w:val="000000"/>
                <w:lang w:val="es-CO" w:eastAsia="es-CO" w:bidi="ar-SA"/>
              </w:rPr>
              <w:t xml:space="preserve"> 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depositaran todos los ejemplares del acta de escrutinio en el sobre dirigido a la comisión escrutadora o por fuerza mayor o caso fortuito. </w:t>
            </w:r>
          </w:p>
        </w:tc>
        <w:tc>
          <w:tcPr>
            <w:tcW w:w="3798" w:type="dxa"/>
            <w:tcBorders>
              <w:top w:val="nil"/>
              <w:left w:val="nil"/>
              <w:bottom w:val="nil"/>
              <w:right w:val="single" w:sz="4" w:space="0" w:color="000000"/>
            </w:tcBorders>
            <w:shd w:val="clear" w:color="000000" w:fill="FFFFFF"/>
            <w:hideMark/>
          </w:tcPr>
          <w:p w14:paraId="4938C4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195</w:t>
            </w:r>
            <w:r w:rsidRPr="00222F34">
              <w:rPr>
                <w:rFonts w:ascii="Calibri" w:eastAsia="Times New Roman" w:hAnsi="Calibri" w:cs="Calibri"/>
                <w:color w:val="000000"/>
                <w:lang w:val="es-CO" w:eastAsia="es-CO" w:bidi="ar-SA"/>
              </w:rPr>
              <w:t xml:space="preserve">.- </w:t>
            </w:r>
            <w:r w:rsidRPr="00222F34">
              <w:rPr>
                <w:rFonts w:ascii="Calibri" w:eastAsia="Times New Roman" w:hAnsi="Calibri" w:cs="Calibri"/>
                <w:b/>
                <w:bCs/>
                <w:color w:val="000000"/>
                <w:lang w:val="es-CO" w:eastAsia="es-CO" w:bidi="ar-SA"/>
              </w:rPr>
              <w:t>Publicación de actas de escrutinio de mesa</w:t>
            </w:r>
            <w:r w:rsidRPr="00222F34">
              <w:rPr>
                <w:rFonts w:ascii="Calibri" w:eastAsia="Times New Roman" w:hAnsi="Calibri" w:cs="Calibri"/>
                <w:color w:val="000000"/>
                <w:lang w:val="es-CO" w:eastAsia="es-CO" w:bidi="ar-SA"/>
              </w:rPr>
              <w:t>. 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depositarán todos los ejemplares del acta de escrutinio en el sobre dirigido a la comisión escrutadora o por fuerza mayor o caso fortuito.</w:t>
            </w:r>
          </w:p>
        </w:tc>
        <w:tc>
          <w:tcPr>
            <w:tcW w:w="3798" w:type="dxa"/>
            <w:tcBorders>
              <w:top w:val="nil"/>
              <w:left w:val="nil"/>
              <w:bottom w:val="nil"/>
              <w:right w:val="single" w:sz="4" w:space="0" w:color="000000"/>
            </w:tcBorders>
            <w:shd w:val="clear" w:color="000000" w:fill="FFFFFF"/>
            <w:hideMark/>
          </w:tcPr>
          <w:p w14:paraId="21D532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195</w:t>
            </w:r>
            <w:r w:rsidRPr="00222F34">
              <w:rPr>
                <w:rFonts w:ascii="Calibri" w:eastAsia="Times New Roman" w:hAnsi="Calibri" w:cs="Calibri"/>
                <w:color w:val="000000"/>
                <w:lang w:val="es-CO" w:eastAsia="es-CO" w:bidi="ar-SA"/>
              </w:rPr>
              <w:t xml:space="preserve">.- </w:t>
            </w:r>
            <w:r w:rsidRPr="00222F34">
              <w:rPr>
                <w:rFonts w:ascii="Calibri" w:eastAsia="Times New Roman" w:hAnsi="Calibri" w:cs="Calibri"/>
                <w:b/>
                <w:bCs/>
                <w:color w:val="000000"/>
                <w:lang w:val="es-CO" w:eastAsia="es-CO" w:bidi="ar-SA"/>
              </w:rPr>
              <w:t>Publicación de actas de escrutinio de mesa</w:t>
            </w:r>
            <w:r w:rsidRPr="00222F34">
              <w:rPr>
                <w:rFonts w:ascii="Calibri" w:eastAsia="Times New Roman" w:hAnsi="Calibri" w:cs="Calibri"/>
                <w:color w:val="000000"/>
                <w:lang w:val="es-CO" w:eastAsia="es-CO" w:bidi="ar-SA"/>
              </w:rPr>
              <w:t>. 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depositarán todos los ejemplares del acta de escrutinio en el sobre dirigido a la comisión escrutadora o por fuerza mayor o caso fortuito.</w:t>
            </w:r>
          </w:p>
        </w:tc>
        <w:tc>
          <w:tcPr>
            <w:tcW w:w="1480" w:type="dxa"/>
            <w:tcBorders>
              <w:top w:val="single" w:sz="4" w:space="0" w:color="000000"/>
              <w:left w:val="nil"/>
              <w:bottom w:val="nil"/>
              <w:right w:val="single" w:sz="4" w:space="0" w:color="000000"/>
            </w:tcBorders>
            <w:shd w:val="clear" w:color="000000" w:fill="FFFFFF"/>
            <w:hideMark/>
          </w:tcPr>
          <w:p w14:paraId="0B038BC7" w14:textId="03DD759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B5D79D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190ED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caso en que todos los ejemplares del acta hayan sido depositados en el sobre dirigido a la Comisión Escrutadora, esta procederá a escanearlos para ser publicado en la página de la Registraduría, de lo cual se dejará constancia en el acta general de escrutinio. </w:t>
            </w:r>
          </w:p>
        </w:tc>
        <w:tc>
          <w:tcPr>
            <w:tcW w:w="3798" w:type="dxa"/>
            <w:tcBorders>
              <w:top w:val="nil"/>
              <w:left w:val="nil"/>
              <w:bottom w:val="nil"/>
              <w:right w:val="single" w:sz="4" w:space="0" w:color="000000"/>
            </w:tcBorders>
            <w:shd w:val="clear" w:color="000000" w:fill="FFFFFF"/>
            <w:hideMark/>
          </w:tcPr>
          <w:p w14:paraId="6FF1B4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en que todos los ejemplares del acta hayan sido depositados en el sobre dirigido a la Comisión Escrutadora, esta procederá a escanearlos para ser publicado en la página web de la Registraduría o en su defecto en un lugar de libre acceso a la información, de la cual se dejará constancia en el acta general de escrutinio.</w:t>
            </w:r>
          </w:p>
        </w:tc>
        <w:tc>
          <w:tcPr>
            <w:tcW w:w="3798" w:type="dxa"/>
            <w:tcBorders>
              <w:top w:val="nil"/>
              <w:left w:val="nil"/>
              <w:bottom w:val="nil"/>
              <w:right w:val="single" w:sz="4" w:space="0" w:color="000000"/>
            </w:tcBorders>
            <w:shd w:val="clear" w:color="000000" w:fill="FFFFFF"/>
            <w:hideMark/>
          </w:tcPr>
          <w:p w14:paraId="26A2E8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caso en que todos los ejemplares del acta hayan sido depositados en el sobre dirigido a la Comisión Escrutadora, esta procederá a escanearlos para ser publicado en la página de la Registraduría, de lo cual se dejará constancia en el acta general de escrutinio. </w:t>
            </w:r>
          </w:p>
        </w:tc>
        <w:tc>
          <w:tcPr>
            <w:tcW w:w="1480" w:type="dxa"/>
            <w:tcBorders>
              <w:top w:val="nil"/>
              <w:left w:val="nil"/>
              <w:bottom w:val="nil"/>
              <w:right w:val="single" w:sz="4" w:space="0" w:color="000000"/>
            </w:tcBorders>
            <w:shd w:val="clear" w:color="000000" w:fill="FFFFFF"/>
            <w:hideMark/>
          </w:tcPr>
          <w:p w14:paraId="52AB29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6D615B0"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C1836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podrá de manera progresiva implementar la digitalización de las actas de escrutinio desde el puesto de </w:t>
            </w:r>
            <w:r w:rsidRPr="00222F34">
              <w:rPr>
                <w:rFonts w:ascii="Calibri" w:eastAsia="Times New Roman" w:hAnsi="Calibri" w:cs="Calibri"/>
                <w:color w:val="000000"/>
                <w:lang w:val="es-CO" w:eastAsia="es-CO" w:bidi="ar-SA"/>
              </w:rPr>
              <w:lastRenderedPageBreak/>
              <w:t xml:space="preserve">votación y cargar estas actas en el sitio web de la entidad y, eventualmente, utilizarlas para el preconteo.  </w:t>
            </w:r>
          </w:p>
        </w:tc>
        <w:tc>
          <w:tcPr>
            <w:tcW w:w="3798" w:type="dxa"/>
            <w:tcBorders>
              <w:top w:val="nil"/>
              <w:left w:val="nil"/>
              <w:bottom w:val="single" w:sz="4" w:space="0" w:color="000000"/>
              <w:right w:val="single" w:sz="4" w:space="0" w:color="000000"/>
            </w:tcBorders>
            <w:shd w:val="clear" w:color="000000" w:fill="FFFFFF"/>
            <w:hideMark/>
          </w:tcPr>
          <w:p w14:paraId="67F931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podrá de manera progresiva implementar la digitalización de las actas de escrutinio desde el puesto de </w:t>
            </w:r>
            <w:r w:rsidRPr="00222F34">
              <w:rPr>
                <w:rFonts w:ascii="Calibri" w:eastAsia="Times New Roman" w:hAnsi="Calibri" w:cs="Calibri"/>
                <w:color w:val="000000"/>
                <w:lang w:val="es-CO" w:eastAsia="es-CO" w:bidi="ar-SA"/>
              </w:rPr>
              <w:lastRenderedPageBreak/>
              <w:t>votación y cargar estas actas en el sitio web de la entidad y, eventualmente, utilizarlas para el preconteo.</w:t>
            </w:r>
          </w:p>
        </w:tc>
        <w:tc>
          <w:tcPr>
            <w:tcW w:w="3798" w:type="dxa"/>
            <w:tcBorders>
              <w:top w:val="nil"/>
              <w:left w:val="nil"/>
              <w:bottom w:val="single" w:sz="4" w:space="0" w:color="000000"/>
              <w:right w:val="single" w:sz="4" w:space="0" w:color="000000"/>
            </w:tcBorders>
            <w:shd w:val="clear" w:color="000000" w:fill="FFFFFF"/>
            <w:hideMark/>
          </w:tcPr>
          <w:p w14:paraId="5DDC91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podrá de manera progresiva implementar la digitalización de las actas de escrutinio desde el puesto de </w:t>
            </w:r>
            <w:r w:rsidRPr="00222F34">
              <w:rPr>
                <w:rFonts w:ascii="Calibri" w:eastAsia="Times New Roman" w:hAnsi="Calibri" w:cs="Calibri"/>
                <w:color w:val="000000"/>
                <w:lang w:val="es-CO" w:eastAsia="es-CO" w:bidi="ar-SA"/>
              </w:rPr>
              <w:lastRenderedPageBreak/>
              <w:t>votación y cargar estas actas en el sitio web de la entidad y, eventualmente, utilizarlas para el preconteo.</w:t>
            </w:r>
          </w:p>
        </w:tc>
        <w:tc>
          <w:tcPr>
            <w:tcW w:w="1480" w:type="dxa"/>
            <w:tcBorders>
              <w:top w:val="nil"/>
              <w:left w:val="nil"/>
              <w:bottom w:val="nil"/>
              <w:right w:val="single" w:sz="4" w:space="0" w:color="000000"/>
            </w:tcBorders>
            <w:shd w:val="clear" w:color="000000" w:fill="FFFFFF"/>
            <w:hideMark/>
          </w:tcPr>
          <w:p w14:paraId="71B84F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247D785"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1E0AD96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192.- Procedimiento para el escrutinio en comisiones.</w:t>
            </w:r>
            <w:r w:rsidRPr="00222F34">
              <w:rPr>
                <w:rFonts w:ascii="Calibri" w:eastAsia="Times New Roman" w:hAnsi="Calibri" w:cs="Calibri"/>
                <w:color w:val="000000"/>
                <w:lang w:val="es-CO" w:eastAsia="es-CO" w:bidi="ar-SA"/>
              </w:rPr>
              <w:t xml:space="preserve"> Con el fin de garantizar el debido proceso administrativo electoral, ninguna actuación de la comisión será efectuada por fuera de audiencia pública ni de sus lapsos de sesión. Ninguna reclamación o recurso podrá ser resuelto de fondo por auto de trámite. El recurso de apelación podrá ser rechazado cuando no se cumpla con los requisitos establecidos en el presente Código, de ser concedido debe ser tramitado ante el superior, quien decidirá sobre su procedencia y solución de fondo. </w:t>
            </w:r>
          </w:p>
        </w:tc>
        <w:tc>
          <w:tcPr>
            <w:tcW w:w="3798" w:type="dxa"/>
            <w:tcBorders>
              <w:top w:val="nil"/>
              <w:left w:val="nil"/>
              <w:bottom w:val="nil"/>
              <w:right w:val="single" w:sz="4" w:space="0" w:color="000000"/>
            </w:tcBorders>
            <w:shd w:val="clear" w:color="000000" w:fill="FFFFFF"/>
            <w:hideMark/>
          </w:tcPr>
          <w:p w14:paraId="214418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196</w:t>
            </w:r>
            <w:r w:rsidRPr="00222F34">
              <w:rPr>
                <w:rFonts w:ascii="Calibri" w:eastAsia="Times New Roman" w:hAnsi="Calibri" w:cs="Calibri"/>
                <w:color w:val="000000"/>
                <w:lang w:val="es-CO" w:eastAsia="es-CO" w:bidi="ar-SA"/>
              </w:rPr>
              <w:t>.- Procedimiento para el escrutinio en comisiones. Con el fin de garantizar el debido proceso administrativo electoral, ninguna actuación de la comisión será efectuada por fuera de audiencia pública ni de sus lapsos de sesión.</w:t>
            </w:r>
            <w:r w:rsidRPr="00222F34">
              <w:rPr>
                <w:rFonts w:ascii="Calibri" w:eastAsia="Times New Roman" w:hAnsi="Calibri" w:cs="Calibri"/>
                <w:color w:val="000000"/>
                <w:lang w:val="es-CO" w:eastAsia="es-CO" w:bidi="ar-SA"/>
              </w:rPr>
              <w:br/>
              <w:t>Ninguna reclamación o recurso podrá ser resuelto de fondo por auto de trámite.</w:t>
            </w:r>
            <w:r w:rsidRPr="00222F34">
              <w:rPr>
                <w:rFonts w:ascii="Calibri" w:eastAsia="Times New Roman" w:hAnsi="Calibri" w:cs="Calibri"/>
                <w:color w:val="000000"/>
                <w:lang w:val="es-CO" w:eastAsia="es-CO" w:bidi="ar-SA"/>
              </w:rPr>
              <w:br/>
              <w:t>El recurso de apelación podrá ser rechazado cuando no se cumpla con los requisitos establecidos en el presente Código, de ser concedido debe ser tramitado ante el superior, quien decidirá sobre su procedencia y solución de fondo.</w:t>
            </w:r>
          </w:p>
        </w:tc>
        <w:tc>
          <w:tcPr>
            <w:tcW w:w="3798" w:type="dxa"/>
            <w:tcBorders>
              <w:top w:val="nil"/>
              <w:left w:val="nil"/>
              <w:bottom w:val="nil"/>
              <w:right w:val="single" w:sz="4" w:space="0" w:color="000000"/>
            </w:tcBorders>
            <w:shd w:val="clear" w:color="000000" w:fill="FFFFFF"/>
            <w:hideMark/>
          </w:tcPr>
          <w:p w14:paraId="4C64CC1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196.- Procedimiento para el escrutinio en comisiones.</w:t>
            </w:r>
            <w:r w:rsidRPr="00222F34">
              <w:rPr>
                <w:rFonts w:ascii="Calibri" w:eastAsia="Times New Roman" w:hAnsi="Calibri" w:cs="Calibri"/>
                <w:color w:val="000000"/>
                <w:lang w:val="es-CO" w:eastAsia="es-CO" w:bidi="ar-SA"/>
              </w:rPr>
              <w:t xml:space="preserve"> Con el fin de garantizar el debido proceso administrativo electoral, ninguna actuación de la comisión será efectuada por fuera de audiencia pública ni de sus lapsos de sesión. Ninguna reclamación o recurso podrá ser resuelto de fondo por auto de trámite. El recurso de apelación podrá ser rechazado cuando no se cumpla con los requisitos establecidos en el presente Código, de ser concedido debe ser tramitado ante el superior, quien decidirá sobre su procedencia y solución de fondo. </w:t>
            </w:r>
          </w:p>
        </w:tc>
        <w:tc>
          <w:tcPr>
            <w:tcW w:w="1480" w:type="dxa"/>
            <w:tcBorders>
              <w:top w:val="single" w:sz="4" w:space="0" w:color="auto"/>
              <w:left w:val="nil"/>
              <w:bottom w:val="nil"/>
              <w:right w:val="single" w:sz="4" w:space="0" w:color="000000"/>
            </w:tcBorders>
            <w:shd w:val="clear" w:color="000000" w:fill="FFFFFF"/>
            <w:hideMark/>
          </w:tcPr>
          <w:p w14:paraId="51F655D6" w14:textId="123161C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0AA064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923EE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escrutinio de las comisiones se efectuará de la siguiente manera: </w:t>
            </w:r>
          </w:p>
        </w:tc>
        <w:tc>
          <w:tcPr>
            <w:tcW w:w="3798" w:type="dxa"/>
            <w:tcBorders>
              <w:top w:val="nil"/>
              <w:left w:val="nil"/>
              <w:bottom w:val="nil"/>
              <w:right w:val="single" w:sz="4" w:space="0" w:color="000000"/>
            </w:tcBorders>
            <w:shd w:val="clear" w:color="000000" w:fill="FFFFFF"/>
            <w:hideMark/>
          </w:tcPr>
          <w:p w14:paraId="029192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escrutinio de las comisiones se efectuará de la siguiente manera:</w:t>
            </w:r>
          </w:p>
        </w:tc>
        <w:tc>
          <w:tcPr>
            <w:tcW w:w="3798" w:type="dxa"/>
            <w:tcBorders>
              <w:top w:val="nil"/>
              <w:left w:val="nil"/>
              <w:bottom w:val="nil"/>
              <w:right w:val="single" w:sz="4" w:space="0" w:color="000000"/>
            </w:tcBorders>
            <w:shd w:val="clear" w:color="000000" w:fill="FFFFFF"/>
            <w:hideMark/>
          </w:tcPr>
          <w:p w14:paraId="25BD60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escrutinio de las comisiones se efectuará de la siguiente manera:</w:t>
            </w:r>
          </w:p>
        </w:tc>
        <w:tc>
          <w:tcPr>
            <w:tcW w:w="1480" w:type="dxa"/>
            <w:tcBorders>
              <w:top w:val="nil"/>
              <w:left w:val="nil"/>
              <w:bottom w:val="nil"/>
              <w:right w:val="single" w:sz="4" w:space="0" w:color="000000"/>
            </w:tcBorders>
            <w:shd w:val="clear" w:color="000000" w:fill="FFFFFF"/>
            <w:hideMark/>
          </w:tcPr>
          <w:p w14:paraId="6D1D1B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34B797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5C021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Los miembros de las comisiones escrutadoras zonales, municipales no zonificadas y del exterior darán inicio al escrutinio tomando como base las actas de escrutinio de mesa dirigida a la comisión escrutadora. </w:t>
            </w:r>
          </w:p>
        </w:tc>
        <w:tc>
          <w:tcPr>
            <w:tcW w:w="3798" w:type="dxa"/>
            <w:tcBorders>
              <w:top w:val="nil"/>
              <w:left w:val="nil"/>
              <w:bottom w:val="nil"/>
              <w:right w:val="single" w:sz="4" w:space="0" w:color="000000"/>
            </w:tcBorders>
            <w:shd w:val="clear" w:color="000000" w:fill="FFFFFF"/>
            <w:hideMark/>
          </w:tcPr>
          <w:p w14:paraId="16DA6B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1.Los miembros de las comisiones escrutadoras zonales, municipales no zonificadas y del exterior darán inicio al escrutinio tomando como base las actas de escrutinio de mesa dirigida a la comisión escrutadora.</w:t>
            </w:r>
          </w:p>
        </w:tc>
        <w:tc>
          <w:tcPr>
            <w:tcW w:w="3798" w:type="dxa"/>
            <w:tcBorders>
              <w:top w:val="nil"/>
              <w:left w:val="nil"/>
              <w:bottom w:val="nil"/>
              <w:right w:val="single" w:sz="4" w:space="0" w:color="000000"/>
            </w:tcBorders>
            <w:shd w:val="clear" w:color="000000" w:fill="FFFFFF"/>
            <w:hideMark/>
          </w:tcPr>
          <w:p w14:paraId="5462CC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1.Los miembros de las comisiones escrutadoras zonales, municipales no zonificadas y del exterior darán inicio al escrutinio tomando como base las actas de escrutinio de mesa dirigida a la comisión escrutadora.</w:t>
            </w:r>
          </w:p>
        </w:tc>
        <w:tc>
          <w:tcPr>
            <w:tcW w:w="1480" w:type="dxa"/>
            <w:tcBorders>
              <w:top w:val="nil"/>
              <w:left w:val="nil"/>
              <w:bottom w:val="nil"/>
              <w:right w:val="single" w:sz="4" w:space="0" w:color="000000"/>
            </w:tcBorders>
            <w:shd w:val="clear" w:color="000000" w:fill="FFFFFF"/>
            <w:hideMark/>
          </w:tcPr>
          <w:p w14:paraId="6D55E5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D6F76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180B6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En los municipios zonificados y en el Distrito Capital se realizará el escrutinio </w:t>
            </w:r>
            <w:r w:rsidRPr="00222F34">
              <w:rPr>
                <w:rFonts w:ascii="Calibri" w:eastAsia="Times New Roman" w:hAnsi="Calibri" w:cs="Calibri"/>
                <w:color w:val="000000"/>
                <w:lang w:val="es-CO" w:eastAsia="es-CO" w:bidi="ar-SA"/>
              </w:rPr>
              <w:lastRenderedPageBreak/>
              <w:t xml:space="preserve">con base en las actas de escrutinio emitidas por las comisiones escrutadoras zonales. </w:t>
            </w:r>
          </w:p>
        </w:tc>
        <w:tc>
          <w:tcPr>
            <w:tcW w:w="3798" w:type="dxa"/>
            <w:tcBorders>
              <w:top w:val="nil"/>
              <w:left w:val="nil"/>
              <w:bottom w:val="nil"/>
              <w:right w:val="single" w:sz="4" w:space="0" w:color="000000"/>
            </w:tcBorders>
            <w:shd w:val="clear" w:color="000000" w:fill="FFFFFF"/>
            <w:hideMark/>
          </w:tcPr>
          <w:p w14:paraId="51EA3E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En los municipios zonificados y en el Distrito Capital se realizará el escrutinio </w:t>
            </w:r>
            <w:r w:rsidRPr="00222F34">
              <w:rPr>
                <w:rFonts w:ascii="Calibri" w:eastAsia="Times New Roman" w:hAnsi="Calibri" w:cs="Calibri"/>
                <w:color w:val="000000"/>
                <w:lang w:val="es-CO" w:eastAsia="es-CO" w:bidi="ar-SA"/>
              </w:rPr>
              <w:lastRenderedPageBreak/>
              <w:t>con base en las actas de escrutinio emitidas por las comisiones escrutadoras zonales.</w:t>
            </w:r>
          </w:p>
        </w:tc>
        <w:tc>
          <w:tcPr>
            <w:tcW w:w="3798" w:type="dxa"/>
            <w:tcBorders>
              <w:top w:val="nil"/>
              <w:left w:val="nil"/>
              <w:bottom w:val="nil"/>
              <w:right w:val="single" w:sz="4" w:space="0" w:color="000000"/>
            </w:tcBorders>
            <w:shd w:val="clear" w:color="000000" w:fill="FFFFFF"/>
            <w:hideMark/>
          </w:tcPr>
          <w:p w14:paraId="226738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En los municipios zonificados y en el Distrito Capital se realizará el escrutinio </w:t>
            </w:r>
            <w:r w:rsidRPr="00222F34">
              <w:rPr>
                <w:rFonts w:ascii="Calibri" w:eastAsia="Times New Roman" w:hAnsi="Calibri" w:cs="Calibri"/>
                <w:color w:val="000000"/>
                <w:lang w:val="es-CO" w:eastAsia="es-CO" w:bidi="ar-SA"/>
              </w:rPr>
              <w:lastRenderedPageBreak/>
              <w:t>con base en las actas de escrutinio emitidas por las comisiones escrutadoras zonales.</w:t>
            </w:r>
          </w:p>
        </w:tc>
        <w:tc>
          <w:tcPr>
            <w:tcW w:w="1480" w:type="dxa"/>
            <w:tcBorders>
              <w:top w:val="nil"/>
              <w:left w:val="nil"/>
              <w:bottom w:val="nil"/>
              <w:right w:val="single" w:sz="4" w:space="0" w:color="000000"/>
            </w:tcBorders>
            <w:shd w:val="clear" w:color="000000" w:fill="FFFFFF"/>
            <w:hideMark/>
          </w:tcPr>
          <w:p w14:paraId="6CEB66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FA186B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ADDAA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El escrutinio departamental se realizará con base en las actas de escrutinio municipales. </w:t>
            </w:r>
          </w:p>
        </w:tc>
        <w:tc>
          <w:tcPr>
            <w:tcW w:w="3798" w:type="dxa"/>
            <w:tcBorders>
              <w:top w:val="nil"/>
              <w:left w:val="nil"/>
              <w:bottom w:val="nil"/>
              <w:right w:val="single" w:sz="4" w:space="0" w:color="000000"/>
            </w:tcBorders>
            <w:shd w:val="clear" w:color="000000" w:fill="FFFFFF"/>
            <w:hideMark/>
          </w:tcPr>
          <w:p w14:paraId="04F3C3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escrutinio departamental se realizará con base en las actas de escrutinio municipales.</w:t>
            </w:r>
          </w:p>
        </w:tc>
        <w:tc>
          <w:tcPr>
            <w:tcW w:w="3798" w:type="dxa"/>
            <w:tcBorders>
              <w:top w:val="nil"/>
              <w:left w:val="nil"/>
              <w:bottom w:val="nil"/>
              <w:right w:val="single" w:sz="4" w:space="0" w:color="000000"/>
            </w:tcBorders>
            <w:shd w:val="clear" w:color="000000" w:fill="FFFFFF"/>
            <w:hideMark/>
          </w:tcPr>
          <w:p w14:paraId="16AB91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escrutinio departamental se realizará con base en las actas de escrutinio municipales.</w:t>
            </w:r>
          </w:p>
        </w:tc>
        <w:tc>
          <w:tcPr>
            <w:tcW w:w="1480" w:type="dxa"/>
            <w:tcBorders>
              <w:top w:val="nil"/>
              <w:left w:val="nil"/>
              <w:bottom w:val="nil"/>
              <w:right w:val="single" w:sz="4" w:space="0" w:color="000000"/>
            </w:tcBorders>
            <w:shd w:val="clear" w:color="000000" w:fill="FFFFFF"/>
            <w:hideMark/>
          </w:tcPr>
          <w:p w14:paraId="4EE76F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9F3823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2BAD5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El escrutinio nacional se realizará con base en las actas de escrutinio de las comisiones departamentales, distrital de Bogotá D.C. y del exterior. </w:t>
            </w:r>
          </w:p>
        </w:tc>
        <w:tc>
          <w:tcPr>
            <w:tcW w:w="3798" w:type="dxa"/>
            <w:tcBorders>
              <w:top w:val="nil"/>
              <w:left w:val="nil"/>
              <w:bottom w:val="nil"/>
              <w:right w:val="single" w:sz="4" w:space="0" w:color="000000"/>
            </w:tcBorders>
            <w:shd w:val="clear" w:color="000000" w:fill="FFFFFF"/>
            <w:hideMark/>
          </w:tcPr>
          <w:p w14:paraId="24A25A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El escrutinio nacional se realizará con base en las actas de escrutinio de las comisiones departamentales, distrital de Bogotá D.C. y del exterior.</w:t>
            </w:r>
          </w:p>
        </w:tc>
        <w:tc>
          <w:tcPr>
            <w:tcW w:w="3798" w:type="dxa"/>
            <w:tcBorders>
              <w:top w:val="nil"/>
              <w:left w:val="nil"/>
              <w:bottom w:val="nil"/>
              <w:right w:val="single" w:sz="4" w:space="0" w:color="000000"/>
            </w:tcBorders>
            <w:shd w:val="clear" w:color="000000" w:fill="FFFFFF"/>
            <w:hideMark/>
          </w:tcPr>
          <w:p w14:paraId="0379B8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El escrutinio nacional se realizará con base en las actas de escrutinio de las comisiones departamentales, distrital de Bogotá D.C. y del exterior.</w:t>
            </w:r>
          </w:p>
        </w:tc>
        <w:tc>
          <w:tcPr>
            <w:tcW w:w="1480" w:type="dxa"/>
            <w:tcBorders>
              <w:top w:val="nil"/>
              <w:left w:val="nil"/>
              <w:bottom w:val="nil"/>
              <w:right w:val="single" w:sz="4" w:space="0" w:color="000000"/>
            </w:tcBorders>
            <w:shd w:val="clear" w:color="000000" w:fill="FFFFFF"/>
            <w:hideMark/>
          </w:tcPr>
          <w:p w14:paraId="6FA722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E561936"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DD740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comisión escrutadora dará lectura al registro de documentos por ella recibida y a los resultados contenidos en cada una de las actas que deberán proyectarse en lugar visible durante la audiencia para efectos de publicidad y procederá a registrarlos en el aplicativo que para tal fin disponga la Registraduría Nacional del Estado Civil. Los resultados en el aplicativo de escrutinio no podrán ser precargados, deben iniciar desde cero.</w:t>
            </w:r>
          </w:p>
        </w:tc>
        <w:tc>
          <w:tcPr>
            <w:tcW w:w="3798" w:type="dxa"/>
            <w:tcBorders>
              <w:top w:val="nil"/>
              <w:left w:val="nil"/>
              <w:bottom w:val="nil"/>
              <w:right w:val="single" w:sz="4" w:space="0" w:color="000000"/>
            </w:tcBorders>
            <w:shd w:val="clear" w:color="000000" w:fill="FFFFFF"/>
            <w:hideMark/>
          </w:tcPr>
          <w:p w14:paraId="15DB54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comisión escrutadora dará lectura al registro de documentos por ella recibida y a los resultados contenidos en cada una de las actas que deberán proyectarse en lugar visible durante la audiencia para efectos de publicidad y procederá a registrarlos en el aplicativo que para tal fin disponga la Registraduría Nacional del Estado Civil. Los resultados en el aplicativo de escrutinio no podrán ser precargados, deben iniciar desde cero.</w:t>
            </w:r>
          </w:p>
        </w:tc>
        <w:tc>
          <w:tcPr>
            <w:tcW w:w="3798" w:type="dxa"/>
            <w:tcBorders>
              <w:top w:val="nil"/>
              <w:left w:val="nil"/>
              <w:bottom w:val="nil"/>
              <w:right w:val="single" w:sz="4" w:space="0" w:color="000000"/>
            </w:tcBorders>
            <w:shd w:val="clear" w:color="000000" w:fill="FFFFFF"/>
            <w:hideMark/>
          </w:tcPr>
          <w:p w14:paraId="1A46658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comisión escrutadora dará lectura al registro de documentos por ella recibida y a los resultados contenidos en cada una de las actas que deberán proyectarse en lugar visible durante la audiencia para efectos de publicidad y procederá a registrarlos en el aplicativo que para tal fin disponga la Registraduría Nacional del Estado Civil. Los resultados en el aplicativo de escrutinio no podrán ser precargados, deben iniciar desde cero.</w:t>
            </w:r>
          </w:p>
        </w:tc>
        <w:tc>
          <w:tcPr>
            <w:tcW w:w="1480" w:type="dxa"/>
            <w:tcBorders>
              <w:top w:val="nil"/>
              <w:left w:val="nil"/>
              <w:bottom w:val="nil"/>
              <w:right w:val="single" w:sz="4" w:space="0" w:color="000000"/>
            </w:tcBorders>
            <w:shd w:val="clear" w:color="000000" w:fill="FFFFFF"/>
            <w:hideMark/>
          </w:tcPr>
          <w:p w14:paraId="19B2E0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848D19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8122D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comisión escrutadora de manera especial observará si las actas de escrutinio de mesa fueron recibidas dentro de los términos establecidos en este Código y si están firmadas por al menos dos (2) de los jurados de votación. </w:t>
            </w:r>
          </w:p>
        </w:tc>
        <w:tc>
          <w:tcPr>
            <w:tcW w:w="3798" w:type="dxa"/>
            <w:tcBorders>
              <w:top w:val="nil"/>
              <w:left w:val="nil"/>
              <w:bottom w:val="nil"/>
              <w:right w:val="single" w:sz="4" w:space="0" w:color="000000"/>
            </w:tcBorders>
            <w:shd w:val="clear" w:color="000000" w:fill="FFFFFF"/>
            <w:hideMark/>
          </w:tcPr>
          <w:p w14:paraId="7C59C5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comisión escrutadora de manera especial observará si las actas de escrutinio de mesa fueron recibidas dentro de los términos establecidos en este Código y si están firmadas por al menos dos (2) de los jurados de votación.</w:t>
            </w:r>
          </w:p>
        </w:tc>
        <w:tc>
          <w:tcPr>
            <w:tcW w:w="3798" w:type="dxa"/>
            <w:tcBorders>
              <w:top w:val="nil"/>
              <w:left w:val="nil"/>
              <w:bottom w:val="nil"/>
              <w:right w:val="single" w:sz="4" w:space="0" w:color="000000"/>
            </w:tcBorders>
            <w:shd w:val="clear" w:color="000000" w:fill="FFFFFF"/>
            <w:hideMark/>
          </w:tcPr>
          <w:p w14:paraId="1AFB4F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comisión escrutadora de manera especial observará si las actas de escrutinio de mesa fueron recibidas dentro de los términos establecidos en este Código y si están firmadas por al menos dos (2) de los jurados de votación.</w:t>
            </w:r>
          </w:p>
        </w:tc>
        <w:tc>
          <w:tcPr>
            <w:tcW w:w="1480" w:type="dxa"/>
            <w:tcBorders>
              <w:top w:val="nil"/>
              <w:left w:val="nil"/>
              <w:bottom w:val="nil"/>
              <w:right w:val="single" w:sz="4" w:space="0" w:color="000000"/>
            </w:tcBorders>
            <w:shd w:val="clear" w:color="000000" w:fill="FFFFFF"/>
            <w:hideMark/>
          </w:tcPr>
          <w:p w14:paraId="3619D6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167F3A"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C9C62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7. 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w:t>
            </w:r>
          </w:p>
        </w:tc>
        <w:tc>
          <w:tcPr>
            <w:tcW w:w="3798" w:type="dxa"/>
            <w:tcBorders>
              <w:top w:val="nil"/>
              <w:left w:val="nil"/>
              <w:bottom w:val="nil"/>
              <w:right w:val="single" w:sz="4" w:space="0" w:color="000000"/>
            </w:tcBorders>
            <w:shd w:val="clear" w:color="000000" w:fill="FFFFFF"/>
            <w:hideMark/>
          </w:tcPr>
          <w:p w14:paraId="566FEC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w:t>
            </w:r>
          </w:p>
        </w:tc>
        <w:tc>
          <w:tcPr>
            <w:tcW w:w="3798" w:type="dxa"/>
            <w:tcBorders>
              <w:top w:val="nil"/>
              <w:left w:val="nil"/>
              <w:bottom w:val="nil"/>
              <w:right w:val="single" w:sz="4" w:space="0" w:color="000000"/>
            </w:tcBorders>
            <w:shd w:val="clear" w:color="000000" w:fill="FFFFFF"/>
            <w:hideMark/>
          </w:tcPr>
          <w:p w14:paraId="1ED7CB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w:t>
            </w:r>
          </w:p>
        </w:tc>
        <w:tc>
          <w:tcPr>
            <w:tcW w:w="1480" w:type="dxa"/>
            <w:tcBorders>
              <w:top w:val="nil"/>
              <w:left w:val="nil"/>
              <w:bottom w:val="nil"/>
              <w:right w:val="single" w:sz="4" w:space="0" w:color="000000"/>
            </w:tcBorders>
            <w:shd w:val="clear" w:color="000000" w:fill="FFFFFF"/>
            <w:hideMark/>
          </w:tcPr>
          <w:p w14:paraId="579BEE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38137C"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E1B8D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w:t>
            </w:r>
          </w:p>
        </w:tc>
        <w:tc>
          <w:tcPr>
            <w:tcW w:w="3798" w:type="dxa"/>
            <w:tcBorders>
              <w:top w:val="nil"/>
              <w:left w:val="nil"/>
              <w:bottom w:val="nil"/>
              <w:right w:val="single" w:sz="4" w:space="0" w:color="000000"/>
            </w:tcBorders>
            <w:shd w:val="clear" w:color="000000" w:fill="FFFFFF"/>
            <w:hideMark/>
          </w:tcPr>
          <w:p w14:paraId="42092D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w:t>
            </w:r>
          </w:p>
        </w:tc>
        <w:tc>
          <w:tcPr>
            <w:tcW w:w="3798" w:type="dxa"/>
            <w:tcBorders>
              <w:top w:val="nil"/>
              <w:left w:val="nil"/>
              <w:bottom w:val="nil"/>
              <w:right w:val="single" w:sz="4" w:space="0" w:color="000000"/>
            </w:tcBorders>
            <w:shd w:val="clear" w:color="000000" w:fill="FFFFFF"/>
            <w:hideMark/>
          </w:tcPr>
          <w:p w14:paraId="75262F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w:t>
            </w:r>
          </w:p>
        </w:tc>
        <w:tc>
          <w:tcPr>
            <w:tcW w:w="1480" w:type="dxa"/>
            <w:tcBorders>
              <w:top w:val="nil"/>
              <w:left w:val="nil"/>
              <w:bottom w:val="nil"/>
              <w:right w:val="single" w:sz="4" w:space="0" w:color="000000"/>
            </w:tcBorders>
            <w:shd w:val="clear" w:color="000000" w:fill="FFFFFF"/>
            <w:hideMark/>
          </w:tcPr>
          <w:p w14:paraId="54F460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391678D"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085041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9. Una vez se culmine en audiencia pública la lectura de la totalidad de los datos electorales y se hayan entregado o publicado los archivos planos del acta E-24 del respectivo escrutinio, la comisión escrutadora competente otorgará un término de 24 horas siguientes para que las personas legitimadas presenten reclamaciones, recursos o solicitudes objeto del escrutinio en cada nivel, los cuales serán resueltos de fondo mediante resolución motivada que se notificará en estrados, susceptibles de recursos. Las reclamaciones, recursos o solicitudes aquí previstos deberán respetar el principio de preclusividad. </w:t>
            </w:r>
          </w:p>
        </w:tc>
        <w:tc>
          <w:tcPr>
            <w:tcW w:w="3798" w:type="dxa"/>
            <w:tcBorders>
              <w:top w:val="nil"/>
              <w:left w:val="nil"/>
              <w:bottom w:val="nil"/>
              <w:right w:val="single" w:sz="4" w:space="0" w:color="000000"/>
            </w:tcBorders>
            <w:shd w:val="clear" w:color="000000" w:fill="FFFFFF"/>
            <w:hideMark/>
          </w:tcPr>
          <w:p w14:paraId="09E53A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Una vez se culmine en audiencia pública la lectura de la totalidad de los datos electorales y se hayan entregado o publicado los archivos planos del acta E-24 del respectivo escrutinio, la comisión escrutadora competente otorgará un término de 24 horas siguientes para que las personas legitimadas presenten reclamaciones, recursos o solicitudes objeto del escrutinio en cada nivel, los cuales serán resueltos de fondo mediante resolución motivada que se notificará en estrados, susceptibles de recursos. Las reclamaciones, recursos o solicitudes aquí previstos deberán respetar el principio de preclusividad.</w:t>
            </w:r>
          </w:p>
        </w:tc>
        <w:tc>
          <w:tcPr>
            <w:tcW w:w="3798" w:type="dxa"/>
            <w:tcBorders>
              <w:top w:val="nil"/>
              <w:left w:val="nil"/>
              <w:bottom w:val="nil"/>
              <w:right w:val="single" w:sz="4" w:space="0" w:color="000000"/>
            </w:tcBorders>
            <w:shd w:val="clear" w:color="000000" w:fill="FFFFFF"/>
            <w:hideMark/>
          </w:tcPr>
          <w:p w14:paraId="3A09D3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Una vez se culmine en audiencia pública la lectura de la totalidad de los datos electorales y se hayan entregado o publicado los archivos planos del acta E-24 del respectivo escrutinio, la comisión escrutadora competente otorgará un término de 24 horas siguientes para que las personas legitimadas presenten reclamaciones, recursos o solicitudes objeto del escrutinio en cada nivel, los cuales serán resueltos de fondo mediante resolución motivada que se notificará en estrados, susceptibles de recursos. Las reclamaciones, recursos o solicitudes aquí previstos deberán respetar el principio de preclusividad.</w:t>
            </w:r>
          </w:p>
        </w:tc>
        <w:tc>
          <w:tcPr>
            <w:tcW w:w="1480" w:type="dxa"/>
            <w:tcBorders>
              <w:top w:val="nil"/>
              <w:left w:val="nil"/>
              <w:bottom w:val="nil"/>
              <w:right w:val="single" w:sz="4" w:space="0" w:color="000000"/>
            </w:tcBorders>
            <w:shd w:val="clear" w:color="000000" w:fill="FFFFFF"/>
            <w:hideMark/>
          </w:tcPr>
          <w:p w14:paraId="25F719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3B65C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C3E4C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Las reclamaciones presentadas sin el lleno de los requisitos, extemporáneamente o con fundamento en causales no previstas en este Código, serán rechazadas de plano mediante resolución motivada. </w:t>
            </w:r>
          </w:p>
        </w:tc>
        <w:tc>
          <w:tcPr>
            <w:tcW w:w="3798" w:type="dxa"/>
            <w:tcBorders>
              <w:top w:val="nil"/>
              <w:left w:val="nil"/>
              <w:bottom w:val="nil"/>
              <w:right w:val="single" w:sz="4" w:space="0" w:color="000000"/>
            </w:tcBorders>
            <w:shd w:val="clear" w:color="000000" w:fill="FFFFFF"/>
            <w:hideMark/>
          </w:tcPr>
          <w:p w14:paraId="0D1870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Las reclamaciones presentadas sin el lleno de los requisitos, extemporáneamente o con fundamento en causales no previstas en este Código, serán rechazadas de plano mediante resolución motivada.</w:t>
            </w:r>
          </w:p>
        </w:tc>
        <w:tc>
          <w:tcPr>
            <w:tcW w:w="3798" w:type="dxa"/>
            <w:tcBorders>
              <w:top w:val="nil"/>
              <w:left w:val="nil"/>
              <w:bottom w:val="nil"/>
              <w:right w:val="single" w:sz="4" w:space="0" w:color="000000"/>
            </w:tcBorders>
            <w:shd w:val="clear" w:color="000000" w:fill="FFFFFF"/>
            <w:hideMark/>
          </w:tcPr>
          <w:p w14:paraId="7DB184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Las reclamaciones presentadas sin el lleno de los requisitos, extemporáneamente o con fundamento en causales no previstas en este Código, serán rechazadas de plano mediante resolución motivada.</w:t>
            </w:r>
          </w:p>
        </w:tc>
        <w:tc>
          <w:tcPr>
            <w:tcW w:w="1480" w:type="dxa"/>
            <w:tcBorders>
              <w:top w:val="nil"/>
              <w:left w:val="nil"/>
              <w:bottom w:val="nil"/>
              <w:right w:val="single" w:sz="4" w:space="0" w:color="000000"/>
            </w:tcBorders>
            <w:shd w:val="clear" w:color="000000" w:fill="FFFFFF"/>
            <w:hideMark/>
          </w:tcPr>
          <w:p w14:paraId="1E2875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634AD3"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EBC61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Contra las decisiones de las comisiones escrutadoras sobre las reclamaciones, distintas de las señaladas en el numeral anterior, procederá el recurso de apelación en el efecto suspensivo. El recurso de queja en materia de escrutinios podrá interponerse de manera inmediata a la </w:t>
            </w:r>
            <w:r w:rsidRPr="00222F34">
              <w:rPr>
                <w:rFonts w:ascii="Calibri" w:eastAsia="Times New Roman" w:hAnsi="Calibri" w:cs="Calibri"/>
                <w:color w:val="000000"/>
                <w:lang w:val="es-CO" w:eastAsia="es-CO" w:bidi="ar-SA"/>
              </w:rPr>
              <w:lastRenderedPageBreak/>
              <w:t xml:space="preserve">notificación en estrados de la decisión que no concedió la apelación. </w:t>
            </w:r>
          </w:p>
        </w:tc>
        <w:tc>
          <w:tcPr>
            <w:tcW w:w="3798" w:type="dxa"/>
            <w:tcBorders>
              <w:top w:val="nil"/>
              <w:left w:val="nil"/>
              <w:bottom w:val="nil"/>
              <w:right w:val="single" w:sz="4" w:space="0" w:color="000000"/>
            </w:tcBorders>
            <w:shd w:val="clear" w:color="000000" w:fill="FFFFFF"/>
            <w:hideMark/>
          </w:tcPr>
          <w:p w14:paraId="0BEBCB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11. Contra las decisiones de las comisiones escrutadoras sobre las reclamaciones, distintas de las señaladas en el numeral anterior, procederá el recurso de apelación en el efecto suspensivo. El recurso de queja en materia de escrutinios podrá interponerse de manera inmediata a la </w:t>
            </w:r>
            <w:r w:rsidRPr="00222F34">
              <w:rPr>
                <w:rFonts w:ascii="Calibri" w:eastAsia="Times New Roman" w:hAnsi="Calibri" w:cs="Calibri"/>
                <w:color w:val="000000"/>
                <w:lang w:val="es-CO" w:eastAsia="es-CO" w:bidi="ar-SA"/>
              </w:rPr>
              <w:lastRenderedPageBreak/>
              <w:t>notificación en estrados de la decisión que no concedió la apelación.</w:t>
            </w:r>
          </w:p>
        </w:tc>
        <w:tc>
          <w:tcPr>
            <w:tcW w:w="3798" w:type="dxa"/>
            <w:tcBorders>
              <w:top w:val="nil"/>
              <w:left w:val="nil"/>
              <w:bottom w:val="nil"/>
              <w:right w:val="single" w:sz="4" w:space="0" w:color="000000"/>
            </w:tcBorders>
            <w:shd w:val="clear" w:color="000000" w:fill="FFFFFF"/>
            <w:hideMark/>
          </w:tcPr>
          <w:p w14:paraId="6FFA86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11. Contra las decisiones de las comisiones escrutadoras sobre las reclamaciones, distintas de las señaladas en el numeral anterior, procederá el recurso de apelación en el efecto suspensivo. El recurso de queja en materia de escrutinios podrá interponerse de manera inmediata a la </w:t>
            </w:r>
            <w:r w:rsidRPr="00222F34">
              <w:rPr>
                <w:rFonts w:ascii="Calibri" w:eastAsia="Times New Roman" w:hAnsi="Calibri" w:cs="Calibri"/>
                <w:color w:val="000000"/>
                <w:lang w:val="es-CO" w:eastAsia="es-CO" w:bidi="ar-SA"/>
              </w:rPr>
              <w:lastRenderedPageBreak/>
              <w:t>notificación en estrados de la decisión que no concedió la apelación.</w:t>
            </w:r>
          </w:p>
        </w:tc>
        <w:tc>
          <w:tcPr>
            <w:tcW w:w="1480" w:type="dxa"/>
            <w:tcBorders>
              <w:top w:val="nil"/>
              <w:left w:val="nil"/>
              <w:bottom w:val="nil"/>
              <w:right w:val="single" w:sz="4" w:space="0" w:color="000000"/>
            </w:tcBorders>
            <w:shd w:val="clear" w:color="000000" w:fill="FFFFFF"/>
            <w:hideMark/>
          </w:tcPr>
          <w:p w14:paraId="7908D8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326DA7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33A65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12. Decididas las reclamaciones y demás cuestiones pendientes, la comisión competente declarará los resultados o la elección y expedirá las correspondientes credenciales, cuando corresponda. </w:t>
            </w:r>
          </w:p>
        </w:tc>
        <w:tc>
          <w:tcPr>
            <w:tcW w:w="3798" w:type="dxa"/>
            <w:tcBorders>
              <w:top w:val="nil"/>
              <w:left w:val="nil"/>
              <w:bottom w:val="nil"/>
              <w:right w:val="single" w:sz="4" w:space="0" w:color="000000"/>
            </w:tcBorders>
            <w:shd w:val="clear" w:color="000000" w:fill="FFFFFF"/>
            <w:hideMark/>
          </w:tcPr>
          <w:p w14:paraId="224C52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Decididas las reclamaciones y demás cuestiones pendientes, la comisión competente declarará los resultados o la elección y expedirá las correspondientes credenciales, cuando corresponda.</w:t>
            </w:r>
          </w:p>
        </w:tc>
        <w:tc>
          <w:tcPr>
            <w:tcW w:w="3798" w:type="dxa"/>
            <w:tcBorders>
              <w:top w:val="nil"/>
              <w:left w:val="nil"/>
              <w:bottom w:val="nil"/>
              <w:right w:val="single" w:sz="4" w:space="0" w:color="000000"/>
            </w:tcBorders>
            <w:shd w:val="clear" w:color="000000" w:fill="FFFFFF"/>
            <w:hideMark/>
          </w:tcPr>
          <w:p w14:paraId="651230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Decididas las reclamaciones y demás cuestiones pendientes, la comisión competente declarará los resultados o la elección y expedirá las correspondientes credenciales, cuando corresponda.</w:t>
            </w:r>
          </w:p>
        </w:tc>
        <w:tc>
          <w:tcPr>
            <w:tcW w:w="1480" w:type="dxa"/>
            <w:tcBorders>
              <w:top w:val="nil"/>
              <w:left w:val="nil"/>
              <w:bottom w:val="nil"/>
              <w:right w:val="single" w:sz="4" w:space="0" w:color="000000"/>
            </w:tcBorders>
            <w:shd w:val="clear" w:color="000000" w:fill="FFFFFF"/>
            <w:hideMark/>
          </w:tcPr>
          <w:p w14:paraId="05D04D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903B28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49886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Contra la declaratoria de elección no procede recurso alguno. </w:t>
            </w:r>
          </w:p>
        </w:tc>
        <w:tc>
          <w:tcPr>
            <w:tcW w:w="3798" w:type="dxa"/>
            <w:tcBorders>
              <w:top w:val="nil"/>
              <w:left w:val="nil"/>
              <w:bottom w:val="nil"/>
              <w:right w:val="single" w:sz="4" w:space="0" w:color="000000"/>
            </w:tcBorders>
            <w:shd w:val="clear" w:color="000000" w:fill="FFFFFF"/>
            <w:hideMark/>
          </w:tcPr>
          <w:p w14:paraId="0A7003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Contra la declaratoria de elección no procede recurso alguno.</w:t>
            </w:r>
          </w:p>
        </w:tc>
        <w:tc>
          <w:tcPr>
            <w:tcW w:w="3798" w:type="dxa"/>
            <w:tcBorders>
              <w:top w:val="nil"/>
              <w:left w:val="nil"/>
              <w:bottom w:val="nil"/>
              <w:right w:val="single" w:sz="4" w:space="0" w:color="000000"/>
            </w:tcBorders>
            <w:shd w:val="clear" w:color="000000" w:fill="FFFFFF"/>
            <w:hideMark/>
          </w:tcPr>
          <w:p w14:paraId="064446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Contra la declaratoria de elección no procede recurso alguno.</w:t>
            </w:r>
          </w:p>
        </w:tc>
        <w:tc>
          <w:tcPr>
            <w:tcW w:w="1480" w:type="dxa"/>
            <w:tcBorders>
              <w:top w:val="nil"/>
              <w:left w:val="nil"/>
              <w:bottom w:val="nil"/>
              <w:right w:val="single" w:sz="4" w:space="0" w:color="000000"/>
            </w:tcBorders>
            <w:shd w:val="clear" w:color="000000" w:fill="FFFFFF"/>
            <w:hideMark/>
          </w:tcPr>
          <w:p w14:paraId="0450C0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0D2308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DE3DF0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las audiencias de escrutinios participará el Ministerio Público.</w:t>
            </w:r>
          </w:p>
        </w:tc>
        <w:tc>
          <w:tcPr>
            <w:tcW w:w="3798" w:type="dxa"/>
            <w:tcBorders>
              <w:top w:val="nil"/>
              <w:left w:val="nil"/>
              <w:bottom w:val="nil"/>
              <w:right w:val="single" w:sz="4" w:space="0" w:color="000000"/>
            </w:tcBorders>
            <w:shd w:val="clear" w:color="000000" w:fill="FFFFFF"/>
            <w:hideMark/>
          </w:tcPr>
          <w:p w14:paraId="79EEB8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las audiencias de escrutinios participará el Ministerio Público.</w:t>
            </w:r>
          </w:p>
        </w:tc>
        <w:tc>
          <w:tcPr>
            <w:tcW w:w="3798" w:type="dxa"/>
            <w:tcBorders>
              <w:top w:val="nil"/>
              <w:left w:val="nil"/>
              <w:bottom w:val="nil"/>
              <w:right w:val="single" w:sz="4" w:space="0" w:color="000000"/>
            </w:tcBorders>
            <w:shd w:val="clear" w:color="000000" w:fill="FFFFFF"/>
            <w:hideMark/>
          </w:tcPr>
          <w:p w14:paraId="561D55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las audiencias de escrutinios participará el Ministerio Público.</w:t>
            </w:r>
          </w:p>
        </w:tc>
        <w:tc>
          <w:tcPr>
            <w:tcW w:w="1480" w:type="dxa"/>
            <w:tcBorders>
              <w:top w:val="nil"/>
              <w:left w:val="nil"/>
              <w:bottom w:val="nil"/>
              <w:right w:val="single" w:sz="4" w:space="0" w:color="000000"/>
            </w:tcBorders>
            <w:shd w:val="clear" w:color="000000" w:fill="FFFFFF"/>
            <w:hideMark/>
          </w:tcPr>
          <w:p w14:paraId="3E53683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F9DCA7"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3A9C21A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Comisiones Escrutadoras, según el caso, entregarán a un testigo por partido, movimiento político o grupos significativo de ciudadanos, en medio físico o magnético, una copia de las actas parciales de escrutinio en cada jornada. Para iniciar la nueva jornada la Comisión Escrutadora, verificará junto con los Testigos Electorales, que los datos parciales de escrutinio coincidan con la información entregada en la jornada anterior.</w:t>
            </w:r>
          </w:p>
        </w:tc>
        <w:tc>
          <w:tcPr>
            <w:tcW w:w="3798" w:type="dxa"/>
            <w:tcBorders>
              <w:top w:val="nil"/>
              <w:left w:val="nil"/>
              <w:bottom w:val="nil"/>
              <w:right w:val="single" w:sz="4" w:space="0" w:color="000000"/>
            </w:tcBorders>
            <w:shd w:val="clear" w:color="000000" w:fill="FFFFFF"/>
            <w:hideMark/>
          </w:tcPr>
          <w:p w14:paraId="12C4CF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Comisiones Escrutadoras, según el caso, entregarán a un testigo por partido, movimiento político o grupos significativo de ciudadanos, en medio físico o magnético, una copia de las actas parciales de escrutinio en cada jornada. Para iniciar la nueva jornada la Comisión Escrutadora, verificará junto con los Testigos Electorales, que los datos parciales de escrutinio coincidan con la información entregada en la jornada anterior.</w:t>
            </w:r>
          </w:p>
        </w:tc>
        <w:tc>
          <w:tcPr>
            <w:tcW w:w="3798" w:type="dxa"/>
            <w:tcBorders>
              <w:top w:val="nil"/>
              <w:left w:val="nil"/>
              <w:bottom w:val="nil"/>
              <w:right w:val="single" w:sz="4" w:space="0" w:color="000000"/>
            </w:tcBorders>
            <w:shd w:val="clear" w:color="000000" w:fill="FFFFFF"/>
            <w:hideMark/>
          </w:tcPr>
          <w:p w14:paraId="234615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Comisiones Escrutadoras, según el caso, entregarán a un testigo por partido, movimiento político o grupos significativo de ciudadanos, en medio físico o magnético, una copia de las actas parciales de escrutinio en cada jornada. Para iniciar la nueva jornada la Comisión Escrutadora, verificará junto con los Testigos Electorales, que los datos parciales de escrutinio coincidan con la información entregada en la jornada anterior.</w:t>
            </w:r>
          </w:p>
        </w:tc>
        <w:tc>
          <w:tcPr>
            <w:tcW w:w="1480" w:type="dxa"/>
            <w:tcBorders>
              <w:top w:val="nil"/>
              <w:left w:val="nil"/>
              <w:bottom w:val="nil"/>
              <w:right w:val="single" w:sz="4" w:space="0" w:color="000000"/>
            </w:tcBorders>
            <w:shd w:val="clear" w:color="000000" w:fill="FFFFFF"/>
            <w:hideMark/>
          </w:tcPr>
          <w:p w14:paraId="52A397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E1E195"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5492EA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 igual manera, las Comisiones Escrutadoras deberán entregar, según el </w:t>
            </w:r>
            <w:r w:rsidRPr="00222F34">
              <w:rPr>
                <w:rFonts w:ascii="Calibri" w:eastAsia="Times New Roman" w:hAnsi="Calibri" w:cs="Calibri"/>
                <w:color w:val="000000"/>
                <w:lang w:val="es-CO" w:eastAsia="es-CO" w:bidi="ar-SA"/>
              </w:rPr>
              <w:lastRenderedPageBreak/>
              <w:t>caso, en medio físico o magnético, una copia del acta final de escrutinio.</w:t>
            </w:r>
          </w:p>
        </w:tc>
        <w:tc>
          <w:tcPr>
            <w:tcW w:w="3798" w:type="dxa"/>
            <w:tcBorders>
              <w:top w:val="nil"/>
              <w:left w:val="nil"/>
              <w:bottom w:val="single" w:sz="4" w:space="0" w:color="000000"/>
              <w:right w:val="single" w:sz="4" w:space="0" w:color="000000"/>
            </w:tcBorders>
            <w:shd w:val="clear" w:color="000000" w:fill="FFFFFF"/>
            <w:hideMark/>
          </w:tcPr>
          <w:p w14:paraId="232BD5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De igual manera, las Comisiones Escrutadoras deberán entregar, según el </w:t>
            </w:r>
            <w:r w:rsidRPr="00222F34">
              <w:rPr>
                <w:rFonts w:ascii="Calibri" w:eastAsia="Times New Roman" w:hAnsi="Calibri" w:cs="Calibri"/>
                <w:color w:val="000000"/>
                <w:lang w:val="es-CO" w:eastAsia="es-CO" w:bidi="ar-SA"/>
              </w:rPr>
              <w:lastRenderedPageBreak/>
              <w:t>caso, en medio físico o magnético, una copia del acta final de escrutinio.</w:t>
            </w:r>
          </w:p>
        </w:tc>
        <w:tc>
          <w:tcPr>
            <w:tcW w:w="3798" w:type="dxa"/>
            <w:tcBorders>
              <w:top w:val="nil"/>
              <w:left w:val="nil"/>
              <w:bottom w:val="single" w:sz="4" w:space="0" w:color="000000"/>
              <w:right w:val="single" w:sz="4" w:space="0" w:color="000000"/>
            </w:tcBorders>
            <w:shd w:val="clear" w:color="000000" w:fill="FFFFFF"/>
            <w:hideMark/>
          </w:tcPr>
          <w:p w14:paraId="63B67B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De igual manera, las Comisiones Escrutadoras deberán entregar, según el </w:t>
            </w:r>
            <w:r w:rsidRPr="00222F34">
              <w:rPr>
                <w:rFonts w:ascii="Calibri" w:eastAsia="Times New Roman" w:hAnsi="Calibri" w:cs="Calibri"/>
                <w:color w:val="000000"/>
                <w:lang w:val="es-CO" w:eastAsia="es-CO" w:bidi="ar-SA"/>
              </w:rPr>
              <w:lastRenderedPageBreak/>
              <w:t>caso, en medio físico o magnético, una copia del acta final de escrutinio.</w:t>
            </w:r>
          </w:p>
        </w:tc>
        <w:tc>
          <w:tcPr>
            <w:tcW w:w="1480" w:type="dxa"/>
            <w:tcBorders>
              <w:top w:val="nil"/>
              <w:left w:val="nil"/>
              <w:bottom w:val="single" w:sz="4" w:space="0" w:color="000000"/>
              <w:right w:val="single" w:sz="4" w:space="0" w:color="000000"/>
            </w:tcBorders>
            <w:shd w:val="clear" w:color="000000" w:fill="FFFFFF"/>
            <w:hideMark/>
          </w:tcPr>
          <w:p w14:paraId="6AB68A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7C03038"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F97FD6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193.- Competencia de las comisiones escrutadoras zonales.</w:t>
            </w:r>
            <w:r w:rsidRPr="00222F34">
              <w:rPr>
                <w:rFonts w:ascii="Calibri" w:eastAsia="Times New Roman" w:hAnsi="Calibri" w:cs="Calibri"/>
                <w:color w:val="000000"/>
                <w:lang w:val="es-CO" w:eastAsia="es-CO" w:bidi="ar-SA"/>
              </w:rPr>
              <w:t xml:space="preserve"> 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 </w:t>
            </w:r>
          </w:p>
        </w:tc>
        <w:tc>
          <w:tcPr>
            <w:tcW w:w="3798" w:type="dxa"/>
            <w:tcBorders>
              <w:top w:val="nil"/>
              <w:left w:val="nil"/>
              <w:bottom w:val="nil"/>
              <w:right w:val="single" w:sz="4" w:space="0" w:color="000000"/>
            </w:tcBorders>
            <w:shd w:val="clear" w:color="000000" w:fill="FFFFFF"/>
            <w:hideMark/>
          </w:tcPr>
          <w:p w14:paraId="74E11E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197.- Competencia de las comisiones escrutadoras zonales. </w:t>
            </w:r>
            <w:r w:rsidRPr="00222F34">
              <w:rPr>
                <w:rFonts w:ascii="Calibri" w:eastAsia="Times New Roman" w:hAnsi="Calibri" w:cs="Calibri"/>
                <w:color w:val="000000"/>
                <w:lang w:val="es-CO" w:eastAsia="es-CO" w:bidi="ar-SA"/>
              </w:rPr>
              <w:t>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w:t>
            </w:r>
          </w:p>
        </w:tc>
        <w:tc>
          <w:tcPr>
            <w:tcW w:w="3798" w:type="dxa"/>
            <w:tcBorders>
              <w:top w:val="nil"/>
              <w:left w:val="nil"/>
              <w:bottom w:val="nil"/>
              <w:right w:val="single" w:sz="4" w:space="0" w:color="000000"/>
            </w:tcBorders>
            <w:shd w:val="clear" w:color="000000" w:fill="FFFFFF"/>
            <w:hideMark/>
          </w:tcPr>
          <w:p w14:paraId="7B49C2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197.- Competencia de las comisiones escrutadoras zonales. </w:t>
            </w:r>
            <w:r w:rsidRPr="00222F34">
              <w:rPr>
                <w:rFonts w:ascii="Calibri" w:eastAsia="Times New Roman" w:hAnsi="Calibri" w:cs="Calibri"/>
                <w:color w:val="000000"/>
                <w:lang w:val="es-CO" w:eastAsia="es-CO" w:bidi="ar-SA"/>
              </w:rPr>
              <w:t>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w:t>
            </w:r>
          </w:p>
        </w:tc>
        <w:tc>
          <w:tcPr>
            <w:tcW w:w="1480" w:type="dxa"/>
            <w:tcBorders>
              <w:top w:val="nil"/>
              <w:left w:val="nil"/>
              <w:bottom w:val="nil"/>
              <w:right w:val="single" w:sz="4" w:space="0" w:color="000000"/>
            </w:tcBorders>
            <w:shd w:val="clear" w:color="000000" w:fill="FFFFFF"/>
            <w:hideMark/>
          </w:tcPr>
          <w:p w14:paraId="57BA0E37" w14:textId="7C0E350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7F70F57F"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43069E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Verificar las inconsistencias,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 y cuando las actas de escrutinio de mesa dirigidas a la comisión escrutadora y al delegado </w:t>
            </w:r>
            <w:r w:rsidRPr="00222F34">
              <w:rPr>
                <w:rFonts w:ascii="Calibri" w:eastAsia="Times New Roman" w:hAnsi="Calibri" w:cs="Calibri"/>
                <w:color w:val="000000"/>
                <w:lang w:val="es-CO" w:eastAsia="es-CO" w:bidi="ar-SA"/>
              </w:rPr>
              <w:lastRenderedPageBreak/>
              <w:t xml:space="preserve">seccional en lo electoral no coincidan con el resultado de la votación. </w:t>
            </w:r>
          </w:p>
        </w:tc>
        <w:tc>
          <w:tcPr>
            <w:tcW w:w="3798" w:type="dxa"/>
            <w:tcBorders>
              <w:top w:val="nil"/>
              <w:left w:val="nil"/>
              <w:bottom w:val="nil"/>
              <w:right w:val="single" w:sz="4" w:space="0" w:color="000000"/>
            </w:tcBorders>
            <w:shd w:val="clear" w:color="000000" w:fill="FFFFFF"/>
            <w:hideMark/>
          </w:tcPr>
          <w:p w14:paraId="7007CD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Verificar las inconsistencias,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 y cuando las actas de escrutinio de mesa dirigidas a la comisión escrutadora y al Registrador </w:t>
            </w:r>
            <w:r w:rsidRPr="00222F34">
              <w:rPr>
                <w:rFonts w:ascii="Calibri" w:eastAsia="Times New Roman" w:hAnsi="Calibri" w:cs="Calibri"/>
                <w:color w:val="000000"/>
                <w:lang w:val="es-CO" w:eastAsia="es-CO" w:bidi="ar-SA"/>
              </w:rPr>
              <w:lastRenderedPageBreak/>
              <w:t>Departamental no coincidan con el resultado de la votación.</w:t>
            </w:r>
          </w:p>
        </w:tc>
        <w:tc>
          <w:tcPr>
            <w:tcW w:w="3798" w:type="dxa"/>
            <w:tcBorders>
              <w:top w:val="nil"/>
              <w:left w:val="nil"/>
              <w:bottom w:val="nil"/>
              <w:right w:val="single" w:sz="4" w:space="0" w:color="000000"/>
            </w:tcBorders>
            <w:shd w:val="clear" w:color="000000" w:fill="FFFFFF"/>
            <w:hideMark/>
          </w:tcPr>
          <w:p w14:paraId="765A37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Verificar las inconsistencias,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 y cuando las actas de escrutinio de mesa dirigidas a la comisión escrutadora y al Registrador </w:t>
            </w:r>
            <w:r w:rsidRPr="00222F34">
              <w:rPr>
                <w:rFonts w:ascii="Calibri" w:eastAsia="Times New Roman" w:hAnsi="Calibri" w:cs="Calibri"/>
                <w:color w:val="000000"/>
                <w:lang w:val="es-CO" w:eastAsia="es-CO" w:bidi="ar-SA"/>
              </w:rPr>
              <w:lastRenderedPageBreak/>
              <w:t>Departamental no coincidan con el resultado de la votación.</w:t>
            </w:r>
          </w:p>
        </w:tc>
        <w:tc>
          <w:tcPr>
            <w:tcW w:w="1480" w:type="dxa"/>
            <w:tcBorders>
              <w:top w:val="nil"/>
              <w:left w:val="nil"/>
              <w:bottom w:val="nil"/>
              <w:right w:val="single" w:sz="4" w:space="0" w:color="000000"/>
            </w:tcBorders>
            <w:shd w:val="clear" w:color="000000" w:fill="FFFFFF"/>
            <w:hideMark/>
          </w:tcPr>
          <w:p w14:paraId="7E0420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168B66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B8706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Resolver de fondo las reclamaciones y apelaciones que se hayan presentado ante los jurados de votación.  </w:t>
            </w:r>
          </w:p>
        </w:tc>
        <w:tc>
          <w:tcPr>
            <w:tcW w:w="3798" w:type="dxa"/>
            <w:tcBorders>
              <w:top w:val="nil"/>
              <w:left w:val="nil"/>
              <w:bottom w:val="nil"/>
              <w:right w:val="single" w:sz="4" w:space="0" w:color="000000"/>
            </w:tcBorders>
            <w:shd w:val="clear" w:color="000000" w:fill="FFFFFF"/>
            <w:hideMark/>
          </w:tcPr>
          <w:p w14:paraId="7616A5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de fondo las reclamaciones y apelaciones que se hayan presentado ante los jurados de votación.</w:t>
            </w:r>
          </w:p>
        </w:tc>
        <w:tc>
          <w:tcPr>
            <w:tcW w:w="3798" w:type="dxa"/>
            <w:tcBorders>
              <w:top w:val="nil"/>
              <w:left w:val="nil"/>
              <w:bottom w:val="nil"/>
              <w:right w:val="single" w:sz="4" w:space="0" w:color="000000"/>
            </w:tcBorders>
            <w:shd w:val="clear" w:color="000000" w:fill="FFFFFF"/>
            <w:hideMark/>
          </w:tcPr>
          <w:p w14:paraId="5DC518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de fondo las reclamaciones y apelaciones que se hayan presentado ante los jurados de votación.</w:t>
            </w:r>
          </w:p>
        </w:tc>
        <w:tc>
          <w:tcPr>
            <w:tcW w:w="1480" w:type="dxa"/>
            <w:tcBorders>
              <w:top w:val="nil"/>
              <w:left w:val="nil"/>
              <w:bottom w:val="nil"/>
              <w:right w:val="single" w:sz="4" w:space="0" w:color="000000"/>
            </w:tcBorders>
            <w:shd w:val="clear" w:color="000000" w:fill="FFFFFF"/>
            <w:hideMark/>
          </w:tcPr>
          <w:p w14:paraId="6D5C85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02B3A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929C13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Decidir sobre la concesión de los recursos de apelación que se presenten contra sus decisiones y remitirlo inmediatamente al superior jerárquico junto con los demás documentos. </w:t>
            </w:r>
          </w:p>
        </w:tc>
        <w:tc>
          <w:tcPr>
            <w:tcW w:w="3798" w:type="dxa"/>
            <w:tcBorders>
              <w:top w:val="nil"/>
              <w:left w:val="nil"/>
              <w:bottom w:val="nil"/>
              <w:right w:val="single" w:sz="4" w:space="0" w:color="000000"/>
            </w:tcBorders>
            <w:shd w:val="clear" w:color="000000" w:fill="FFFFFF"/>
            <w:hideMark/>
          </w:tcPr>
          <w:p w14:paraId="51E63F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 y remitirlo inmediatamente al superior jerárquico junto con los demás documentos.</w:t>
            </w:r>
          </w:p>
        </w:tc>
        <w:tc>
          <w:tcPr>
            <w:tcW w:w="3798" w:type="dxa"/>
            <w:tcBorders>
              <w:top w:val="nil"/>
              <w:left w:val="nil"/>
              <w:bottom w:val="nil"/>
              <w:right w:val="single" w:sz="4" w:space="0" w:color="000000"/>
            </w:tcBorders>
            <w:shd w:val="clear" w:color="000000" w:fill="FFFFFF"/>
            <w:hideMark/>
          </w:tcPr>
          <w:p w14:paraId="0914BC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 y remitirlo inmediatamente al superior jerárquico junto con los demás documentos.</w:t>
            </w:r>
          </w:p>
        </w:tc>
        <w:tc>
          <w:tcPr>
            <w:tcW w:w="1480" w:type="dxa"/>
            <w:tcBorders>
              <w:top w:val="nil"/>
              <w:left w:val="nil"/>
              <w:bottom w:val="nil"/>
              <w:right w:val="single" w:sz="4" w:space="0" w:color="000000"/>
            </w:tcBorders>
            <w:shd w:val="clear" w:color="000000" w:fill="FFFFFF"/>
            <w:hideMark/>
          </w:tcPr>
          <w:p w14:paraId="7B824E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E96239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FB37C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Expedir las credenciales a que hubiere lugar. </w:t>
            </w:r>
          </w:p>
        </w:tc>
        <w:tc>
          <w:tcPr>
            <w:tcW w:w="3798" w:type="dxa"/>
            <w:tcBorders>
              <w:top w:val="nil"/>
              <w:left w:val="nil"/>
              <w:bottom w:val="nil"/>
              <w:right w:val="single" w:sz="4" w:space="0" w:color="000000"/>
            </w:tcBorders>
            <w:shd w:val="clear" w:color="000000" w:fill="FFFFFF"/>
            <w:hideMark/>
          </w:tcPr>
          <w:p w14:paraId="53CBF6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tc>
        <w:tc>
          <w:tcPr>
            <w:tcW w:w="3798" w:type="dxa"/>
            <w:tcBorders>
              <w:top w:val="nil"/>
              <w:left w:val="nil"/>
              <w:bottom w:val="nil"/>
              <w:right w:val="single" w:sz="4" w:space="0" w:color="000000"/>
            </w:tcBorders>
            <w:shd w:val="clear" w:color="000000" w:fill="FFFFFF"/>
            <w:hideMark/>
          </w:tcPr>
          <w:p w14:paraId="52AA15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tc>
        <w:tc>
          <w:tcPr>
            <w:tcW w:w="1480" w:type="dxa"/>
            <w:tcBorders>
              <w:top w:val="nil"/>
              <w:left w:val="nil"/>
              <w:bottom w:val="nil"/>
              <w:right w:val="single" w:sz="4" w:space="0" w:color="000000"/>
            </w:tcBorders>
            <w:shd w:val="clear" w:color="000000" w:fill="FFFFFF"/>
            <w:hideMark/>
          </w:tcPr>
          <w:p w14:paraId="621805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45484F5"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70E0E3C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Cuando existan desacuerdos entre los integrantes de las comisiones escrutadoras, estas serán resueltas por la instancia superior. </w:t>
            </w:r>
          </w:p>
        </w:tc>
        <w:tc>
          <w:tcPr>
            <w:tcW w:w="3798" w:type="dxa"/>
            <w:tcBorders>
              <w:top w:val="nil"/>
              <w:left w:val="nil"/>
              <w:bottom w:val="single" w:sz="4" w:space="0" w:color="000000"/>
              <w:right w:val="single" w:sz="4" w:space="0" w:color="000000"/>
            </w:tcBorders>
            <w:shd w:val="clear" w:color="000000" w:fill="FFFFFF"/>
            <w:hideMark/>
          </w:tcPr>
          <w:p w14:paraId="7E8FF7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existan desacuerdos entre los integrantes de las comisiones escrutadoras, estas serán resueltas por la instancia superior.</w:t>
            </w:r>
          </w:p>
        </w:tc>
        <w:tc>
          <w:tcPr>
            <w:tcW w:w="3798" w:type="dxa"/>
            <w:tcBorders>
              <w:top w:val="nil"/>
              <w:left w:val="nil"/>
              <w:bottom w:val="single" w:sz="4" w:space="0" w:color="000000"/>
              <w:right w:val="single" w:sz="4" w:space="0" w:color="000000"/>
            </w:tcBorders>
            <w:shd w:val="clear" w:color="000000" w:fill="FFFFFF"/>
            <w:hideMark/>
          </w:tcPr>
          <w:p w14:paraId="742731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existan desacuerdos entre los integrantes de las comisiones escrutadoras, estas serán resueltas por la instancia superior.</w:t>
            </w:r>
          </w:p>
        </w:tc>
        <w:tc>
          <w:tcPr>
            <w:tcW w:w="1480" w:type="dxa"/>
            <w:tcBorders>
              <w:top w:val="nil"/>
              <w:left w:val="nil"/>
              <w:bottom w:val="nil"/>
              <w:right w:val="single" w:sz="4" w:space="0" w:color="000000"/>
            </w:tcBorders>
            <w:shd w:val="clear" w:color="000000" w:fill="FFFFFF"/>
            <w:hideMark/>
          </w:tcPr>
          <w:p w14:paraId="1EAED6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A68EB2"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297D855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194.- Competencia de las comisiones escrutadoras de municipios no zonificados.</w:t>
            </w:r>
            <w:r w:rsidRPr="00222F34">
              <w:rPr>
                <w:rFonts w:ascii="Calibri" w:eastAsia="Times New Roman" w:hAnsi="Calibri" w:cs="Calibri"/>
                <w:color w:val="000000"/>
                <w:lang w:val="es-CO" w:eastAsia="es-CO" w:bidi="ar-SA"/>
              </w:rPr>
              <w:t xml:space="preserve"> Es competencia de las comisiones de municipios no zonificados, por un lado, realizar el escrutinio y cómputo de votos para los cargos y corporaciones de elección popular, con base en las actas de escrutinio de mesa y documentos </w:t>
            </w:r>
            <w:r w:rsidRPr="00222F34">
              <w:rPr>
                <w:rFonts w:ascii="Calibri" w:eastAsia="Times New Roman" w:hAnsi="Calibri" w:cs="Calibri"/>
                <w:color w:val="000000"/>
                <w:lang w:val="es-CO" w:eastAsia="es-CO" w:bidi="ar-SA"/>
              </w:rPr>
              <w:lastRenderedPageBreak/>
              <w:t xml:space="preserve">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  </w:t>
            </w:r>
          </w:p>
        </w:tc>
        <w:tc>
          <w:tcPr>
            <w:tcW w:w="3798" w:type="dxa"/>
            <w:tcBorders>
              <w:top w:val="nil"/>
              <w:left w:val="nil"/>
              <w:bottom w:val="nil"/>
              <w:right w:val="single" w:sz="4" w:space="0" w:color="000000"/>
            </w:tcBorders>
            <w:shd w:val="clear" w:color="000000" w:fill="FFFFFF"/>
            <w:hideMark/>
          </w:tcPr>
          <w:p w14:paraId="4F7243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198.- Competencia de las comisiones escrutadoras de municipios no zonificados.</w:t>
            </w:r>
            <w:r w:rsidRPr="00222F34">
              <w:rPr>
                <w:rFonts w:ascii="Calibri" w:eastAsia="Times New Roman" w:hAnsi="Calibri" w:cs="Calibri"/>
                <w:color w:val="000000"/>
                <w:lang w:val="es-CO" w:eastAsia="es-CO" w:bidi="ar-SA"/>
              </w:rPr>
              <w:t xml:space="preserve"> Es competencia de las comisiones de municipios no zonificados, por un lado, realizar el escrutinio y cómputo de votos para los cargos y corporaciones de elección popular, con base en las actas de escrutinio de mesa y documentos </w:t>
            </w:r>
            <w:r w:rsidRPr="00222F34">
              <w:rPr>
                <w:rFonts w:ascii="Calibri" w:eastAsia="Times New Roman" w:hAnsi="Calibri" w:cs="Calibri"/>
                <w:color w:val="000000"/>
                <w:lang w:val="es-CO" w:eastAsia="es-CO" w:bidi="ar-SA"/>
              </w:rPr>
              <w:lastRenderedPageBreak/>
              <w:t>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w:t>
            </w:r>
          </w:p>
        </w:tc>
        <w:tc>
          <w:tcPr>
            <w:tcW w:w="3798" w:type="dxa"/>
            <w:tcBorders>
              <w:top w:val="nil"/>
              <w:left w:val="nil"/>
              <w:bottom w:val="nil"/>
              <w:right w:val="single" w:sz="4" w:space="0" w:color="000000"/>
            </w:tcBorders>
            <w:shd w:val="clear" w:color="000000" w:fill="FFFFFF"/>
            <w:hideMark/>
          </w:tcPr>
          <w:p w14:paraId="6D8A37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198.- Competencia de las comisiones escrutadoras de municipios no zonificados.</w:t>
            </w:r>
            <w:r w:rsidRPr="00222F34">
              <w:rPr>
                <w:rFonts w:ascii="Calibri" w:eastAsia="Times New Roman" w:hAnsi="Calibri" w:cs="Calibri"/>
                <w:color w:val="000000"/>
                <w:lang w:val="es-CO" w:eastAsia="es-CO" w:bidi="ar-SA"/>
              </w:rPr>
              <w:t xml:space="preserve"> Es competencia de las comisiones de municipios no zonificados, por un lado, realizar el escrutinio y cómputo de votos para los cargos y corporaciones de elección popular, con base en las actas de escrutinio de mesa y documentos </w:t>
            </w:r>
            <w:r w:rsidRPr="00222F34">
              <w:rPr>
                <w:rFonts w:ascii="Calibri" w:eastAsia="Times New Roman" w:hAnsi="Calibri" w:cs="Calibri"/>
                <w:color w:val="000000"/>
                <w:lang w:val="es-CO" w:eastAsia="es-CO" w:bidi="ar-SA"/>
              </w:rPr>
              <w:lastRenderedPageBreak/>
              <w:t>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w:t>
            </w:r>
          </w:p>
        </w:tc>
        <w:tc>
          <w:tcPr>
            <w:tcW w:w="1480" w:type="dxa"/>
            <w:tcBorders>
              <w:top w:val="single" w:sz="4" w:space="0" w:color="auto"/>
              <w:left w:val="nil"/>
              <w:bottom w:val="nil"/>
              <w:right w:val="single" w:sz="4" w:space="0" w:color="000000"/>
            </w:tcBorders>
            <w:shd w:val="clear" w:color="000000" w:fill="FFFFFF"/>
            <w:hideMark/>
          </w:tcPr>
          <w:p w14:paraId="6A87C53C" w14:textId="47C4CA6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3091ECC9"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1BD45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Verificar la inconsistencia, y en caso de persistir, recontar los votos cuando haya tachaduras, enmendaduras y no se haya dejado constancia en el acta de la razón en el espacio previsto para observaciones, como inconsistencia en el número de sufragantes ente el registro de votantes y el acta de escrutinio de mesa, errores aritméticos en los formularios recibidos o dudas razonables. </w:t>
            </w:r>
          </w:p>
        </w:tc>
        <w:tc>
          <w:tcPr>
            <w:tcW w:w="3798" w:type="dxa"/>
            <w:tcBorders>
              <w:top w:val="nil"/>
              <w:left w:val="nil"/>
              <w:bottom w:val="nil"/>
              <w:right w:val="single" w:sz="4" w:space="0" w:color="000000"/>
            </w:tcBorders>
            <w:shd w:val="clear" w:color="000000" w:fill="FFFFFF"/>
            <w:hideMark/>
          </w:tcPr>
          <w:p w14:paraId="25142C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Verificar la inconsistencia, y en caso de persistir, recontar los votos cuando haya tachaduras, enmendaduras y no se haya dejado constancia en el acta de la razón en el espacio previsto para observaciones, como inconsistencia en el número de sufragantes ente el registro de votantes y el acta de escrutinio de mesa, errores aritméticos en los formularios recibidos o dudas razonables.</w:t>
            </w:r>
          </w:p>
        </w:tc>
        <w:tc>
          <w:tcPr>
            <w:tcW w:w="3798" w:type="dxa"/>
            <w:tcBorders>
              <w:top w:val="nil"/>
              <w:left w:val="nil"/>
              <w:bottom w:val="nil"/>
              <w:right w:val="single" w:sz="4" w:space="0" w:color="000000"/>
            </w:tcBorders>
            <w:shd w:val="clear" w:color="000000" w:fill="FFFFFF"/>
            <w:hideMark/>
          </w:tcPr>
          <w:p w14:paraId="11FA85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Verificar la inconsistencia, y en caso de persistir, recontar los votos cuando haya tachaduras, enmendaduras y no se haya dejado constancia en el acta de la razón en el espacio previsto para observaciones, como inconsistencia en el número de sufragantes ente el registro de votantes y el acta de escrutinio de mesa, errores aritméticos en los formularios recibidos o dudas razonables.</w:t>
            </w:r>
          </w:p>
        </w:tc>
        <w:tc>
          <w:tcPr>
            <w:tcW w:w="1480" w:type="dxa"/>
            <w:tcBorders>
              <w:top w:val="nil"/>
              <w:left w:val="nil"/>
              <w:bottom w:val="nil"/>
              <w:right w:val="single" w:sz="4" w:space="0" w:color="000000"/>
            </w:tcBorders>
            <w:shd w:val="clear" w:color="000000" w:fill="FFFFFF"/>
            <w:hideMark/>
          </w:tcPr>
          <w:p w14:paraId="52E184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39D596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935AD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Resolver las reclamaciones y apelaciones presentadas ante los jurados de votación. </w:t>
            </w:r>
          </w:p>
        </w:tc>
        <w:tc>
          <w:tcPr>
            <w:tcW w:w="3798" w:type="dxa"/>
            <w:tcBorders>
              <w:top w:val="nil"/>
              <w:left w:val="nil"/>
              <w:bottom w:val="nil"/>
              <w:right w:val="single" w:sz="4" w:space="0" w:color="000000"/>
            </w:tcBorders>
            <w:shd w:val="clear" w:color="000000" w:fill="FFFFFF"/>
            <w:hideMark/>
          </w:tcPr>
          <w:p w14:paraId="4B48BA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y apelaciones presentadas ante los jurados de votación.</w:t>
            </w:r>
          </w:p>
        </w:tc>
        <w:tc>
          <w:tcPr>
            <w:tcW w:w="3798" w:type="dxa"/>
            <w:tcBorders>
              <w:top w:val="nil"/>
              <w:left w:val="nil"/>
              <w:bottom w:val="nil"/>
              <w:right w:val="single" w:sz="4" w:space="0" w:color="000000"/>
            </w:tcBorders>
            <w:shd w:val="clear" w:color="000000" w:fill="FFFFFF"/>
            <w:hideMark/>
          </w:tcPr>
          <w:p w14:paraId="40289C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y apelaciones presentadas ante los jurados de votación.</w:t>
            </w:r>
          </w:p>
        </w:tc>
        <w:tc>
          <w:tcPr>
            <w:tcW w:w="1480" w:type="dxa"/>
            <w:tcBorders>
              <w:top w:val="nil"/>
              <w:left w:val="nil"/>
              <w:bottom w:val="nil"/>
              <w:right w:val="single" w:sz="4" w:space="0" w:color="000000"/>
            </w:tcBorders>
            <w:shd w:val="clear" w:color="000000" w:fill="FFFFFF"/>
            <w:hideMark/>
          </w:tcPr>
          <w:p w14:paraId="710A4F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BF33BE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67BD2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Decidir sobre la concesión de los recursos de apelación que se presenten contra sus decisiones y remitirlo inmediatamente al superior jerárquico junto con los demás documentos. </w:t>
            </w:r>
          </w:p>
        </w:tc>
        <w:tc>
          <w:tcPr>
            <w:tcW w:w="3798" w:type="dxa"/>
            <w:tcBorders>
              <w:top w:val="nil"/>
              <w:left w:val="nil"/>
              <w:bottom w:val="nil"/>
              <w:right w:val="single" w:sz="4" w:space="0" w:color="000000"/>
            </w:tcBorders>
            <w:shd w:val="clear" w:color="000000" w:fill="FFFFFF"/>
            <w:hideMark/>
          </w:tcPr>
          <w:p w14:paraId="473842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 y remitirlo inmediatamente al superior jerárquico junto con los demás documentos.</w:t>
            </w:r>
          </w:p>
        </w:tc>
        <w:tc>
          <w:tcPr>
            <w:tcW w:w="3798" w:type="dxa"/>
            <w:tcBorders>
              <w:top w:val="nil"/>
              <w:left w:val="nil"/>
              <w:bottom w:val="nil"/>
              <w:right w:val="single" w:sz="4" w:space="0" w:color="000000"/>
            </w:tcBorders>
            <w:shd w:val="clear" w:color="000000" w:fill="FFFFFF"/>
            <w:hideMark/>
          </w:tcPr>
          <w:p w14:paraId="544EC5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 y remitirlo inmediatamente al superior jerárquico junto con los demás documentos.</w:t>
            </w:r>
          </w:p>
        </w:tc>
        <w:tc>
          <w:tcPr>
            <w:tcW w:w="1480" w:type="dxa"/>
            <w:tcBorders>
              <w:top w:val="nil"/>
              <w:left w:val="nil"/>
              <w:bottom w:val="nil"/>
              <w:right w:val="single" w:sz="4" w:space="0" w:color="000000"/>
            </w:tcBorders>
            <w:shd w:val="clear" w:color="000000" w:fill="FFFFFF"/>
            <w:hideMark/>
          </w:tcPr>
          <w:p w14:paraId="6CE9AF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3903B33"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1D4ECB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Expedir las credenciales a que hubiere lugar. </w:t>
            </w:r>
          </w:p>
        </w:tc>
        <w:tc>
          <w:tcPr>
            <w:tcW w:w="3798" w:type="dxa"/>
            <w:tcBorders>
              <w:top w:val="nil"/>
              <w:left w:val="nil"/>
              <w:bottom w:val="single" w:sz="4" w:space="0" w:color="000000"/>
              <w:right w:val="single" w:sz="4" w:space="0" w:color="000000"/>
            </w:tcBorders>
            <w:shd w:val="clear" w:color="000000" w:fill="FFFFFF"/>
            <w:hideMark/>
          </w:tcPr>
          <w:p w14:paraId="72DF67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tc>
        <w:tc>
          <w:tcPr>
            <w:tcW w:w="3798" w:type="dxa"/>
            <w:tcBorders>
              <w:top w:val="nil"/>
              <w:left w:val="nil"/>
              <w:bottom w:val="single" w:sz="4" w:space="0" w:color="000000"/>
              <w:right w:val="single" w:sz="4" w:space="0" w:color="000000"/>
            </w:tcBorders>
            <w:shd w:val="clear" w:color="000000" w:fill="FFFFFF"/>
            <w:hideMark/>
          </w:tcPr>
          <w:p w14:paraId="7F905F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tc>
        <w:tc>
          <w:tcPr>
            <w:tcW w:w="1480" w:type="dxa"/>
            <w:tcBorders>
              <w:top w:val="nil"/>
              <w:left w:val="nil"/>
              <w:bottom w:val="nil"/>
              <w:right w:val="single" w:sz="4" w:space="0" w:color="000000"/>
            </w:tcBorders>
            <w:shd w:val="clear" w:color="000000" w:fill="FFFFFF"/>
            <w:hideMark/>
          </w:tcPr>
          <w:p w14:paraId="60AC78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FE5EF6B"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5F3BFED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195. Competencia de las comisiones escrutadoras de municipios zonificados, distrital y general en Bogotá D.C.</w:t>
            </w:r>
            <w:r w:rsidRPr="00222F34">
              <w:rPr>
                <w:rFonts w:ascii="Calibri" w:eastAsia="Times New Roman" w:hAnsi="Calibri" w:cs="Calibri"/>
                <w:color w:val="000000"/>
                <w:lang w:val="es-CO" w:eastAsia="es-CO" w:bidi="ar-SA"/>
              </w:rPr>
              <w:t xml:space="preserve"> Es competencia de las comisiones de municipios zonificados, distrital y general en Bogotá D. C., realizar el escrutinio y cómputo de votos para los cargos y corporaciones de elección popular, con base en las actas de escrutinio de las comisiones zonales, y declarar la elección de alcaldes y concejales municipales en la respectiva circunscripción, concejales distritales de Bogotá D. C., salvo que se concedan apelaciones presentadas ante estas. Así mismo, declararán la elección de juntas administradoras locales, cuando resuelvan las apelaciones presentadas ante las comisiones zonales. </w:t>
            </w:r>
          </w:p>
        </w:tc>
        <w:tc>
          <w:tcPr>
            <w:tcW w:w="3798" w:type="dxa"/>
            <w:tcBorders>
              <w:top w:val="nil"/>
              <w:left w:val="nil"/>
              <w:bottom w:val="nil"/>
              <w:right w:val="single" w:sz="4" w:space="0" w:color="000000"/>
            </w:tcBorders>
            <w:shd w:val="clear" w:color="00FF00" w:fill="FFFFFF"/>
            <w:hideMark/>
          </w:tcPr>
          <w:p w14:paraId="1BABC2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199.- Competencia de las comisiones escrutadoras de municipios zonificados y distrital de Bogotá D.C. </w:t>
            </w:r>
            <w:r w:rsidRPr="00222F34">
              <w:rPr>
                <w:rFonts w:ascii="Calibri" w:eastAsia="Times New Roman" w:hAnsi="Calibri" w:cs="Calibri"/>
                <w:color w:val="000000"/>
                <w:lang w:val="es-CO" w:eastAsia="es-CO" w:bidi="ar-SA"/>
              </w:rPr>
              <w:t>Es competencia de las comisiones de municipios zonificados y distrital de Bogotá D. C., realizar el escrutinio y cómputo de votos para los cargos y corporaciones de elección popular, con base en las actas de escrutinio de las comisiones zonales, y declarar la elección de alcaldes y concejales municipales en la respectiva circunscripción, alcalde mayor de Bogotá D.C concejales distritales de Bogotá D. C., salvo que se concedan apelaciones presentadas ante estas. Así mismo, declararán la elección de juntas administradoras locales, cuando resuelvan las apelaciones presentadas ante las comisiones zonales.</w:t>
            </w:r>
          </w:p>
        </w:tc>
        <w:tc>
          <w:tcPr>
            <w:tcW w:w="3798" w:type="dxa"/>
            <w:tcBorders>
              <w:top w:val="nil"/>
              <w:left w:val="nil"/>
              <w:bottom w:val="nil"/>
              <w:right w:val="single" w:sz="4" w:space="0" w:color="000000"/>
            </w:tcBorders>
            <w:shd w:val="clear" w:color="00FF00" w:fill="FFFFFF"/>
            <w:hideMark/>
          </w:tcPr>
          <w:p w14:paraId="2758B2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199.- Competencia de las comisiones escrutadoras de municipios zonificados y distrital de Bogotá D.C. </w:t>
            </w:r>
            <w:r w:rsidRPr="00222F34">
              <w:rPr>
                <w:rFonts w:ascii="Calibri" w:eastAsia="Times New Roman" w:hAnsi="Calibri" w:cs="Calibri"/>
                <w:color w:val="000000"/>
                <w:lang w:val="es-CO" w:eastAsia="es-CO" w:bidi="ar-SA"/>
              </w:rPr>
              <w:t>Es competencia de las comisiones de municipios zonificados y distrital de Bogotá D. C., realizar el escrutinio y cómputo de votos para los cargos y corporaciones de elección popular, con base en las actas de escrutinio de las comisiones zonales, y declarar la elección de alcaldes y concejales municipales en la respectiva circunscripción, alcalde mayor de Bogotá D.C</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concejales distritales de Bogotá D. C., salvo que se concedan apelaciones presentadas ante estas. Así mismo, declararán la elección de juntas administradoras locales, cuando resuelvan las apelaciones presentadas ante las comisiones zonales.</w:t>
            </w:r>
          </w:p>
        </w:tc>
        <w:tc>
          <w:tcPr>
            <w:tcW w:w="1480" w:type="dxa"/>
            <w:tcBorders>
              <w:top w:val="single" w:sz="4" w:space="0" w:color="000000"/>
              <w:left w:val="nil"/>
              <w:bottom w:val="nil"/>
              <w:right w:val="single" w:sz="4" w:space="0" w:color="000000"/>
            </w:tcBorders>
            <w:shd w:val="clear" w:color="000000" w:fill="FFFFFF"/>
            <w:hideMark/>
          </w:tcPr>
          <w:p w14:paraId="10B94DAF" w14:textId="062EDC8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y se ajusta la redacción.</w:t>
            </w:r>
          </w:p>
        </w:tc>
      </w:tr>
      <w:tr w:rsidR="00CD4925" w:rsidRPr="00222F34" w14:paraId="0DE8265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31EA2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comisiones escrutadoras de municipios zonificados, distrital y general l en Bogotá D.C., además, se encargarán de:  </w:t>
            </w:r>
          </w:p>
        </w:tc>
        <w:tc>
          <w:tcPr>
            <w:tcW w:w="3798" w:type="dxa"/>
            <w:tcBorders>
              <w:top w:val="nil"/>
              <w:left w:val="nil"/>
              <w:bottom w:val="nil"/>
              <w:right w:val="single" w:sz="4" w:space="0" w:color="000000"/>
            </w:tcBorders>
            <w:shd w:val="clear" w:color="00FF00" w:fill="FFFFFF"/>
            <w:hideMark/>
          </w:tcPr>
          <w:p w14:paraId="69427A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de municipios zonificados y distrital de Bogotá D.C., además, se encargarán de:</w:t>
            </w:r>
          </w:p>
        </w:tc>
        <w:tc>
          <w:tcPr>
            <w:tcW w:w="3798" w:type="dxa"/>
            <w:tcBorders>
              <w:top w:val="nil"/>
              <w:left w:val="nil"/>
              <w:bottom w:val="nil"/>
              <w:right w:val="single" w:sz="4" w:space="0" w:color="000000"/>
            </w:tcBorders>
            <w:shd w:val="clear" w:color="00FF00" w:fill="FFFFFF"/>
            <w:hideMark/>
          </w:tcPr>
          <w:p w14:paraId="365F0B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de municipios zonificados y distrital de Bogotá D.C., además, se encargarán de:</w:t>
            </w:r>
          </w:p>
        </w:tc>
        <w:tc>
          <w:tcPr>
            <w:tcW w:w="1480" w:type="dxa"/>
            <w:tcBorders>
              <w:top w:val="nil"/>
              <w:left w:val="nil"/>
              <w:bottom w:val="nil"/>
              <w:right w:val="single" w:sz="4" w:space="0" w:color="000000"/>
            </w:tcBorders>
            <w:shd w:val="clear" w:color="000000" w:fill="FFFFFF"/>
            <w:hideMark/>
          </w:tcPr>
          <w:p w14:paraId="773D83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8BB2A2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E13E2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Resolver las apelaciones presentadas ante las comisiones zonales; en tal caso la competencia versará exclusivamente sobre el asunto apelado. </w:t>
            </w:r>
          </w:p>
        </w:tc>
        <w:tc>
          <w:tcPr>
            <w:tcW w:w="3798" w:type="dxa"/>
            <w:tcBorders>
              <w:top w:val="nil"/>
              <w:left w:val="nil"/>
              <w:bottom w:val="nil"/>
              <w:right w:val="single" w:sz="4" w:space="0" w:color="000000"/>
            </w:tcBorders>
            <w:shd w:val="clear" w:color="00FF00" w:fill="FFFFFF"/>
            <w:hideMark/>
          </w:tcPr>
          <w:p w14:paraId="7BF45E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las apelaciones presentadas ante las comisiones zonales; en tal caso la competencia versará exclusivamente sobre el asunto apelado.</w:t>
            </w:r>
          </w:p>
        </w:tc>
        <w:tc>
          <w:tcPr>
            <w:tcW w:w="3798" w:type="dxa"/>
            <w:tcBorders>
              <w:top w:val="nil"/>
              <w:left w:val="nil"/>
              <w:bottom w:val="nil"/>
              <w:right w:val="single" w:sz="4" w:space="0" w:color="000000"/>
            </w:tcBorders>
            <w:shd w:val="clear" w:color="00FF00" w:fill="FFFFFF"/>
            <w:hideMark/>
          </w:tcPr>
          <w:p w14:paraId="68E309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las apelaciones presentadas ante las comisiones zonales; en tal caso la competencia versará exclusivamente sobre el asunto apelado.</w:t>
            </w:r>
          </w:p>
        </w:tc>
        <w:tc>
          <w:tcPr>
            <w:tcW w:w="1480" w:type="dxa"/>
            <w:tcBorders>
              <w:top w:val="nil"/>
              <w:left w:val="nil"/>
              <w:bottom w:val="nil"/>
              <w:right w:val="single" w:sz="4" w:space="0" w:color="000000"/>
            </w:tcBorders>
            <w:shd w:val="clear" w:color="000000" w:fill="FFFFFF"/>
            <w:hideMark/>
          </w:tcPr>
          <w:p w14:paraId="68E588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40733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F4DDB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Resolver las reclamaciones que por primera vez se presenten ante ellas en </w:t>
            </w:r>
            <w:r w:rsidRPr="00222F34">
              <w:rPr>
                <w:rFonts w:ascii="Calibri" w:eastAsia="Times New Roman" w:hAnsi="Calibri" w:cs="Calibri"/>
                <w:color w:val="000000"/>
                <w:lang w:val="es-CO" w:eastAsia="es-CO" w:bidi="ar-SA"/>
              </w:rPr>
              <w:lastRenderedPageBreak/>
              <w:t xml:space="preserve">relación con dicho escrutinio y sobre los documentos objeto de verificación. </w:t>
            </w:r>
          </w:p>
        </w:tc>
        <w:tc>
          <w:tcPr>
            <w:tcW w:w="3798" w:type="dxa"/>
            <w:tcBorders>
              <w:top w:val="nil"/>
              <w:left w:val="nil"/>
              <w:bottom w:val="nil"/>
              <w:right w:val="single" w:sz="4" w:space="0" w:color="000000"/>
            </w:tcBorders>
            <w:shd w:val="clear" w:color="00FF00" w:fill="FFFFFF"/>
            <w:hideMark/>
          </w:tcPr>
          <w:p w14:paraId="78F1B2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Resolver las reclamaciones que por primera vez se presenten ante ellas en </w:t>
            </w:r>
            <w:r w:rsidRPr="00222F34">
              <w:rPr>
                <w:rFonts w:ascii="Calibri" w:eastAsia="Times New Roman" w:hAnsi="Calibri" w:cs="Calibri"/>
                <w:color w:val="000000"/>
                <w:lang w:val="es-CO" w:eastAsia="es-CO" w:bidi="ar-SA"/>
              </w:rPr>
              <w:lastRenderedPageBreak/>
              <w:t>relación con dicho escrutinio y sobre los documentos objeto de verificación.</w:t>
            </w:r>
          </w:p>
        </w:tc>
        <w:tc>
          <w:tcPr>
            <w:tcW w:w="3798" w:type="dxa"/>
            <w:tcBorders>
              <w:top w:val="nil"/>
              <w:left w:val="nil"/>
              <w:bottom w:val="nil"/>
              <w:right w:val="single" w:sz="4" w:space="0" w:color="000000"/>
            </w:tcBorders>
            <w:shd w:val="clear" w:color="00FF00" w:fill="FFFFFF"/>
            <w:hideMark/>
          </w:tcPr>
          <w:p w14:paraId="6B5A92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Resolver las reclamaciones que por primera vez se presenten ante ellas en </w:t>
            </w:r>
            <w:r w:rsidRPr="00222F34">
              <w:rPr>
                <w:rFonts w:ascii="Calibri" w:eastAsia="Times New Roman" w:hAnsi="Calibri" w:cs="Calibri"/>
                <w:color w:val="000000"/>
                <w:lang w:val="es-CO" w:eastAsia="es-CO" w:bidi="ar-SA"/>
              </w:rPr>
              <w:lastRenderedPageBreak/>
              <w:t>relación con dicho escrutinio y sobre los documentos objeto de verificación.</w:t>
            </w:r>
          </w:p>
        </w:tc>
        <w:tc>
          <w:tcPr>
            <w:tcW w:w="1480" w:type="dxa"/>
            <w:tcBorders>
              <w:top w:val="nil"/>
              <w:left w:val="nil"/>
              <w:bottom w:val="nil"/>
              <w:right w:val="single" w:sz="4" w:space="0" w:color="000000"/>
            </w:tcBorders>
            <w:shd w:val="clear" w:color="000000" w:fill="FFFFFF"/>
            <w:hideMark/>
          </w:tcPr>
          <w:p w14:paraId="0CAE42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5655AA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790B7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Resolver los desacuerdos, vacíos u omisiones que se hayan presentado en la instancia inmediatamente anterior. </w:t>
            </w:r>
          </w:p>
        </w:tc>
        <w:tc>
          <w:tcPr>
            <w:tcW w:w="3798" w:type="dxa"/>
            <w:tcBorders>
              <w:top w:val="nil"/>
              <w:left w:val="nil"/>
              <w:bottom w:val="nil"/>
              <w:right w:val="single" w:sz="4" w:space="0" w:color="000000"/>
            </w:tcBorders>
            <w:shd w:val="clear" w:color="00FF00" w:fill="FFFFFF"/>
            <w:hideMark/>
          </w:tcPr>
          <w:p w14:paraId="55D614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Resolver los desacuerdos, vacíos u omisiones que se hayan presentado en la instancia inmediatamente anterior.</w:t>
            </w:r>
          </w:p>
        </w:tc>
        <w:tc>
          <w:tcPr>
            <w:tcW w:w="3798" w:type="dxa"/>
            <w:tcBorders>
              <w:top w:val="nil"/>
              <w:left w:val="nil"/>
              <w:bottom w:val="nil"/>
              <w:right w:val="single" w:sz="4" w:space="0" w:color="000000"/>
            </w:tcBorders>
            <w:shd w:val="clear" w:color="00FF00" w:fill="FFFFFF"/>
            <w:hideMark/>
          </w:tcPr>
          <w:p w14:paraId="10CE8D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Resolver los desacuerdos, vacíos u omisiones que se hayan presentado en la instancia inmediatamente anterior.</w:t>
            </w:r>
          </w:p>
        </w:tc>
        <w:tc>
          <w:tcPr>
            <w:tcW w:w="1480" w:type="dxa"/>
            <w:tcBorders>
              <w:top w:val="nil"/>
              <w:left w:val="nil"/>
              <w:bottom w:val="nil"/>
              <w:right w:val="single" w:sz="4" w:space="0" w:color="000000"/>
            </w:tcBorders>
            <w:shd w:val="clear" w:color="000000" w:fill="FFFFFF"/>
            <w:hideMark/>
          </w:tcPr>
          <w:p w14:paraId="5F128A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C0B67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C54B9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Decidir sobre la concesión de los recursos de apelación que se presenten contra sus decisiones. </w:t>
            </w:r>
          </w:p>
        </w:tc>
        <w:tc>
          <w:tcPr>
            <w:tcW w:w="3798" w:type="dxa"/>
            <w:tcBorders>
              <w:top w:val="nil"/>
              <w:left w:val="nil"/>
              <w:bottom w:val="nil"/>
              <w:right w:val="single" w:sz="4" w:space="0" w:color="000000"/>
            </w:tcBorders>
            <w:shd w:val="clear" w:color="00FF00" w:fill="FFFFFF"/>
            <w:hideMark/>
          </w:tcPr>
          <w:p w14:paraId="5965D9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Decidir sobre la concesión de los recursos de apelación que se presenten contra sus decisiones.</w:t>
            </w:r>
          </w:p>
        </w:tc>
        <w:tc>
          <w:tcPr>
            <w:tcW w:w="3798" w:type="dxa"/>
            <w:tcBorders>
              <w:top w:val="nil"/>
              <w:left w:val="nil"/>
              <w:bottom w:val="nil"/>
              <w:right w:val="single" w:sz="4" w:space="0" w:color="000000"/>
            </w:tcBorders>
            <w:shd w:val="clear" w:color="00FF00" w:fill="FFFFFF"/>
            <w:hideMark/>
          </w:tcPr>
          <w:p w14:paraId="335048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Decidir sobre la concesión de los recursos de apelación que se presenten contra sus decisiones.</w:t>
            </w:r>
          </w:p>
        </w:tc>
        <w:tc>
          <w:tcPr>
            <w:tcW w:w="1480" w:type="dxa"/>
            <w:tcBorders>
              <w:top w:val="nil"/>
              <w:left w:val="nil"/>
              <w:bottom w:val="nil"/>
              <w:right w:val="single" w:sz="4" w:space="0" w:color="000000"/>
            </w:tcBorders>
            <w:shd w:val="clear" w:color="000000" w:fill="FFFFFF"/>
            <w:hideMark/>
          </w:tcPr>
          <w:p w14:paraId="29F2C6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9F6691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9246B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Resolver el recurso de queja en materia de escrutinios que se presente en esta instancia. </w:t>
            </w:r>
          </w:p>
        </w:tc>
        <w:tc>
          <w:tcPr>
            <w:tcW w:w="3798" w:type="dxa"/>
            <w:tcBorders>
              <w:top w:val="nil"/>
              <w:left w:val="nil"/>
              <w:bottom w:val="nil"/>
              <w:right w:val="single" w:sz="4" w:space="0" w:color="000000"/>
            </w:tcBorders>
            <w:shd w:val="clear" w:color="00FF00" w:fill="FFFFFF"/>
            <w:hideMark/>
          </w:tcPr>
          <w:p w14:paraId="452F06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el recurso de queja en materia de escrutinios que se presente en esta instancia.</w:t>
            </w:r>
          </w:p>
        </w:tc>
        <w:tc>
          <w:tcPr>
            <w:tcW w:w="3798" w:type="dxa"/>
            <w:tcBorders>
              <w:top w:val="nil"/>
              <w:left w:val="nil"/>
              <w:bottom w:val="nil"/>
              <w:right w:val="single" w:sz="4" w:space="0" w:color="000000"/>
            </w:tcBorders>
            <w:shd w:val="clear" w:color="00FF00" w:fill="FFFFFF"/>
            <w:hideMark/>
          </w:tcPr>
          <w:p w14:paraId="380F3A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el recurso de queja en materia de escrutinios que se presente en esta instancia.</w:t>
            </w:r>
          </w:p>
        </w:tc>
        <w:tc>
          <w:tcPr>
            <w:tcW w:w="1480" w:type="dxa"/>
            <w:tcBorders>
              <w:top w:val="nil"/>
              <w:left w:val="nil"/>
              <w:bottom w:val="nil"/>
              <w:right w:val="single" w:sz="4" w:space="0" w:color="000000"/>
            </w:tcBorders>
            <w:shd w:val="clear" w:color="000000" w:fill="FFFFFF"/>
            <w:hideMark/>
          </w:tcPr>
          <w:p w14:paraId="3B53D3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F2351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D2B6F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 </w:t>
            </w:r>
          </w:p>
        </w:tc>
        <w:tc>
          <w:tcPr>
            <w:tcW w:w="3798" w:type="dxa"/>
            <w:tcBorders>
              <w:top w:val="nil"/>
              <w:left w:val="nil"/>
              <w:bottom w:val="nil"/>
              <w:right w:val="single" w:sz="4" w:space="0" w:color="000000"/>
            </w:tcBorders>
            <w:shd w:val="clear" w:color="00FF00" w:fill="FFFFFF"/>
            <w:hideMark/>
          </w:tcPr>
          <w:p w14:paraId="2672A5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w:t>
            </w:r>
          </w:p>
        </w:tc>
        <w:tc>
          <w:tcPr>
            <w:tcW w:w="3798" w:type="dxa"/>
            <w:tcBorders>
              <w:top w:val="nil"/>
              <w:left w:val="nil"/>
              <w:bottom w:val="nil"/>
              <w:right w:val="single" w:sz="4" w:space="0" w:color="000000"/>
            </w:tcBorders>
            <w:shd w:val="clear" w:color="00FF00" w:fill="FFFFFF"/>
            <w:hideMark/>
          </w:tcPr>
          <w:p w14:paraId="1735B3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w:t>
            </w:r>
          </w:p>
        </w:tc>
        <w:tc>
          <w:tcPr>
            <w:tcW w:w="1480" w:type="dxa"/>
            <w:tcBorders>
              <w:top w:val="nil"/>
              <w:left w:val="nil"/>
              <w:bottom w:val="nil"/>
              <w:right w:val="single" w:sz="4" w:space="0" w:color="000000"/>
            </w:tcBorders>
            <w:shd w:val="clear" w:color="000000" w:fill="FFFFFF"/>
            <w:hideMark/>
          </w:tcPr>
          <w:p w14:paraId="022FB2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AB778F0"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8EC12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Expedir las credenciales a que hubiere lugar. </w:t>
            </w:r>
          </w:p>
        </w:tc>
        <w:tc>
          <w:tcPr>
            <w:tcW w:w="3798" w:type="dxa"/>
            <w:tcBorders>
              <w:top w:val="nil"/>
              <w:left w:val="nil"/>
              <w:bottom w:val="single" w:sz="4" w:space="0" w:color="000000"/>
              <w:right w:val="single" w:sz="4" w:space="0" w:color="000000"/>
            </w:tcBorders>
            <w:shd w:val="clear" w:color="00FF00" w:fill="FFFFFF"/>
            <w:hideMark/>
          </w:tcPr>
          <w:p w14:paraId="5382DA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tc>
        <w:tc>
          <w:tcPr>
            <w:tcW w:w="3798" w:type="dxa"/>
            <w:tcBorders>
              <w:top w:val="nil"/>
              <w:left w:val="nil"/>
              <w:bottom w:val="single" w:sz="4" w:space="0" w:color="000000"/>
              <w:right w:val="single" w:sz="4" w:space="0" w:color="000000"/>
            </w:tcBorders>
            <w:shd w:val="clear" w:color="00FF00" w:fill="FFFFFF"/>
            <w:hideMark/>
          </w:tcPr>
          <w:p w14:paraId="5DFFDF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tc>
        <w:tc>
          <w:tcPr>
            <w:tcW w:w="1480" w:type="dxa"/>
            <w:tcBorders>
              <w:top w:val="nil"/>
              <w:left w:val="nil"/>
              <w:bottom w:val="nil"/>
              <w:right w:val="single" w:sz="4" w:space="0" w:color="000000"/>
            </w:tcBorders>
            <w:shd w:val="clear" w:color="000000" w:fill="FFFFFF"/>
            <w:hideMark/>
          </w:tcPr>
          <w:p w14:paraId="3C238B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E612FAC"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2BA768E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196.- Competencia de las comisiones escrutadoras departamentales.</w:t>
            </w:r>
            <w:r w:rsidRPr="00222F34">
              <w:rPr>
                <w:rFonts w:ascii="Calibri" w:eastAsia="Times New Roman" w:hAnsi="Calibri" w:cs="Calibri"/>
                <w:color w:val="000000"/>
                <w:lang w:val="es-CO" w:eastAsia="es-CO" w:bidi="ar-SA"/>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 municipales. </w:t>
            </w:r>
          </w:p>
        </w:tc>
        <w:tc>
          <w:tcPr>
            <w:tcW w:w="3798" w:type="dxa"/>
            <w:tcBorders>
              <w:top w:val="nil"/>
              <w:left w:val="nil"/>
              <w:bottom w:val="nil"/>
              <w:right w:val="single" w:sz="4" w:space="0" w:color="000000"/>
            </w:tcBorders>
            <w:shd w:val="clear" w:color="000000" w:fill="FFFFFF"/>
            <w:hideMark/>
          </w:tcPr>
          <w:p w14:paraId="506F43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200. Competencia de las comisiones escrutadoras departamentales.</w:t>
            </w:r>
            <w:r w:rsidRPr="00222F34">
              <w:rPr>
                <w:rFonts w:ascii="Calibri" w:eastAsia="Times New Roman" w:hAnsi="Calibri" w:cs="Calibri"/>
                <w:color w:val="000000"/>
                <w:lang w:val="es-CO" w:eastAsia="es-CO" w:bidi="ar-SA"/>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 municipales.</w:t>
            </w:r>
          </w:p>
        </w:tc>
        <w:tc>
          <w:tcPr>
            <w:tcW w:w="3798" w:type="dxa"/>
            <w:tcBorders>
              <w:top w:val="nil"/>
              <w:left w:val="nil"/>
              <w:bottom w:val="nil"/>
              <w:right w:val="single" w:sz="4" w:space="0" w:color="000000"/>
            </w:tcBorders>
            <w:shd w:val="clear" w:color="000000" w:fill="FFFFFF"/>
            <w:hideMark/>
          </w:tcPr>
          <w:p w14:paraId="577C5A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200. Competencia de las comisiones escrutadoras departamentales.</w:t>
            </w:r>
            <w:r w:rsidRPr="00222F34">
              <w:rPr>
                <w:rFonts w:ascii="Calibri" w:eastAsia="Times New Roman" w:hAnsi="Calibri" w:cs="Calibri"/>
                <w:color w:val="000000"/>
                <w:lang w:val="es-CO" w:eastAsia="es-CO" w:bidi="ar-SA"/>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 municipales.</w:t>
            </w:r>
          </w:p>
        </w:tc>
        <w:tc>
          <w:tcPr>
            <w:tcW w:w="1480" w:type="dxa"/>
            <w:tcBorders>
              <w:top w:val="single" w:sz="4" w:space="0" w:color="auto"/>
              <w:left w:val="nil"/>
              <w:bottom w:val="nil"/>
              <w:right w:val="single" w:sz="4" w:space="0" w:color="000000"/>
            </w:tcBorders>
            <w:shd w:val="clear" w:color="000000" w:fill="FFFFFF"/>
            <w:hideMark/>
          </w:tcPr>
          <w:p w14:paraId="58AC2055" w14:textId="0999C44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50E2C2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16ECE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comisiones escrutadoras departamentales, además, se encargarán de: </w:t>
            </w:r>
          </w:p>
        </w:tc>
        <w:tc>
          <w:tcPr>
            <w:tcW w:w="3798" w:type="dxa"/>
            <w:tcBorders>
              <w:top w:val="nil"/>
              <w:left w:val="nil"/>
              <w:bottom w:val="nil"/>
              <w:right w:val="single" w:sz="4" w:space="0" w:color="000000"/>
            </w:tcBorders>
            <w:shd w:val="clear" w:color="000000" w:fill="FFFFFF"/>
            <w:hideMark/>
          </w:tcPr>
          <w:p w14:paraId="22FB79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departamentales, además, se encargarán de:</w:t>
            </w:r>
          </w:p>
        </w:tc>
        <w:tc>
          <w:tcPr>
            <w:tcW w:w="3798" w:type="dxa"/>
            <w:tcBorders>
              <w:top w:val="nil"/>
              <w:left w:val="nil"/>
              <w:bottom w:val="nil"/>
              <w:right w:val="single" w:sz="4" w:space="0" w:color="000000"/>
            </w:tcBorders>
            <w:shd w:val="clear" w:color="000000" w:fill="FFFFFF"/>
            <w:hideMark/>
          </w:tcPr>
          <w:p w14:paraId="24759A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departamentales, además, se encargarán de:</w:t>
            </w:r>
          </w:p>
        </w:tc>
        <w:tc>
          <w:tcPr>
            <w:tcW w:w="1480" w:type="dxa"/>
            <w:tcBorders>
              <w:top w:val="nil"/>
              <w:left w:val="nil"/>
              <w:bottom w:val="nil"/>
              <w:right w:val="single" w:sz="4" w:space="0" w:color="000000"/>
            </w:tcBorders>
            <w:shd w:val="clear" w:color="000000" w:fill="FFFFFF"/>
            <w:hideMark/>
          </w:tcPr>
          <w:p w14:paraId="4EA6EE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2505E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BC051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Resolver de fondo las apelaciones presentadas contra las decisiones de las comisiones escrutadoras municipales. En tal caso, la competencia versará exclusivamente sobre el asunto apelado. </w:t>
            </w:r>
          </w:p>
        </w:tc>
        <w:tc>
          <w:tcPr>
            <w:tcW w:w="3798" w:type="dxa"/>
            <w:tcBorders>
              <w:top w:val="nil"/>
              <w:left w:val="nil"/>
              <w:bottom w:val="nil"/>
              <w:right w:val="single" w:sz="4" w:space="0" w:color="000000"/>
            </w:tcBorders>
            <w:shd w:val="clear" w:color="000000" w:fill="FFFFFF"/>
            <w:hideMark/>
          </w:tcPr>
          <w:p w14:paraId="5C0AF3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presentadas contra las decisiones de las comisiones escrutadoras municipales. En tal caso, la competencia versará exclusivamente sobre el asunto apelado.</w:t>
            </w:r>
          </w:p>
        </w:tc>
        <w:tc>
          <w:tcPr>
            <w:tcW w:w="3798" w:type="dxa"/>
            <w:tcBorders>
              <w:top w:val="nil"/>
              <w:left w:val="nil"/>
              <w:bottom w:val="nil"/>
              <w:right w:val="single" w:sz="4" w:space="0" w:color="000000"/>
            </w:tcBorders>
            <w:shd w:val="clear" w:color="000000" w:fill="FFFFFF"/>
            <w:hideMark/>
          </w:tcPr>
          <w:p w14:paraId="2B37ED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presentadas contra las decisiones de las comisiones escrutadoras municipales. En tal caso, la competencia versará exclusivamente sobre el asunto apelado.</w:t>
            </w:r>
          </w:p>
        </w:tc>
        <w:tc>
          <w:tcPr>
            <w:tcW w:w="1480" w:type="dxa"/>
            <w:tcBorders>
              <w:top w:val="nil"/>
              <w:left w:val="nil"/>
              <w:bottom w:val="nil"/>
              <w:right w:val="single" w:sz="4" w:space="0" w:color="000000"/>
            </w:tcBorders>
            <w:shd w:val="clear" w:color="000000" w:fill="FFFFFF"/>
            <w:hideMark/>
          </w:tcPr>
          <w:p w14:paraId="1B8CA1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FBBEF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0615F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Resolver las reclamaciones que por primera vez se presenten ante ellas en relación con dicho escrutinio y sobre los documentos objeto de verificación.  </w:t>
            </w:r>
          </w:p>
        </w:tc>
        <w:tc>
          <w:tcPr>
            <w:tcW w:w="3798" w:type="dxa"/>
            <w:tcBorders>
              <w:top w:val="nil"/>
              <w:left w:val="nil"/>
              <w:bottom w:val="nil"/>
              <w:right w:val="single" w:sz="4" w:space="0" w:color="000000"/>
            </w:tcBorders>
            <w:shd w:val="clear" w:color="000000" w:fill="FFFFFF"/>
            <w:hideMark/>
          </w:tcPr>
          <w:p w14:paraId="02992B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ellas en relación con dicho escrutinio y sobre los documentos objeto de verificación.</w:t>
            </w:r>
          </w:p>
        </w:tc>
        <w:tc>
          <w:tcPr>
            <w:tcW w:w="3798" w:type="dxa"/>
            <w:tcBorders>
              <w:top w:val="nil"/>
              <w:left w:val="nil"/>
              <w:bottom w:val="nil"/>
              <w:right w:val="single" w:sz="4" w:space="0" w:color="000000"/>
            </w:tcBorders>
            <w:shd w:val="clear" w:color="000000" w:fill="FFFFFF"/>
            <w:hideMark/>
          </w:tcPr>
          <w:p w14:paraId="491880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ellas en relación con dicho escrutinio y sobre los documentos objeto de verificación.</w:t>
            </w:r>
          </w:p>
        </w:tc>
        <w:tc>
          <w:tcPr>
            <w:tcW w:w="1480" w:type="dxa"/>
            <w:tcBorders>
              <w:top w:val="nil"/>
              <w:left w:val="nil"/>
              <w:bottom w:val="nil"/>
              <w:right w:val="single" w:sz="4" w:space="0" w:color="000000"/>
            </w:tcBorders>
            <w:shd w:val="clear" w:color="000000" w:fill="FFFFFF"/>
            <w:hideMark/>
          </w:tcPr>
          <w:p w14:paraId="4C0013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1D760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9D954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Decidir sobre la concesión de los recursos de apelación que se presenten contra sus decisiones. </w:t>
            </w:r>
          </w:p>
        </w:tc>
        <w:tc>
          <w:tcPr>
            <w:tcW w:w="3798" w:type="dxa"/>
            <w:tcBorders>
              <w:top w:val="nil"/>
              <w:left w:val="nil"/>
              <w:bottom w:val="nil"/>
              <w:right w:val="single" w:sz="4" w:space="0" w:color="000000"/>
            </w:tcBorders>
            <w:shd w:val="clear" w:color="000000" w:fill="FFFFFF"/>
            <w:hideMark/>
          </w:tcPr>
          <w:p w14:paraId="718141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w:t>
            </w:r>
          </w:p>
        </w:tc>
        <w:tc>
          <w:tcPr>
            <w:tcW w:w="3798" w:type="dxa"/>
            <w:tcBorders>
              <w:top w:val="nil"/>
              <w:left w:val="nil"/>
              <w:bottom w:val="nil"/>
              <w:right w:val="single" w:sz="4" w:space="0" w:color="000000"/>
            </w:tcBorders>
            <w:shd w:val="clear" w:color="000000" w:fill="FFFFFF"/>
            <w:hideMark/>
          </w:tcPr>
          <w:p w14:paraId="06ABBB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w:t>
            </w:r>
          </w:p>
        </w:tc>
        <w:tc>
          <w:tcPr>
            <w:tcW w:w="1480" w:type="dxa"/>
            <w:tcBorders>
              <w:top w:val="nil"/>
              <w:left w:val="nil"/>
              <w:bottom w:val="nil"/>
              <w:right w:val="single" w:sz="4" w:space="0" w:color="000000"/>
            </w:tcBorders>
            <w:shd w:val="clear" w:color="000000" w:fill="FFFFFF"/>
            <w:hideMark/>
          </w:tcPr>
          <w:p w14:paraId="054B69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EF0960" w14:textId="77777777" w:rsidTr="00222F34">
        <w:trPr>
          <w:trHeight w:val="345"/>
        </w:trPr>
        <w:tc>
          <w:tcPr>
            <w:tcW w:w="3798" w:type="dxa"/>
            <w:tcBorders>
              <w:top w:val="nil"/>
              <w:left w:val="single" w:sz="4" w:space="0" w:color="000000"/>
              <w:bottom w:val="nil"/>
              <w:right w:val="single" w:sz="4" w:space="0" w:color="000000"/>
            </w:tcBorders>
            <w:shd w:val="clear" w:color="000000" w:fill="FFFFFF"/>
            <w:hideMark/>
          </w:tcPr>
          <w:p w14:paraId="3A44E3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Resolver el recurso de queja en materia de escrutinios que se presente en esta instancia. </w:t>
            </w:r>
          </w:p>
        </w:tc>
        <w:tc>
          <w:tcPr>
            <w:tcW w:w="3798" w:type="dxa"/>
            <w:tcBorders>
              <w:top w:val="nil"/>
              <w:left w:val="nil"/>
              <w:bottom w:val="nil"/>
              <w:right w:val="single" w:sz="4" w:space="0" w:color="000000"/>
            </w:tcBorders>
            <w:shd w:val="clear" w:color="000000" w:fill="FFFFFF"/>
            <w:hideMark/>
          </w:tcPr>
          <w:p w14:paraId="7FCAFA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el recurso de queja en materia de escrutinios que se presente en esta instancia.</w:t>
            </w:r>
          </w:p>
        </w:tc>
        <w:tc>
          <w:tcPr>
            <w:tcW w:w="3798" w:type="dxa"/>
            <w:tcBorders>
              <w:top w:val="nil"/>
              <w:left w:val="nil"/>
              <w:bottom w:val="nil"/>
              <w:right w:val="single" w:sz="4" w:space="0" w:color="000000"/>
            </w:tcBorders>
            <w:shd w:val="clear" w:color="000000" w:fill="FFFFFF"/>
            <w:hideMark/>
          </w:tcPr>
          <w:p w14:paraId="28E6B4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el recurso de queja en materia de escrutinios que se presente en esta instancia.</w:t>
            </w:r>
          </w:p>
        </w:tc>
        <w:tc>
          <w:tcPr>
            <w:tcW w:w="1480" w:type="dxa"/>
            <w:tcBorders>
              <w:top w:val="nil"/>
              <w:left w:val="nil"/>
              <w:bottom w:val="nil"/>
              <w:right w:val="single" w:sz="4" w:space="0" w:color="000000"/>
            </w:tcBorders>
            <w:shd w:val="clear" w:color="000000" w:fill="FFFFFF"/>
            <w:hideMark/>
          </w:tcPr>
          <w:p w14:paraId="35A6E0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AC0B7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64784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Resolver los desacuerdos, vacíos u omisiones que se hayan presentado en la instancia inmediatamente anterior. </w:t>
            </w:r>
          </w:p>
        </w:tc>
        <w:tc>
          <w:tcPr>
            <w:tcW w:w="3798" w:type="dxa"/>
            <w:tcBorders>
              <w:top w:val="nil"/>
              <w:left w:val="nil"/>
              <w:bottom w:val="nil"/>
              <w:right w:val="single" w:sz="4" w:space="0" w:color="000000"/>
            </w:tcBorders>
            <w:shd w:val="clear" w:color="000000" w:fill="FFFFFF"/>
            <w:hideMark/>
          </w:tcPr>
          <w:p w14:paraId="70C0D5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los desacuerdos, vacíos u omisiones que se hayan presentado en la instancia inmediatamente anterior.</w:t>
            </w:r>
          </w:p>
        </w:tc>
        <w:tc>
          <w:tcPr>
            <w:tcW w:w="3798" w:type="dxa"/>
            <w:tcBorders>
              <w:top w:val="nil"/>
              <w:left w:val="nil"/>
              <w:bottom w:val="nil"/>
              <w:right w:val="single" w:sz="4" w:space="0" w:color="000000"/>
            </w:tcBorders>
            <w:shd w:val="clear" w:color="000000" w:fill="FFFFFF"/>
            <w:hideMark/>
          </w:tcPr>
          <w:p w14:paraId="30D3DF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los desacuerdos, vacíos u omisiones que se hayan presentado en la instancia inmediatamente anterior.</w:t>
            </w:r>
          </w:p>
        </w:tc>
        <w:tc>
          <w:tcPr>
            <w:tcW w:w="1480" w:type="dxa"/>
            <w:tcBorders>
              <w:top w:val="nil"/>
              <w:left w:val="nil"/>
              <w:bottom w:val="nil"/>
              <w:right w:val="single" w:sz="4" w:space="0" w:color="000000"/>
            </w:tcBorders>
            <w:shd w:val="clear" w:color="000000" w:fill="FFFFFF"/>
            <w:hideMark/>
          </w:tcPr>
          <w:p w14:paraId="4B43E4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517F0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140D3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Resolver las solicitudes de saneamiento de nulidad. Cuando sea procedente acoger la solicitud, la resolverá garantizando la verdad electoral en las actas que escrute. </w:t>
            </w:r>
          </w:p>
        </w:tc>
        <w:tc>
          <w:tcPr>
            <w:tcW w:w="3798" w:type="dxa"/>
            <w:tcBorders>
              <w:top w:val="nil"/>
              <w:left w:val="nil"/>
              <w:bottom w:val="nil"/>
              <w:right w:val="single" w:sz="4" w:space="0" w:color="000000"/>
            </w:tcBorders>
            <w:shd w:val="clear" w:color="000000" w:fill="FFFFFF"/>
            <w:hideMark/>
          </w:tcPr>
          <w:p w14:paraId="7EFA39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Resolver las solicitudes de saneamiento de nulidad. Cuando sea procedente acoger la solicitud, la resolverá garantizando la verdad electoral en las actas que escrute.</w:t>
            </w:r>
          </w:p>
        </w:tc>
        <w:tc>
          <w:tcPr>
            <w:tcW w:w="3798" w:type="dxa"/>
            <w:tcBorders>
              <w:top w:val="nil"/>
              <w:left w:val="nil"/>
              <w:bottom w:val="nil"/>
              <w:right w:val="single" w:sz="4" w:space="0" w:color="000000"/>
            </w:tcBorders>
            <w:shd w:val="clear" w:color="000000" w:fill="FFFFFF"/>
            <w:hideMark/>
          </w:tcPr>
          <w:p w14:paraId="608880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Resolver las solicitudes de saneamiento de nulidad. Cuando sea procedente acoger la solicitud, la resolverá garantizando la verdad electoral en las actas que escrute.</w:t>
            </w:r>
          </w:p>
        </w:tc>
        <w:tc>
          <w:tcPr>
            <w:tcW w:w="1480" w:type="dxa"/>
            <w:tcBorders>
              <w:top w:val="nil"/>
              <w:left w:val="nil"/>
              <w:bottom w:val="nil"/>
              <w:right w:val="single" w:sz="4" w:space="0" w:color="000000"/>
            </w:tcBorders>
            <w:shd w:val="clear" w:color="000000" w:fill="FFFFFF"/>
            <w:hideMark/>
          </w:tcPr>
          <w:p w14:paraId="6FB8B7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CB0AE5"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D82E5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Expedir las credenciales a que hubiere lugar. </w:t>
            </w:r>
          </w:p>
        </w:tc>
        <w:tc>
          <w:tcPr>
            <w:tcW w:w="3798" w:type="dxa"/>
            <w:tcBorders>
              <w:top w:val="nil"/>
              <w:left w:val="nil"/>
              <w:bottom w:val="single" w:sz="4" w:space="0" w:color="000000"/>
              <w:right w:val="single" w:sz="4" w:space="0" w:color="000000"/>
            </w:tcBorders>
            <w:shd w:val="clear" w:color="000000" w:fill="FFFFFF"/>
            <w:hideMark/>
          </w:tcPr>
          <w:p w14:paraId="219C84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tc>
        <w:tc>
          <w:tcPr>
            <w:tcW w:w="3798" w:type="dxa"/>
            <w:tcBorders>
              <w:top w:val="nil"/>
              <w:left w:val="nil"/>
              <w:bottom w:val="single" w:sz="4" w:space="0" w:color="000000"/>
              <w:right w:val="single" w:sz="4" w:space="0" w:color="000000"/>
            </w:tcBorders>
            <w:shd w:val="clear" w:color="000000" w:fill="FFFFFF"/>
            <w:hideMark/>
          </w:tcPr>
          <w:p w14:paraId="0CA211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tc>
        <w:tc>
          <w:tcPr>
            <w:tcW w:w="1480" w:type="dxa"/>
            <w:tcBorders>
              <w:top w:val="nil"/>
              <w:left w:val="nil"/>
              <w:bottom w:val="nil"/>
              <w:right w:val="single" w:sz="4" w:space="0" w:color="000000"/>
            </w:tcBorders>
            <w:shd w:val="clear" w:color="000000" w:fill="FFFFFF"/>
            <w:hideMark/>
          </w:tcPr>
          <w:p w14:paraId="409518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F2DD46"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26DBE6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197.- Competencia de la comisión escrutadora de Bogotá D. C.</w:t>
            </w:r>
            <w:r w:rsidRPr="00222F34">
              <w:rPr>
                <w:rFonts w:ascii="Calibri" w:eastAsia="Times New Roman" w:hAnsi="Calibri" w:cs="Calibri"/>
                <w:color w:val="000000"/>
                <w:lang w:val="es-CO" w:eastAsia="es-CO" w:bidi="ar-SA"/>
              </w:rPr>
              <w:t xml:space="preserve"> Es competencia de la comisión escrutadora de Bogotá D. C. realizar el escrutinio y cómputo de votos para los cargos y corporaciones de elección popular, con base en las actas de escrutinio de la comisión distrital y general en Bogotá D. C., y declarar la elección de alcalde Mayor y concejales de Bogotá D. C. en caso de apelación, así como los representantes a la Cámara de la respectiva circunscripción, salvo que se concedan apelaciones presentadas ante estas. </w:t>
            </w:r>
          </w:p>
        </w:tc>
        <w:tc>
          <w:tcPr>
            <w:tcW w:w="3798" w:type="dxa"/>
            <w:tcBorders>
              <w:top w:val="nil"/>
              <w:left w:val="nil"/>
              <w:bottom w:val="nil"/>
              <w:right w:val="single" w:sz="4" w:space="0" w:color="000000"/>
            </w:tcBorders>
            <w:shd w:val="clear" w:color="00FF00" w:fill="FFFFFF"/>
            <w:hideMark/>
          </w:tcPr>
          <w:p w14:paraId="372EF6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201. Competencia de la comisión escrutadora general de Bogotá D. C. </w:t>
            </w:r>
            <w:r w:rsidRPr="00222F34">
              <w:rPr>
                <w:rFonts w:ascii="Calibri" w:eastAsia="Times New Roman" w:hAnsi="Calibri" w:cs="Calibri"/>
                <w:color w:val="000000"/>
                <w:lang w:val="es-CO" w:eastAsia="es-CO" w:bidi="ar-SA"/>
              </w:rPr>
              <w:t>Es competencia de la comisión escrutadora General de Bogotá D. C. realizar el escrutinio y cómputo de votos para los cargos y corporaciones de elección popular, con base en las actas de escrutinio de la comisión distrital en de Bogotá D. C., y declarar la elección de alcalde Mayor y concejales distritales de Bogotá D. C. en caso de apelación, así como los representantes a la Cámara de la respectiva circunscripción, salvo que se concedan apelaciones presentadas ante estas.</w:t>
            </w:r>
          </w:p>
        </w:tc>
        <w:tc>
          <w:tcPr>
            <w:tcW w:w="3798" w:type="dxa"/>
            <w:tcBorders>
              <w:top w:val="nil"/>
              <w:left w:val="nil"/>
              <w:bottom w:val="nil"/>
              <w:right w:val="single" w:sz="4" w:space="0" w:color="000000"/>
            </w:tcBorders>
            <w:shd w:val="clear" w:color="00FF00" w:fill="FFFFFF"/>
            <w:hideMark/>
          </w:tcPr>
          <w:p w14:paraId="1FBEC7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201. Competencia de la comisión escrutadora general de Bogotá D. C. </w:t>
            </w:r>
            <w:r w:rsidRPr="00222F34">
              <w:rPr>
                <w:rFonts w:ascii="Calibri" w:eastAsia="Times New Roman" w:hAnsi="Calibri" w:cs="Calibri"/>
                <w:color w:val="000000"/>
                <w:lang w:val="es-CO" w:eastAsia="es-CO" w:bidi="ar-SA"/>
              </w:rPr>
              <w:t xml:space="preserve">Es competencia de la comisión escrutadora General de Bogotá D. C. realizar el escrutinio y cómputo de votos para los cargos y corporaciones de elección popular, con base en las actas de escrutinio de la comisión distrital </w:t>
            </w:r>
            <w:r w:rsidRPr="00222F34">
              <w:rPr>
                <w:rFonts w:ascii="Calibri" w:eastAsia="Times New Roman" w:hAnsi="Calibri" w:cs="Calibri"/>
                <w:b/>
                <w:bCs/>
                <w:strike/>
                <w:color w:val="000000"/>
                <w:lang w:val="es-CO" w:eastAsia="es-CO" w:bidi="ar-SA"/>
              </w:rPr>
              <w:t>en</w:t>
            </w:r>
            <w:r w:rsidRPr="00222F34">
              <w:rPr>
                <w:rFonts w:ascii="Calibri" w:eastAsia="Times New Roman" w:hAnsi="Calibri" w:cs="Calibri"/>
                <w:color w:val="000000"/>
                <w:lang w:val="es-CO" w:eastAsia="es-CO" w:bidi="ar-SA"/>
              </w:rPr>
              <w:t xml:space="preserve"> de Bogotá D. C., y declarar la elección de alcalde Mayor y concejales distritales de Bogotá D. C. en caso de apelación, así como los representantes a la Cámara de la respectiva circunscripción, salvo que se concedan apelaciones presentadas ante estas.</w:t>
            </w:r>
          </w:p>
        </w:tc>
        <w:tc>
          <w:tcPr>
            <w:tcW w:w="1480" w:type="dxa"/>
            <w:tcBorders>
              <w:top w:val="single" w:sz="4" w:space="0" w:color="000000"/>
              <w:left w:val="nil"/>
              <w:bottom w:val="nil"/>
              <w:right w:val="single" w:sz="4" w:space="0" w:color="000000"/>
            </w:tcBorders>
            <w:shd w:val="clear" w:color="000000" w:fill="FFFFFF"/>
            <w:hideMark/>
          </w:tcPr>
          <w:p w14:paraId="74F76537" w14:textId="5602849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y se corrige error de redacción en el primer inciso.</w:t>
            </w:r>
          </w:p>
        </w:tc>
      </w:tr>
      <w:tr w:rsidR="00CD4925" w:rsidRPr="00222F34" w14:paraId="68F3249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D1FAE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comisión escrutadora del Distrito Capital, además, se encargarán de: </w:t>
            </w:r>
          </w:p>
        </w:tc>
        <w:tc>
          <w:tcPr>
            <w:tcW w:w="3798" w:type="dxa"/>
            <w:tcBorders>
              <w:top w:val="nil"/>
              <w:left w:val="nil"/>
              <w:bottom w:val="nil"/>
              <w:right w:val="single" w:sz="4" w:space="0" w:color="000000"/>
            </w:tcBorders>
            <w:shd w:val="clear" w:color="00FF00" w:fill="FFFFFF"/>
            <w:hideMark/>
          </w:tcPr>
          <w:p w14:paraId="737C2F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escrutadora general de Bogota D.C., además, se encargará de:</w:t>
            </w:r>
          </w:p>
        </w:tc>
        <w:tc>
          <w:tcPr>
            <w:tcW w:w="3798" w:type="dxa"/>
            <w:tcBorders>
              <w:top w:val="nil"/>
              <w:left w:val="nil"/>
              <w:bottom w:val="nil"/>
              <w:right w:val="single" w:sz="4" w:space="0" w:color="000000"/>
            </w:tcBorders>
            <w:shd w:val="clear" w:color="00FF00" w:fill="FFFFFF"/>
            <w:hideMark/>
          </w:tcPr>
          <w:p w14:paraId="7E46BF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escrutadora general de Bogota D.C., además, se encargará de:</w:t>
            </w:r>
          </w:p>
        </w:tc>
        <w:tc>
          <w:tcPr>
            <w:tcW w:w="1480" w:type="dxa"/>
            <w:tcBorders>
              <w:top w:val="nil"/>
              <w:left w:val="nil"/>
              <w:bottom w:val="nil"/>
              <w:right w:val="single" w:sz="4" w:space="0" w:color="000000"/>
            </w:tcBorders>
            <w:shd w:val="clear" w:color="000000" w:fill="FFFFFF"/>
            <w:hideMark/>
          </w:tcPr>
          <w:p w14:paraId="7B222B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841DE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2D019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Resolver de fondo las apelaciones presentadas ante las comisiones zonales. La competencia versará exclusivamente sobre el asunto apelado. </w:t>
            </w:r>
          </w:p>
        </w:tc>
        <w:tc>
          <w:tcPr>
            <w:tcW w:w="3798" w:type="dxa"/>
            <w:tcBorders>
              <w:top w:val="nil"/>
              <w:left w:val="nil"/>
              <w:bottom w:val="nil"/>
              <w:right w:val="single" w:sz="4" w:space="0" w:color="000000"/>
            </w:tcBorders>
            <w:shd w:val="clear" w:color="00FF00" w:fill="FFFFFF"/>
            <w:hideMark/>
          </w:tcPr>
          <w:p w14:paraId="146225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presentadas ante las comisiones zonales distrital. La competencia versará exclusivamente sobre el asunto apelado.</w:t>
            </w:r>
          </w:p>
        </w:tc>
        <w:tc>
          <w:tcPr>
            <w:tcW w:w="3798" w:type="dxa"/>
            <w:tcBorders>
              <w:top w:val="nil"/>
              <w:left w:val="nil"/>
              <w:bottom w:val="nil"/>
              <w:right w:val="single" w:sz="4" w:space="0" w:color="000000"/>
            </w:tcBorders>
            <w:shd w:val="clear" w:color="00FF00" w:fill="FFFFFF"/>
            <w:hideMark/>
          </w:tcPr>
          <w:p w14:paraId="143F66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presentadas ante las comisiones zonales distrital. La competencia versará exclusivamente sobre el asunto apelado.</w:t>
            </w:r>
          </w:p>
        </w:tc>
        <w:tc>
          <w:tcPr>
            <w:tcW w:w="1480" w:type="dxa"/>
            <w:tcBorders>
              <w:top w:val="nil"/>
              <w:left w:val="nil"/>
              <w:bottom w:val="nil"/>
              <w:right w:val="single" w:sz="4" w:space="0" w:color="000000"/>
            </w:tcBorders>
            <w:shd w:val="clear" w:color="000000" w:fill="FFFFFF"/>
            <w:hideMark/>
          </w:tcPr>
          <w:p w14:paraId="5F4F0B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9B608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57CC2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Resolver las reclamaciones que por primera vez se presenten ante ellas en relación con dicho escrutinio y sobre los documentos objeto de verificación. </w:t>
            </w:r>
          </w:p>
        </w:tc>
        <w:tc>
          <w:tcPr>
            <w:tcW w:w="3798" w:type="dxa"/>
            <w:tcBorders>
              <w:top w:val="nil"/>
              <w:left w:val="nil"/>
              <w:bottom w:val="nil"/>
              <w:right w:val="single" w:sz="4" w:space="0" w:color="000000"/>
            </w:tcBorders>
            <w:shd w:val="clear" w:color="00FF00" w:fill="FFFFFF"/>
            <w:hideMark/>
          </w:tcPr>
          <w:p w14:paraId="5E4DB5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ellas en relación con dicho escrutinio y sobre los documentos objeto de verificación.</w:t>
            </w:r>
          </w:p>
        </w:tc>
        <w:tc>
          <w:tcPr>
            <w:tcW w:w="3798" w:type="dxa"/>
            <w:tcBorders>
              <w:top w:val="nil"/>
              <w:left w:val="nil"/>
              <w:bottom w:val="nil"/>
              <w:right w:val="single" w:sz="4" w:space="0" w:color="000000"/>
            </w:tcBorders>
            <w:shd w:val="clear" w:color="00FF00" w:fill="FFFFFF"/>
            <w:hideMark/>
          </w:tcPr>
          <w:p w14:paraId="662DD9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ellas en relación con dicho escrutinio y sobre los documentos objeto de verificación.</w:t>
            </w:r>
          </w:p>
        </w:tc>
        <w:tc>
          <w:tcPr>
            <w:tcW w:w="1480" w:type="dxa"/>
            <w:tcBorders>
              <w:top w:val="nil"/>
              <w:left w:val="nil"/>
              <w:bottom w:val="nil"/>
              <w:right w:val="single" w:sz="4" w:space="0" w:color="000000"/>
            </w:tcBorders>
            <w:shd w:val="clear" w:color="000000" w:fill="FFFFFF"/>
            <w:hideMark/>
          </w:tcPr>
          <w:p w14:paraId="080360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4B12B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7D3F9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Resolver los desacuerdos, vacíos u omisiones que se hayan presentado en la instancia inmediatamente anterior. </w:t>
            </w:r>
          </w:p>
        </w:tc>
        <w:tc>
          <w:tcPr>
            <w:tcW w:w="3798" w:type="dxa"/>
            <w:tcBorders>
              <w:top w:val="nil"/>
              <w:left w:val="nil"/>
              <w:bottom w:val="nil"/>
              <w:right w:val="single" w:sz="4" w:space="0" w:color="000000"/>
            </w:tcBorders>
            <w:shd w:val="clear" w:color="00FF00" w:fill="FFFFFF"/>
            <w:hideMark/>
          </w:tcPr>
          <w:p w14:paraId="7A2811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Resolver los desacuerdos, vacíos u omisiones que se hayan presentado en la instancia inmediatamente anterior.</w:t>
            </w:r>
          </w:p>
        </w:tc>
        <w:tc>
          <w:tcPr>
            <w:tcW w:w="3798" w:type="dxa"/>
            <w:tcBorders>
              <w:top w:val="nil"/>
              <w:left w:val="nil"/>
              <w:bottom w:val="nil"/>
              <w:right w:val="single" w:sz="4" w:space="0" w:color="000000"/>
            </w:tcBorders>
            <w:shd w:val="clear" w:color="00FF00" w:fill="FFFFFF"/>
            <w:hideMark/>
          </w:tcPr>
          <w:p w14:paraId="6E28C7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Resolver los desacuerdos, vacíos u omisiones que se hayan presentado en la instancia inmediatamente anterior.</w:t>
            </w:r>
          </w:p>
        </w:tc>
        <w:tc>
          <w:tcPr>
            <w:tcW w:w="1480" w:type="dxa"/>
            <w:tcBorders>
              <w:top w:val="nil"/>
              <w:left w:val="nil"/>
              <w:bottom w:val="nil"/>
              <w:right w:val="single" w:sz="4" w:space="0" w:color="000000"/>
            </w:tcBorders>
            <w:shd w:val="clear" w:color="000000" w:fill="FFFFFF"/>
            <w:hideMark/>
          </w:tcPr>
          <w:p w14:paraId="2D7616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98FA22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91A7A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Decidir sobre la concesión de los recursos de apelación que se presenten contra sus decisiones. </w:t>
            </w:r>
          </w:p>
        </w:tc>
        <w:tc>
          <w:tcPr>
            <w:tcW w:w="3798" w:type="dxa"/>
            <w:tcBorders>
              <w:top w:val="nil"/>
              <w:left w:val="nil"/>
              <w:bottom w:val="nil"/>
              <w:right w:val="single" w:sz="4" w:space="0" w:color="000000"/>
            </w:tcBorders>
            <w:shd w:val="clear" w:color="00FF00" w:fill="FFFFFF"/>
            <w:hideMark/>
          </w:tcPr>
          <w:p w14:paraId="77C866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Decidir sobre la concesión de los recursos de apelación que se presenten contra sus decisiones.</w:t>
            </w:r>
          </w:p>
        </w:tc>
        <w:tc>
          <w:tcPr>
            <w:tcW w:w="3798" w:type="dxa"/>
            <w:tcBorders>
              <w:top w:val="nil"/>
              <w:left w:val="nil"/>
              <w:bottom w:val="nil"/>
              <w:right w:val="single" w:sz="4" w:space="0" w:color="000000"/>
            </w:tcBorders>
            <w:shd w:val="clear" w:color="00FF00" w:fill="FFFFFF"/>
            <w:hideMark/>
          </w:tcPr>
          <w:p w14:paraId="5E1289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Decidir sobre la concesión de los recursos de apelación que se presenten contra sus decisiones.</w:t>
            </w:r>
          </w:p>
        </w:tc>
        <w:tc>
          <w:tcPr>
            <w:tcW w:w="1480" w:type="dxa"/>
            <w:tcBorders>
              <w:top w:val="nil"/>
              <w:left w:val="nil"/>
              <w:bottom w:val="nil"/>
              <w:right w:val="single" w:sz="4" w:space="0" w:color="000000"/>
            </w:tcBorders>
            <w:shd w:val="clear" w:color="000000" w:fill="FFFFFF"/>
            <w:hideMark/>
          </w:tcPr>
          <w:p w14:paraId="0835F8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04D5DD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64CD3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Resolver el recurso de queja en materia de escrutinios que se presente en esta instancia. </w:t>
            </w:r>
          </w:p>
        </w:tc>
        <w:tc>
          <w:tcPr>
            <w:tcW w:w="3798" w:type="dxa"/>
            <w:tcBorders>
              <w:top w:val="nil"/>
              <w:left w:val="nil"/>
              <w:bottom w:val="nil"/>
              <w:right w:val="single" w:sz="4" w:space="0" w:color="000000"/>
            </w:tcBorders>
            <w:shd w:val="clear" w:color="00FF00" w:fill="FFFFFF"/>
            <w:hideMark/>
          </w:tcPr>
          <w:p w14:paraId="3C65BE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el recurso de queja en materia de escrutinios que se presente en esta instancia.</w:t>
            </w:r>
          </w:p>
        </w:tc>
        <w:tc>
          <w:tcPr>
            <w:tcW w:w="3798" w:type="dxa"/>
            <w:tcBorders>
              <w:top w:val="nil"/>
              <w:left w:val="nil"/>
              <w:bottom w:val="nil"/>
              <w:right w:val="single" w:sz="4" w:space="0" w:color="000000"/>
            </w:tcBorders>
            <w:shd w:val="clear" w:color="00FF00" w:fill="FFFFFF"/>
            <w:hideMark/>
          </w:tcPr>
          <w:p w14:paraId="264A37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el recurso de queja en materia de escrutinios que se presente en esta instancia.</w:t>
            </w:r>
          </w:p>
        </w:tc>
        <w:tc>
          <w:tcPr>
            <w:tcW w:w="1480" w:type="dxa"/>
            <w:tcBorders>
              <w:top w:val="nil"/>
              <w:left w:val="nil"/>
              <w:bottom w:val="nil"/>
              <w:right w:val="single" w:sz="4" w:space="0" w:color="000000"/>
            </w:tcBorders>
            <w:shd w:val="clear" w:color="000000" w:fill="FFFFFF"/>
            <w:hideMark/>
          </w:tcPr>
          <w:p w14:paraId="0847A9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037AF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3156B3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Declarar la elección o los resultados de la correspondiente votación, salvo en aquellos casos en los que se haya concedido el recurso de apelación. </w:t>
            </w:r>
          </w:p>
        </w:tc>
        <w:tc>
          <w:tcPr>
            <w:tcW w:w="3798" w:type="dxa"/>
            <w:tcBorders>
              <w:top w:val="nil"/>
              <w:left w:val="nil"/>
              <w:bottom w:val="nil"/>
              <w:right w:val="single" w:sz="4" w:space="0" w:color="000000"/>
            </w:tcBorders>
            <w:shd w:val="clear" w:color="00FF00" w:fill="FFFFFF"/>
            <w:hideMark/>
          </w:tcPr>
          <w:p w14:paraId="17BF68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Declarar la elección o los resultados de la correspondiente votación, salvo en aquellos casos en los que se haya concedido el recurso de apelación.</w:t>
            </w:r>
          </w:p>
        </w:tc>
        <w:tc>
          <w:tcPr>
            <w:tcW w:w="3798" w:type="dxa"/>
            <w:tcBorders>
              <w:top w:val="nil"/>
              <w:left w:val="nil"/>
              <w:bottom w:val="nil"/>
              <w:right w:val="single" w:sz="4" w:space="0" w:color="000000"/>
            </w:tcBorders>
            <w:shd w:val="clear" w:color="00FF00" w:fill="FFFFFF"/>
            <w:hideMark/>
          </w:tcPr>
          <w:p w14:paraId="251563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Declarar la elección o los resultados de la correspondiente votación, salvo en aquellos casos en los que se haya concedido el recurso de apelación.</w:t>
            </w:r>
          </w:p>
        </w:tc>
        <w:tc>
          <w:tcPr>
            <w:tcW w:w="1480" w:type="dxa"/>
            <w:tcBorders>
              <w:top w:val="nil"/>
              <w:left w:val="nil"/>
              <w:bottom w:val="nil"/>
              <w:right w:val="single" w:sz="4" w:space="0" w:color="000000"/>
            </w:tcBorders>
            <w:shd w:val="clear" w:color="000000" w:fill="FFFFFF"/>
            <w:hideMark/>
          </w:tcPr>
          <w:p w14:paraId="40A953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9D70A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F9201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Resolver las solicitudes de saneamiento de nulidad. Cuando sea procedente acoger la solicitud, la resolverá garantizando la verdad electoral en las actas que escrute. </w:t>
            </w:r>
          </w:p>
        </w:tc>
        <w:tc>
          <w:tcPr>
            <w:tcW w:w="3798" w:type="dxa"/>
            <w:tcBorders>
              <w:top w:val="nil"/>
              <w:left w:val="nil"/>
              <w:bottom w:val="nil"/>
              <w:right w:val="single" w:sz="4" w:space="0" w:color="000000"/>
            </w:tcBorders>
            <w:shd w:val="clear" w:color="00FF00" w:fill="FFFFFF"/>
            <w:hideMark/>
          </w:tcPr>
          <w:p w14:paraId="6F59BA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Resolver las solicitudes de saneamiento de nulidad. Cuando sea procedente acoger la solicitud, la resolverá garantizando la verdad electoral en las actas que escrute.</w:t>
            </w:r>
          </w:p>
        </w:tc>
        <w:tc>
          <w:tcPr>
            <w:tcW w:w="3798" w:type="dxa"/>
            <w:tcBorders>
              <w:top w:val="nil"/>
              <w:left w:val="nil"/>
              <w:bottom w:val="nil"/>
              <w:right w:val="single" w:sz="4" w:space="0" w:color="000000"/>
            </w:tcBorders>
            <w:shd w:val="clear" w:color="00FF00" w:fill="FFFFFF"/>
            <w:hideMark/>
          </w:tcPr>
          <w:p w14:paraId="6065EF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Resolver las solicitudes de saneamiento de nulidad. Cuando sea procedente acoger la solicitud, la resolverá garantizando la verdad electoral en las actas que escrute.</w:t>
            </w:r>
          </w:p>
        </w:tc>
        <w:tc>
          <w:tcPr>
            <w:tcW w:w="1480" w:type="dxa"/>
            <w:tcBorders>
              <w:top w:val="nil"/>
              <w:left w:val="nil"/>
              <w:bottom w:val="nil"/>
              <w:right w:val="single" w:sz="4" w:space="0" w:color="000000"/>
            </w:tcBorders>
            <w:shd w:val="clear" w:color="000000" w:fill="FFFFFF"/>
            <w:hideMark/>
          </w:tcPr>
          <w:p w14:paraId="41AE02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8830CE"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1F823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8. Expedir las credenciales a que hubiere lugar. </w:t>
            </w:r>
          </w:p>
        </w:tc>
        <w:tc>
          <w:tcPr>
            <w:tcW w:w="3798" w:type="dxa"/>
            <w:tcBorders>
              <w:top w:val="nil"/>
              <w:left w:val="nil"/>
              <w:bottom w:val="single" w:sz="4" w:space="0" w:color="000000"/>
              <w:right w:val="single" w:sz="4" w:space="0" w:color="000000"/>
            </w:tcBorders>
            <w:shd w:val="clear" w:color="00FF00" w:fill="FFFFFF"/>
            <w:hideMark/>
          </w:tcPr>
          <w:p w14:paraId="57775F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Expedir las credenciales a que hubiere lugar.</w:t>
            </w:r>
          </w:p>
        </w:tc>
        <w:tc>
          <w:tcPr>
            <w:tcW w:w="3798" w:type="dxa"/>
            <w:tcBorders>
              <w:top w:val="nil"/>
              <w:left w:val="nil"/>
              <w:bottom w:val="single" w:sz="4" w:space="0" w:color="000000"/>
              <w:right w:val="single" w:sz="4" w:space="0" w:color="000000"/>
            </w:tcBorders>
            <w:shd w:val="clear" w:color="00FF00" w:fill="FFFFFF"/>
            <w:hideMark/>
          </w:tcPr>
          <w:p w14:paraId="198A8A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Expedir las credenciales a que hubiere lugar.</w:t>
            </w:r>
          </w:p>
        </w:tc>
        <w:tc>
          <w:tcPr>
            <w:tcW w:w="1480" w:type="dxa"/>
            <w:tcBorders>
              <w:top w:val="nil"/>
              <w:left w:val="nil"/>
              <w:bottom w:val="single" w:sz="4" w:space="0" w:color="000000"/>
              <w:right w:val="single" w:sz="4" w:space="0" w:color="000000"/>
            </w:tcBorders>
            <w:shd w:val="clear" w:color="000000" w:fill="FFFFFF"/>
            <w:hideMark/>
          </w:tcPr>
          <w:p w14:paraId="72ED4B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413E826"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47C4FBD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198.- Competencia de la comisión escrutadora del exterior.</w:t>
            </w:r>
            <w:r w:rsidRPr="00222F34">
              <w:rPr>
                <w:rFonts w:ascii="Calibri" w:eastAsia="Times New Roman" w:hAnsi="Calibri" w:cs="Calibri"/>
                <w:color w:val="000000"/>
                <w:lang w:val="es-CO" w:eastAsia="es-CO" w:bidi="ar-SA"/>
              </w:rPr>
              <w:t xml:space="preserve"> 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 </w:t>
            </w:r>
          </w:p>
        </w:tc>
        <w:tc>
          <w:tcPr>
            <w:tcW w:w="3798" w:type="dxa"/>
            <w:tcBorders>
              <w:top w:val="nil"/>
              <w:left w:val="nil"/>
              <w:bottom w:val="nil"/>
              <w:right w:val="single" w:sz="4" w:space="0" w:color="000000"/>
            </w:tcBorders>
            <w:shd w:val="clear" w:color="000000" w:fill="FFFFFF"/>
            <w:hideMark/>
          </w:tcPr>
          <w:p w14:paraId="6AFF53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202. Competencia de la comisión escrutadora del exterior. </w:t>
            </w:r>
            <w:r w:rsidRPr="00222F34">
              <w:rPr>
                <w:rFonts w:ascii="Calibri" w:eastAsia="Times New Roman" w:hAnsi="Calibri" w:cs="Calibri"/>
                <w:color w:val="000000"/>
                <w:lang w:val="es-CO" w:eastAsia="es-CO" w:bidi="ar-SA"/>
              </w:rPr>
              <w:t>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w:t>
            </w:r>
          </w:p>
        </w:tc>
        <w:tc>
          <w:tcPr>
            <w:tcW w:w="3798" w:type="dxa"/>
            <w:tcBorders>
              <w:top w:val="nil"/>
              <w:left w:val="nil"/>
              <w:bottom w:val="nil"/>
              <w:right w:val="single" w:sz="4" w:space="0" w:color="000000"/>
            </w:tcBorders>
            <w:shd w:val="clear" w:color="000000" w:fill="FFFFFF"/>
            <w:hideMark/>
          </w:tcPr>
          <w:p w14:paraId="6040DB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202. Competencia de la comisión escrutadora del exterior. </w:t>
            </w:r>
            <w:r w:rsidRPr="00222F34">
              <w:rPr>
                <w:rFonts w:ascii="Calibri" w:eastAsia="Times New Roman" w:hAnsi="Calibri" w:cs="Calibri"/>
                <w:color w:val="000000"/>
                <w:lang w:val="es-CO" w:eastAsia="es-CO" w:bidi="ar-SA"/>
              </w:rPr>
              <w:t>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w:t>
            </w:r>
          </w:p>
        </w:tc>
        <w:tc>
          <w:tcPr>
            <w:tcW w:w="1480" w:type="dxa"/>
            <w:tcBorders>
              <w:top w:val="nil"/>
              <w:left w:val="nil"/>
              <w:bottom w:val="nil"/>
              <w:right w:val="single" w:sz="4" w:space="0" w:color="000000"/>
            </w:tcBorders>
            <w:shd w:val="clear" w:color="000000" w:fill="FFFFFF"/>
            <w:hideMark/>
          </w:tcPr>
          <w:p w14:paraId="3321D5CD" w14:textId="2757641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75E050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ABDC9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actuando como comisión escrutadora del exterior, además, se encargarán de: </w:t>
            </w:r>
          </w:p>
        </w:tc>
        <w:tc>
          <w:tcPr>
            <w:tcW w:w="3798" w:type="dxa"/>
            <w:tcBorders>
              <w:top w:val="nil"/>
              <w:left w:val="nil"/>
              <w:bottom w:val="nil"/>
              <w:right w:val="single" w:sz="4" w:space="0" w:color="000000"/>
            </w:tcBorders>
            <w:shd w:val="clear" w:color="000000" w:fill="FFFFFF"/>
            <w:hideMark/>
          </w:tcPr>
          <w:p w14:paraId="5DD504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actuando como comisión escrutadora del exterior, además, se encargarán de:</w:t>
            </w:r>
          </w:p>
        </w:tc>
        <w:tc>
          <w:tcPr>
            <w:tcW w:w="3798" w:type="dxa"/>
            <w:tcBorders>
              <w:top w:val="nil"/>
              <w:left w:val="nil"/>
              <w:bottom w:val="nil"/>
              <w:right w:val="single" w:sz="4" w:space="0" w:color="000000"/>
            </w:tcBorders>
            <w:shd w:val="clear" w:color="000000" w:fill="FFFFFF"/>
            <w:hideMark/>
          </w:tcPr>
          <w:p w14:paraId="502CCD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actuando como comisión escrutadora del exterior, además, se encargarán de:</w:t>
            </w:r>
          </w:p>
        </w:tc>
        <w:tc>
          <w:tcPr>
            <w:tcW w:w="1480" w:type="dxa"/>
            <w:tcBorders>
              <w:top w:val="nil"/>
              <w:left w:val="nil"/>
              <w:bottom w:val="nil"/>
              <w:right w:val="single" w:sz="4" w:space="0" w:color="000000"/>
            </w:tcBorders>
            <w:shd w:val="clear" w:color="000000" w:fill="FFFFFF"/>
            <w:hideMark/>
          </w:tcPr>
          <w:p w14:paraId="61E5C9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AAA29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CF2F4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Resolver de fondo las reclamaciones presentadas ante los jurados de votación y ante ella.  </w:t>
            </w:r>
          </w:p>
        </w:tc>
        <w:tc>
          <w:tcPr>
            <w:tcW w:w="3798" w:type="dxa"/>
            <w:tcBorders>
              <w:top w:val="nil"/>
              <w:left w:val="nil"/>
              <w:bottom w:val="nil"/>
              <w:right w:val="single" w:sz="4" w:space="0" w:color="000000"/>
            </w:tcBorders>
            <w:shd w:val="clear" w:color="000000" w:fill="FFFFFF"/>
            <w:hideMark/>
          </w:tcPr>
          <w:p w14:paraId="0F892D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reclamaciones presentadas ante los jurados de votación y ante ella.</w:t>
            </w:r>
          </w:p>
        </w:tc>
        <w:tc>
          <w:tcPr>
            <w:tcW w:w="3798" w:type="dxa"/>
            <w:tcBorders>
              <w:top w:val="nil"/>
              <w:left w:val="nil"/>
              <w:bottom w:val="nil"/>
              <w:right w:val="single" w:sz="4" w:space="0" w:color="000000"/>
            </w:tcBorders>
            <w:shd w:val="clear" w:color="000000" w:fill="FFFFFF"/>
            <w:hideMark/>
          </w:tcPr>
          <w:p w14:paraId="1CA089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reclamaciones presentadas ante los jurados de votación y ante ella.</w:t>
            </w:r>
          </w:p>
        </w:tc>
        <w:tc>
          <w:tcPr>
            <w:tcW w:w="1480" w:type="dxa"/>
            <w:tcBorders>
              <w:top w:val="nil"/>
              <w:left w:val="nil"/>
              <w:bottom w:val="nil"/>
              <w:right w:val="single" w:sz="4" w:space="0" w:color="000000"/>
            </w:tcBorders>
            <w:shd w:val="clear" w:color="000000" w:fill="FFFFFF"/>
            <w:hideMark/>
          </w:tcPr>
          <w:p w14:paraId="55D87F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26F710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62DA9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w:t>
            </w:r>
            <w:r w:rsidRPr="00222F34">
              <w:rPr>
                <w:rFonts w:ascii="Calibri" w:eastAsia="Times New Roman" w:hAnsi="Calibri" w:cs="Calibri"/>
                <w:color w:val="000000"/>
                <w:lang w:val="es-CO" w:eastAsia="es-CO" w:bidi="ar-SA"/>
              </w:rPr>
              <w:lastRenderedPageBreak/>
              <w:t xml:space="preserve">formularios recibidos o dudas razonables. </w:t>
            </w:r>
          </w:p>
        </w:tc>
        <w:tc>
          <w:tcPr>
            <w:tcW w:w="3798" w:type="dxa"/>
            <w:tcBorders>
              <w:top w:val="nil"/>
              <w:left w:val="nil"/>
              <w:bottom w:val="nil"/>
              <w:right w:val="single" w:sz="4" w:space="0" w:color="000000"/>
            </w:tcBorders>
            <w:shd w:val="clear" w:color="000000" w:fill="FFFFFF"/>
            <w:hideMark/>
          </w:tcPr>
          <w:p w14:paraId="60D995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w:t>
            </w:r>
            <w:r w:rsidRPr="00222F34">
              <w:rPr>
                <w:rFonts w:ascii="Calibri" w:eastAsia="Times New Roman" w:hAnsi="Calibri" w:cs="Calibri"/>
                <w:color w:val="000000"/>
                <w:lang w:val="es-CO" w:eastAsia="es-CO" w:bidi="ar-SA"/>
              </w:rPr>
              <w:lastRenderedPageBreak/>
              <w:t>formularios recibidos o dudas razonables.</w:t>
            </w:r>
          </w:p>
        </w:tc>
        <w:tc>
          <w:tcPr>
            <w:tcW w:w="3798" w:type="dxa"/>
            <w:tcBorders>
              <w:top w:val="nil"/>
              <w:left w:val="nil"/>
              <w:bottom w:val="nil"/>
              <w:right w:val="single" w:sz="4" w:space="0" w:color="000000"/>
            </w:tcBorders>
            <w:shd w:val="clear" w:color="000000" w:fill="FFFFFF"/>
            <w:hideMark/>
          </w:tcPr>
          <w:p w14:paraId="1649BE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w:t>
            </w:r>
            <w:r w:rsidRPr="00222F34">
              <w:rPr>
                <w:rFonts w:ascii="Calibri" w:eastAsia="Times New Roman" w:hAnsi="Calibri" w:cs="Calibri"/>
                <w:color w:val="000000"/>
                <w:lang w:val="es-CO" w:eastAsia="es-CO" w:bidi="ar-SA"/>
              </w:rPr>
              <w:lastRenderedPageBreak/>
              <w:t>formularios recibidos o dudas razonables.</w:t>
            </w:r>
          </w:p>
        </w:tc>
        <w:tc>
          <w:tcPr>
            <w:tcW w:w="1480" w:type="dxa"/>
            <w:tcBorders>
              <w:top w:val="nil"/>
              <w:left w:val="nil"/>
              <w:bottom w:val="nil"/>
              <w:right w:val="single" w:sz="4" w:space="0" w:color="000000"/>
            </w:tcBorders>
            <w:shd w:val="clear" w:color="000000" w:fill="FFFFFF"/>
            <w:hideMark/>
          </w:tcPr>
          <w:p w14:paraId="262A5E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4F5B002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85106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Declarar la elección de la circunscripción del exterior. </w:t>
            </w:r>
          </w:p>
        </w:tc>
        <w:tc>
          <w:tcPr>
            <w:tcW w:w="3798" w:type="dxa"/>
            <w:tcBorders>
              <w:top w:val="nil"/>
              <w:left w:val="nil"/>
              <w:bottom w:val="nil"/>
              <w:right w:val="single" w:sz="4" w:space="0" w:color="000000"/>
            </w:tcBorders>
            <w:shd w:val="clear" w:color="000000" w:fill="FFFFFF"/>
            <w:hideMark/>
          </w:tcPr>
          <w:p w14:paraId="677F6C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Declarar la elección de la circunscripción del exterior.</w:t>
            </w:r>
          </w:p>
        </w:tc>
        <w:tc>
          <w:tcPr>
            <w:tcW w:w="3798" w:type="dxa"/>
            <w:tcBorders>
              <w:top w:val="nil"/>
              <w:left w:val="nil"/>
              <w:bottom w:val="nil"/>
              <w:right w:val="single" w:sz="4" w:space="0" w:color="000000"/>
            </w:tcBorders>
            <w:shd w:val="clear" w:color="000000" w:fill="FFFFFF"/>
            <w:hideMark/>
          </w:tcPr>
          <w:p w14:paraId="1E8084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Declarar la elección de la circunscripción del exterior.</w:t>
            </w:r>
          </w:p>
        </w:tc>
        <w:tc>
          <w:tcPr>
            <w:tcW w:w="1480" w:type="dxa"/>
            <w:tcBorders>
              <w:top w:val="nil"/>
              <w:left w:val="nil"/>
              <w:bottom w:val="nil"/>
              <w:right w:val="single" w:sz="4" w:space="0" w:color="000000"/>
            </w:tcBorders>
            <w:shd w:val="clear" w:color="000000" w:fill="FFFFFF"/>
            <w:hideMark/>
          </w:tcPr>
          <w:p w14:paraId="437735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D2E90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120FA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Expedir las credenciales a que hubiere lugar. </w:t>
            </w:r>
          </w:p>
        </w:tc>
        <w:tc>
          <w:tcPr>
            <w:tcW w:w="3798" w:type="dxa"/>
            <w:tcBorders>
              <w:top w:val="nil"/>
              <w:left w:val="nil"/>
              <w:bottom w:val="nil"/>
              <w:right w:val="single" w:sz="4" w:space="0" w:color="000000"/>
            </w:tcBorders>
            <w:shd w:val="clear" w:color="000000" w:fill="FFFFFF"/>
            <w:hideMark/>
          </w:tcPr>
          <w:p w14:paraId="1942A4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tc>
        <w:tc>
          <w:tcPr>
            <w:tcW w:w="3798" w:type="dxa"/>
            <w:tcBorders>
              <w:top w:val="nil"/>
              <w:left w:val="nil"/>
              <w:bottom w:val="nil"/>
              <w:right w:val="single" w:sz="4" w:space="0" w:color="000000"/>
            </w:tcBorders>
            <w:shd w:val="clear" w:color="000000" w:fill="FFFFFF"/>
            <w:hideMark/>
          </w:tcPr>
          <w:p w14:paraId="2CB173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tc>
        <w:tc>
          <w:tcPr>
            <w:tcW w:w="1480" w:type="dxa"/>
            <w:tcBorders>
              <w:top w:val="nil"/>
              <w:left w:val="nil"/>
              <w:bottom w:val="nil"/>
              <w:right w:val="single" w:sz="4" w:space="0" w:color="000000"/>
            </w:tcBorders>
            <w:shd w:val="clear" w:color="000000" w:fill="FFFFFF"/>
            <w:hideMark/>
          </w:tcPr>
          <w:p w14:paraId="2EB625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7A93632"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624286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2D3AA8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las solicitudes presentadas con el fin de agotar el requisito de procedibilidad para instaurar el medio de control de nulidad electoral.</w:t>
            </w:r>
          </w:p>
        </w:tc>
        <w:tc>
          <w:tcPr>
            <w:tcW w:w="3798" w:type="dxa"/>
            <w:tcBorders>
              <w:top w:val="nil"/>
              <w:left w:val="nil"/>
              <w:bottom w:val="nil"/>
              <w:right w:val="single" w:sz="4" w:space="0" w:color="000000"/>
            </w:tcBorders>
            <w:shd w:val="clear" w:color="000000" w:fill="FFFFFF"/>
            <w:hideMark/>
          </w:tcPr>
          <w:p w14:paraId="3E521B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6EF568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5F68945"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1191059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Consejo Nacional Electoral practicará el escrutinio para presidente 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la tecnología. </w:t>
            </w:r>
          </w:p>
        </w:tc>
        <w:tc>
          <w:tcPr>
            <w:tcW w:w="3798" w:type="dxa"/>
            <w:tcBorders>
              <w:top w:val="nil"/>
              <w:left w:val="nil"/>
              <w:bottom w:val="single" w:sz="4" w:space="0" w:color="000000"/>
              <w:right w:val="single" w:sz="4" w:space="0" w:color="000000"/>
            </w:tcBorders>
            <w:shd w:val="clear" w:color="000000" w:fill="FFFFFF"/>
            <w:hideMark/>
          </w:tcPr>
          <w:p w14:paraId="03903B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practicará el escrutinio para presidente 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la tecnología.</w:t>
            </w:r>
          </w:p>
        </w:tc>
        <w:tc>
          <w:tcPr>
            <w:tcW w:w="3798" w:type="dxa"/>
            <w:tcBorders>
              <w:top w:val="nil"/>
              <w:left w:val="nil"/>
              <w:bottom w:val="single" w:sz="4" w:space="0" w:color="000000"/>
              <w:right w:val="single" w:sz="4" w:space="0" w:color="000000"/>
            </w:tcBorders>
            <w:shd w:val="clear" w:color="000000" w:fill="FFFFFF"/>
            <w:hideMark/>
          </w:tcPr>
          <w:p w14:paraId="4F3979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practicará el escrutinio para presidente 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la tecnología.</w:t>
            </w:r>
          </w:p>
        </w:tc>
        <w:tc>
          <w:tcPr>
            <w:tcW w:w="1480" w:type="dxa"/>
            <w:tcBorders>
              <w:top w:val="nil"/>
              <w:left w:val="nil"/>
              <w:bottom w:val="nil"/>
              <w:right w:val="single" w:sz="4" w:space="0" w:color="000000"/>
            </w:tcBorders>
            <w:shd w:val="clear" w:color="000000" w:fill="FFFFFF"/>
            <w:hideMark/>
          </w:tcPr>
          <w:p w14:paraId="6B06FB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8F9056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DFCCC8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199.- Competencia del Consejo Nacional Electoral en materia de escrutinios.</w:t>
            </w:r>
            <w:r w:rsidRPr="00222F34">
              <w:rPr>
                <w:rFonts w:ascii="Calibri" w:eastAsia="Times New Roman" w:hAnsi="Calibri" w:cs="Calibri"/>
                <w:color w:val="000000"/>
                <w:lang w:val="es-CO" w:eastAsia="es-CO" w:bidi="ar-SA"/>
              </w:rPr>
              <w:t xml:space="preserve">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 </w:t>
            </w:r>
          </w:p>
        </w:tc>
        <w:tc>
          <w:tcPr>
            <w:tcW w:w="3798" w:type="dxa"/>
            <w:tcBorders>
              <w:top w:val="nil"/>
              <w:left w:val="nil"/>
              <w:bottom w:val="nil"/>
              <w:right w:val="single" w:sz="4" w:space="0" w:color="000000"/>
            </w:tcBorders>
            <w:shd w:val="clear" w:color="000000" w:fill="FFFFFF"/>
            <w:hideMark/>
          </w:tcPr>
          <w:p w14:paraId="463FDE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203. Competencia del Consejo Nacional Electoral en materia de escrutinios.</w:t>
            </w:r>
            <w:r w:rsidRPr="00222F34">
              <w:rPr>
                <w:rFonts w:ascii="Calibri" w:eastAsia="Times New Roman" w:hAnsi="Calibri" w:cs="Calibri"/>
                <w:color w:val="000000"/>
                <w:lang w:val="es-CO" w:eastAsia="es-CO" w:bidi="ar-SA"/>
              </w:rPr>
              <w:t xml:space="preserve">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w:t>
            </w:r>
          </w:p>
        </w:tc>
        <w:tc>
          <w:tcPr>
            <w:tcW w:w="3798" w:type="dxa"/>
            <w:tcBorders>
              <w:top w:val="nil"/>
              <w:left w:val="nil"/>
              <w:bottom w:val="nil"/>
              <w:right w:val="single" w:sz="4" w:space="0" w:color="000000"/>
            </w:tcBorders>
            <w:shd w:val="clear" w:color="000000" w:fill="FFFFFF"/>
            <w:hideMark/>
          </w:tcPr>
          <w:p w14:paraId="1B4194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203. Competencia del Consejo Nacional Electoral en materia de escrutinios.</w:t>
            </w:r>
            <w:r w:rsidRPr="00222F34">
              <w:rPr>
                <w:rFonts w:ascii="Calibri" w:eastAsia="Times New Roman" w:hAnsi="Calibri" w:cs="Calibri"/>
                <w:color w:val="000000"/>
                <w:lang w:val="es-CO" w:eastAsia="es-CO" w:bidi="ar-SA"/>
              </w:rPr>
              <w:t xml:space="preserve">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w:t>
            </w:r>
          </w:p>
        </w:tc>
        <w:tc>
          <w:tcPr>
            <w:tcW w:w="1480" w:type="dxa"/>
            <w:tcBorders>
              <w:top w:val="single" w:sz="4" w:space="0" w:color="auto"/>
              <w:left w:val="nil"/>
              <w:bottom w:val="nil"/>
              <w:right w:val="single" w:sz="4" w:space="0" w:color="000000"/>
            </w:tcBorders>
            <w:shd w:val="clear" w:color="000000" w:fill="FFFFFF"/>
            <w:hideMark/>
          </w:tcPr>
          <w:p w14:paraId="3DE65934" w14:textId="64AFF6A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9AB408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451B8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Resolver de fondo las apelaciones que se hubieren presentado contra las decisiones de las comisiones escrutadoras departamentales y del Distrito Capital de Bogotá y, dado el caso, los desacuerdos, vacíos u omisiones que se hubieren presentado en estas. </w:t>
            </w:r>
          </w:p>
        </w:tc>
        <w:tc>
          <w:tcPr>
            <w:tcW w:w="3798" w:type="dxa"/>
            <w:tcBorders>
              <w:top w:val="nil"/>
              <w:left w:val="nil"/>
              <w:bottom w:val="nil"/>
              <w:right w:val="single" w:sz="4" w:space="0" w:color="000000"/>
            </w:tcBorders>
            <w:shd w:val="clear" w:color="000000" w:fill="FFFFFF"/>
            <w:hideMark/>
          </w:tcPr>
          <w:p w14:paraId="1E1D36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que se hubieren presentado contra las decisiones de las comisiones escrutadoras departamentales y del Distrito Capital de Bogotá y, dado el caso, los desacuerdos, vacíos u omisiones que se hubieren presentado en estas.</w:t>
            </w:r>
          </w:p>
        </w:tc>
        <w:tc>
          <w:tcPr>
            <w:tcW w:w="3798" w:type="dxa"/>
            <w:tcBorders>
              <w:top w:val="nil"/>
              <w:left w:val="nil"/>
              <w:bottom w:val="nil"/>
              <w:right w:val="single" w:sz="4" w:space="0" w:color="000000"/>
            </w:tcBorders>
            <w:shd w:val="clear" w:color="000000" w:fill="FFFFFF"/>
            <w:hideMark/>
          </w:tcPr>
          <w:p w14:paraId="61C613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que se hubieren presentado contra las decisiones de las comisiones escrutadoras departamentales y del Distrito Capital de Bogotá y, dado el caso, los desacuerdos, vacíos u omisiones que se hubieren presentado en estas.</w:t>
            </w:r>
          </w:p>
        </w:tc>
        <w:tc>
          <w:tcPr>
            <w:tcW w:w="1480" w:type="dxa"/>
            <w:tcBorders>
              <w:top w:val="nil"/>
              <w:left w:val="nil"/>
              <w:bottom w:val="nil"/>
              <w:right w:val="single" w:sz="4" w:space="0" w:color="000000"/>
            </w:tcBorders>
            <w:shd w:val="clear" w:color="000000" w:fill="FFFFFF"/>
            <w:hideMark/>
          </w:tcPr>
          <w:p w14:paraId="06F5AA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20767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9D773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Resolver las reclamaciones que por primera vez se presenten ante este, en relación con las elecciones de la circunscripción internacional y sobre los documentos objeto de verificación. </w:t>
            </w:r>
          </w:p>
        </w:tc>
        <w:tc>
          <w:tcPr>
            <w:tcW w:w="3798" w:type="dxa"/>
            <w:tcBorders>
              <w:top w:val="nil"/>
              <w:left w:val="nil"/>
              <w:bottom w:val="nil"/>
              <w:right w:val="single" w:sz="4" w:space="0" w:color="000000"/>
            </w:tcBorders>
            <w:shd w:val="clear" w:color="000000" w:fill="FFFFFF"/>
            <w:hideMark/>
          </w:tcPr>
          <w:p w14:paraId="397ABE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este, en relación con las elecciones de la circunscripción internacional y sobre los documentos objeto de verificación.</w:t>
            </w:r>
          </w:p>
        </w:tc>
        <w:tc>
          <w:tcPr>
            <w:tcW w:w="3798" w:type="dxa"/>
            <w:tcBorders>
              <w:top w:val="nil"/>
              <w:left w:val="nil"/>
              <w:bottom w:val="nil"/>
              <w:right w:val="single" w:sz="4" w:space="0" w:color="000000"/>
            </w:tcBorders>
            <w:shd w:val="clear" w:color="000000" w:fill="FFFFFF"/>
            <w:hideMark/>
          </w:tcPr>
          <w:p w14:paraId="34F4A3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este, en relación con las elecciones de la circunscripción internacional y sobre los documentos objeto de verificación.</w:t>
            </w:r>
          </w:p>
        </w:tc>
        <w:tc>
          <w:tcPr>
            <w:tcW w:w="1480" w:type="dxa"/>
            <w:tcBorders>
              <w:top w:val="nil"/>
              <w:left w:val="nil"/>
              <w:bottom w:val="nil"/>
              <w:right w:val="single" w:sz="4" w:space="0" w:color="000000"/>
            </w:tcBorders>
            <w:shd w:val="clear" w:color="000000" w:fill="FFFFFF"/>
            <w:hideMark/>
          </w:tcPr>
          <w:p w14:paraId="2830E7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E471F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36EA9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Resolver las solicitudes de saneamiento de nulidad. Cuando sea procedente acoger la solicitud, la </w:t>
            </w:r>
            <w:r w:rsidRPr="00222F34">
              <w:rPr>
                <w:rFonts w:ascii="Calibri" w:eastAsia="Times New Roman" w:hAnsi="Calibri" w:cs="Calibri"/>
                <w:color w:val="000000"/>
                <w:lang w:val="es-CO" w:eastAsia="es-CO" w:bidi="ar-SA"/>
              </w:rPr>
              <w:lastRenderedPageBreak/>
              <w:t xml:space="preserve">resolverá garantizando la verdad electoral en las actas que escrute. </w:t>
            </w:r>
          </w:p>
        </w:tc>
        <w:tc>
          <w:tcPr>
            <w:tcW w:w="3798" w:type="dxa"/>
            <w:tcBorders>
              <w:top w:val="nil"/>
              <w:left w:val="nil"/>
              <w:bottom w:val="nil"/>
              <w:right w:val="single" w:sz="4" w:space="0" w:color="000000"/>
            </w:tcBorders>
            <w:shd w:val="clear" w:color="000000" w:fill="FFFFFF"/>
            <w:hideMark/>
          </w:tcPr>
          <w:p w14:paraId="3777B1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Resolver las solicitudes de saneamiento de nulidad. Cuando sea procedente acoger la solicitud, la </w:t>
            </w:r>
            <w:r w:rsidRPr="00222F34">
              <w:rPr>
                <w:rFonts w:ascii="Calibri" w:eastAsia="Times New Roman" w:hAnsi="Calibri" w:cs="Calibri"/>
                <w:color w:val="000000"/>
                <w:lang w:val="es-CO" w:eastAsia="es-CO" w:bidi="ar-SA"/>
              </w:rPr>
              <w:lastRenderedPageBreak/>
              <w:t>resolverá garantizando la verdad electoral en las actas que escrute.</w:t>
            </w:r>
          </w:p>
        </w:tc>
        <w:tc>
          <w:tcPr>
            <w:tcW w:w="3798" w:type="dxa"/>
            <w:tcBorders>
              <w:top w:val="nil"/>
              <w:left w:val="nil"/>
              <w:bottom w:val="nil"/>
              <w:right w:val="single" w:sz="4" w:space="0" w:color="000000"/>
            </w:tcBorders>
            <w:shd w:val="clear" w:color="000000" w:fill="FFFFFF"/>
            <w:hideMark/>
          </w:tcPr>
          <w:p w14:paraId="05E6D4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Resolver las solicitudes de saneamiento de nulidad. Cuando sea procedente acoger la solicitud, la </w:t>
            </w:r>
            <w:r w:rsidRPr="00222F34">
              <w:rPr>
                <w:rFonts w:ascii="Calibri" w:eastAsia="Times New Roman" w:hAnsi="Calibri" w:cs="Calibri"/>
                <w:color w:val="000000"/>
                <w:lang w:val="es-CO" w:eastAsia="es-CO" w:bidi="ar-SA"/>
              </w:rPr>
              <w:lastRenderedPageBreak/>
              <w:t>resolverá garantizando la verdad electoral en las actas que escrute.</w:t>
            </w:r>
          </w:p>
        </w:tc>
        <w:tc>
          <w:tcPr>
            <w:tcW w:w="1480" w:type="dxa"/>
            <w:tcBorders>
              <w:top w:val="nil"/>
              <w:left w:val="nil"/>
              <w:bottom w:val="nil"/>
              <w:right w:val="single" w:sz="4" w:space="0" w:color="000000"/>
            </w:tcBorders>
            <w:shd w:val="clear" w:color="000000" w:fill="FFFFFF"/>
            <w:hideMark/>
          </w:tcPr>
          <w:p w14:paraId="036FDF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37031B4" w14:textId="77777777" w:rsidTr="00222F34">
        <w:trPr>
          <w:trHeight w:val="345"/>
        </w:trPr>
        <w:tc>
          <w:tcPr>
            <w:tcW w:w="3798" w:type="dxa"/>
            <w:tcBorders>
              <w:top w:val="nil"/>
              <w:left w:val="single" w:sz="4" w:space="0" w:color="000000"/>
              <w:bottom w:val="nil"/>
              <w:right w:val="single" w:sz="4" w:space="0" w:color="000000"/>
            </w:tcBorders>
            <w:shd w:val="clear" w:color="000000" w:fill="FFFFFF"/>
            <w:hideMark/>
          </w:tcPr>
          <w:p w14:paraId="57F42E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Resolver el recurso de queja en materia de escrutinios que se presente en esta instancia. </w:t>
            </w:r>
          </w:p>
        </w:tc>
        <w:tc>
          <w:tcPr>
            <w:tcW w:w="3798" w:type="dxa"/>
            <w:tcBorders>
              <w:top w:val="nil"/>
              <w:left w:val="nil"/>
              <w:bottom w:val="nil"/>
              <w:right w:val="single" w:sz="4" w:space="0" w:color="000000"/>
            </w:tcBorders>
            <w:shd w:val="clear" w:color="000000" w:fill="FFFFFF"/>
            <w:hideMark/>
          </w:tcPr>
          <w:p w14:paraId="4D977A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el recurso de queja en materia de escrutinios que se presente en esta instancia.</w:t>
            </w:r>
          </w:p>
        </w:tc>
        <w:tc>
          <w:tcPr>
            <w:tcW w:w="3798" w:type="dxa"/>
            <w:tcBorders>
              <w:top w:val="nil"/>
              <w:left w:val="nil"/>
              <w:bottom w:val="nil"/>
              <w:right w:val="single" w:sz="4" w:space="0" w:color="000000"/>
            </w:tcBorders>
            <w:shd w:val="clear" w:color="000000" w:fill="FFFFFF"/>
            <w:hideMark/>
          </w:tcPr>
          <w:p w14:paraId="4736AE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el recurso de queja en materia de escrutinios que se presente en esta instancia.</w:t>
            </w:r>
          </w:p>
        </w:tc>
        <w:tc>
          <w:tcPr>
            <w:tcW w:w="1480" w:type="dxa"/>
            <w:tcBorders>
              <w:top w:val="nil"/>
              <w:left w:val="nil"/>
              <w:bottom w:val="nil"/>
              <w:right w:val="single" w:sz="4" w:space="0" w:color="000000"/>
            </w:tcBorders>
            <w:shd w:val="clear" w:color="000000" w:fill="FFFFFF"/>
            <w:hideMark/>
          </w:tcPr>
          <w:p w14:paraId="17D00C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E8D7A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22F9C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Declarar la elección o los resultados de la correspondiente votación.  </w:t>
            </w:r>
          </w:p>
        </w:tc>
        <w:tc>
          <w:tcPr>
            <w:tcW w:w="3798" w:type="dxa"/>
            <w:tcBorders>
              <w:top w:val="nil"/>
              <w:left w:val="nil"/>
              <w:bottom w:val="nil"/>
              <w:right w:val="single" w:sz="4" w:space="0" w:color="000000"/>
            </w:tcBorders>
            <w:shd w:val="clear" w:color="000000" w:fill="FFFFFF"/>
            <w:hideMark/>
          </w:tcPr>
          <w:p w14:paraId="17A44E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Declarar la elección o los resultados de la correspondiente votación.</w:t>
            </w:r>
          </w:p>
        </w:tc>
        <w:tc>
          <w:tcPr>
            <w:tcW w:w="3798" w:type="dxa"/>
            <w:tcBorders>
              <w:top w:val="nil"/>
              <w:left w:val="nil"/>
              <w:bottom w:val="nil"/>
              <w:right w:val="single" w:sz="4" w:space="0" w:color="000000"/>
            </w:tcBorders>
            <w:shd w:val="clear" w:color="000000" w:fill="FFFFFF"/>
            <w:hideMark/>
          </w:tcPr>
          <w:p w14:paraId="156FB7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Declarar la elección o los resultados de la correspondiente votación.</w:t>
            </w:r>
          </w:p>
        </w:tc>
        <w:tc>
          <w:tcPr>
            <w:tcW w:w="1480" w:type="dxa"/>
            <w:tcBorders>
              <w:top w:val="nil"/>
              <w:left w:val="nil"/>
              <w:bottom w:val="nil"/>
              <w:right w:val="single" w:sz="4" w:space="0" w:color="000000"/>
            </w:tcBorders>
            <w:shd w:val="clear" w:color="000000" w:fill="FFFFFF"/>
            <w:hideMark/>
          </w:tcPr>
          <w:p w14:paraId="79CCAB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B21FD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EA51F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Declarar la elección de representantes a la Cámara, alcalde mayor de Bogotá D.C., gobernadores y diputados cuando resuelva las apelaciones y quejas en materia de escrutinios interpuestas contra las decisiones de las respectivas comisiones escrutadoras o se presenten desacuerdos entre los integrantes de la comisión escrutadora departamental. </w:t>
            </w:r>
          </w:p>
        </w:tc>
        <w:tc>
          <w:tcPr>
            <w:tcW w:w="3798" w:type="dxa"/>
            <w:tcBorders>
              <w:top w:val="nil"/>
              <w:left w:val="nil"/>
              <w:bottom w:val="nil"/>
              <w:right w:val="single" w:sz="4" w:space="0" w:color="000000"/>
            </w:tcBorders>
            <w:shd w:val="clear" w:color="000000" w:fill="FFFFFF"/>
            <w:hideMark/>
          </w:tcPr>
          <w:p w14:paraId="4FC277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Declarar la elección de representantes a la Cámara, alcalde mayor de Bogotá D.C., gobernadores y diputados cuando resuelva las apelaciones y quejas en materia de escrutinios interpuestas contra las decisiones de las respectivas comisiones escrutadoras o se presenten desacuerdos entre los integrantes de la comisión escrutadora departamental.</w:t>
            </w:r>
          </w:p>
        </w:tc>
        <w:tc>
          <w:tcPr>
            <w:tcW w:w="3798" w:type="dxa"/>
            <w:tcBorders>
              <w:top w:val="nil"/>
              <w:left w:val="nil"/>
              <w:bottom w:val="nil"/>
              <w:right w:val="single" w:sz="4" w:space="0" w:color="000000"/>
            </w:tcBorders>
            <w:shd w:val="clear" w:color="000000" w:fill="FFFFFF"/>
            <w:hideMark/>
          </w:tcPr>
          <w:p w14:paraId="725F38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Declarar la elección de representantes a la Cámara, alcalde mayor de Bogotá D.C., gobernadores y diputados cuando resuelva las apelaciones y quejas en materia de escrutinios interpuestas contra las decisiones de las respectivas comisiones escrutadoras o se presenten desacuerdos entre los integrantes de la comisión escrutadora departamental.</w:t>
            </w:r>
          </w:p>
        </w:tc>
        <w:tc>
          <w:tcPr>
            <w:tcW w:w="1480" w:type="dxa"/>
            <w:tcBorders>
              <w:top w:val="nil"/>
              <w:left w:val="nil"/>
              <w:bottom w:val="nil"/>
              <w:right w:val="single" w:sz="4" w:space="0" w:color="000000"/>
            </w:tcBorders>
            <w:shd w:val="clear" w:color="000000" w:fill="FFFFFF"/>
            <w:hideMark/>
          </w:tcPr>
          <w:p w14:paraId="4A0DE2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65BAC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97D5A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Expedir las credenciales a que hubiere lugar. </w:t>
            </w:r>
          </w:p>
        </w:tc>
        <w:tc>
          <w:tcPr>
            <w:tcW w:w="3798" w:type="dxa"/>
            <w:tcBorders>
              <w:top w:val="nil"/>
              <w:left w:val="nil"/>
              <w:bottom w:val="nil"/>
              <w:right w:val="single" w:sz="4" w:space="0" w:color="000000"/>
            </w:tcBorders>
            <w:shd w:val="clear" w:color="000000" w:fill="FFFFFF"/>
            <w:hideMark/>
          </w:tcPr>
          <w:p w14:paraId="5911F5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tc>
        <w:tc>
          <w:tcPr>
            <w:tcW w:w="3798" w:type="dxa"/>
            <w:tcBorders>
              <w:top w:val="nil"/>
              <w:left w:val="nil"/>
              <w:bottom w:val="nil"/>
              <w:right w:val="single" w:sz="4" w:space="0" w:color="000000"/>
            </w:tcBorders>
            <w:shd w:val="clear" w:color="000000" w:fill="FFFFFF"/>
            <w:hideMark/>
          </w:tcPr>
          <w:p w14:paraId="210790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tc>
        <w:tc>
          <w:tcPr>
            <w:tcW w:w="1480" w:type="dxa"/>
            <w:tcBorders>
              <w:top w:val="nil"/>
              <w:left w:val="nil"/>
              <w:bottom w:val="nil"/>
              <w:right w:val="single" w:sz="4" w:space="0" w:color="000000"/>
            </w:tcBorders>
            <w:shd w:val="clear" w:color="000000" w:fill="FFFFFF"/>
            <w:hideMark/>
          </w:tcPr>
          <w:p w14:paraId="3A4BC8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FDBD65" w14:textId="77777777" w:rsidTr="00222F34">
        <w:trPr>
          <w:trHeight w:val="960"/>
        </w:trPr>
        <w:tc>
          <w:tcPr>
            <w:tcW w:w="3798" w:type="dxa"/>
            <w:tcBorders>
              <w:top w:val="nil"/>
              <w:left w:val="single" w:sz="4" w:space="0" w:color="000000"/>
              <w:bottom w:val="single" w:sz="4" w:space="0" w:color="000000"/>
              <w:right w:val="single" w:sz="4" w:space="0" w:color="000000"/>
            </w:tcBorders>
            <w:shd w:val="clear" w:color="000000" w:fill="FFFFFF"/>
            <w:hideMark/>
          </w:tcPr>
          <w:p w14:paraId="41BC0F4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Trasladar por solicitud de los gobernadores, los partidos o movimientos políticos o los candidatos, la revisión del escrutinio desde el municipio a las capitales de departamento, cuando se requiera por fuerza mayor o por graves alteraciones de orden público. </w:t>
            </w:r>
          </w:p>
        </w:tc>
        <w:tc>
          <w:tcPr>
            <w:tcW w:w="3798" w:type="dxa"/>
            <w:tcBorders>
              <w:top w:val="nil"/>
              <w:left w:val="nil"/>
              <w:bottom w:val="single" w:sz="4" w:space="0" w:color="000000"/>
              <w:right w:val="single" w:sz="4" w:space="0" w:color="000000"/>
            </w:tcBorders>
            <w:shd w:val="clear" w:color="000000" w:fill="FFFFFF"/>
            <w:hideMark/>
          </w:tcPr>
          <w:p w14:paraId="66A227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Trasladar por solicitud de los gobernadores, los partidos o movimientos políticos o los candidatos, la revisión del escrutinio desde el municipio a las capitales de departamento, cuando se requiera por fuerza mayor o por graves alteraciones de orden público.</w:t>
            </w:r>
          </w:p>
        </w:tc>
        <w:tc>
          <w:tcPr>
            <w:tcW w:w="3798" w:type="dxa"/>
            <w:tcBorders>
              <w:top w:val="nil"/>
              <w:left w:val="nil"/>
              <w:bottom w:val="single" w:sz="4" w:space="0" w:color="000000"/>
              <w:right w:val="single" w:sz="4" w:space="0" w:color="000000"/>
            </w:tcBorders>
            <w:shd w:val="clear" w:color="000000" w:fill="FFFFFF"/>
            <w:hideMark/>
          </w:tcPr>
          <w:p w14:paraId="75C1E4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Trasladar por solicitud de los gobernadores, los partidos o movimientos políticos o los candidatos, la revisión del escrutinio desde el municipio a las capitales de departamento, cuando se requiera por fuerza mayor o por graves alteraciones de orden público.</w:t>
            </w:r>
          </w:p>
        </w:tc>
        <w:tc>
          <w:tcPr>
            <w:tcW w:w="1480" w:type="dxa"/>
            <w:tcBorders>
              <w:top w:val="nil"/>
              <w:left w:val="nil"/>
              <w:bottom w:val="nil"/>
              <w:right w:val="single" w:sz="4" w:space="0" w:color="000000"/>
            </w:tcBorders>
            <w:shd w:val="clear" w:color="000000" w:fill="FFFFFF"/>
            <w:hideMark/>
          </w:tcPr>
          <w:p w14:paraId="2A6468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1E610F"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957C23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200.- Revisión de escrutinios por el Consejo Nacional Electoral.</w:t>
            </w:r>
            <w:r w:rsidRPr="00222F34">
              <w:rPr>
                <w:rFonts w:ascii="Calibri" w:eastAsia="Times New Roman" w:hAnsi="Calibri" w:cs="Calibri"/>
                <w:color w:val="000000"/>
                <w:lang w:val="es-CO" w:eastAsia="es-CO" w:bidi="ar-SA"/>
              </w:rPr>
              <w:t xml:space="preserve"> 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 </w:t>
            </w:r>
          </w:p>
        </w:tc>
        <w:tc>
          <w:tcPr>
            <w:tcW w:w="3798" w:type="dxa"/>
            <w:tcBorders>
              <w:top w:val="nil"/>
              <w:left w:val="nil"/>
              <w:bottom w:val="nil"/>
              <w:right w:val="single" w:sz="4" w:space="0" w:color="000000"/>
            </w:tcBorders>
            <w:shd w:val="clear" w:color="000000" w:fill="FFFFFF"/>
            <w:hideMark/>
          </w:tcPr>
          <w:p w14:paraId="66C312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204. Revisión de escrutinios por el Consejo Nacional Electoral. </w:t>
            </w:r>
            <w:r w:rsidRPr="00222F34">
              <w:rPr>
                <w:rFonts w:ascii="Calibri" w:eastAsia="Times New Roman" w:hAnsi="Calibri" w:cs="Calibri"/>
                <w:color w:val="000000"/>
                <w:lang w:val="es-CO" w:eastAsia="es-CO" w:bidi="ar-SA"/>
              </w:rPr>
              <w:t>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w:t>
            </w:r>
          </w:p>
        </w:tc>
        <w:tc>
          <w:tcPr>
            <w:tcW w:w="3798" w:type="dxa"/>
            <w:tcBorders>
              <w:top w:val="nil"/>
              <w:left w:val="nil"/>
              <w:bottom w:val="nil"/>
              <w:right w:val="single" w:sz="4" w:space="0" w:color="000000"/>
            </w:tcBorders>
            <w:shd w:val="clear" w:color="000000" w:fill="FFFFFF"/>
            <w:hideMark/>
          </w:tcPr>
          <w:p w14:paraId="64AB58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204. Revisión de escrutinios por el Consejo Nacional Electoral. </w:t>
            </w:r>
            <w:r w:rsidRPr="00222F34">
              <w:rPr>
                <w:rFonts w:ascii="Calibri" w:eastAsia="Times New Roman" w:hAnsi="Calibri" w:cs="Calibri"/>
                <w:color w:val="000000"/>
                <w:lang w:val="es-CO" w:eastAsia="es-CO" w:bidi="ar-SA"/>
              </w:rPr>
              <w:t>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w:t>
            </w:r>
          </w:p>
        </w:tc>
        <w:tc>
          <w:tcPr>
            <w:tcW w:w="1480" w:type="dxa"/>
            <w:tcBorders>
              <w:top w:val="single" w:sz="4" w:space="0" w:color="000000"/>
              <w:left w:val="nil"/>
              <w:bottom w:val="nil"/>
              <w:right w:val="single" w:sz="4" w:space="0" w:color="000000"/>
            </w:tcBorders>
            <w:shd w:val="clear" w:color="000000" w:fill="FFFFFF"/>
            <w:hideMark/>
          </w:tcPr>
          <w:p w14:paraId="1C79B4EB" w14:textId="3792E63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8E1D22A"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C7E2D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escrutinios de su competencia y cuando resuelva los recursos de apelación y de queja en materia de escrutinios debidamente interpuestos. </w:t>
            </w:r>
          </w:p>
        </w:tc>
        <w:tc>
          <w:tcPr>
            <w:tcW w:w="3798" w:type="dxa"/>
            <w:tcBorders>
              <w:top w:val="nil"/>
              <w:left w:val="nil"/>
              <w:bottom w:val="nil"/>
              <w:right w:val="single" w:sz="4" w:space="0" w:color="000000"/>
            </w:tcBorders>
            <w:shd w:val="clear" w:color="000000" w:fill="FFFFFF"/>
            <w:hideMark/>
          </w:tcPr>
          <w:p w14:paraId="2F942D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escrutinios de su competencia y cuando resuelva los recursos de apelación y de queja en materia de escrutinios debidamente interpuestos.</w:t>
            </w:r>
          </w:p>
        </w:tc>
        <w:tc>
          <w:tcPr>
            <w:tcW w:w="3798" w:type="dxa"/>
            <w:tcBorders>
              <w:top w:val="nil"/>
              <w:left w:val="nil"/>
              <w:bottom w:val="nil"/>
              <w:right w:val="single" w:sz="4" w:space="0" w:color="000000"/>
            </w:tcBorders>
            <w:shd w:val="clear" w:color="000000" w:fill="FFFFFF"/>
            <w:hideMark/>
          </w:tcPr>
          <w:p w14:paraId="62A96F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escrutinios de su competencia y cuando resuelva los recursos de apelación y de queja en materia de escrutinios debidamente interpuestos.</w:t>
            </w:r>
          </w:p>
        </w:tc>
        <w:tc>
          <w:tcPr>
            <w:tcW w:w="1480" w:type="dxa"/>
            <w:tcBorders>
              <w:top w:val="nil"/>
              <w:left w:val="nil"/>
              <w:bottom w:val="nil"/>
              <w:right w:val="single" w:sz="4" w:space="0" w:color="000000"/>
            </w:tcBorders>
            <w:shd w:val="clear" w:color="000000" w:fill="FFFFFF"/>
            <w:hideMark/>
          </w:tcPr>
          <w:p w14:paraId="19186B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84D912"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A4870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revisión procederá de oficio o a solicitud de los candidatos o de sus apoderados, los testigos electorales que ellos designen en dicha instancia, los representantes legales de los partidos y movimientos políticos con personería </w:t>
            </w:r>
            <w:r w:rsidRPr="00222F34">
              <w:rPr>
                <w:rFonts w:ascii="Calibri" w:eastAsia="Times New Roman" w:hAnsi="Calibri" w:cs="Calibri"/>
                <w:color w:val="000000"/>
                <w:lang w:val="es-CO" w:eastAsia="es-CO" w:bidi="ar-SA"/>
              </w:rPr>
              <w:lastRenderedPageBreak/>
              <w:t xml:space="preserve">jurídica o sus apoderados, el comité inscriptor de los grupos significativos de ciudadanos y comité promotor del voto en blanco o la Procuraduría General de la Nación. </w:t>
            </w:r>
          </w:p>
        </w:tc>
        <w:tc>
          <w:tcPr>
            <w:tcW w:w="3798" w:type="dxa"/>
            <w:tcBorders>
              <w:top w:val="nil"/>
              <w:left w:val="nil"/>
              <w:bottom w:val="nil"/>
              <w:right w:val="single" w:sz="4" w:space="0" w:color="000000"/>
            </w:tcBorders>
            <w:shd w:val="clear" w:color="000000" w:fill="FFFFFF"/>
            <w:hideMark/>
          </w:tcPr>
          <w:p w14:paraId="7822C0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revisión procederá de oficio o a solicitud de los candidatos o de sus apoderados, los testigos electorales que ellos designen en dicha instancia, los representantes legales de los partidos y movimientos políticos con personería </w:t>
            </w:r>
            <w:r w:rsidRPr="00222F34">
              <w:rPr>
                <w:rFonts w:ascii="Calibri" w:eastAsia="Times New Roman" w:hAnsi="Calibri" w:cs="Calibri"/>
                <w:color w:val="000000"/>
                <w:lang w:val="es-CO" w:eastAsia="es-CO" w:bidi="ar-SA"/>
              </w:rPr>
              <w:lastRenderedPageBreak/>
              <w:t>jurídica o sus apoderados, el comité inscriptor de los grupos significativos de ciudadanos y comité promotor del voto en blanco o la Procuraduría General de la Nación.</w:t>
            </w:r>
          </w:p>
        </w:tc>
        <w:tc>
          <w:tcPr>
            <w:tcW w:w="3798" w:type="dxa"/>
            <w:tcBorders>
              <w:top w:val="nil"/>
              <w:left w:val="nil"/>
              <w:bottom w:val="nil"/>
              <w:right w:val="single" w:sz="4" w:space="0" w:color="000000"/>
            </w:tcBorders>
            <w:shd w:val="clear" w:color="000000" w:fill="FFFFFF"/>
            <w:hideMark/>
          </w:tcPr>
          <w:p w14:paraId="684093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revisión procederá de oficio o a solicitud de los candidatos o de sus apoderados, los testigos electorales que ellos designen en dicha instancia, los representantes legales de los partidos y movimientos políticos con personería </w:t>
            </w:r>
            <w:r w:rsidRPr="00222F34">
              <w:rPr>
                <w:rFonts w:ascii="Calibri" w:eastAsia="Times New Roman" w:hAnsi="Calibri" w:cs="Calibri"/>
                <w:color w:val="000000"/>
                <w:lang w:val="es-CO" w:eastAsia="es-CO" w:bidi="ar-SA"/>
              </w:rPr>
              <w:lastRenderedPageBreak/>
              <w:t>jurídica o sus apoderados, el comité inscriptor de los grupos significativos de ciudadanos y comité promotor del voto en blanco o la Procuraduría General de la Nación.</w:t>
            </w:r>
          </w:p>
        </w:tc>
        <w:tc>
          <w:tcPr>
            <w:tcW w:w="1480" w:type="dxa"/>
            <w:tcBorders>
              <w:top w:val="nil"/>
              <w:left w:val="nil"/>
              <w:bottom w:val="nil"/>
              <w:right w:val="single" w:sz="4" w:space="0" w:color="000000"/>
            </w:tcBorders>
            <w:shd w:val="clear" w:color="000000" w:fill="FFFFFF"/>
            <w:hideMark/>
          </w:tcPr>
          <w:p w14:paraId="1071C4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933344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E8887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Tratándose de los mecanismos de participación ciudadana, las solicitudes podrán ser presentadas por los respectivos promotores. </w:t>
            </w:r>
          </w:p>
        </w:tc>
        <w:tc>
          <w:tcPr>
            <w:tcW w:w="3798" w:type="dxa"/>
            <w:tcBorders>
              <w:top w:val="nil"/>
              <w:left w:val="nil"/>
              <w:bottom w:val="nil"/>
              <w:right w:val="single" w:sz="4" w:space="0" w:color="000000"/>
            </w:tcBorders>
            <w:shd w:val="clear" w:color="000000" w:fill="FFFFFF"/>
            <w:hideMark/>
          </w:tcPr>
          <w:p w14:paraId="16C696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Tratándose de los mecanismos de participación ciudadana, las solicitudes podrán ser presentadas por los respectivos promotores.</w:t>
            </w:r>
          </w:p>
        </w:tc>
        <w:tc>
          <w:tcPr>
            <w:tcW w:w="3798" w:type="dxa"/>
            <w:tcBorders>
              <w:top w:val="nil"/>
              <w:left w:val="nil"/>
              <w:bottom w:val="nil"/>
              <w:right w:val="single" w:sz="4" w:space="0" w:color="000000"/>
            </w:tcBorders>
            <w:shd w:val="clear" w:color="000000" w:fill="FFFFFF"/>
            <w:hideMark/>
          </w:tcPr>
          <w:p w14:paraId="5B7673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Tratándose de los mecanismos de participación ciudadana, las solicitudes podrán ser presentadas por los respectivos promotores.</w:t>
            </w:r>
          </w:p>
        </w:tc>
        <w:tc>
          <w:tcPr>
            <w:tcW w:w="1480" w:type="dxa"/>
            <w:tcBorders>
              <w:top w:val="nil"/>
              <w:left w:val="nil"/>
              <w:bottom w:val="nil"/>
              <w:right w:val="single" w:sz="4" w:space="0" w:color="000000"/>
            </w:tcBorders>
            <w:shd w:val="clear" w:color="000000" w:fill="FFFFFF"/>
            <w:hideMark/>
          </w:tcPr>
          <w:p w14:paraId="6A2C1B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B3992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C6979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Una vez resueltos los trámites de revisión oficiosa o por solicitud de parte, será declarada la elección por el Consejo Nacional Electoral y contra sus decisiones no procederá recurso alguno. </w:t>
            </w:r>
          </w:p>
        </w:tc>
        <w:tc>
          <w:tcPr>
            <w:tcW w:w="3798" w:type="dxa"/>
            <w:tcBorders>
              <w:top w:val="nil"/>
              <w:left w:val="nil"/>
              <w:bottom w:val="nil"/>
              <w:right w:val="single" w:sz="4" w:space="0" w:color="000000"/>
            </w:tcBorders>
            <w:shd w:val="clear" w:color="000000" w:fill="FFFFFF"/>
            <w:hideMark/>
          </w:tcPr>
          <w:p w14:paraId="75656C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resueltos los trámites de revisión oficiosa o por solicitud de parte, será declarada la elección por el Consejo Nacional Electoral y contra sus decisiones no procederá recurso alguno.</w:t>
            </w:r>
          </w:p>
        </w:tc>
        <w:tc>
          <w:tcPr>
            <w:tcW w:w="3798" w:type="dxa"/>
            <w:tcBorders>
              <w:top w:val="nil"/>
              <w:left w:val="nil"/>
              <w:bottom w:val="nil"/>
              <w:right w:val="single" w:sz="4" w:space="0" w:color="000000"/>
            </w:tcBorders>
            <w:shd w:val="clear" w:color="000000" w:fill="FFFFFF"/>
            <w:hideMark/>
          </w:tcPr>
          <w:p w14:paraId="4EFC58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resueltos los trámites de revisión oficiosa o por solicitud de parte, será declarada la elección por el Consejo Nacional Electoral y contra sus decisiones no procederá recurso alguno.</w:t>
            </w:r>
          </w:p>
        </w:tc>
        <w:tc>
          <w:tcPr>
            <w:tcW w:w="1480" w:type="dxa"/>
            <w:tcBorders>
              <w:top w:val="nil"/>
              <w:left w:val="nil"/>
              <w:bottom w:val="nil"/>
              <w:right w:val="single" w:sz="4" w:space="0" w:color="000000"/>
            </w:tcBorders>
            <w:shd w:val="clear" w:color="000000" w:fill="FFFFFF"/>
            <w:hideMark/>
          </w:tcPr>
          <w:p w14:paraId="41D454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31DF01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A07D6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la revisión prevista del presente artículo, se deberá garantizar la presencia de testigos electorales acreditados y/o los candidatos, así como la del Ministerio Público.  </w:t>
            </w:r>
          </w:p>
        </w:tc>
        <w:tc>
          <w:tcPr>
            <w:tcW w:w="3798" w:type="dxa"/>
            <w:tcBorders>
              <w:top w:val="nil"/>
              <w:left w:val="nil"/>
              <w:bottom w:val="nil"/>
              <w:right w:val="single" w:sz="4" w:space="0" w:color="000000"/>
            </w:tcBorders>
            <w:shd w:val="clear" w:color="000000" w:fill="FFFFFF"/>
            <w:hideMark/>
          </w:tcPr>
          <w:p w14:paraId="29AE32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 revisión prevista del presente artículo, se deberá garantizar la presencia de testigos electorales acreditados y/o los candidatos, así como la del Ministerio Público.</w:t>
            </w:r>
          </w:p>
        </w:tc>
        <w:tc>
          <w:tcPr>
            <w:tcW w:w="3798" w:type="dxa"/>
            <w:tcBorders>
              <w:top w:val="nil"/>
              <w:left w:val="nil"/>
              <w:bottom w:val="nil"/>
              <w:right w:val="single" w:sz="4" w:space="0" w:color="000000"/>
            </w:tcBorders>
            <w:shd w:val="clear" w:color="000000" w:fill="FFFFFF"/>
            <w:hideMark/>
          </w:tcPr>
          <w:p w14:paraId="1ACFD2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 revisión prevista del presente artículo, se deberá garantizar la presencia de testigos electorales acreditados y/o los candidatos, así como la del Ministerio Público.</w:t>
            </w:r>
          </w:p>
        </w:tc>
        <w:tc>
          <w:tcPr>
            <w:tcW w:w="1480" w:type="dxa"/>
            <w:tcBorders>
              <w:top w:val="nil"/>
              <w:left w:val="nil"/>
              <w:bottom w:val="nil"/>
              <w:right w:val="single" w:sz="4" w:space="0" w:color="000000"/>
            </w:tcBorders>
            <w:shd w:val="clear" w:color="000000" w:fill="FFFFFF"/>
            <w:hideMark/>
          </w:tcPr>
          <w:p w14:paraId="31CF91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C3C11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91592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Consejo Nacional Electoral podrá reglamentar aspectos no contemplados en el presente artículo. </w:t>
            </w:r>
          </w:p>
        </w:tc>
        <w:tc>
          <w:tcPr>
            <w:tcW w:w="3798" w:type="dxa"/>
            <w:tcBorders>
              <w:top w:val="nil"/>
              <w:left w:val="nil"/>
              <w:bottom w:val="nil"/>
              <w:right w:val="single" w:sz="4" w:space="0" w:color="000000"/>
            </w:tcBorders>
            <w:shd w:val="clear" w:color="000000" w:fill="FFFFFF"/>
            <w:hideMark/>
          </w:tcPr>
          <w:p w14:paraId="19163E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El Consejo Nacional Electoral podrá reglamentar aspectos no contemplados en el presente artículo.</w:t>
            </w:r>
          </w:p>
        </w:tc>
        <w:tc>
          <w:tcPr>
            <w:tcW w:w="3798" w:type="dxa"/>
            <w:tcBorders>
              <w:top w:val="nil"/>
              <w:left w:val="nil"/>
              <w:bottom w:val="nil"/>
              <w:right w:val="single" w:sz="4" w:space="0" w:color="000000"/>
            </w:tcBorders>
            <w:shd w:val="clear" w:color="000000" w:fill="FFFFFF"/>
            <w:hideMark/>
          </w:tcPr>
          <w:p w14:paraId="0566E0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El Consejo Nacional Electoral podrá reglamentar aspectos no contemplados en el presente artículo.</w:t>
            </w:r>
          </w:p>
        </w:tc>
        <w:tc>
          <w:tcPr>
            <w:tcW w:w="1480" w:type="dxa"/>
            <w:tcBorders>
              <w:top w:val="nil"/>
              <w:left w:val="nil"/>
              <w:bottom w:val="nil"/>
              <w:right w:val="single" w:sz="4" w:space="0" w:color="000000"/>
            </w:tcBorders>
            <w:shd w:val="clear" w:color="000000" w:fill="FFFFFF"/>
            <w:hideMark/>
          </w:tcPr>
          <w:p w14:paraId="56C716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D57E77"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26D490A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decisión de revisión de escrutinios deberá ser tomada por la unanimidad de los miembros del Consejo Nacional Electoral.</w:t>
            </w:r>
          </w:p>
        </w:tc>
        <w:tc>
          <w:tcPr>
            <w:tcW w:w="3798" w:type="dxa"/>
            <w:tcBorders>
              <w:top w:val="nil"/>
              <w:left w:val="nil"/>
              <w:bottom w:val="single" w:sz="4" w:space="0" w:color="000000"/>
              <w:right w:val="single" w:sz="4" w:space="0" w:color="000000"/>
            </w:tcBorders>
            <w:shd w:val="clear" w:color="000000" w:fill="FFFFFF"/>
            <w:hideMark/>
          </w:tcPr>
          <w:p w14:paraId="43BD96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decisión de revisión de escrutinios deberá ser tomada por la unanimidad de los miembros del Consejo Nacional Electoral.</w:t>
            </w:r>
          </w:p>
        </w:tc>
        <w:tc>
          <w:tcPr>
            <w:tcW w:w="3798" w:type="dxa"/>
            <w:tcBorders>
              <w:top w:val="nil"/>
              <w:left w:val="nil"/>
              <w:bottom w:val="single" w:sz="4" w:space="0" w:color="000000"/>
              <w:right w:val="single" w:sz="4" w:space="0" w:color="000000"/>
            </w:tcBorders>
            <w:shd w:val="clear" w:color="000000" w:fill="FFFFFF"/>
            <w:hideMark/>
          </w:tcPr>
          <w:p w14:paraId="5B5306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decisión de revisión de escrutinios deberá ser tomada por la unanimidad de los miembros del Consejo Nacional Electoral.</w:t>
            </w:r>
          </w:p>
        </w:tc>
        <w:tc>
          <w:tcPr>
            <w:tcW w:w="1480" w:type="dxa"/>
            <w:tcBorders>
              <w:top w:val="nil"/>
              <w:left w:val="nil"/>
              <w:bottom w:val="nil"/>
              <w:right w:val="single" w:sz="4" w:space="0" w:color="000000"/>
            </w:tcBorders>
            <w:shd w:val="clear" w:color="000000" w:fill="FFFFFF"/>
            <w:hideMark/>
          </w:tcPr>
          <w:p w14:paraId="1B1AA9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E1A882" w14:textId="77777777" w:rsidTr="00222F34">
        <w:trPr>
          <w:trHeight w:val="615"/>
        </w:trPr>
        <w:tc>
          <w:tcPr>
            <w:tcW w:w="3798" w:type="dxa"/>
            <w:tcBorders>
              <w:top w:val="nil"/>
              <w:left w:val="single" w:sz="4" w:space="0" w:color="000000"/>
              <w:bottom w:val="nil"/>
              <w:right w:val="single" w:sz="4" w:space="0" w:color="000000"/>
            </w:tcBorders>
            <w:shd w:val="clear" w:color="000000" w:fill="FFFFFF"/>
            <w:hideMark/>
          </w:tcPr>
          <w:p w14:paraId="6161946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201.- Causales de reclamación ante las comisiones escrutadoras.</w:t>
            </w:r>
            <w:r w:rsidRPr="00222F34">
              <w:rPr>
                <w:rFonts w:ascii="Calibri" w:eastAsia="Times New Roman" w:hAnsi="Calibri" w:cs="Calibri"/>
                <w:color w:val="000000"/>
                <w:lang w:val="es-CO" w:eastAsia="es-CO" w:bidi="ar-SA"/>
              </w:rPr>
              <w:t xml:space="preserve"> Ante las comisiones escrutadoras se podrán presentar </w:t>
            </w:r>
            <w:r w:rsidRPr="00222F34">
              <w:rPr>
                <w:rFonts w:ascii="Calibri" w:eastAsia="Times New Roman" w:hAnsi="Calibri" w:cs="Calibri"/>
                <w:color w:val="000000"/>
                <w:lang w:val="es-CO" w:eastAsia="es-CO" w:bidi="ar-SA"/>
              </w:rPr>
              <w:lastRenderedPageBreak/>
              <w:t xml:space="preserve">reclamaciones por las siguientes causales:  </w:t>
            </w:r>
          </w:p>
        </w:tc>
        <w:tc>
          <w:tcPr>
            <w:tcW w:w="3798" w:type="dxa"/>
            <w:tcBorders>
              <w:top w:val="nil"/>
              <w:left w:val="nil"/>
              <w:bottom w:val="nil"/>
              <w:right w:val="single" w:sz="4" w:space="0" w:color="000000"/>
            </w:tcBorders>
            <w:shd w:val="clear" w:color="000000" w:fill="FFFFFF"/>
            <w:hideMark/>
          </w:tcPr>
          <w:p w14:paraId="77868F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205.- Causales de reclamación ante las comisiones escrutadoras.</w:t>
            </w:r>
            <w:r w:rsidRPr="00222F34">
              <w:rPr>
                <w:rFonts w:ascii="Calibri" w:eastAsia="Times New Roman" w:hAnsi="Calibri" w:cs="Calibri"/>
                <w:color w:val="000000"/>
                <w:lang w:val="es-CO" w:eastAsia="es-CO" w:bidi="ar-SA"/>
              </w:rPr>
              <w:t xml:space="preserve"> Ante las comisiones escrutadoras se podrán presentar </w:t>
            </w:r>
            <w:r w:rsidRPr="00222F34">
              <w:rPr>
                <w:rFonts w:ascii="Calibri" w:eastAsia="Times New Roman" w:hAnsi="Calibri" w:cs="Calibri"/>
                <w:color w:val="000000"/>
                <w:lang w:val="es-CO" w:eastAsia="es-CO" w:bidi="ar-SA"/>
              </w:rPr>
              <w:lastRenderedPageBreak/>
              <w:t>reclamaciones por las siguientes causales:</w:t>
            </w:r>
          </w:p>
        </w:tc>
        <w:tc>
          <w:tcPr>
            <w:tcW w:w="3798" w:type="dxa"/>
            <w:tcBorders>
              <w:top w:val="nil"/>
              <w:left w:val="nil"/>
              <w:bottom w:val="nil"/>
              <w:right w:val="single" w:sz="4" w:space="0" w:color="000000"/>
            </w:tcBorders>
            <w:shd w:val="clear" w:color="000000" w:fill="FFFFFF"/>
            <w:hideMark/>
          </w:tcPr>
          <w:p w14:paraId="002EA8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205.- Causales de reclamación ante las comisiones escrutadoras.</w:t>
            </w:r>
            <w:r w:rsidRPr="00222F34">
              <w:rPr>
                <w:rFonts w:ascii="Calibri" w:eastAsia="Times New Roman" w:hAnsi="Calibri" w:cs="Calibri"/>
                <w:color w:val="000000"/>
                <w:lang w:val="es-CO" w:eastAsia="es-CO" w:bidi="ar-SA"/>
              </w:rPr>
              <w:t xml:space="preserve"> Ante las comisiones escrutadoras se podrán presentar </w:t>
            </w:r>
            <w:r w:rsidRPr="00222F34">
              <w:rPr>
                <w:rFonts w:ascii="Calibri" w:eastAsia="Times New Roman" w:hAnsi="Calibri" w:cs="Calibri"/>
                <w:color w:val="000000"/>
                <w:lang w:val="es-CO" w:eastAsia="es-CO" w:bidi="ar-SA"/>
              </w:rPr>
              <w:lastRenderedPageBreak/>
              <w:t>reclamaciones por las siguientes causales:</w:t>
            </w:r>
          </w:p>
        </w:tc>
        <w:tc>
          <w:tcPr>
            <w:tcW w:w="1480" w:type="dxa"/>
            <w:tcBorders>
              <w:top w:val="single" w:sz="4" w:space="0" w:color="000000"/>
              <w:left w:val="nil"/>
              <w:bottom w:val="nil"/>
              <w:right w:val="single" w:sz="4" w:space="0" w:color="000000"/>
            </w:tcBorders>
            <w:shd w:val="clear" w:color="000000" w:fill="FFFFFF"/>
            <w:hideMark/>
          </w:tcPr>
          <w:p w14:paraId="18FB89C9" w14:textId="2CBB7FF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A00B8D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00A45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Cuando el acta presente datos ilegibles, enmendaduras, tachaduras, borrones o cualquier otra circunstancia que implique una posible alteración de los resultados, salvo constancia aclaratoria de quienes la suscribieron. </w:t>
            </w:r>
          </w:p>
        </w:tc>
        <w:tc>
          <w:tcPr>
            <w:tcW w:w="3798" w:type="dxa"/>
            <w:tcBorders>
              <w:top w:val="nil"/>
              <w:left w:val="nil"/>
              <w:bottom w:val="nil"/>
              <w:right w:val="single" w:sz="4" w:space="0" w:color="000000"/>
            </w:tcBorders>
            <w:shd w:val="clear" w:color="000000" w:fill="FFFFFF"/>
            <w:hideMark/>
          </w:tcPr>
          <w:p w14:paraId="052556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el acta presente datos ilegibles, enmendaduras, tachaduras, borrones o cualquier otra circunstancia que implique una posible alteración de los resultados, salvo constancia aclaratoria de quienes la suscribieron.</w:t>
            </w:r>
          </w:p>
        </w:tc>
        <w:tc>
          <w:tcPr>
            <w:tcW w:w="3798" w:type="dxa"/>
            <w:tcBorders>
              <w:top w:val="nil"/>
              <w:left w:val="nil"/>
              <w:bottom w:val="nil"/>
              <w:right w:val="single" w:sz="4" w:space="0" w:color="000000"/>
            </w:tcBorders>
            <w:shd w:val="clear" w:color="000000" w:fill="FFFFFF"/>
            <w:hideMark/>
          </w:tcPr>
          <w:p w14:paraId="048657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el acta presente datos ilegibles, enmendaduras, tachaduras, borrones o cualquier otra circunstancia que implique una posible alteración de los resultados, salvo constancia aclaratoria de quienes la suscribieron.</w:t>
            </w:r>
          </w:p>
        </w:tc>
        <w:tc>
          <w:tcPr>
            <w:tcW w:w="1480" w:type="dxa"/>
            <w:tcBorders>
              <w:top w:val="nil"/>
              <w:left w:val="nil"/>
              <w:bottom w:val="nil"/>
              <w:right w:val="single" w:sz="4" w:space="0" w:color="000000"/>
            </w:tcBorders>
            <w:shd w:val="clear" w:color="000000" w:fill="FFFFFF"/>
            <w:hideMark/>
          </w:tcPr>
          <w:p w14:paraId="30DDD9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8E3AB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8BF18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existan variaciones injustificadas entre los datos anotados en las actas y los registrados en las actas de las etapas anteriores, sin que se haya advertido que la variación obedece a un recuento de votos. </w:t>
            </w:r>
          </w:p>
        </w:tc>
        <w:tc>
          <w:tcPr>
            <w:tcW w:w="3798" w:type="dxa"/>
            <w:tcBorders>
              <w:top w:val="nil"/>
              <w:left w:val="nil"/>
              <w:bottom w:val="nil"/>
              <w:right w:val="single" w:sz="4" w:space="0" w:color="000000"/>
            </w:tcBorders>
            <w:shd w:val="clear" w:color="000000" w:fill="FFFFFF"/>
            <w:hideMark/>
          </w:tcPr>
          <w:p w14:paraId="760B44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Cuando existan variaciones injustificadas entre los datos anotados en las actas y los registrados en las actas de las etapas anteriores, sin que se haya advertido que la variación obedece a un recuento de votos.</w:t>
            </w:r>
          </w:p>
        </w:tc>
        <w:tc>
          <w:tcPr>
            <w:tcW w:w="3798" w:type="dxa"/>
            <w:tcBorders>
              <w:top w:val="nil"/>
              <w:left w:val="nil"/>
              <w:bottom w:val="nil"/>
              <w:right w:val="single" w:sz="4" w:space="0" w:color="000000"/>
            </w:tcBorders>
            <w:shd w:val="clear" w:color="000000" w:fill="FFFFFF"/>
            <w:hideMark/>
          </w:tcPr>
          <w:p w14:paraId="295C4E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Cuando existan variaciones injustificadas entre los datos anotados en las actas y los registrados en las actas de las etapas anteriores, sin que se haya advertido que la variación obedece a un recuento de votos.</w:t>
            </w:r>
          </w:p>
        </w:tc>
        <w:tc>
          <w:tcPr>
            <w:tcW w:w="1480" w:type="dxa"/>
            <w:tcBorders>
              <w:top w:val="nil"/>
              <w:left w:val="nil"/>
              <w:bottom w:val="nil"/>
              <w:right w:val="single" w:sz="4" w:space="0" w:color="000000"/>
            </w:tcBorders>
            <w:shd w:val="clear" w:color="000000" w:fill="FFFFFF"/>
            <w:hideMark/>
          </w:tcPr>
          <w:p w14:paraId="552E55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705506B" w14:textId="77777777" w:rsidTr="00222F34">
        <w:trPr>
          <w:trHeight w:val="645"/>
        </w:trPr>
        <w:tc>
          <w:tcPr>
            <w:tcW w:w="3798" w:type="dxa"/>
            <w:tcBorders>
              <w:top w:val="nil"/>
              <w:left w:val="single" w:sz="4" w:space="0" w:color="000000"/>
              <w:bottom w:val="nil"/>
              <w:right w:val="single" w:sz="4" w:space="0" w:color="000000"/>
            </w:tcBorders>
            <w:shd w:val="clear" w:color="000000" w:fill="FFFFFF"/>
            <w:hideMark/>
          </w:tcPr>
          <w:p w14:paraId="046F35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aparezca que, en el acta de escrutinio de la mesa de votación o de la comisión escrutadora, se incurrió en un error aritmético o en un error al anotar las cifras. </w:t>
            </w:r>
          </w:p>
        </w:tc>
        <w:tc>
          <w:tcPr>
            <w:tcW w:w="3798" w:type="dxa"/>
            <w:tcBorders>
              <w:top w:val="nil"/>
              <w:left w:val="nil"/>
              <w:bottom w:val="nil"/>
              <w:right w:val="single" w:sz="4" w:space="0" w:color="000000"/>
            </w:tcBorders>
            <w:shd w:val="clear" w:color="000000" w:fill="FFFFFF"/>
            <w:hideMark/>
          </w:tcPr>
          <w:p w14:paraId="395510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Cuando aparezca que, en el acta de escrutinio de la mesa de votación o de la comisión escrutadora, se incurrió en un error aritmético o en un error al anotar las cifras.</w:t>
            </w:r>
          </w:p>
        </w:tc>
        <w:tc>
          <w:tcPr>
            <w:tcW w:w="3798" w:type="dxa"/>
            <w:tcBorders>
              <w:top w:val="nil"/>
              <w:left w:val="nil"/>
              <w:bottom w:val="nil"/>
              <w:right w:val="single" w:sz="4" w:space="0" w:color="000000"/>
            </w:tcBorders>
            <w:shd w:val="clear" w:color="000000" w:fill="FFFFFF"/>
            <w:hideMark/>
          </w:tcPr>
          <w:p w14:paraId="0F5FE6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Cuando aparezca que, en el acta de escrutinio de la mesa de votación o de la comisión escrutadora, se incurrió en un error aritmético o en un error al anotar las cifras.</w:t>
            </w:r>
          </w:p>
        </w:tc>
        <w:tc>
          <w:tcPr>
            <w:tcW w:w="1480" w:type="dxa"/>
            <w:tcBorders>
              <w:top w:val="nil"/>
              <w:left w:val="nil"/>
              <w:bottom w:val="nil"/>
              <w:right w:val="single" w:sz="4" w:space="0" w:color="000000"/>
            </w:tcBorders>
            <w:shd w:val="clear" w:color="000000" w:fill="FFFFFF"/>
            <w:hideMark/>
          </w:tcPr>
          <w:p w14:paraId="6D1B2F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00851D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1EAF2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Cuando los jurados hayan omitido el deber de contrastar el número de votantes registrados con el número de votos depositados en la urna para nivelar la mesa. </w:t>
            </w:r>
          </w:p>
        </w:tc>
        <w:tc>
          <w:tcPr>
            <w:tcW w:w="3798" w:type="dxa"/>
            <w:tcBorders>
              <w:top w:val="nil"/>
              <w:left w:val="nil"/>
              <w:bottom w:val="nil"/>
              <w:right w:val="single" w:sz="4" w:space="0" w:color="000000"/>
            </w:tcBorders>
            <w:shd w:val="clear" w:color="000000" w:fill="FFFFFF"/>
            <w:hideMark/>
          </w:tcPr>
          <w:p w14:paraId="1D6282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Cuando los jurados hayan omitido el deber de contrastar el número de votantes registrados con el número de votos depositados en la urna para nivelar la mesa.</w:t>
            </w:r>
          </w:p>
        </w:tc>
        <w:tc>
          <w:tcPr>
            <w:tcW w:w="3798" w:type="dxa"/>
            <w:tcBorders>
              <w:top w:val="nil"/>
              <w:left w:val="nil"/>
              <w:bottom w:val="nil"/>
              <w:right w:val="single" w:sz="4" w:space="0" w:color="000000"/>
            </w:tcBorders>
            <w:shd w:val="clear" w:color="000000" w:fill="FFFFFF"/>
            <w:hideMark/>
          </w:tcPr>
          <w:p w14:paraId="672DD4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Cuando los jurados hayan omitido el deber de contrastar el número de votantes registrados con el número de votos depositados en la urna para nivelar la mesa.</w:t>
            </w:r>
          </w:p>
        </w:tc>
        <w:tc>
          <w:tcPr>
            <w:tcW w:w="1480" w:type="dxa"/>
            <w:tcBorders>
              <w:top w:val="nil"/>
              <w:left w:val="nil"/>
              <w:bottom w:val="nil"/>
              <w:right w:val="single" w:sz="4" w:space="0" w:color="000000"/>
            </w:tcBorders>
            <w:shd w:val="clear" w:color="000000" w:fill="FFFFFF"/>
            <w:hideMark/>
          </w:tcPr>
          <w:p w14:paraId="6432E8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AD5B5A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A3743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Cuando exista diferencia entre los resultados electorales precargados en el aplicativo de escrutinios y los consignados en las actas objeto de escrutinio. </w:t>
            </w:r>
          </w:p>
        </w:tc>
        <w:tc>
          <w:tcPr>
            <w:tcW w:w="3798" w:type="dxa"/>
            <w:tcBorders>
              <w:top w:val="nil"/>
              <w:left w:val="nil"/>
              <w:bottom w:val="nil"/>
              <w:right w:val="single" w:sz="4" w:space="0" w:color="000000"/>
            </w:tcBorders>
            <w:shd w:val="clear" w:color="000000" w:fill="FFFFFF"/>
            <w:hideMark/>
          </w:tcPr>
          <w:p w14:paraId="25339B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Cuando exista diferencia entre los resultados electorales precargados en el aplicativo de escrutinios y los consignados en las actas objeto de escrutinio.</w:t>
            </w:r>
          </w:p>
        </w:tc>
        <w:tc>
          <w:tcPr>
            <w:tcW w:w="3798" w:type="dxa"/>
            <w:tcBorders>
              <w:top w:val="nil"/>
              <w:left w:val="nil"/>
              <w:bottom w:val="nil"/>
              <w:right w:val="single" w:sz="4" w:space="0" w:color="000000"/>
            </w:tcBorders>
            <w:shd w:val="clear" w:color="000000" w:fill="FFFFFF"/>
            <w:hideMark/>
          </w:tcPr>
          <w:p w14:paraId="47DD8C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Cuando exista diferencia entre los resultados electorales precargados en el aplicativo de escrutinios y los consignados en las actas objeto de escrutinio.</w:t>
            </w:r>
          </w:p>
        </w:tc>
        <w:tc>
          <w:tcPr>
            <w:tcW w:w="1480" w:type="dxa"/>
            <w:tcBorders>
              <w:top w:val="nil"/>
              <w:left w:val="nil"/>
              <w:bottom w:val="nil"/>
              <w:right w:val="single" w:sz="4" w:space="0" w:color="000000"/>
            </w:tcBorders>
            <w:shd w:val="clear" w:color="000000" w:fill="FFFFFF"/>
            <w:hideMark/>
          </w:tcPr>
          <w:p w14:paraId="196961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32F0FD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3A635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Cuando se presenten fallas, durante la jornada electoral, en el funcionamiento de la plataforma que soporta el voto electrónico mixto para la votación. </w:t>
            </w:r>
          </w:p>
        </w:tc>
        <w:tc>
          <w:tcPr>
            <w:tcW w:w="3798" w:type="dxa"/>
            <w:tcBorders>
              <w:top w:val="nil"/>
              <w:left w:val="nil"/>
              <w:bottom w:val="nil"/>
              <w:right w:val="single" w:sz="4" w:space="0" w:color="000000"/>
            </w:tcBorders>
            <w:shd w:val="clear" w:color="000000" w:fill="FFFFFF"/>
            <w:hideMark/>
          </w:tcPr>
          <w:p w14:paraId="4A5DC4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se presenten fallas, durante la jornada electoral, en el funcionamiento de la plataforma que soporta el voto electrónico mixto para la votación.</w:t>
            </w:r>
          </w:p>
        </w:tc>
        <w:tc>
          <w:tcPr>
            <w:tcW w:w="3798" w:type="dxa"/>
            <w:tcBorders>
              <w:top w:val="nil"/>
              <w:left w:val="nil"/>
              <w:bottom w:val="nil"/>
              <w:right w:val="single" w:sz="4" w:space="0" w:color="000000"/>
            </w:tcBorders>
            <w:shd w:val="clear" w:color="000000" w:fill="FFFFFF"/>
            <w:hideMark/>
          </w:tcPr>
          <w:p w14:paraId="0A46BF8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se presenten fallas, durante la jornada electoral, en el funcionamiento de la plataforma que soporta el voto electrónico mixto para la votación.</w:t>
            </w:r>
          </w:p>
        </w:tc>
        <w:tc>
          <w:tcPr>
            <w:tcW w:w="1480" w:type="dxa"/>
            <w:tcBorders>
              <w:top w:val="nil"/>
              <w:left w:val="nil"/>
              <w:bottom w:val="nil"/>
              <w:right w:val="single" w:sz="4" w:space="0" w:color="000000"/>
            </w:tcBorders>
            <w:shd w:val="clear" w:color="000000" w:fill="FFFFFF"/>
            <w:hideMark/>
          </w:tcPr>
          <w:p w14:paraId="572F78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CD2E56"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F7F3AD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Cuando una mesa o un puesto de votación hubieren funcionado en sitio no autorizado legalmente. </w:t>
            </w:r>
          </w:p>
        </w:tc>
        <w:tc>
          <w:tcPr>
            <w:tcW w:w="3798" w:type="dxa"/>
            <w:tcBorders>
              <w:top w:val="nil"/>
              <w:left w:val="nil"/>
              <w:bottom w:val="nil"/>
              <w:right w:val="single" w:sz="4" w:space="0" w:color="000000"/>
            </w:tcBorders>
            <w:shd w:val="clear" w:color="000000" w:fill="FFFFFF"/>
            <w:hideMark/>
          </w:tcPr>
          <w:p w14:paraId="5F0129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una mesa o un puesto de votación hubieren funcionado en sitio no autorizado legalmente.</w:t>
            </w:r>
          </w:p>
        </w:tc>
        <w:tc>
          <w:tcPr>
            <w:tcW w:w="3798" w:type="dxa"/>
            <w:tcBorders>
              <w:top w:val="nil"/>
              <w:left w:val="nil"/>
              <w:bottom w:val="nil"/>
              <w:right w:val="single" w:sz="4" w:space="0" w:color="000000"/>
            </w:tcBorders>
            <w:shd w:val="clear" w:color="000000" w:fill="FFFFFF"/>
            <w:hideMark/>
          </w:tcPr>
          <w:p w14:paraId="4AA183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una mesa o un puesto de votación hubieren funcionado en sitio no autorizado legalmente.</w:t>
            </w:r>
          </w:p>
        </w:tc>
        <w:tc>
          <w:tcPr>
            <w:tcW w:w="1480" w:type="dxa"/>
            <w:tcBorders>
              <w:top w:val="nil"/>
              <w:left w:val="nil"/>
              <w:bottom w:val="nil"/>
              <w:right w:val="single" w:sz="4" w:space="0" w:color="000000"/>
            </w:tcBorders>
            <w:shd w:val="clear" w:color="000000" w:fill="FFFFFF"/>
            <w:hideMark/>
          </w:tcPr>
          <w:p w14:paraId="312C0B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A89B8E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77746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Cuando el escrutinio de mesa se hubiere realizado y las actas se hubieren firmado por menos de dos (2) jurados de votación. </w:t>
            </w:r>
          </w:p>
        </w:tc>
        <w:tc>
          <w:tcPr>
            <w:tcW w:w="3798" w:type="dxa"/>
            <w:tcBorders>
              <w:top w:val="nil"/>
              <w:left w:val="nil"/>
              <w:bottom w:val="nil"/>
              <w:right w:val="single" w:sz="4" w:space="0" w:color="000000"/>
            </w:tcBorders>
            <w:shd w:val="clear" w:color="000000" w:fill="FFFFFF"/>
            <w:hideMark/>
          </w:tcPr>
          <w:p w14:paraId="75DB4B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Cuando el escrutinio de mesa se hubiere realizado y las actas se hubieren firmado por menos de dos (2) jurados de votación.</w:t>
            </w:r>
          </w:p>
        </w:tc>
        <w:tc>
          <w:tcPr>
            <w:tcW w:w="3798" w:type="dxa"/>
            <w:tcBorders>
              <w:top w:val="nil"/>
              <w:left w:val="nil"/>
              <w:bottom w:val="nil"/>
              <w:right w:val="single" w:sz="4" w:space="0" w:color="000000"/>
            </w:tcBorders>
            <w:shd w:val="clear" w:color="000000" w:fill="FFFFFF"/>
            <w:hideMark/>
          </w:tcPr>
          <w:p w14:paraId="78DDCD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Cuando el escrutinio de mesa se hubiere realizado y las actas se hubieren firmado por menos de dos (2) jurados de votación.</w:t>
            </w:r>
          </w:p>
        </w:tc>
        <w:tc>
          <w:tcPr>
            <w:tcW w:w="1480" w:type="dxa"/>
            <w:tcBorders>
              <w:top w:val="nil"/>
              <w:left w:val="nil"/>
              <w:bottom w:val="nil"/>
              <w:right w:val="single" w:sz="4" w:space="0" w:color="000000"/>
            </w:tcBorders>
            <w:shd w:val="clear" w:color="000000" w:fill="FFFFFF"/>
            <w:hideMark/>
          </w:tcPr>
          <w:p w14:paraId="701A43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36C656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0878E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Cuando se hubieren destruido o perdido los votos y no existiere acta de escrutinio de mesa. </w:t>
            </w:r>
          </w:p>
        </w:tc>
        <w:tc>
          <w:tcPr>
            <w:tcW w:w="3798" w:type="dxa"/>
            <w:tcBorders>
              <w:top w:val="nil"/>
              <w:left w:val="nil"/>
              <w:bottom w:val="nil"/>
              <w:right w:val="single" w:sz="4" w:space="0" w:color="000000"/>
            </w:tcBorders>
            <w:shd w:val="clear" w:color="000000" w:fill="FFFFFF"/>
            <w:hideMark/>
          </w:tcPr>
          <w:p w14:paraId="7B85A9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Cuando se hubieren destruido o perdido los votos y no existiere acta de escrutinio de mesa.</w:t>
            </w:r>
          </w:p>
        </w:tc>
        <w:tc>
          <w:tcPr>
            <w:tcW w:w="3798" w:type="dxa"/>
            <w:tcBorders>
              <w:top w:val="nil"/>
              <w:left w:val="nil"/>
              <w:bottom w:val="nil"/>
              <w:right w:val="single" w:sz="4" w:space="0" w:color="000000"/>
            </w:tcBorders>
            <w:shd w:val="clear" w:color="000000" w:fill="FFFFFF"/>
            <w:hideMark/>
          </w:tcPr>
          <w:p w14:paraId="51D781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Cuando se hubieren destruido o perdido los votos y no existiere acta de escrutinio de mesa.</w:t>
            </w:r>
          </w:p>
        </w:tc>
        <w:tc>
          <w:tcPr>
            <w:tcW w:w="1480" w:type="dxa"/>
            <w:tcBorders>
              <w:top w:val="nil"/>
              <w:left w:val="nil"/>
              <w:bottom w:val="nil"/>
              <w:right w:val="single" w:sz="4" w:space="0" w:color="000000"/>
            </w:tcBorders>
            <w:shd w:val="clear" w:color="000000" w:fill="FFFFFF"/>
            <w:hideMark/>
          </w:tcPr>
          <w:p w14:paraId="539FC5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C1C57CD" w14:textId="77777777" w:rsidTr="00222F34">
        <w:trPr>
          <w:trHeight w:val="960"/>
        </w:trPr>
        <w:tc>
          <w:tcPr>
            <w:tcW w:w="3798" w:type="dxa"/>
            <w:tcBorders>
              <w:top w:val="nil"/>
              <w:left w:val="single" w:sz="4" w:space="0" w:color="000000"/>
              <w:bottom w:val="nil"/>
              <w:right w:val="single" w:sz="4" w:space="0" w:color="000000"/>
            </w:tcBorders>
            <w:shd w:val="clear" w:color="000000" w:fill="FFFFFF"/>
            <w:hideMark/>
          </w:tcPr>
          <w:p w14:paraId="607A42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Cuando los documentos electorales hubieren sido recibidos de forma extemporánea, de conformidad con los términos establecidos en este código para la entrega del material electoral, salvo que medie justificación expedida por autoridad competente. </w:t>
            </w:r>
          </w:p>
        </w:tc>
        <w:tc>
          <w:tcPr>
            <w:tcW w:w="3798" w:type="dxa"/>
            <w:tcBorders>
              <w:top w:val="nil"/>
              <w:left w:val="nil"/>
              <w:bottom w:val="nil"/>
              <w:right w:val="single" w:sz="4" w:space="0" w:color="000000"/>
            </w:tcBorders>
            <w:shd w:val="clear" w:color="000000" w:fill="FFFFFF"/>
            <w:hideMark/>
          </w:tcPr>
          <w:p w14:paraId="4D5744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Cuando los documentos electorales hubieren sido recibidos de forma extemporánea, de conformidad con los términos establecidos en este código para la entrega del material electoral, salvo que medie justificación expedida por autoridad competente.</w:t>
            </w:r>
          </w:p>
        </w:tc>
        <w:tc>
          <w:tcPr>
            <w:tcW w:w="3798" w:type="dxa"/>
            <w:tcBorders>
              <w:top w:val="nil"/>
              <w:left w:val="nil"/>
              <w:bottom w:val="nil"/>
              <w:right w:val="single" w:sz="4" w:space="0" w:color="000000"/>
            </w:tcBorders>
            <w:shd w:val="clear" w:color="000000" w:fill="FFFFFF"/>
            <w:hideMark/>
          </w:tcPr>
          <w:p w14:paraId="27F588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Cuando los documentos electorales hubieren sido recibidos de forma extemporánea, de conformidad con los términos establecidos en este código para la entrega del material electoral, salvo que medie justificación expedida por autoridad competente.</w:t>
            </w:r>
          </w:p>
        </w:tc>
        <w:tc>
          <w:tcPr>
            <w:tcW w:w="1480" w:type="dxa"/>
            <w:tcBorders>
              <w:top w:val="nil"/>
              <w:left w:val="nil"/>
              <w:bottom w:val="nil"/>
              <w:right w:val="single" w:sz="4" w:space="0" w:color="000000"/>
            </w:tcBorders>
            <w:shd w:val="clear" w:color="000000" w:fill="FFFFFF"/>
            <w:hideMark/>
          </w:tcPr>
          <w:p w14:paraId="118D7D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46DD9A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66145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Cuando el acta de escrutinio se hubiere extendido o firmado en sitio distinto de aquel autorizado por la Registraduría Nacional del Estado Civil. </w:t>
            </w:r>
          </w:p>
        </w:tc>
        <w:tc>
          <w:tcPr>
            <w:tcW w:w="3798" w:type="dxa"/>
            <w:tcBorders>
              <w:top w:val="nil"/>
              <w:left w:val="nil"/>
              <w:bottom w:val="nil"/>
              <w:right w:val="single" w:sz="4" w:space="0" w:color="000000"/>
            </w:tcBorders>
            <w:shd w:val="clear" w:color="000000" w:fill="FFFFFF"/>
            <w:hideMark/>
          </w:tcPr>
          <w:p w14:paraId="3CB49E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Cuando el acta de escrutinio se hubiere extendido o firmado en sitio distinto de aquel autorizado por la Registraduría Nacional del Estado Civil.</w:t>
            </w:r>
          </w:p>
        </w:tc>
        <w:tc>
          <w:tcPr>
            <w:tcW w:w="3798" w:type="dxa"/>
            <w:tcBorders>
              <w:top w:val="nil"/>
              <w:left w:val="nil"/>
              <w:bottom w:val="nil"/>
              <w:right w:val="single" w:sz="4" w:space="0" w:color="000000"/>
            </w:tcBorders>
            <w:shd w:val="clear" w:color="000000" w:fill="FFFFFF"/>
            <w:hideMark/>
          </w:tcPr>
          <w:p w14:paraId="78228B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Cuando el acta de escrutinio se hubiere extendido o firmado en sitio distinto de aquel autorizado por la Registraduría Nacional del Estado Civil.</w:t>
            </w:r>
          </w:p>
        </w:tc>
        <w:tc>
          <w:tcPr>
            <w:tcW w:w="1480" w:type="dxa"/>
            <w:tcBorders>
              <w:top w:val="nil"/>
              <w:left w:val="nil"/>
              <w:bottom w:val="nil"/>
              <w:right w:val="single" w:sz="4" w:space="0" w:color="000000"/>
            </w:tcBorders>
            <w:shd w:val="clear" w:color="000000" w:fill="FFFFFF"/>
            <w:hideMark/>
          </w:tcPr>
          <w:p w14:paraId="603FA3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45C00CC" w14:textId="77777777" w:rsidTr="00222F34">
        <w:trPr>
          <w:trHeight w:val="1245"/>
        </w:trPr>
        <w:tc>
          <w:tcPr>
            <w:tcW w:w="3798" w:type="dxa"/>
            <w:tcBorders>
              <w:top w:val="nil"/>
              <w:left w:val="single" w:sz="4" w:space="0" w:color="000000"/>
              <w:bottom w:val="nil"/>
              <w:right w:val="single" w:sz="4" w:space="0" w:color="000000"/>
            </w:tcBorders>
            <w:shd w:val="clear" w:color="000000" w:fill="FFFFFF"/>
            <w:hideMark/>
          </w:tcPr>
          <w:p w14:paraId="0544A1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Cuando los candidatos a corporaciones públicas, sus cónyuges o parientes hasta el tercer grado de consanguinidad, segundo grado de afinidad o primero civil, actuaron como jurados de votación o miembros de </w:t>
            </w:r>
            <w:r w:rsidRPr="00222F34">
              <w:rPr>
                <w:rFonts w:ascii="Calibri" w:eastAsia="Times New Roman" w:hAnsi="Calibri" w:cs="Calibri"/>
                <w:color w:val="000000"/>
                <w:lang w:val="es-CO" w:eastAsia="es-CO" w:bidi="ar-SA"/>
              </w:rPr>
              <w:lastRenderedPageBreak/>
              <w:t xml:space="preserve">comisiones escrutadoras o secretarios de estas dentro de la respectiva circunscripción electoral y no se hayan declarado impedidos. </w:t>
            </w:r>
          </w:p>
        </w:tc>
        <w:tc>
          <w:tcPr>
            <w:tcW w:w="3798" w:type="dxa"/>
            <w:tcBorders>
              <w:top w:val="nil"/>
              <w:left w:val="nil"/>
              <w:bottom w:val="nil"/>
              <w:right w:val="single" w:sz="4" w:space="0" w:color="000000"/>
            </w:tcBorders>
            <w:shd w:val="clear" w:color="000000" w:fill="FFFFFF"/>
            <w:hideMark/>
          </w:tcPr>
          <w:p w14:paraId="34F2D6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12. Cuando los candidatos a corporaciones públicas, sus cónyuges o parientes hasta el tercer grado de consanguinidad, segundo grado de afinidad o primero civil, actuaron como jurados de votación o miembros de </w:t>
            </w:r>
            <w:r w:rsidRPr="00222F34">
              <w:rPr>
                <w:rFonts w:ascii="Calibri" w:eastAsia="Times New Roman" w:hAnsi="Calibri" w:cs="Calibri"/>
                <w:color w:val="000000"/>
                <w:lang w:val="es-CO" w:eastAsia="es-CO" w:bidi="ar-SA"/>
              </w:rPr>
              <w:lastRenderedPageBreak/>
              <w:t>comisiones escrutadoras o secretarios de estas dentro de la respectiva circunscripción electoral y no se hayan declarado impedidos.</w:t>
            </w:r>
          </w:p>
        </w:tc>
        <w:tc>
          <w:tcPr>
            <w:tcW w:w="3798" w:type="dxa"/>
            <w:tcBorders>
              <w:top w:val="nil"/>
              <w:left w:val="nil"/>
              <w:bottom w:val="nil"/>
              <w:right w:val="single" w:sz="4" w:space="0" w:color="000000"/>
            </w:tcBorders>
            <w:shd w:val="clear" w:color="000000" w:fill="FFFFFF"/>
            <w:hideMark/>
          </w:tcPr>
          <w:p w14:paraId="632193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12. Cuando los candidatos a corporaciones públicas, sus cónyuges o parientes hasta el tercer grado de consanguinidad, segundo grado de afinidad o primero civil, actuaron como jurados de votación o miembros de </w:t>
            </w:r>
            <w:r w:rsidRPr="00222F34">
              <w:rPr>
                <w:rFonts w:ascii="Calibri" w:eastAsia="Times New Roman" w:hAnsi="Calibri" w:cs="Calibri"/>
                <w:color w:val="000000"/>
                <w:lang w:val="es-CO" w:eastAsia="es-CO" w:bidi="ar-SA"/>
              </w:rPr>
              <w:lastRenderedPageBreak/>
              <w:t>comisiones escrutadoras o secretarios de estas dentro de la respectiva circunscripción electoral y no se hayan declarado impedidos.</w:t>
            </w:r>
          </w:p>
        </w:tc>
        <w:tc>
          <w:tcPr>
            <w:tcW w:w="1480" w:type="dxa"/>
            <w:tcBorders>
              <w:top w:val="nil"/>
              <w:left w:val="nil"/>
              <w:bottom w:val="nil"/>
              <w:right w:val="single" w:sz="4" w:space="0" w:color="000000"/>
            </w:tcBorders>
            <w:shd w:val="clear" w:color="000000" w:fill="FFFFFF"/>
            <w:hideMark/>
          </w:tcPr>
          <w:p w14:paraId="1A29E5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ABB5A3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89776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13. 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  </w:t>
            </w:r>
          </w:p>
        </w:tc>
        <w:tc>
          <w:tcPr>
            <w:tcW w:w="3798" w:type="dxa"/>
            <w:tcBorders>
              <w:top w:val="nil"/>
              <w:left w:val="nil"/>
              <w:bottom w:val="nil"/>
              <w:right w:val="single" w:sz="4" w:space="0" w:color="000000"/>
            </w:tcBorders>
            <w:shd w:val="clear" w:color="000000" w:fill="FFFFFF"/>
            <w:hideMark/>
          </w:tcPr>
          <w:p w14:paraId="15B308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w:t>
            </w:r>
          </w:p>
        </w:tc>
        <w:tc>
          <w:tcPr>
            <w:tcW w:w="3798" w:type="dxa"/>
            <w:tcBorders>
              <w:top w:val="nil"/>
              <w:left w:val="nil"/>
              <w:bottom w:val="nil"/>
              <w:right w:val="single" w:sz="4" w:space="0" w:color="000000"/>
            </w:tcBorders>
            <w:shd w:val="clear" w:color="000000" w:fill="FFFFFF"/>
            <w:hideMark/>
          </w:tcPr>
          <w:p w14:paraId="105345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w:t>
            </w:r>
          </w:p>
        </w:tc>
        <w:tc>
          <w:tcPr>
            <w:tcW w:w="1480" w:type="dxa"/>
            <w:tcBorders>
              <w:top w:val="nil"/>
              <w:left w:val="nil"/>
              <w:bottom w:val="nil"/>
              <w:right w:val="single" w:sz="4" w:space="0" w:color="000000"/>
            </w:tcBorders>
            <w:shd w:val="clear" w:color="000000" w:fill="FFFFFF"/>
            <w:hideMark/>
          </w:tcPr>
          <w:p w14:paraId="65AE4C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7A56CA"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080FB8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Si se encontraren fundadas las causales de reclamación de los numerales 1, 2, 3, y 13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 </w:t>
            </w:r>
          </w:p>
        </w:tc>
        <w:tc>
          <w:tcPr>
            <w:tcW w:w="3798" w:type="dxa"/>
            <w:tcBorders>
              <w:top w:val="nil"/>
              <w:left w:val="nil"/>
              <w:bottom w:val="nil"/>
              <w:right w:val="single" w:sz="4" w:space="0" w:color="000000"/>
            </w:tcBorders>
            <w:shd w:val="clear" w:color="000000" w:fill="FFFFFF"/>
            <w:hideMark/>
          </w:tcPr>
          <w:p w14:paraId="5F3D19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Si se encontraren fundadas las causales de reclamación de los numerales 1, 2, 3, y 13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w:t>
            </w:r>
          </w:p>
        </w:tc>
        <w:tc>
          <w:tcPr>
            <w:tcW w:w="3798" w:type="dxa"/>
            <w:tcBorders>
              <w:top w:val="nil"/>
              <w:left w:val="nil"/>
              <w:bottom w:val="nil"/>
              <w:right w:val="single" w:sz="4" w:space="0" w:color="000000"/>
            </w:tcBorders>
            <w:shd w:val="clear" w:color="000000" w:fill="FFFFFF"/>
            <w:hideMark/>
          </w:tcPr>
          <w:p w14:paraId="45FD4A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 S</w:t>
            </w:r>
            <w:r w:rsidRPr="00222F34">
              <w:rPr>
                <w:rFonts w:ascii="Calibri" w:eastAsia="Times New Roman" w:hAnsi="Calibri" w:cs="Calibri"/>
                <w:color w:val="000000"/>
                <w:lang w:val="es-CO" w:eastAsia="es-CO" w:bidi="ar-SA"/>
              </w:rPr>
              <w:t>i se encontraren fundadas las causales de reclamación de los numerales 1, 2, 3, y 13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w:t>
            </w:r>
          </w:p>
        </w:tc>
        <w:tc>
          <w:tcPr>
            <w:tcW w:w="1480" w:type="dxa"/>
            <w:tcBorders>
              <w:top w:val="nil"/>
              <w:left w:val="nil"/>
              <w:bottom w:val="nil"/>
              <w:right w:val="single" w:sz="4" w:space="0" w:color="000000"/>
            </w:tcBorders>
            <w:shd w:val="clear" w:color="000000" w:fill="FFFFFF"/>
            <w:hideMark/>
          </w:tcPr>
          <w:p w14:paraId="2116F3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E9A2AE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8604B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se configure la causal 4, la comisión deberá hacer la nivelación </w:t>
            </w:r>
            <w:r w:rsidRPr="00222F34">
              <w:rPr>
                <w:rFonts w:ascii="Calibri" w:eastAsia="Times New Roman" w:hAnsi="Calibri" w:cs="Calibri"/>
                <w:color w:val="000000"/>
                <w:lang w:val="es-CO" w:eastAsia="es-CO" w:bidi="ar-SA"/>
              </w:rPr>
              <w:lastRenderedPageBreak/>
              <w:t xml:space="preserve">conforme al procedimiento de mesa de votación a cargo de los jurados. </w:t>
            </w:r>
          </w:p>
        </w:tc>
        <w:tc>
          <w:tcPr>
            <w:tcW w:w="3798" w:type="dxa"/>
            <w:tcBorders>
              <w:top w:val="nil"/>
              <w:left w:val="nil"/>
              <w:bottom w:val="nil"/>
              <w:right w:val="single" w:sz="4" w:space="0" w:color="000000"/>
            </w:tcBorders>
            <w:shd w:val="clear" w:color="000000" w:fill="FFFFFF"/>
            <w:hideMark/>
          </w:tcPr>
          <w:p w14:paraId="013904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Cuando se configure la causal 4, la comisión deberá hacer la nivelación </w:t>
            </w:r>
            <w:r w:rsidRPr="00222F34">
              <w:rPr>
                <w:rFonts w:ascii="Calibri" w:eastAsia="Times New Roman" w:hAnsi="Calibri" w:cs="Calibri"/>
                <w:color w:val="000000"/>
                <w:lang w:val="es-CO" w:eastAsia="es-CO" w:bidi="ar-SA"/>
              </w:rPr>
              <w:lastRenderedPageBreak/>
              <w:t>conforme al procedimiento de mesa de votación a cargo de los jurados.</w:t>
            </w:r>
          </w:p>
        </w:tc>
        <w:tc>
          <w:tcPr>
            <w:tcW w:w="3798" w:type="dxa"/>
            <w:tcBorders>
              <w:top w:val="nil"/>
              <w:left w:val="nil"/>
              <w:bottom w:val="nil"/>
              <w:right w:val="single" w:sz="4" w:space="0" w:color="000000"/>
            </w:tcBorders>
            <w:shd w:val="clear" w:color="000000" w:fill="FFFFFF"/>
            <w:hideMark/>
          </w:tcPr>
          <w:p w14:paraId="036161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Cuando se configure la causal 4, la comisión deberá hacer la nivelación </w:t>
            </w:r>
            <w:r w:rsidRPr="00222F34">
              <w:rPr>
                <w:rFonts w:ascii="Calibri" w:eastAsia="Times New Roman" w:hAnsi="Calibri" w:cs="Calibri"/>
                <w:color w:val="000000"/>
                <w:lang w:val="es-CO" w:eastAsia="es-CO" w:bidi="ar-SA"/>
              </w:rPr>
              <w:lastRenderedPageBreak/>
              <w:t>conforme al procedimiento de mesa de votación a cargo de los jurados.</w:t>
            </w:r>
          </w:p>
        </w:tc>
        <w:tc>
          <w:tcPr>
            <w:tcW w:w="1480" w:type="dxa"/>
            <w:tcBorders>
              <w:top w:val="nil"/>
              <w:left w:val="nil"/>
              <w:bottom w:val="nil"/>
              <w:right w:val="single" w:sz="4" w:space="0" w:color="000000"/>
            </w:tcBorders>
            <w:shd w:val="clear" w:color="000000" w:fill="FFFFFF"/>
            <w:hideMark/>
          </w:tcPr>
          <w:p w14:paraId="49EC05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4F1C9FE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6CF9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Cuando se configure la causal 5, prevalecerá el resultado consignado en el acta objeto de escrutinio. </w:t>
            </w:r>
          </w:p>
        </w:tc>
        <w:tc>
          <w:tcPr>
            <w:tcW w:w="3798" w:type="dxa"/>
            <w:tcBorders>
              <w:top w:val="nil"/>
              <w:left w:val="nil"/>
              <w:bottom w:val="nil"/>
              <w:right w:val="single" w:sz="4" w:space="0" w:color="000000"/>
            </w:tcBorders>
            <w:shd w:val="clear" w:color="000000" w:fill="FFFFFF"/>
            <w:hideMark/>
          </w:tcPr>
          <w:p w14:paraId="1EA1CB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configure la causal 5, prevalecerá el resultado consignado en el acta objeto de escrutinio.</w:t>
            </w:r>
          </w:p>
        </w:tc>
        <w:tc>
          <w:tcPr>
            <w:tcW w:w="3798" w:type="dxa"/>
            <w:tcBorders>
              <w:top w:val="nil"/>
              <w:left w:val="nil"/>
              <w:bottom w:val="nil"/>
              <w:right w:val="single" w:sz="4" w:space="0" w:color="000000"/>
            </w:tcBorders>
            <w:shd w:val="clear" w:color="000000" w:fill="FFFFFF"/>
            <w:hideMark/>
          </w:tcPr>
          <w:p w14:paraId="4012B9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configure la causal 5, prevalecerá el resultado consignado en el acta objeto de escrutinio.</w:t>
            </w:r>
          </w:p>
        </w:tc>
        <w:tc>
          <w:tcPr>
            <w:tcW w:w="1480" w:type="dxa"/>
            <w:tcBorders>
              <w:top w:val="nil"/>
              <w:left w:val="nil"/>
              <w:bottom w:val="nil"/>
              <w:right w:val="single" w:sz="4" w:space="0" w:color="000000"/>
            </w:tcBorders>
            <w:shd w:val="clear" w:color="000000" w:fill="FFFFFF"/>
            <w:hideMark/>
          </w:tcPr>
          <w:p w14:paraId="295F7B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5EF75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82FC2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se configure la causal 6, el cómputo general de los votos se tomará de la sumatoria de los comprobantes físicos que arroje el medio tecnológico y los votos físicos de contingencia depositados con posterioridad a la falla. </w:t>
            </w:r>
          </w:p>
        </w:tc>
        <w:tc>
          <w:tcPr>
            <w:tcW w:w="3798" w:type="dxa"/>
            <w:tcBorders>
              <w:top w:val="nil"/>
              <w:left w:val="nil"/>
              <w:bottom w:val="nil"/>
              <w:right w:val="single" w:sz="4" w:space="0" w:color="000000"/>
            </w:tcBorders>
            <w:shd w:val="clear" w:color="000000" w:fill="FFFFFF"/>
            <w:hideMark/>
          </w:tcPr>
          <w:p w14:paraId="7B3DEC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configure la causal 6, el cómputo general de los votos se tomará de la sumatoria de los comprobantes físicos que arroje el medio tecnológico y los votos físicos de contingencia depositados con posterioridad a la falla.</w:t>
            </w:r>
          </w:p>
        </w:tc>
        <w:tc>
          <w:tcPr>
            <w:tcW w:w="3798" w:type="dxa"/>
            <w:tcBorders>
              <w:top w:val="nil"/>
              <w:left w:val="nil"/>
              <w:bottom w:val="nil"/>
              <w:right w:val="single" w:sz="4" w:space="0" w:color="000000"/>
            </w:tcBorders>
            <w:shd w:val="clear" w:color="000000" w:fill="FFFFFF"/>
            <w:hideMark/>
          </w:tcPr>
          <w:p w14:paraId="119B2D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configure la causal 6, el cómputo general de los votos se tomará de la sumatoria de los comprobantes físicos que arroje el medio tecnológico y los votos físicos de contingencia depositados con posterioridad a la falla.</w:t>
            </w:r>
          </w:p>
        </w:tc>
        <w:tc>
          <w:tcPr>
            <w:tcW w:w="1480" w:type="dxa"/>
            <w:tcBorders>
              <w:top w:val="nil"/>
              <w:left w:val="nil"/>
              <w:bottom w:val="nil"/>
              <w:right w:val="single" w:sz="4" w:space="0" w:color="000000"/>
            </w:tcBorders>
            <w:shd w:val="clear" w:color="000000" w:fill="FFFFFF"/>
            <w:hideMark/>
          </w:tcPr>
          <w:p w14:paraId="0929B0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C409DB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94370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 </w:t>
            </w:r>
          </w:p>
        </w:tc>
        <w:tc>
          <w:tcPr>
            <w:tcW w:w="3798" w:type="dxa"/>
            <w:tcBorders>
              <w:top w:val="nil"/>
              <w:left w:val="nil"/>
              <w:bottom w:val="nil"/>
              <w:right w:val="single" w:sz="4" w:space="0" w:color="000000"/>
            </w:tcBorders>
            <w:shd w:val="clear" w:color="000000" w:fill="FFFFFF"/>
            <w:hideMark/>
          </w:tcPr>
          <w:p w14:paraId="4B31DD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w:t>
            </w:r>
          </w:p>
        </w:tc>
        <w:tc>
          <w:tcPr>
            <w:tcW w:w="3798" w:type="dxa"/>
            <w:tcBorders>
              <w:top w:val="nil"/>
              <w:left w:val="nil"/>
              <w:bottom w:val="nil"/>
              <w:right w:val="single" w:sz="4" w:space="0" w:color="000000"/>
            </w:tcBorders>
            <w:shd w:val="clear" w:color="000000" w:fill="FFFFFF"/>
            <w:hideMark/>
          </w:tcPr>
          <w:p w14:paraId="52F87D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w:t>
            </w:r>
          </w:p>
        </w:tc>
        <w:tc>
          <w:tcPr>
            <w:tcW w:w="1480" w:type="dxa"/>
            <w:tcBorders>
              <w:top w:val="nil"/>
              <w:left w:val="nil"/>
              <w:bottom w:val="nil"/>
              <w:right w:val="single" w:sz="4" w:space="0" w:color="000000"/>
            </w:tcBorders>
            <w:shd w:val="clear" w:color="000000" w:fill="FFFFFF"/>
            <w:hideMark/>
          </w:tcPr>
          <w:p w14:paraId="2204C6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000C48A"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45EFD85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w:t>
            </w:r>
            <w:r w:rsidRPr="00222F34">
              <w:rPr>
                <w:rFonts w:ascii="Calibri" w:eastAsia="Times New Roman" w:hAnsi="Calibri" w:cs="Calibri"/>
                <w:color w:val="000000"/>
                <w:lang w:val="es-CO" w:eastAsia="es-CO" w:bidi="ar-SA"/>
              </w:rPr>
              <w:lastRenderedPageBreak/>
              <w:t xml:space="preserve">iniciará la correspondiente investigación disciplinaria. </w:t>
            </w:r>
          </w:p>
        </w:tc>
        <w:tc>
          <w:tcPr>
            <w:tcW w:w="3798" w:type="dxa"/>
            <w:tcBorders>
              <w:top w:val="nil"/>
              <w:left w:val="nil"/>
              <w:bottom w:val="single" w:sz="4" w:space="0" w:color="000000"/>
              <w:right w:val="single" w:sz="4" w:space="0" w:color="000000"/>
            </w:tcBorders>
            <w:shd w:val="clear" w:color="000000" w:fill="FFFFFF"/>
            <w:hideMark/>
          </w:tcPr>
          <w:p w14:paraId="1D4C41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w:t>
            </w:r>
            <w:r w:rsidRPr="00222F34">
              <w:rPr>
                <w:rFonts w:ascii="Calibri" w:eastAsia="Times New Roman" w:hAnsi="Calibri" w:cs="Calibri"/>
                <w:color w:val="000000"/>
                <w:lang w:val="es-CO" w:eastAsia="es-CO" w:bidi="ar-SA"/>
              </w:rPr>
              <w:lastRenderedPageBreak/>
              <w:t>iniciará la correspondiente investigación disciplinaria.</w:t>
            </w:r>
          </w:p>
        </w:tc>
        <w:tc>
          <w:tcPr>
            <w:tcW w:w="3798" w:type="dxa"/>
            <w:tcBorders>
              <w:top w:val="nil"/>
              <w:left w:val="nil"/>
              <w:bottom w:val="single" w:sz="4" w:space="0" w:color="000000"/>
              <w:right w:val="single" w:sz="4" w:space="0" w:color="000000"/>
            </w:tcBorders>
            <w:shd w:val="clear" w:color="000000" w:fill="FFFFFF"/>
            <w:hideMark/>
          </w:tcPr>
          <w:p w14:paraId="1189E8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w:t>
            </w:r>
            <w:r w:rsidRPr="00222F34">
              <w:rPr>
                <w:rFonts w:ascii="Calibri" w:eastAsia="Times New Roman" w:hAnsi="Calibri" w:cs="Calibri"/>
                <w:color w:val="000000"/>
                <w:lang w:val="es-CO" w:eastAsia="es-CO" w:bidi="ar-SA"/>
              </w:rPr>
              <w:lastRenderedPageBreak/>
              <w:t>iniciará la correspondiente investigación disciplinaria.</w:t>
            </w:r>
          </w:p>
        </w:tc>
        <w:tc>
          <w:tcPr>
            <w:tcW w:w="1480" w:type="dxa"/>
            <w:tcBorders>
              <w:top w:val="nil"/>
              <w:left w:val="nil"/>
              <w:bottom w:val="nil"/>
              <w:right w:val="single" w:sz="4" w:space="0" w:color="000000"/>
            </w:tcBorders>
            <w:shd w:val="clear" w:color="000000" w:fill="FFFFFF"/>
            <w:hideMark/>
          </w:tcPr>
          <w:p w14:paraId="72A0DB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4472A13E"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58809FC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202.- Legitimación para reclamaciones y apelaciones.</w:t>
            </w:r>
            <w:r w:rsidRPr="00222F34">
              <w:rPr>
                <w:rFonts w:ascii="Calibri" w:eastAsia="Times New Roman" w:hAnsi="Calibri" w:cs="Calibri"/>
                <w:color w:val="000000"/>
                <w:lang w:val="es-CO" w:eastAsia="es-CO" w:bidi="ar-SA"/>
              </w:rPr>
              <w:t xml:space="preserve"> 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  </w:t>
            </w:r>
          </w:p>
        </w:tc>
        <w:tc>
          <w:tcPr>
            <w:tcW w:w="3798" w:type="dxa"/>
            <w:tcBorders>
              <w:top w:val="nil"/>
              <w:left w:val="nil"/>
              <w:bottom w:val="single" w:sz="4" w:space="0" w:color="000000"/>
              <w:right w:val="single" w:sz="4" w:space="0" w:color="000000"/>
            </w:tcBorders>
            <w:shd w:val="clear" w:color="000000" w:fill="FFFFFF"/>
            <w:hideMark/>
          </w:tcPr>
          <w:p w14:paraId="597F41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206.- Legitimación para reclamaciones y apelaciones.</w:t>
            </w:r>
            <w:r w:rsidRPr="00222F34">
              <w:rPr>
                <w:rFonts w:ascii="Calibri" w:eastAsia="Times New Roman" w:hAnsi="Calibri" w:cs="Calibri"/>
                <w:color w:val="000000"/>
                <w:lang w:val="es-CO" w:eastAsia="es-CO" w:bidi="ar-SA"/>
              </w:rPr>
              <w:t xml:space="preserve"> 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w:t>
            </w:r>
          </w:p>
        </w:tc>
        <w:tc>
          <w:tcPr>
            <w:tcW w:w="3798" w:type="dxa"/>
            <w:tcBorders>
              <w:top w:val="nil"/>
              <w:left w:val="nil"/>
              <w:bottom w:val="single" w:sz="4" w:space="0" w:color="000000"/>
              <w:right w:val="single" w:sz="4" w:space="0" w:color="000000"/>
            </w:tcBorders>
            <w:shd w:val="clear" w:color="000000" w:fill="FFFFFF"/>
            <w:hideMark/>
          </w:tcPr>
          <w:p w14:paraId="020A71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206.- Legitimación para reclamaciones y apelaciones.</w:t>
            </w:r>
            <w:r w:rsidRPr="00222F34">
              <w:rPr>
                <w:rFonts w:ascii="Calibri" w:eastAsia="Times New Roman" w:hAnsi="Calibri" w:cs="Calibri"/>
                <w:color w:val="000000"/>
                <w:lang w:val="es-CO" w:eastAsia="es-CO" w:bidi="ar-SA"/>
              </w:rPr>
              <w:t xml:space="preserve"> 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w:t>
            </w:r>
          </w:p>
        </w:tc>
        <w:tc>
          <w:tcPr>
            <w:tcW w:w="1480" w:type="dxa"/>
            <w:tcBorders>
              <w:top w:val="single" w:sz="4" w:space="0" w:color="000000"/>
              <w:left w:val="nil"/>
              <w:bottom w:val="nil"/>
              <w:right w:val="single" w:sz="4" w:space="0" w:color="000000"/>
            </w:tcBorders>
            <w:shd w:val="clear" w:color="000000" w:fill="FFFFFF"/>
            <w:hideMark/>
          </w:tcPr>
          <w:p w14:paraId="65B0A339" w14:textId="0C304F8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C16E8CA" w14:textId="77777777" w:rsidTr="00222F34">
        <w:trPr>
          <w:trHeight w:val="2100"/>
        </w:trPr>
        <w:tc>
          <w:tcPr>
            <w:tcW w:w="3798" w:type="dxa"/>
            <w:tcBorders>
              <w:top w:val="nil"/>
              <w:left w:val="single" w:sz="4" w:space="0" w:color="000000"/>
              <w:bottom w:val="single" w:sz="4" w:space="0" w:color="000000"/>
              <w:right w:val="single" w:sz="4" w:space="0" w:color="000000"/>
            </w:tcBorders>
            <w:shd w:val="clear" w:color="000000" w:fill="FFFFFF"/>
            <w:hideMark/>
          </w:tcPr>
          <w:p w14:paraId="7CA0A8B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203.- Requisitos de las reclamaciones y recursos.</w:t>
            </w:r>
            <w:r w:rsidRPr="00222F34">
              <w:rPr>
                <w:rFonts w:ascii="Calibri" w:eastAsia="Times New Roman" w:hAnsi="Calibri" w:cs="Calibri"/>
                <w:color w:val="000000"/>
                <w:lang w:val="es-CO" w:eastAsia="es-CO" w:bidi="ar-SA"/>
              </w:rPr>
              <w:t xml:space="preserve"> Las reclamaciones,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w:t>
            </w:r>
            <w:r w:rsidRPr="00222F34">
              <w:rPr>
                <w:rFonts w:ascii="Calibri" w:eastAsia="Times New Roman" w:hAnsi="Calibri" w:cs="Calibri"/>
                <w:color w:val="000000"/>
                <w:lang w:val="es-CO" w:eastAsia="es-CO" w:bidi="ar-SA"/>
              </w:rPr>
              <w:lastRenderedPageBreak/>
              <w:t>precisión las mesas presuntamente afectadas, así como las razones de hecho y de derecho que las fundamentan.</w:t>
            </w:r>
          </w:p>
        </w:tc>
        <w:tc>
          <w:tcPr>
            <w:tcW w:w="3798" w:type="dxa"/>
            <w:tcBorders>
              <w:top w:val="nil"/>
              <w:left w:val="nil"/>
              <w:bottom w:val="single" w:sz="4" w:space="0" w:color="000000"/>
              <w:right w:val="single" w:sz="4" w:space="0" w:color="000000"/>
            </w:tcBorders>
            <w:shd w:val="clear" w:color="000000" w:fill="FFFFFF"/>
            <w:hideMark/>
          </w:tcPr>
          <w:p w14:paraId="3A74F1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207.- Requisitos de las reclamaciones y recursos. </w:t>
            </w:r>
            <w:r w:rsidRPr="00222F34">
              <w:rPr>
                <w:rFonts w:ascii="Calibri" w:eastAsia="Times New Roman" w:hAnsi="Calibri" w:cs="Calibri"/>
                <w:color w:val="000000"/>
                <w:lang w:val="es-CO" w:eastAsia="es-CO" w:bidi="ar-SA"/>
              </w:rPr>
              <w:t xml:space="preserve">Las reclamaciones,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w:t>
            </w:r>
            <w:r w:rsidRPr="00222F34">
              <w:rPr>
                <w:rFonts w:ascii="Calibri" w:eastAsia="Times New Roman" w:hAnsi="Calibri" w:cs="Calibri"/>
                <w:color w:val="000000"/>
                <w:lang w:val="es-CO" w:eastAsia="es-CO" w:bidi="ar-SA"/>
              </w:rPr>
              <w:lastRenderedPageBreak/>
              <w:t>precisión las mesas presuntamente afectadas, así como las razones de hecho y de derecho que las fundamentan.</w:t>
            </w:r>
          </w:p>
        </w:tc>
        <w:tc>
          <w:tcPr>
            <w:tcW w:w="3798" w:type="dxa"/>
            <w:tcBorders>
              <w:top w:val="nil"/>
              <w:left w:val="nil"/>
              <w:bottom w:val="single" w:sz="4" w:space="0" w:color="000000"/>
              <w:right w:val="single" w:sz="4" w:space="0" w:color="000000"/>
            </w:tcBorders>
            <w:shd w:val="clear" w:color="000000" w:fill="FFFFFF"/>
            <w:hideMark/>
          </w:tcPr>
          <w:p w14:paraId="336C71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207.- Requisitos de las reclamaciones y recursos. </w:t>
            </w:r>
            <w:r w:rsidRPr="00222F34">
              <w:rPr>
                <w:rFonts w:ascii="Calibri" w:eastAsia="Times New Roman" w:hAnsi="Calibri" w:cs="Calibri"/>
                <w:color w:val="000000"/>
                <w:lang w:val="es-CO" w:eastAsia="es-CO" w:bidi="ar-SA"/>
              </w:rPr>
              <w:t xml:space="preserve">Las reclamaciones,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w:t>
            </w:r>
            <w:r w:rsidRPr="00222F34">
              <w:rPr>
                <w:rFonts w:ascii="Calibri" w:eastAsia="Times New Roman" w:hAnsi="Calibri" w:cs="Calibri"/>
                <w:color w:val="000000"/>
                <w:lang w:val="es-CO" w:eastAsia="es-CO" w:bidi="ar-SA"/>
              </w:rPr>
              <w:lastRenderedPageBreak/>
              <w:t>precisión las mesas presuntamente afectadas, así como las razones de hecho y de derecho que las fundamentan.</w:t>
            </w:r>
          </w:p>
        </w:tc>
        <w:tc>
          <w:tcPr>
            <w:tcW w:w="1480" w:type="dxa"/>
            <w:tcBorders>
              <w:top w:val="single" w:sz="4" w:space="0" w:color="000000"/>
              <w:left w:val="nil"/>
              <w:bottom w:val="nil"/>
              <w:right w:val="single" w:sz="4" w:space="0" w:color="000000"/>
            </w:tcBorders>
            <w:shd w:val="clear" w:color="000000" w:fill="FFFFFF"/>
            <w:hideMark/>
          </w:tcPr>
          <w:p w14:paraId="623EBE49" w14:textId="003A473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C3F9DC0" w14:textId="77777777" w:rsidTr="00222F34">
        <w:trPr>
          <w:trHeight w:val="1230"/>
        </w:trPr>
        <w:tc>
          <w:tcPr>
            <w:tcW w:w="3798" w:type="dxa"/>
            <w:tcBorders>
              <w:top w:val="nil"/>
              <w:left w:val="single" w:sz="4" w:space="0" w:color="000000"/>
              <w:bottom w:val="nil"/>
              <w:right w:val="single" w:sz="4" w:space="0" w:color="000000"/>
            </w:tcBorders>
            <w:shd w:val="clear" w:color="000000" w:fill="FFFFFF"/>
            <w:hideMark/>
          </w:tcPr>
          <w:p w14:paraId="35ED40E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204.- Acta de la diligencia de escrutinio.</w:t>
            </w:r>
            <w:r w:rsidRPr="00222F34">
              <w:rPr>
                <w:rFonts w:ascii="Calibri" w:eastAsia="Times New Roman" w:hAnsi="Calibri" w:cs="Calibri"/>
                <w:color w:val="000000"/>
                <w:lang w:val="es-CO" w:eastAsia="es-CO" w:bidi="ar-SA"/>
              </w:rPr>
              <w:t xml:space="preserve"> En todas las comisiones escrutadoras se dejará constancia de la totalidad de las actuaciones realizadas en la audiencia de escrutinio. Dicha información quedará consignada en el acta general de escrutinio, que será firmada por los miembros de la comisión y por el respectivo registrador.</w:t>
            </w:r>
          </w:p>
        </w:tc>
        <w:tc>
          <w:tcPr>
            <w:tcW w:w="3798" w:type="dxa"/>
            <w:tcBorders>
              <w:top w:val="nil"/>
              <w:left w:val="nil"/>
              <w:bottom w:val="nil"/>
              <w:right w:val="single" w:sz="4" w:space="0" w:color="000000"/>
            </w:tcBorders>
            <w:shd w:val="clear" w:color="000000" w:fill="FFFFFF"/>
            <w:hideMark/>
          </w:tcPr>
          <w:p w14:paraId="69E0E9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208.- Acta de la diligencia de escrutinio</w:t>
            </w:r>
            <w:r w:rsidRPr="00222F34">
              <w:rPr>
                <w:rFonts w:ascii="Calibri" w:eastAsia="Times New Roman" w:hAnsi="Calibri" w:cs="Calibri"/>
                <w:color w:val="000000"/>
                <w:lang w:val="es-CO" w:eastAsia="es-CO" w:bidi="ar-SA"/>
              </w:rPr>
              <w:t>. En todas las comisiones escrutadoras se dejará constancia de la totalidad de las actuaciones realizadas en la audiencia de escrutinio. Dicha información quedará consignada en el acta general de escrutinio, que será firmada por los miembros de la comisión y por el respectivo registrador.</w:t>
            </w:r>
          </w:p>
        </w:tc>
        <w:tc>
          <w:tcPr>
            <w:tcW w:w="3798" w:type="dxa"/>
            <w:tcBorders>
              <w:top w:val="nil"/>
              <w:left w:val="nil"/>
              <w:bottom w:val="nil"/>
              <w:right w:val="single" w:sz="4" w:space="0" w:color="000000"/>
            </w:tcBorders>
            <w:shd w:val="clear" w:color="000000" w:fill="FFFFFF"/>
            <w:hideMark/>
          </w:tcPr>
          <w:p w14:paraId="74694F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208.- Acta de la diligencia de escrutinio</w:t>
            </w:r>
            <w:r w:rsidRPr="00222F34">
              <w:rPr>
                <w:rFonts w:ascii="Calibri" w:eastAsia="Times New Roman" w:hAnsi="Calibri" w:cs="Calibri"/>
                <w:color w:val="000000"/>
                <w:lang w:val="es-CO" w:eastAsia="es-CO" w:bidi="ar-SA"/>
              </w:rPr>
              <w:t>. En todas las comisiones escrutadoras se dejará constancia de la totalidad de las actuaciones realizadas en la audiencia de escrutinio. Dicha información quedará consignada en el acta general de escrutinio, que será firmada por los miembros de la comisión y por el respectivo registrador.</w:t>
            </w:r>
          </w:p>
        </w:tc>
        <w:tc>
          <w:tcPr>
            <w:tcW w:w="1480" w:type="dxa"/>
            <w:tcBorders>
              <w:top w:val="single" w:sz="4" w:space="0" w:color="000000"/>
              <w:left w:val="nil"/>
              <w:bottom w:val="nil"/>
              <w:right w:val="single" w:sz="4" w:space="0" w:color="000000"/>
            </w:tcBorders>
            <w:shd w:val="clear" w:color="000000" w:fill="FFFFFF"/>
            <w:hideMark/>
          </w:tcPr>
          <w:p w14:paraId="071BB01B" w14:textId="49E676D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82FAF8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F93B3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actas de la diligencia de escrutinio deberán contener de manera detallada como mínimo la siguiente información: </w:t>
            </w:r>
          </w:p>
        </w:tc>
        <w:tc>
          <w:tcPr>
            <w:tcW w:w="3798" w:type="dxa"/>
            <w:tcBorders>
              <w:top w:val="nil"/>
              <w:left w:val="nil"/>
              <w:bottom w:val="nil"/>
              <w:right w:val="single" w:sz="4" w:space="0" w:color="000000"/>
            </w:tcBorders>
            <w:shd w:val="clear" w:color="000000" w:fill="FFFFFF"/>
            <w:hideMark/>
          </w:tcPr>
          <w:p w14:paraId="205847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actas de la diligencia de escrutinio deberán contener de manera detallada como mínimo la siguiente información:</w:t>
            </w:r>
          </w:p>
        </w:tc>
        <w:tc>
          <w:tcPr>
            <w:tcW w:w="3798" w:type="dxa"/>
            <w:tcBorders>
              <w:top w:val="nil"/>
              <w:left w:val="nil"/>
              <w:bottom w:val="nil"/>
              <w:right w:val="single" w:sz="4" w:space="0" w:color="000000"/>
            </w:tcBorders>
            <w:shd w:val="clear" w:color="000000" w:fill="FFFFFF"/>
            <w:hideMark/>
          </w:tcPr>
          <w:p w14:paraId="75C660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actas de la diligencia de escrutinio deberán contener de manera detallada como mínimo la siguiente información:</w:t>
            </w:r>
          </w:p>
        </w:tc>
        <w:tc>
          <w:tcPr>
            <w:tcW w:w="1480" w:type="dxa"/>
            <w:tcBorders>
              <w:top w:val="nil"/>
              <w:left w:val="nil"/>
              <w:bottom w:val="nil"/>
              <w:right w:val="single" w:sz="4" w:space="0" w:color="000000"/>
            </w:tcBorders>
            <w:shd w:val="clear" w:color="000000" w:fill="FFFFFF"/>
            <w:hideMark/>
          </w:tcPr>
          <w:p w14:paraId="5673EB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F3623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86EB2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Mesas con recuento. </w:t>
            </w:r>
          </w:p>
        </w:tc>
        <w:tc>
          <w:tcPr>
            <w:tcW w:w="3798" w:type="dxa"/>
            <w:tcBorders>
              <w:top w:val="nil"/>
              <w:left w:val="nil"/>
              <w:bottom w:val="nil"/>
              <w:right w:val="single" w:sz="4" w:space="0" w:color="000000"/>
            </w:tcBorders>
            <w:shd w:val="clear" w:color="000000" w:fill="FFFFFF"/>
            <w:hideMark/>
          </w:tcPr>
          <w:p w14:paraId="69B36F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Mesas con recuento. </w:t>
            </w:r>
          </w:p>
        </w:tc>
        <w:tc>
          <w:tcPr>
            <w:tcW w:w="3798" w:type="dxa"/>
            <w:tcBorders>
              <w:top w:val="nil"/>
              <w:left w:val="nil"/>
              <w:bottom w:val="nil"/>
              <w:right w:val="single" w:sz="4" w:space="0" w:color="000000"/>
            </w:tcBorders>
            <w:shd w:val="clear" w:color="000000" w:fill="FFFFFF"/>
            <w:hideMark/>
          </w:tcPr>
          <w:p w14:paraId="23C0DC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Mesas con recuento. </w:t>
            </w:r>
          </w:p>
        </w:tc>
        <w:tc>
          <w:tcPr>
            <w:tcW w:w="1480" w:type="dxa"/>
            <w:tcBorders>
              <w:top w:val="nil"/>
              <w:left w:val="nil"/>
              <w:bottom w:val="nil"/>
              <w:right w:val="single" w:sz="4" w:space="0" w:color="000000"/>
            </w:tcBorders>
            <w:shd w:val="clear" w:color="000000" w:fill="FFFFFF"/>
            <w:hideMark/>
          </w:tcPr>
          <w:p w14:paraId="38E533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71E632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30CEF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Detalle de la votación con los datos antes y después de la modificación. </w:t>
            </w:r>
          </w:p>
        </w:tc>
        <w:tc>
          <w:tcPr>
            <w:tcW w:w="3798" w:type="dxa"/>
            <w:tcBorders>
              <w:top w:val="nil"/>
              <w:left w:val="nil"/>
              <w:bottom w:val="nil"/>
              <w:right w:val="single" w:sz="4" w:space="0" w:color="000000"/>
            </w:tcBorders>
            <w:shd w:val="clear" w:color="000000" w:fill="FFFFFF"/>
            <w:hideMark/>
          </w:tcPr>
          <w:p w14:paraId="3258F2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Detalle de la votación con los datos antes y después de la modificación. </w:t>
            </w:r>
          </w:p>
        </w:tc>
        <w:tc>
          <w:tcPr>
            <w:tcW w:w="3798" w:type="dxa"/>
            <w:tcBorders>
              <w:top w:val="nil"/>
              <w:left w:val="nil"/>
              <w:bottom w:val="nil"/>
              <w:right w:val="single" w:sz="4" w:space="0" w:color="000000"/>
            </w:tcBorders>
            <w:shd w:val="clear" w:color="000000" w:fill="FFFFFF"/>
            <w:hideMark/>
          </w:tcPr>
          <w:p w14:paraId="194CAC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Detalle de la votación con los datos antes y después de la modificación. </w:t>
            </w:r>
          </w:p>
        </w:tc>
        <w:tc>
          <w:tcPr>
            <w:tcW w:w="1480" w:type="dxa"/>
            <w:tcBorders>
              <w:top w:val="nil"/>
              <w:left w:val="nil"/>
              <w:bottom w:val="nil"/>
              <w:right w:val="single" w:sz="4" w:space="0" w:color="000000"/>
            </w:tcBorders>
            <w:shd w:val="clear" w:color="000000" w:fill="FFFFFF"/>
            <w:hideMark/>
          </w:tcPr>
          <w:p w14:paraId="2D8B61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C8A9D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3CEFB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Si hubo nivelación de la mesa. </w:t>
            </w:r>
          </w:p>
        </w:tc>
        <w:tc>
          <w:tcPr>
            <w:tcW w:w="3798" w:type="dxa"/>
            <w:tcBorders>
              <w:top w:val="nil"/>
              <w:left w:val="nil"/>
              <w:bottom w:val="nil"/>
              <w:right w:val="single" w:sz="4" w:space="0" w:color="000000"/>
            </w:tcBorders>
            <w:shd w:val="clear" w:color="000000" w:fill="FFFFFF"/>
            <w:hideMark/>
          </w:tcPr>
          <w:p w14:paraId="768D95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Si hubo nivelación de la mesa. </w:t>
            </w:r>
          </w:p>
        </w:tc>
        <w:tc>
          <w:tcPr>
            <w:tcW w:w="3798" w:type="dxa"/>
            <w:tcBorders>
              <w:top w:val="nil"/>
              <w:left w:val="nil"/>
              <w:bottom w:val="nil"/>
              <w:right w:val="single" w:sz="4" w:space="0" w:color="000000"/>
            </w:tcBorders>
            <w:shd w:val="clear" w:color="000000" w:fill="FFFFFF"/>
            <w:hideMark/>
          </w:tcPr>
          <w:p w14:paraId="30A44F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Si hubo nivelación de la mesa. </w:t>
            </w:r>
          </w:p>
        </w:tc>
        <w:tc>
          <w:tcPr>
            <w:tcW w:w="1480" w:type="dxa"/>
            <w:tcBorders>
              <w:top w:val="nil"/>
              <w:left w:val="nil"/>
              <w:bottom w:val="nil"/>
              <w:right w:val="single" w:sz="4" w:space="0" w:color="000000"/>
            </w:tcBorders>
            <w:shd w:val="clear" w:color="000000" w:fill="FFFFFF"/>
            <w:hideMark/>
          </w:tcPr>
          <w:p w14:paraId="2A8267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8FB8FF" w14:textId="77777777" w:rsidTr="00222F34">
        <w:trPr>
          <w:trHeight w:val="345"/>
        </w:trPr>
        <w:tc>
          <w:tcPr>
            <w:tcW w:w="3798" w:type="dxa"/>
            <w:tcBorders>
              <w:top w:val="nil"/>
              <w:left w:val="single" w:sz="4" w:space="0" w:color="000000"/>
              <w:bottom w:val="nil"/>
              <w:right w:val="single" w:sz="4" w:space="0" w:color="000000"/>
            </w:tcBorders>
            <w:shd w:val="clear" w:color="000000" w:fill="FFFFFF"/>
            <w:hideMark/>
          </w:tcPr>
          <w:p w14:paraId="18291E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Si se contrastó el número de votantes con el número de votos depositados en la urna. </w:t>
            </w:r>
          </w:p>
        </w:tc>
        <w:tc>
          <w:tcPr>
            <w:tcW w:w="3798" w:type="dxa"/>
            <w:tcBorders>
              <w:top w:val="nil"/>
              <w:left w:val="nil"/>
              <w:bottom w:val="nil"/>
              <w:right w:val="single" w:sz="4" w:space="0" w:color="000000"/>
            </w:tcBorders>
            <w:shd w:val="clear" w:color="000000" w:fill="FFFFFF"/>
            <w:hideMark/>
          </w:tcPr>
          <w:p w14:paraId="7C7213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Si se contrastó el número de votantes con el número de votos depositados en la urna. </w:t>
            </w:r>
          </w:p>
        </w:tc>
        <w:tc>
          <w:tcPr>
            <w:tcW w:w="3798" w:type="dxa"/>
            <w:tcBorders>
              <w:top w:val="nil"/>
              <w:left w:val="nil"/>
              <w:bottom w:val="nil"/>
              <w:right w:val="single" w:sz="4" w:space="0" w:color="000000"/>
            </w:tcBorders>
            <w:shd w:val="clear" w:color="000000" w:fill="FFFFFF"/>
            <w:hideMark/>
          </w:tcPr>
          <w:p w14:paraId="3F5703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Si se contrastó el número de votantes con el número de votos depositados en la urna. </w:t>
            </w:r>
          </w:p>
        </w:tc>
        <w:tc>
          <w:tcPr>
            <w:tcW w:w="1480" w:type="dxa"/>
            <w:tcBorders>
              <w:top w:val="nil"/>
              <w:left w:val="nil"/>
              <w:bottom w:val="nil"/>
              <w:right w:val="single" w:sz="4" w:space="0" w:color="000000"/>
            </w:tcBorders>
            <w:shd w:val="clear" w:color="000000" w:fill="FFFFFF"/>
            <w:hideMark/>
          </w:tcPr>
          <w:p w14:paraId="081D42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22055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5B906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Relación de las reclamaciones presentadas y sus respectivas decisiones que deberán anexarse al acta. </w:t>
            </w:r>
          </w:p>
        </w:tc>
        <w:tc>
          <w:tcPr>
            <w:tcW w:w="3798" w:type="dxa"/>
            <w:tcBorders>
              <w:top w:val="nil"/>
              <w:left w:val="nil"/>
              <w:bottom w:val="nil"/>
              <w:right w:val="single" w:sz="4" w:space="0" w:color="000000"/>
            </w:tcBorders>
            <w:shd w:val="clear" w:color="000000" w:fill="FFFFFF"/>
            <w:hideMark/>
          </w:tcPr>
          <w:p w14:paraId="36336E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Relación de las reclamaciones presentadas y sus respectivas decisiones que deberán anexarse al acta. </w:t>
            </w:r>
          </w:p>
        </w:tc>
        <w:tc>
          <w:tcPr>
            <w:tcW w:w="3798" w:type="dxa"/>
            <w:tcBorders>
              <w:top w:val="nil"/>
              <w:left w:val="nil"/>
              <w:bottom w:val="nil"/>
              <w:right w:val="single" w:sz="4" w:space="0" w:color="000000"/>
            </w:tcBorders>
            <w:shd w:val="clear" w:color="000000" w:fill="FFFFFF"/>
            <w:hideMark/>
          </w:tcPr>
          <w:p w14:paraId="6E23C7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Relación de las reclamaciones presentadas y sus respectivas decisiones que deberán anexarse al acta. </w:t>
            </w:r>
          </w:p>
        </w:tc>
        <w:tc>
          <w:tcPr>
            <w:tcW w:w="1480" w:type="dxa"/>
            <w:tcBorders>
              <w:top w:val="nil"/>
              <w:left w:val="nil"/>
              <w:bottom w:val="nil"/>
              <w:right w:val="single" w:sz="4" w:space="0" w:color="000000"/>
            </w:tcBorders>
            <w:shd w:val="clear" w:color="000000" w:fill="FFFFFF"/>
            <w:hideMark/>
          </w:tcPr>
          <w:p w14:paraId="6D9BC6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566A8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0328A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Relación de los recursos de apelación presentados y sus respectivas decisiones, así como las solicitudes de saneamiento de nulidad electoral. </w:t>
            </w:r>
          </w:p>
        </w:tc>
        <w:tc>
          <w:tcPr>
            <w:tcW w:w="3798" w:type="dxa"/>
            <w:tcBorders>
              <w:top w:val="nil"/>
              <w:left w:val="nil"/>
              <w:bottom w:val="nil"/>
              <w:right w:val="single" w:sz="4" w:space="0" w:color="000000"/>
            </w:tcBorders>
            <w:shd w:val="clear" w:color="000000" w:fill="FFFFFF"/>
            <w:hideMark/>
          </w:tcPr>
          <w:p w14:paraId="7DF94D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Relación de los recursos de apelación presentados y sus respectivas decisiones, así como las solicitudes de saneamiento de nulidad electoral. </w:t>
            </w:r>
          </w:p>
        </w:tc>
        <w:tc>
          <w:tcPr>
            <w:tcW w:w="3798" w:type="dxa"/>
            <w:tcBorders>
              <w:top w:val="nil"/>
              <w:left w:val="nil"/>
              <w:bottom w:val="nil"/>
              <w:right w:val="single" w:sz="4" w:space="0" w:color="000000"/>
            </w:tcBorders>
            <w:shd w:val="clear" w:color="000000" w:fill="FFFFFF"/>
            <w:hideMark/>
          </w:tcPr>
          <w:p w14:paraId="6016C7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Relación de los recursos de apelación presentados y sus respectivas decisiones, así como las solicitudes de saneamiento de nulidad electoral. </w:t>
            </w:r>
          </w:p>
        </w:tc>
        <w:tc>
          <w:tcPr>
            <w:tcW w:w="1480" w:type="dxa"/>
            <w:tcBorders>
              <w:top w:val="nil"/>
              <w:left w:val="nil"/>
              <w:bottom w:val="nil"/>
              <w:right w:val="single" w:sz="4" w:space="0" w:color="000000"/>
            </w:tcBorders>
            <w:shd w:val="clear" w:color="000000" w:fill="FFFFFF"/>
            <w:hideMark/>
          </w:tcPr>
          <w:p w14:paraId="64E12B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3C1E43"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6741006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acta general de escrutinio, junto con los demás documentos electorales que se tuvieron en cuenta, comprenden una unidad que refleja los hechos ocurridos en el escrutinio y sus resultados. </w:t>
            </w:r>
          </w:p>
        </w:tc>
        <w:tc>
          <w:tcPr>
            <w:tcW w:w="3798" w:type="dxa"/>
            <w:tcBorders>
              <w:top w:val="nil"/>
              <w:left w:val="nil"/>
              <w:bottom w:val="single" w:sz="4" w:space="0" w:color="000000"/>
              <w:right w:val="single" w:sz="4" w:space="0" w:color="000000"/>
            </w:tcBorders>
            <w:shd w:val="clear" w:color="000000" w:fill="FFFFFF"/>
            <w:hideMark/>
          </w:tcPr>
          <w:p w14:paraId="43BA31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acta general de escrutinio, junto con los demás documentos electorales que se tuvieron en cuenta, comprenden una unidad que refleja los hechos ocurridos en el escrutinio y sus resultados.</w:t>
            </w:r>
          </w:p>
        </w:tc>
        <w:tc>
          <w:tcPr>
            <w:tcW w:w="3798" w:type="dxa"/>
            <w:tcBorders>
              <w:top w:val="nil"/>
              <w:left w:val="nil"/>
              <w:bottom w:val="single" w:sz="4" w:space="0" w:color="000000"/>
              <w:right w:val="single" w:sz="4" w:space="0" w:color="000000"/>
            </w:tcBorders>
            <w:shd w:val="clear" w:color="000000" w:fill="FFFFFF"/>
            <w:hideMark/>
          </w:tcPr>
          <w:p w14:paraId="590849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acta general de escrutinio, junto con los demás documentos electorales que se tuvieron en cuenta, comprenden una unidad que refleja los hechos ocurridos en el escrutinio y sus resultados.</w:t>
            </w:r>
          </w:p>
        </w:tc>
        <w:tc>
          <w:tcPr>
            <w:tcW w:w="1480" w:type="dxa"/>
            <w:tcBorders>
              <w:top w:val="nil"/>
              <w:left w:val="nil"/>
              <w:bottom w:val="nil"/>
              <w:right w:val="single" w:sz="4" w:space="0" w:color="000000"/>
            </w:tcBorders>
            <w:shd w:val="clear" w:color="000000" w:fill="FFFFFF"/>
            <w:hideMark/>
          </w:tcPr>
          <w:p w14:paraId="2E06A6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DE5567B"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2D61D01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205.- Acta de escrutinio en comisión.</w:t>
            </w:r>
            <w:r w:rsidRPr="00222F34">
              <w:rPr>
                <w:rFonts w:ascii="Calibri" w:eastAsia="Times New Roman" w:hAnsi="Calibri" w:cs="Calibri"/>
                <w:color w:val="000000"/>
                <w:lang w:val="es-CO" w:eastAsia="es-CO" w:bidi="ar-SA"/>
              </w:rPr>
              <w:t xml:space="preserve"> 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  </w:t>
            </w:r>
          </w:p>
        </w:tc>
        <w:tc>
          <w:tcPr>
            <w:tcW w:w="3798" w:type="dxa"/>
            <w:tcBorders>
              <w:top w:val="nil"/>
              <w:left w:val="nil"/>
              <w:bottom w:val="single" w:sz="4" w:space="0" w:color="000000"/>
              <w:right w:val="single" w:sz="4" w:space="0" w:color="000000"/>
            </w:tcBorders>
            <w:shd w:val="clear" w:color="000000" w:fill="FFFFFF"/>
            <w:hideMark/>
          </w:tcPr>
          <w:p w14:paraId="1C792E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209. Acta de escrutinio en comisión. </w:t>
            </w:r>
            <w:r w:rsidRPr="00222F34">
              <w:rPr>
                <w:rFonts w:ascii="Calibri" w:eastAsia="Times New Roman" w:hAnsi="Calibri" w:cs="Calibri"/>
                <w:color w:val="000000"/>
                <w:lang w:val="es-CO" w:eastAsia="es-CO" w:bidi="ar-SA"/>
              </w:rPr>
              <w:t>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w:t>
            </w:r>
          </w:p>
        </w:tc>
        <w:tc>
          <w:tcPr>
            <w:tcW w:w="3798" w:type="dxa"/>
            <w:tcBorders>
              <w:top w:val="nil"/>
              <w:left w:val="nil"/>
              <w:bottom w:val="single" w:sz="4" w:space="0" w:color="000000"/>
              <w:right w:val="single" w:sz="4" w:space="0" w:color="000000"/>
            </w:tcBorders>
            <w:shd w:val="clear" w:color="000000" w:fill="FFFFFF"/>
            <w:hideMark/>
          </w:tcPr>
          <w:p w14:paraId="6FECEE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209. Acta de escrutinio en comisión. </w:t>
            </w:r>
            <w:r w:rsidRPr="00222F34">
              <w:rPr>
                <w:rFonts w:ascii="Calibri" w:eastAsia="Times New Roman" w:hAnsi="Calibri" w:cs="Calibri"/>
                <w:color w:val="000000"/>
                <w:lang w:val="es-CO" w:eastAsia="es-CO" w:bidi="ar-SA"/>
              </w:rPr>
              <w:t>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w:t>
            </w:r>
          </w:p>
        </w:tc>
        <w:tc>
          <w:tcPr>
            <w:tcW w:w="1480" w:type="dxa"/>
            <w:tcBorders>
              <w:top w:val="single" w:sz="4" w:space="0" w:color="000000"/>
              <w:left w:val="nil"/>
              <w:bottom w:val="nil"/>
              <w:right w:val="single" w:sz="4" w:space="0" w:color="000000"/>
            </w:tcBorders>
            <w:shd w:val="clear" w:color="000000" w:fill="FFFFFF"/>
            <w:hideMark/>
          </w:tcPr>
          <w:p w14:paraId="6F80DE84" w14:textId="362E0C0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73E90F8"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22336F2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206.- Declaratoria de la elección.</w:t>
            </w:r>
            <w:r w:rsidRPr="00222F34">
              <w:rPr>
                <w:rFonts w:ascii="Calibri" w:eastAsia="Times New Roman" w:hAnsi="Calibri" w:cs="Calibri"/>
                <w:color w:val="000000"/>
                <w:lang w:val="es-CO" w:eastAsia="es-CO" w:bidi="ar-SA"/>
              </w:rPr>
              <w:t xml:space="preserve"> La autoridad competente declarará la elección o los resultados de los mecanismos de participación ciudadana, mediante acto administrativo, previa aplicación de la fórmula electoral señalada por la Constitución Política y la ley. Contra este </w:t>
            </w:r>
            <w:r w:rsidRPr="00222F34">
              <w:rPr>
                <w:rFonts w:ascii="Calibri" w:eastAsia="Times New Roman" w:hAnsi="Calibri" w:cs="Calibri"/>
                <w:color w:val="000000"/>
                <w:lang w:val="es-CO" w:eastAsia="es-CO" w:bidi="ar-SA"/>
              </w:rPr>
              <w:lastRenderedPageBreak/>
              <w:t xml:space="preserve">acto administrativo no procederán recursos ni la revocatoria directa; tan solo será susceptible de anulación por la Jurisdicción Contenciosa Administrativa. </w:t>
            </w:r>
          </w:p>
        </w:tc>
        <w:tc>
          <w:tcPr>
            <w:tcW w:w="3798" w:type="dxa"/>
            <w:tcBorders>
              <w:top w:val="nil"/>
              <w:left w:val="nil"/>
              <w:bottom w:val="single" w:sz="4" w:space="0" w:color="000000"/>
              <w:right w:val="single" w:sz="4" w:space="0" w:color="000000"/>
            </w:tcBorders>
            <w:shd w:val="clear" w:color="000000" w:fill="FFFFFF"/>
            <w:hideMark/>
          </w:tcPr>
          <w:p w14:paraId="2A3BBC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210.- Declaratoria de la elección.</w:t>
            </w:r>
            <w:r w:rsidRPr="00222F34">
              <w:rPr>
                <w:rFonts w:ascii="Calibri" w:eastAsia="Times New Roman" w:hAnsi="Calibri" w:cs="Calibri"/>
                <w:color w:val="000000"/>
                <w:lang w:val="es-CO" w:eastAsia="es-CO" w:bidi="ar-SA"/>
              </w:rPr>
              <w:t xml:space="preserve"> La autoridad competente declarará la elección o los resultados de los mecanismos de participación ciudadana, mediante acto administrativo, previa aplicación de la fórmula electoral señalada por la Constitución Política y la ley. Contra este </w:t>
            </w:r>
            <w:r w:rsidRPr="00222F34">
              <w:rPr>
                <w:rFonts w:ascii="Calibri" w:eastAsia="Times New Roman" w:hAnsi="Calibri" w:cs="Calibri"/>
                <w:color w:val="000000"/>
                <w:lang w:val="es-CO" w:eastAsia="es-CO" w:bidi="ar-SA"/>
              </w:rPr>
              <w:lastRenderedPageBreak/>
              <w:t>acto administrativo no procederán recursos ni la revocatoria directa; tan solo será susceptible de anulación por la Jurisdicción Contenciosa Administrativa.</w:t>
            </w:r>
          </w:p>
        </w:tc>
        <w:tc>
          <w:tcPr>
            <w:tcW w:w="3798" w:type="dxa"/>
            <w:tcBorders>
              <w:top w:val="nil"/>
              <w:left w:val="nil"/>
              <w:bottom w:val="single" w:sz="4" w:space="0" w:color="000000"/>
              <w:right w:val="single" w:sz="4" w:space="0" w:color="000000"/>
            </w:tcBorders>
            <w:shd w:val="clear" w:color="000000" w:fill="FFFFFF"/>
            <w:hideMark/>
          </w:tcPr>
          <w:p w14:paraId="50C30C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210.- Declaratoria de la elección.</w:t>
            </w:r>
            <w:r w:rsidRPr="00222F34">
              <w:rPr>
                <w:rFonts w:ascii="Calibri" w:eastAsia="Times New Roman" w:hAnsi="Calibri" w:cs="Calibri"/>
                <w:color w:val="000000"/>
                <w:lang w:val="es-CO" w:eastAsia="es-CO" w:bidi="ar-SA"/>
              </w:rPr>
              <w:t xml:space="preserve"> La autoridad competente declarará la elección o los resultados de los mecanismos de participación ciudadana, mediante acto administrativo, previa aplicación de la fórmula electoral señalada por la Constitución Política y la ley. Contra este </w:t>
            </w:r>
            <w:r w:rsidRPr="00222F34">
              <w:rPr>
                <w:rFonts w:ascii="Calibri" w:eastAsia="Times New Roman" w:hAnsi="Calibri" w:cs="Calibri"/>
                <w:color w:val="000000"/>
                <w:lang w:val="es-CO" w:eastAsia="es-CO" w:bidi="ar-SA"/>
              </w:rPr>
              <w:lastRenderedPageBreak/>
              <w:t>acto administrativo no procederán recursos ni la revocatoria directa; tan solo será susceptible de anulación por la Jurisdicción Contenciosa Administrativa.</w:t>
            </w:r>
          </w:p>
        </w:tc>
        <w:tc>
          <w:tcPr>
            <w:tcW w:w="1480" w:type="dxa"/>
            <w:tcBorders>
              <w:top w:val="single" w:sz="4" w:space="0" w:color="000000"/>
              <w:left w:val="nil"/>
              <w:bottom w:val="nil"/>
              <w:right w:val="single" w:sz="4" w:space="0" w:color="000000"/>
            </w:tcBorders>
            <w:shd w:val="clear" w:color="000000" w:fill="FFFFFF"/>
            <w:hideMark/>
          </w:tcPr>
          <w:p w14:paraId="65B7CCF4" w14:textId="5CDEE56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7875FC7"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64C5C4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207.- Fórmula electoral.</w:t>
            </w:r>
            <w:r w:rsidRPr="00222F34">
              <w:rPr>
                <w:rFonts w:ascii="Calibri" w:eastAsia="Times New Roman" w:hAnsi="Calibri" w:cs="Calibri"/>
                <w:color w:val="000000"/>
                <w:lang w:val="es-CO" w:eastAsia="es-CO" w:bidi="ar-SA"/>
              </w:rPr>
              <w:t xml:space="preserve"> Será elegido gobernador y alcalde el candidato que obtenga la mayoría simple de los votos, salvo lo dispuesto en los artículos 258 y 323 de la Constitución Política. </w:t>
            </w:r>
          </w:p>
        </w:tc>
        <w:tc>
          <w:tcPr>
            <w:tcW w:w="3798" w:type="dxa"/>
            <w:tcBorders>
              <w:top w:val="nil"/>
              <w:left w:val="nil"/>
              <w:bottom w:val="single" w:sz="4" w:space="0" w:color="000000"/>
              <w:right w:val="single" w:sz="4" w:space="0" w:color="000000"/>
            </w:tcBorders>
            <w:shd w:val="clear" w:color="000000" w:fill="FFFFFF"/>
            <w:hideMark/>
          </w:tcPr>
          <w:p w14:paraId="0A7BDB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211. Fórmula electoral.</w:t>
            </w:r>
            <w:r w:rsidRPr="00222F34">
              <w:rPr>
                <w:rFonts w:ascii="Calibri" w:eastAsia="Times New Roman" w:hAnsi="Calibri" w:cs="Calibri"/>
                <w:color w:val="000000"/>
                <w:lang w:val="es-CO" w:eastAsia="es-CO" w:bidi="ar-SA"/>
              </w:rPr>
              <w:t xml:space="preserve"> Será elegido gobernador y alcalde el candidato que obtenga la mayoría simple de los votos, salvo lo dispuesto en los artículos 258 y 323 de la Constitución Política.</w:t>
            </w:r>
          </w:p>
        </w:tc>
        <w:tc>
          <w:tcPr>
            <w:tcW w:w="3798" w:type="dxa"/>
            <w:tcBorders>
              <w:top w:val="nil"/>
              <w:left w:val="nil"/>
              <w:bottom w:val="single" w:sz="4" w:space="0" w:color="000000"/>
              <w:right w:val="single" w:sz="4" w:space="0" w:color="000000"/>
            </w:tcBorders>
            <w:shd w:val="clear" w:color="000000" w:fill="FFFFFF"/>
            <w:hideMark/>
          </w:tcPr>
          <w:p w14:paraId="4C92D0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211. Fórmula electoral.</w:t>
            </w:r>
            <w:r w:rsidRPr="00222F34">
              <w:rPr>
                <w:rFonts w:ascii="Calibri" w:eastAsia="Times New Roman" w:hAnsi="Calibri" w:cs="Calibri"/>
                <w:color w:val="000000"/>
                <w:lang w:val="es-CO" w:eastAsia="es-CO" w:bidi="ar-SA"/>
              </w:rPr>
              <w:t xml:space="preserve"> Será elegido gobernador y alcalde el candidato que obtenga la mayoría simple de los votos, salvo lo dispuesto en los artículos 258 y 323 de la Constitución Política.</w:t>
            </w:r>
          </w:p>
        </w:tc>
        <w:tc>
          <w:tcPr>
            <w:tcW w:w="1480" w:type="dxa"/>
            <w:tcBorders>
              <w:top w:val="single" w:sz="4" w:space="0" w:color="000000"/>
              <w:left w:val="nil"/>
              <w:bottom w:val="nil"/>
              <w:right w:val="single" w:sz="4" w:space="0" w:color="000000"/>
            </w:tcBorders>
            <w:shd w:val="clear" w:color="000000" w:fill="FFFFFF"/>
            <w:hideMark/>
          </w:tcPr>
          <w:p w14:paraId="37515DC7" w14:textId="63F3DFC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50BE126" w14:textId="77777777" w:rsidTr="00222F34">
        <w:trPr>
          <w:trHeight w:val="3000"/>
        </w:trPr>
        <w:tc>
          <w:tcPr>
            <w:tcW w:w="3798" w:type="dxa"/>
            <w:tcBorders>
              <w:top w:val="nil"/>
              <w:left w:val="single" w:sz="4" w:space="0" w:color="000000"/>
              <w:bottom w:val="nil"/>
              <w:right w:val="single" w:sz="4" w:space="0" w:color="000000"/>
            </w:tcBorders>
            <w:shd w:val="clear" w:color="000000" w:fill="FFFFFF"/>
            <w:hideMark/>
          </w:tcPr>
          <w:p w14:paraId="2F722FE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208.- Aplicación del estatuto de la oposición.</w:t>
            </w:r>
            <w:r w:rsidRPr="00222F34">
              <w:rPr>
                <w:rFonts w:ascii="Calibri" w:eastAsia="Times New Roman" w:hAnsi="Calibri" w:cs="Calibri"/>
                <w:color w:val="000000"/>
                <w:lang w:val="es-CO" w:eastAsia="es-CO" w:bidi="ar-SA"/>
              </w:rPr>
              <w:t xml:space="preserve"> 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 En todos los casos, quien en ejercicio del derecho personal decida aceptar la curul en la corporación respectiva deberán declararse en oposición. </w:t>
            </w:r>
          </w:p>
        </w:tc>
        <w:tc>
          <w:tcPr>
            <w:tcW w:w="3798" w:type="dxa"/>
            <w:tcBorders>
              <w:top w:val="nil"/>
              <w:left w:val="nil"/>
              <w:bottom w:val="nil"/>
              <w:right w:val="single" w:sz="4" w:space="0" w:color="000000"/>
            </w:tcBorders>
            <w:shd w:val="clear" w:color="00FF00" w:fill="FFFFFF"/>
            <w:hideMark/>
          </w:tcPr>
          <w:p w14:paraId="4AA3BB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212.- Aplicación del estatuto de la oposición.</w:t>
            </w:r>
            <w:r w:rsidRPr="00222F34">
              <w:rPr>
                <w:rFonts w:ascii="Calibri" w:eastAsia="Times New Roman" w:hAnsi="Calibri" w:cs="Calibri"/>
                <w:color w:val="000000"/>
                <w:lang w:val="es-CO" w:eastAsia="es-CO" w:bidi="ar-SA"/>
              </w:rPr>
              <w:t xml:space="preserve"> 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 En todos los casos, quien en ejercicio del derecho personal decida aceptar la curul en la corporación respectiva deberán declararse en oposición, así como el </w:t>
            </w:r>
            <w:r w:rsidRPr="00222F34">
              <w:rPr>
                <w:rFonts w:ascii="Calibri" w:eastAsia="Times New Roman" w:hAnsi="Calibri" w:cs="Calibri"/>
                <w:color w:val="000000"/>
                <w:lang w:val="es-CO" w:eastAsia="es-CO" w:bidi="ar-SA"/>
              </w:rPr>
              <w:lastRenderedPageBreak/>
              <w:t>partido y/o movimiento político con personería jurídica, grupo significativo de ciudadanos y las coaliciones que avalaron su candidatura.</w:t>
            </w:r>
          </w:p>
        </w:tc>
        <w:tc>
          <w:tcPr>
            <w:tcW w:w="3798" w:type="dxa"/>
            <w:tcBorders>
              <w:top w:val="nil"/>
              <w:left w:val="nil"/>
              <w:bottom w:val="nil"/>
              <w:right w:val="single" w:sz="4" w:space="0" w:color="000000"/>
            </w:tcBorders>
            <w:shd w:val="clear" w:color="000000" w:fill="FFFFFF"/>
            <w:hideMark/>
          </w:tcPr>
          <w:p w14:paraId="0665CB7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212.- Aplicación del estatuto de la oposición.</w:t>
            </w:r>
            <w:r w:rsidRPr="00222F34">
              <w:rPr>
                <w:rFonts w:ascii="Calibri" w:eastAsia="Times New Roman" w:hAnsi="Calibri" w:cs="Calibri"/>
                <w:color w:val="000000"/>
                <w:lang w:val="es-CO" w:eastAsia="es-CO" w:bidi="ar-SA"/>
              </w:rPr>
              <w:t xml:space="preserve"> 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 En todos los casos, quien en ejercicio del derecho personal decida aceptar la curul en la corporación respectiva deberán declararse en oposición. </w:t>
            </w:r>
          </w:p>
        </w:tc>
        <w:tc>
          <w:tcPr>
            <w:tcW w:w="1480" w:type="dxa"/>
            <w:tcBorders>
              <w:top w:val="single" w:sz="4" w:space="0" w:color="000000"/>
              <w:left w:val="nil"/>
              <w:bottom w:val="nil"/>
              <w:right w:val="single" w:sz="4" w:space="0" w:color="000000"/>
            </w:tcBorders>
            <w:shd w:val="clear" w:color="000000" w:fill="FFFFFF"/>
            <w:hideMark/>
          </w:tcPr>
          <w:p w14:paraId="0A3BD94C" w14:textId="499A6849" w:rsidR="00CD4925" w:rsidRPr="00222F34" w:rsidRDefault="00DD4B5E"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D6D44D8"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23C92C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comisión escrutadora dejará constancia en el acta general de quien deba ser llamado a asumir la curul cuando el candidato que haya seguido en votación para alcaldía o gobernación acepte el derecho personal de ocupar la curul en la corporación, aplicando para tal efecto el umbral y la cifra repartidora sobre la totalidad de curules de la Corporación. Ante la no posesión, o que se presente una falta absoluta o temporal que, de lugar a reemplazo, el presidente de la respectiva corporación llamará inmediatamente al candidato que indique el acta general. </w:t>
            </w:r>
          </w:p>
        </w:tc>
        <w:tc>
          <w:tcPr>
            <w:tcW w:w="3798" w:type="dxa"/>
            <w:tcBorders>
              <w:top w:val="nil"/>
              <w:left w:val="nil"/>
              <w:bottom w:val="nil"/>
              <w:right w:val="single" w:sz="4" w:space="0" w:color="000000"/>
            </w:tcBorders>
            <w:shd w:val="clear" w:color="00FF00" w:fill="FFFFFF"/>
            <w:hideMark/>
          </w:tcPr>
          <w:p w14:paraId="77BEC4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escrutadora dejará constancia en el acta general de quien deba ser llamado a asumir la curul cuando el candidato que haya seguido en votación para alcaldía o gobernación acepte el derecho personal de ocupar la curul en la corporación, aplicando para tal efecto el umbral y la cifra repartidora sobre la totalidad de curules de la Corporación. Ante la no posesión, o que se presente una falta absoluta o temporal que, dé lugar a reemplazo, el presidente de la respectiva corporación llamará inmediatamente al candidato que indique el acta general.</w:t>
            </w:r>
          </w:p>
        </w:tc>
        <w:tc>
          <w:tcPr>
            <w:tcW w:w="3798" w:type="dxa"/>
            <w:tcBorders>
              <w:top w:val="nil"/>
              <w:left w:val="nil"/>
              <w:bottom w:val="nil"/>
              <w:right w:val="single" w:sz="4" w:space="0" w:color="000000"/>
            </w:tcBorders>
            <w:shd w:val="clear" w:color="000000" w:fill="FFFFFF"/>
            <w:hideMark/>
          </w:tcPr>
          <w:p w14:paraId="6C764A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comisión escrutadora dejará constancia en el acta general de quien deba ser llamado a asumir la curul cuando el candidato que haya seguido en votación para alcaldía o gobernación acepte el derecho personal de ocupar la curul en la corporación, aplicando para tal efecto el umbral y la cifra repartidora sobre la totalidad de curules de la Corporación. Ante la no posesión, o que se presente una falta absoluta o temporal que, de lugar a reemplazo, el presidente de la respectiva corporación llamará inmediatamente al candidato que indique el acta general. </w:t>
            </w:r>
          </w:p>
        </w:tc>
        <w:tc>
          <w:tcPr>
            <w:tcW w:w="1480" w:type="dxa"/>
            <w:tcBorders>
              <w:top w:val="nil"/>
              <w:left w:val="nil"/>
              <w:bottom w:val="nil"/>
              <w:right w:val="single" w:sz="4" w:space="0" w:color="000000"/>
            </w:tcBorders>
            <w:shd w:val="clear" w:color="000000" w:fill="FFFFFF"/>
            <w:hideMark/>
          </w:tcPr>
          <w:p w14:paraId="111212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08FA296" w14:textId="77777777" w:rsidTr="00222F34">
        <w:trPr>
          <w:trHeight w:val="945"/>
        </w:trPr>
        <w:tc>
          <w:tcPr>
            <w:tcW w:w="3798" w:type="dxa"/>
            <w:tcBorders>
              <w:top w:val="nil"/>
              <w:left w:val="single" w:sz="4" w:space="0" w:color="000000"/>
              <w:bottom w:val="nil"/>
              <w:right w:val="single" w:sz="4" w:space="0" w:color="000000"/>
            </w:tcBorders>
            <w:shd w:val="clear" w:color="000000" w:fill="FFFFFF"/>
            <w:hideMark/>
          </w:tcPr>
          <w:p w14:paraId="63F713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que el voto en blanco o promotores de este, obtengan la segunda votación en las elecciones de cargos uninominales, la misma se </w:t>
            </w:r>
            <w:r w:rsidRPr="00222F34">
              <w:rPr>
                <w:rFonts w:ascii="Calibri" w:eastAsia="Times New Roman" w:hAnsi="Calibri" w:cs="Calibri"/>
                <w:color w:val="000000"/>
                <w:lang w:val="es-CO" w:eastAsia="es-CO" w:bidi="ar-SA"/>
              </w:rPr>
              <w:lastRenderedPageBreak/>
              <w:t>asignará de acuerdo con la regla general prevista en el artículo 263 de la Constitución Política.</w:t>
            </w:r>
          </w:p>
        </w:tc>
        <w:tc>
          <w:tcPr>
            <w:tcW w:w="3798" w:type="dxa"/>
            <w:tcBorders>
              <w:top w:val="nil"/>
              <w:left w:val="nil"/>
              <w:bottom w:val="nil"/>
              <w:right w:val="single" w:sz="4" w:space="0" w:color="000000"/>
            </w:tcBorders>
            <w:shd w:val="clear" w:color="00FF00" w:fill="FFFFFF"/>
            <w:hideMark/>
          </w:tcPr>
          <w:p w14:paraId="18B3C0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caso de que el voto en blanco o promotores de este, obtengan la segunda votación en las elecciones de cargos uninominales, la misma se </w:t>
            </w:r>
            <w:r w:rsidRPr="00222F34">
              <w:rPr>
                <w:rFonts w:ascii="Calibri" w:eastAsia="Times New Roman" w:hAnsi="Calibri" w:cs="Calibri"/>
                <w:color w:val="000000"/>
                <w:lang w:val="es-CO" w:eastAsia="es-CO" w:bidi="ar-SA"/>
              </w:rPr>
              <w:lastRenderedPageBreak/>
              <w:t>asignará de acuerdo con la regla general prevista en el artículo 263 de la Constitución Política.</w:t>
            </w:r>
          </w:p>
        </w:tc>
        <w:tc>
          <w:tcPr>
            <w:tcW w:w="3798" w:type="dxa"/>
            <w:tcBorders>
              <w:top w:val="nil"/>
              <w:left w:val="nil"/>
              <w:bottom w:val="nil"/>
              <w:right w:val="single" w:sz="4" w:space="0" w:color="000000"/>
            </w:tcBorders>
            <w:shd w:val="clear" w:color="000000" w:fill="FFFFFF"/>
            <w:hideMark/>
          </w:tcPr>
          <w:p w14:paraId="42FB7E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caso de que el voto en blanco o promotores de este, obtengan la segunda votación en las elecciones de cargos uninominales, la misma se </w:t>
            </w:r>
            <w:r w:rsidRPr="00222F34">
              <w:rPr>
                <w:rFonts w:ascii="Calibri" w:eastAsia="Times New Roman" w:hAnsi="Calibri" w:cs="Calibri"/>
                <w:color w:val="000000"/>
                <w:lang w:val="es-CO" w:eastAsia="es-CO" w:bidi="ar-SA"/>
              </w:rPr>
              <w:lastRenderedPageBreak/>
              <w:t>asignará de acuerdo con la regla general prevista en el artículo 263 de la Constitución Política.</w:t>
            </w:r>
          </w:p>
        </w:tc>
        <w:tc>
          <w:tcPr>
            <w:tcW w:w="1480" w:type="dxa"/>
            <w:tcBorders>
              <w:top w:val="nil"/>
              <w:left w:val="nil"/>
              <w:bottom w:val="nil"/>
              <w:right w:val="single" w:sz="4" w:space="0" w:color="000000"/>
            </w:tcBorders>
            <w:shd w:val="clear" w:color="000000" w:fill="FFFFFF"/>
            <w:hideMark/>
          </w:tcPr>
          <w:p w14:paraId="452F3E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668277D"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FFC000" w:fill="FFFFFF"/>
            <w:hideMark/>
          </w:tcPr>
          <w:p w14:paraId="615D1CF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4C2C62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aspectos no previstos en este Código respecto de la actuación del integrante de la corporación pública electo en virtud del estatuto de oposición, será reglamentado por el Consejo Nacional Electoral.</w:t>
            </w:r>
          </w:p>
        </w:tc>
        <w:tc>
          <w:tcPr>
            <w:tcW w:w="3798" w:type="dxa"/>
            <w:tcBorders>
              <w:top w:val="nil"/>
              <w:left w:val="nil"/>
              <w:bottom w:val="single" w:sz="4" w:space="0" w:color="000000"/>
              <w:right w:val="single" w:sz="4" w:space="0" w:color="000000"/>
            </w:tcBorders>
            <w:shd w:val="clear" w:color="FFC000" w:fill="FFFFFF"/>
            <w:hideMark/>
          </w:tcPr>
          <w:p w14:paraId="5DCDB7F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3817DC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7561DE3"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4BFA36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209.- Sorteo ante resultados iguales en el escrutinio.</w:t>
            </w:r>
            <w:r w:rsidRPr="00222F34">
              <w:rPr>
                <w:rFonts w:ascii="Calibri" w:eastAsia="Times New Roman" w:hAnsi="Calibri" w:cs="Calibri"/>
                <w:color w:val="000000"/>
                <w:lang w:val="es-CO" w:eastAsia="es-CO" w:bidi="ar-SA"/>
              </w:rPr>
              <w:t xml:space="preserve"> Si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 </w:t>
            </w:r>
          </w:p>
        </w:tc>
        <w:tc>
          <w:tcPr>
            <w:tcW w:w="3798" w:type="dxa"/>
            <w:tcBorders>
              <w:top w:val="nil"/>
              <w:left w:val="nil"/>
              <w:bottom w:val="nil"/>
              <w:right w:val="single" w:sz="4" w:space="0" w:color="000000"/>
            </w:tcBorders>
            <w:shd w:val="clear" w:color="000000" w:fill="FFFFFF"/>
            <w:hideMark/>
          </w:tcPr>
          <w:p w14:paraId="26EC7A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213. Sorteo ante resultados iguales en el escrutinio. S</w:t>
            </w:r>
            <w:r w:rsidRPr="00222F34">
              <w:rPr>
                <w:rFonts w:ascii="Calibri" w:eastAsia="Times New Roman" w:hAnsi="Calibri" w:cs="Calibri"/>
                <w:color w:val="000000"/>
                <w:lang w:val="es-CO" w:eastAsia="es-CO" w:bidi="ar-SA"/>
              </w:rPr>
              <w:t>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w:t>
            </w:r>
          </w:p>
        </w:tc>
        <w:tc>
          <w:tcPr>
            <w:tcW w:w="3798" w:type="dxa"/>
            <w:tcBorders>
              <w:top w:val="nil"/>
              <w:left w:val="nil"/>
              <w:bottom w:val="nil"/>
              <w:right w:val="single" w:sz="4" w:space="0" w:color="000000"/>
            </w:tcBorders>
            <w:shd w:val="clear" w:color="000000" w:fill="FFFFFF"/>
            <w:hideMark/>
          </w:tcPr>
          <w:p w14:paraId="592C7F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213. Sorteo ante resultados iguales en el escrutinio. S</w:t>
            </w:r>
            <w:r w:rsidRPr="00222F34">
              <w:rPr>
                <w:rFonts w:ascii="Calibri" w:eastAsia="Times New Roman" w:hAnsi="Calibri" w:cs="Calibri"/>
                <w:color w:val="000000"/>
                <w:lang w:val="es-CO" w:eastAsia="es-CO" w:bidi="ar-SA"/>
              </w:rPr>
              <w:t>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w:t>
            </w:r>
          </w:p>
        </w:tc>
        <w:tc>
          <w:tcPr>
            <w:tcW w:w="1480" w:type="dxa"/>
            <w:tcBorders>
              <w:top w:val="single" w:sz="4" w:space="0" w:color="auto"/>
              <w:left w:val="nil"/>
              <w:bottom w:val="nil"/>
              <w:right w:val="single" w:sz="4" w:space="0" w:color="000000"/>
            </w:tcBorders>
            <w:shd w:val="clear" w:color="000000" w:fill="FFFFFF"/>
            <w:hideMark/>
          </w:tcPr>
          <w:p w14:paraId="1B195ECA" w14:textId="28C997B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F16B0E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DC551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cifra repartidora, se decidirá con el decimal que haga la diferencia y, de persistir el empate, mediante el sistema de sorteo aquí señalado. </w:t>
            </w:r>
          </w:p>
        </w:tc>
        <w:tc>
          <w:tcPr>
            <w:tcW w:w="3798" w:type="dxa"/>
            <w:tcBorders>
              <w:top w:val="nil"/>
              <w:left w:val="nil"/>
              <w:bottom w:val="nil"/>
              <w:right w:val="single" w:sz="4" w:space="0" w:color="000000"/>
            </w:tcBorders>
            <w:shd w:val="clear" w:color="000000" w:fill="FFFFFF"/>
            <w:hideMark/>
          </w:tcPr>
          <w:p w14:paraId="15CBD3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cifra repartidora, se decidirá con el decimal que haga la diferencia y, de persistir el empate, mediante el sistema de sorteo aquí señalado.</w:t>
            </w:r>
          </w:p>
        </w:tc>
        <w:tc>
          <w:tcPr>
            <w:tcW w:w="3798" w:type="dxa"/>
            <w:tcBorders>
              <w:top w:val="nil"/>
              <w:left w:val="nil"/>
              <w:bottom w:val="nil"/>
              <w:right w:val="single" w:sz="4" w:space="0" w:color="000000"/>
            </w:tcBorders>
            <w:shd w:val="clear" w:color="000000" w:fill="FFFFFF"/>
            <w:hideMark/>
          </w:tcPr>
          <w:p w14:paraId="476BA3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cifra repartidora, se decidirá con el decimal que haga la diferencia y, de persistir el empate, mediante el sistema de sorteo aquí señalado.</w:t>
            </w:r>
          </w:p>
        </w:tc>
        <w:tc>
          <w:tcPr>
            <w:tcW w:w="1480" w:type="dxa"/>
            <w:tcBorders>
              <w:top w:val="nil"/>
              <w:left w:val="nil"/>
              <w:bottom w:val="nil"/>
              <w:right w:val="single" w:sz="4" w:space="0" w:color="000000"/>
            </w:tcBorders>
            <w:shd w:val="clear" w:color="000000" w:fill="FFFFFF"/>
            <w:hideMark/>
          </w:tcPr>
          <w:p w14:paraId="076314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4541FD"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48D09B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transitorio.</w:t>
            </w:r>
            <w:r w:rsidRPr="00222F34">
              <w:rPr>
                <w:rFonts w:ascii="Calibri" w:eastAsia="Times New Roman" w:hAnsi="Calibri" w:cs="Calibri"/>
                <w:color w:val="000000"/>
                <w:lang w:val="es-CO" w:eastAsia="es-CO" w:bidi="ar-SA"/>
              </w:rPr>
              <w:t xml:space="preserve"> Durante los diez (10) años siguientes a la expedición de esta Ley, en caso de que el número de votos a favor de dos o más candidatos sea igual entre un hombre y una mujer, se elegirá a la mujer. </w:t>
            </w:r>
          </w:p>
        </w:tc>
        <w:tc>
          <w:tcPr>
            <w:tcW w:w="3798" w:type="dxa"/>
            <w:tcBorders>
              <w:top w:val="nil"/>
              <w:left w:val="nil"/>
              <w:bottom w:val="single" w:sz="4" w:space="0" w:color="000000"/>
              <w:right w:val="single" w:sz="4" w:space="0" w:color="000000"/>
            </w:tcBorders>
            <w:shd w:val="clear" w:color="000000" w:fill="FFFFFF"/>
            <w:hideMark/>
          </w:tcPr>
          <w:p w14:paraId="51BAD1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Durante los diez (10) años siguientes a la expedición de esta Ley, en caso de que el número de votos a favor de dos o más candidatos sea igual entre un hombre y una mujer, se elegirá a la mujer.</w:t>
            </w:r>
          </w:p>
        </w:tc>
        <w:tc>
          <w:tcPr>
            <w:tcW w:w="3798" w:type="dxa"/>
            <w:tcBorders>
              <w:top w:val="nil"/>
              <w:left w:val="nil"/>
              <w:bottom w:val="single" w:sz="4" w:space="0" w:color="000000"/>
              <w:right w:val="single" w:sz="4" w:space="0" w:color="000000"/>
            </w:tcBorders>
            <w:shd w:val="clear" w:color="000000" w:fill="FFFFFF"/>
            <w:hideMark/>
          </w:tcPr>
          <w:p w14:paraId="070221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Durante los diez (10) años siguientes a la expedición de esta Ley, en caso de que el número de votos a favor de dos o más candidatos sea igual entre un hombre y una mujer, se elegirá a la mujer.</w:t>
            </w:r>
          </w:p>
        </w:tc>
        <w:tc>
          <w:tcPr>
            <w:tcW w:w="1480" w:type="dxa"/>
            <w:tcBorders>
              <w:top w:val="nil"/>
              <w:left w:val="nil"/>
              <w:bottom w:val="single" w:sz="4" w:space="0" w:color="000000"/>
              <w:right w:val="single" w:sz="4" w:space="0" w:color="000000"/>
            </w:tcBorders>
            <w:shd w:val="clear" w:color="000000" w:fill="FFFFFF"/>
            <w:hideMark/>
          </w:tcPr>
          <w:p w14:paraId="77C8A3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13C5C4"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67017C0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210.- Notificaciones en los escrutinios.</w:t>
            </w:r>
            <w:r w:rsidRPr="00222F34">
              <w:rPr>
                <w:rFonts w:ascii="Calibri" w:eastAsia="Times New Roman" w:hAnsi="Calibri" w:cs="Calibri"/>
                <w:color w:val="000000"/>
                <w:lang w:val="es-CO" w:eastAsia="es-CO" w:bidi="ar-SA"/>
              </w:rPr>
              <w:t xml:space="preserve"> Las decisiones adoptadas durante los escrutinios se notificarán en estrados. </w:t>
            </w:r>
          </w:p>
        </w:tc>
        <w:tc>
          <w:tcPr>
            <w:tcW w:w="3798" w:type="dxa"/>
            <w:tcBorders>
              <w:top w:val="nil"/>
              <w:left w:val="nil"/>
              <w:bottom w:val="single" w:sz="4" w:space="0" w:color="000000"/>
              <w:right w:val="single" w:sz="4" w:space="0" w:color="000000"/>
            </w:tcBorders>
            <w:shd w:val="clear" w:color="000000" w:fill="FFFFFF"/>
            <w:hideMark/>
          </w:tcPr>
          <w:p w14:paraId="3EFFC8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214. Notificaciones en los escrutinios.</w:t>
            </w:r>
            <w:r w:rsidRPr="00222F34">
              <w:rPr>
                <w:rFonts w:ascii="Calibri" w:eastAsia="Times New Roman" w:hAnsi="Calibri" w:cs="Calibri"/>
                <w:color w:val="000000"/>
                <w:lang w:val="es-CO" w:eastAsia="es-CO" w:bidi="ar-SA"/>
              </w:rPr>
              <w:t xml:space="preserve"> Las decisiones adoptadas durante los escrutinios se notificarán en estrados.</w:t>
            </w:r>
          </w:p>
        </w:tc>
        <w:tc>
          <w:tcPr>
            <w:tcW w:w="3798" w:type="dxa"/>
            <w:tcBorders>
              <w:top w:val="nil"/>
              <w:left w:val="nil"/>
              <w:bottom w:val="single" w:sz="4" w:space="0" w:color="000000"/>
              <w:right w:val="single" w:sz="4" w:space="0" w:color="000000"/>
            </w:tcBorders>
            <w:shd w:val="clear" w:color="000000" w:fill="FFFFFF"/>
            <w:hideMark/>
          </w:tcPr>
          <w:p w14:paraId="75B5D3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214. Notificaciones en los escrutinios.</w:t>
            </w:r>
            <w:r w:rsidRPr="00222F34">
              <w:rPr>
                <w:rFonts w:ascii="Calibri" w:eastAsia="Times New Roman" w:hAnsi="Calibri" w:cs="Calibri"/>
                <w:color w:val="000000"/>
                <w:lang w:val="es-CO" w:eastAsia="es-CO" w:bidi="ar-SA"/>
              </w:rPr>
              <w:t xml:space="preserve"> Las decisiones adoptadas durante los escrutinios se notificarán en estrados.</w:t>
            </w:r>
          </w:p>
        </w:tc>
        <w:tc>
          <w:tcPr>
            <w:tcW w:w="1480" w:type="dxa"/>
            <w:tcBorders>
              <w:top w:val="nil"/>
              <w:left w:val="nil"/>
              <w:bottom w:val="nil"/>
              <w:right w:val="single" w:sz="4" w:space="0" w:color="000000"/>
            </w:tcBorders>
            <w:shd w:val="clear" w:color="000000" w:fill="FFFFFF"/>
            <w:hideMark/>
          </w:tcPr>
          <w:p w14:paraId="5B8C2928" w14:textId="5CCE84C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0034F7A"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3096A8B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211.- Traslado y custodia de documentos electorales.</w:t>
            </w:r>
            <w:r w:rsidRPr="00222F34">
              <w:rPr>
                <w:rFonts w:ascii="Calibri" w:eastAsia="Times New Roman" w:hAnsi="Calibri" w:cs="Calibri"/>
                <w:color w:val="000000"/>
                <w:lang w:val="es-CO" w:eastAsia="es-CO" w:bidi="ar-SA"/>
              </w:rPr>
              <w:t xml:space="preserve"> Los registradores 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 </w:t>
            </w:r>
          </w:p>
        </w:tc>
        <w:tc>
          <w:tcPr>
            <w:tcW w:w="3798" w:type="dxa"/>
            <w:tcBorders>
              <w:top w:val="nil"/>
              <w:left w:val="nil"/>
              <w:bottom w:val="single" w:sz="4" w:space="0" w:color="000000"/>
              <w:right w:val="single" w:sz="4" w:space="0" w:color="000000"/>
            </w:tcBorders>
            <w:shd w:val="clear" w:color="000000" w:fill="FFFFFF"/>
            <w:hideMark/>
          </w:tcPr>
          <w:p w14:paraId="1ED2B3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215.- Traslado y custodia de documentos electorales.</w:t>
            </w:r>
            <w:r w:rsidRPr="00222F34">
              <w:rPr>
                <w:rFonts w:ascii="Calibri" w:eastAsia="Times New Roman" w:hAnsi="Calibri" w:cs="Calibri"/>
                <w:color w:val="000000"/>
                <w:lang w:val="es-CO" w:eastAsia="es-CO" w:bidi="ar-SA"/>
              </w:rPr>
              <w:t xml:space="preserve"> Los registradores 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w:t>
            </w:r>
          </w:p>
        </w:tc>
        <w:tc>
          <w:tcPr>
            <w:tcW w:w="3798" w:type="dxa"/>
            <w:tcBorders>
              <w:top w:val="nil"/>
              <w:left w:val="nil"/>
              <w:bottom w:val="single" w:sz="4" w:space="0" w:color="000000"/>
              <w:right w:val="single" w:sz="4" w:space="0" w:color="000000"/>
            </w:tcBorders>
            <w:shd w:val="clear" w:color="000000" w:fill="FFFFFF"/>
            <w:hideMark/>
          </w:tcPr>
          <w:p w14:paraId="14323D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215.- Traslado y custodia de documentos electorales.</w:t>
            </w:r>
            <w:r w:rsidRPr="00222F34">
              <w:rPr>
                <w:rFonts w:ascii="Calibri" w:eastAsia="Times New Roman" w:hAnsi="Calibri" w:cs="Calibri"/>
                <w:color w:val="000000"/>
                <w:lang w:val="es-CO" w:eastAsia="es-CO" w:bidi="ar-SA"/>
              </w:rPr>
              <w:t xml:space="preserve"> Los registradores 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w:t>
            </w:r>
          </w:p>
        </w:tc>
        <w:tc>
          <w:tcPr>
            <w:tcW w:w="1480" w:type="dxa"/>
            <w:tcBorders>
              <w:top w:val="single" w:sz="4" w:space="0" w:color="000000"/>
              <w:left w:val="nil"/>
              <w:bottom w:val="single" w:sz="4" w:space="0" w:color="000000"/>
              <w:right w:val="single" w:sz="4" w:space="0" w:color="000000"/>
            </w:tcBorders>
            <w:shd w:val="clear" w:color="000000" w:fill="FFFFFF"/>
            <w:hideMark/>
          </w:tcPr>
          <w:p w14:paraId="66615B95" w14:textId="00A27B6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45C147D"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5A0CC7D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212.- Publicación de resultados y estadísticas electorales.</w:t>
            </w:r>
            <w:r w:rsidRPr="00222F34">
              <w:rPr>
                <w:rFonts w:ascii="Calibri" w:eastAsia="Times New Roman" w:hAnsi="Calibri" w:cs="Calibri"/>
                <w:color w:val="000000"/>
                <w:lang w:val="es-CO" w:eastAsia="es-CO" w:bidi="ar-SA"/>
              </w:rPr>
              <w:t xml:space="preserve"> La Registraduría Nacional del Estado Civil deberá mantener en su página web los resultados electorales de cada elección en formato de datos abiertos y dispondrá un sistema de estadísticas electorales histórico que integre los comicios realizados, acorde con el </w:t>
            </w:r>
            <w:r w:rsidRPr="00222F34">
              <w:rPr>
                <w:rFonts w:ascii="Calibri" w:eastAsia="Times New Roman" w:hAnsi="Calibri" w:cs="Calibri"/>
                <w:color w:val="000000"/>
                <w:lang w:val="es-CO" w:eastAsia="es-CO" w:bidi="ar-SA"/>
              </w:rPr>
              <w:lastRenderedPageBreak/>
              <w:t xml:space="preserve">Sistema Nacional de Estadísticas, para que puedan ser consultados por cualquier particular o autoridad pública. </w:t>
            </w:r>
          </w:p>
        </w:tc>
        <w:tc>
          <w:tcPr>
            <w:tcW w:w="3798" w:type="dxa"/>
            <w:tcBorders>
              <w:top w:val="nil"/>
              <w:left w:val="nil"/>
              <w:bottom w:val="nil"/>
              <w:right w:val="single" w:sz="4" w:space="0" w:color="000000"/>
            </w:tcBorders>
            <w:shd w:val="clear" w:color="000000" w:fill="FFFFFF"/>
            <w:hideMark/>
          </w:tcPr>
          <w:p w14:paraId="375AAE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216.- Publicación de resultados y estadísticas electorales. </w:t>
            </w:r>
            <w:r w:rsidRPr="00222F34">
              <w:rPr>
                <w:rFonts w:ascii="Calibri" w:eastAsia="Times New Roman" w:hAnsi="Calibri" w:cs="Calibri"/>
                <w:color w:val="000000"/>
                <w:lang w:val="es-CO" w:eastAsia="es-CO" w:bidi="ar-SA"/>
              </w:rPr>
              <w:t xml:space="preserve">La Registraduría Nacional del Estado Civil deberá mantener en su página web los resultados electorales de cada elección en formato de datos abiertos y dispondrá un sistema de estadísticas electorales histórico que integre los comicios realizados, acorde con el </w:t>
            </w:r>
            <w:r w:rsidRPr="00222F34">
              <w:rPr>
                <w:rFonts w:ascii="Calibri" w:eastAsia="Times New Roman" w:hAnsi="Calibri" w:cs="Calibri"/>
                <w:color w:val="000000"/>
                <w:lang w:val="es-CO" w:eastAsia="es-CO" w:bidi="ar-SA"/>
              </w:rPr>
              <w:lastRenderedPageBreak/>
              <w:t>Sistema Nacional de Estadísticas, para que puedan ser consultados por cualquier particular o autoridad pública.</w:t>
            </w:r>
          </w:p>
        </w:tc>
        <w:tc>
          <w:tcPr>
            <w:tcW w:w="3798" w:type="dxa"/>
            <w:tcBorders>
              <w:top w:val="nil"/>
              <w:left w:val="nil"/>
              <w:bottom w:val="nil"/>
              <w:right w:val="single" w:sz="4" w:space="0" w:color="000000"/>
            </w:tcBorders>
            <w:shd w:val="clear" w:color="000000" w:fill="FFFFFF"/>
            <w:hideMark/>
          </w:tcPr>
          <w:p w14:paraId="2CE88E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216.- Publicación de resultados y estadísticas electorales. </w:t>
            </w:r>
            <w:r w:rsidRPr="00222F34">
              <w:rPr>
                <w:rFonts w:ascii="Calibri" w:eastAsia="Times New Roman" w:hAnsi="Calibri" w:cs="Calibri"/>
                <w:color w:val="000000"/>
                <w:lang w:val="es-CO" w:eastAsia="es-CO" w:bidi="ar-SA"/>
              </w:rPr>
              <w:t xml:space="preserve">La Registraduría Nacional del Estado Civil deberá mantener en su página web los resultados electorales de cada elección en formato de datos abiertos y dispondrá un sistema de estadísticas electorales histórico que integre los comicios realizados, acorde con el </w:t>
            </w:r>
            <w:r w:rsidRPr="00222F34">
              <w:rPr>
                <w:rFonts w:ascii="Calibri" w:eastAsia="Times New Roman" w:hAnsi="Calibri" w:cs="Calibri"/>
                <w:color w:val="000000"/>
                <w:lang w:val="es-CO" w:eastAsia="es-CO" w:bidi="ar-SA"/>
              </w:rPr>
              <w:lastRenderedPageBreak/>
              <w:t>Sistema Nacional de Estadísticas, para que puedan ser consultados por cualquier particular o autoridad pública.</w:t>
            </w:r>
          </w:p>
        </w:tc>
        <w:tc>
          <w:tcPr>
            <w:tcW w:w="1480" w:type="dxa"/>
            <w:tcBorders>
              <w:top w:val="nil"/>
              <w:left w:val="nil"/>
              <w:bottom w:val="nil"/>
              <w:right w:val="single" w:sz="4" w:space="0" w:color="000000"/>
            </w:tcBorders>
            <w:shd w:val="clear" w:color="000000" w:fill="FFFFFF"/>
            <w:hideMark/>
          </w:tcPr>
          <w:p w14:paraId="70B0A94E" w14:textId="3CDFE8E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05426C7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B8AE2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contará con una dirección de analítica de datos e implementación de tecnologías de inteligencia artificial. El ejercicio de esta dirección, en todo caso, deberá cumplir con los estándares de protección del derecho al habeas data. </w:t>
            </w:r>
          </w:p>
        </w:tc>
        <w:tc>
          <w:tcPr>
            <w:tcW w:w="3798" w:type="dxa"/>
            <w:tcBorders>
              <w:top w:val="nil"/>
              <w:left w:val="nil"/>
              <w:bottom w:val="nil"/>
              <w:right w:val="single" w:sz="4" w:space="0" w:color="000000"/>
            </w:tcBorders>
            <w:shd w:val="clear" w:color="000000" w:fill="FFFFFF"/>
            <w:hideMark/>
          </w:tcPr>
          <w:p w14:paraId="3A276D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contará con una dirección de analítica de datos e implementación de tecnologías de inteligencia artificial. El ejercicio de esta dirección, en todo caso, deberá cumplir con los estándares de protección del derecho al habeas data.</w:t>
            </w:r>
          </w:p>
        </w:tc>
        <w:tc>
          <w:tcPr>
            <w:tcW w:w="3798" w:type="dxa"/>
            <w:tcBorders>
              <w:top w:val="nil"/>
              <w:left w:val="nil"/>
              <w:bottom w:val="nil"/>
              <w:right w:val="single" w:sz="4" w:space="0" w:color="000000"/>
            </w:tcBorders>
            <w:shd w:val="clear" w:color="000000" w:fill="FFFFFF"/>
            <w:hideMark/>
          </w:tcPr>
          <w:p w14:paraId="15A57E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contará con una dirección de analítica de datos e implementación de tecnologías de inteligencia artificial. El ejercicio de esta dirección, en todo caso, deberá cumplir con los estándares de protección del derecho al habeas data.</w:t>
            </w:r>
          </w:p>
        </w:tc>
        <w:tc>
          <w:tcPr>
            <w:tcW w:w="1480" w:type="dxa"/>
            <w:tcBorders>
              <w:top w:val="nil"/>
              <w:left w:val="nil"/>
              <w:bottom w:val="nil"/>
              <w:right w:val="single" w:sz="4" w:space="0" w:color="000000"/>
            </w:tcBorders>
            <w:shd w:val="clear" w:color="000000" w:fill="FFFFFF"/>
            <w:hideMark/>
          </w:tcPr>
          <w:p w14:paraId="08ECF3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DD70CD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047037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deberá garantizar la presentación de datos desagregados como mínimo por sexo y grupo etario. </w:t>
            </w:r>
          </w:p>
        </w:tc>
        <w:tc>
          <w:tcPr>
            <w:tcW w:w="3798" w:type="dxa"/>
            <w:tcBorders>
              <w:top w:val="nil"/>
              <w:left w:val="nil"/>
              <w:bottom w:val="nil"/>
              <w:right w:val="single" w:sz="4" w:space="0" w:color="000000"/>
            </w:tcBorders>
            <w:shd w:val="clear" w:color="000000" w:fill="FFFFFF"/>
            <w:hideMark/>
          </w:tcPr>
          <w:p w14:paraId="1F5CD2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Registraduría Nacional del Estado Civil deberá garantizar la presentación de datos desagregados como mínimo por sexo y grupo etario.</w:t>
            </w:r>
          </w:p>
        </w:tc>
        <w:tc>
          <w:tcPr>
            <w:tcW w:w="3798" w:type="dxa"/>
            <w:tcBorders>
              <w:top w:val="nil"/>
              <w:left w:val="nil"/>
              <w:bottom w:val="nil"/>
              <w:right w:val="single" w:sz="4" w:space="0" w:color="000000"/>
            </w:tcBorders>
            <w:shd w:val="clear" w:color="000000" w:fill="FFFFFF"/>
            <w:hideMark/>
          </w:tcPr>
          <w:p w14:paraId="4715DB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Registraduría Nacional del Estado Civil deberá garantizar la presentación de datos desagregados como mínimo por sexo y grupo etario.</w:t>
            </w:r>
          </w:p>
        </w:tc>
        <w:tc>
          <w:tcPr>
            <w:tcW w:w="1480" w:type="dxa"/>
            <w:tcBorders>
              <w:top w:val="nil"/>
              <w:left w:val="nil"/>
              <w:bottom w:val="nil"/>
              <w:right w:val="single" w:sz="4" w:space="0" w:color="000000"/>
            </w:tcBorders>
            <w:shd w:val="clear" w:color="000000" w:fill="FFFFFF"/>
            <w:hideMark/>
          </w:tcPr>
          <w:p w14:paraId="2CA480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3BBBEC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E13F4D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La Registraduria Nacional del Estado Civil deberá garantizar que todos los formularios que se emitan en el proceso electoral sean públicos, respetando la reserva legal de los datos contenidos según las reglas de habeas data previstas en la Ley 1581 de 2012 o norma que la modifique, derogue o sustituya.</w:t>
            </w:r>
          </w:p>
        </w:tc>
        <w:tc>
          <w:tcPr>
            <w:tcW w:w="3798" w:type="dxa"/>
            <w:tcBorders>
              <w:top w:val="nil"/>
              <w:left w:val="nil"/>
              <w:bottom w:val="nil"/>
              <w:right w:val="single" w:sz="4" w:space="0" w:color="000000"/>
            </w:tcBorders>
            <w:shd w:val="clear" w:color="000000" w:fill="FFFFFF"/>
            <w:hideMark/>
          </w:tcPr>
          <w:p w14:paraId="5EA57F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deberá garantizar que todos los formularios que se emitan en el proceso electoral sean públicos, respetando la reserva legal de los datos contenidos según las reglas de habeas data previstas en la Ley 1581 de 2012 o norma que la modifique, derogue o sustituya.</w:t>
            </w:r>
          </w:p>
        </w:tc>
        <w:tc>
          <w:tcPr>
            <w:tcW w:w="3798" w:type="dxa"/>
            <w:tcBorders>
              <w:top w:val="nil"/>
              <w:left w:val="nil"/>
              <w:bottom w:val="nil"/>
              <w:right w:val="single" w:sz="4" w:space="0" w:color="000000"/>
            </w:tcBorders>
            <w:shd w:val="clear" w:color="000000" w:fill="FFFFFF"/>
            <w:hideMark/>
          </w:tcPr>
          <w:p w14:paraId="0E1C1A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deberá garantizar que todos los formularios que se emitan en el proceso electoral sean públicos, respetando la reserva legal de los datos contenidos según las reglas de habeas data previstas en la Ley 1581 de 2012 o norma que la modifique, derogue o sustituya.</w:t>
            </w:r>
          </w:p>
        </w:tc>
        <w:tc>
          <w:tcPr>
            <w:tcW w:w="1480" w:type="dxa"/>
            <w:tcBorders>
              <w:top w:val="nil"/>
              <w:left w:val="nil"/>
              <w:bottom w:val="nil"/>
              <w:right w:val="single" w:sz="4" w:space="0" w:color="000000"/>
            </w:tcBorders>
            <w:shd w:val="clear" w:color="000000" w:fill="FFFFFF"/>
            <w:hideMark/>
          </w:tcPr>
          <w:p w14:paraId="6739E9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AEA4D80"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FFC000" w:fill="FFFFFF"/>
            <w:hideMark/>
          </w:tcPr>
          <w:p w14:paraId="4491BDA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0000" w:fill="FFFFFF"/>
            <w:hideMark/>
          </w:tcPr>
          <w:p w14:paraId="26251A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Lo anterior, sin perjuicio de que todas las Registradurías municipales, distritales y departamentales publiquen mediante medios físicos en sus sedes, la misma información que publica la Registraduría Nacional del Estado civil frente a su circunscripción territorial.</w:t>
            </w:r>
          </w:p>
        </w:tc>
        <w:tc>
          <w:tcPr>
            <w:tcW w:w="3798" w:type="dxa"/>
            <w:tcBorders>
              <w:top w:val="nil"/>
              <w:left w:val="nil"/>
              <w:bottom w:val="single" w:sz="4" w:space="0" w:color="000000"/>
              <w:right w:val="single" w:sz="4" w:space="0" w:color="000000"/>
            </w:tcBorders>
            <w:shd w:val="clear" w:color="000000" w:fill="FFFFFF"/>
            <w:hideMark/>
          </w:tcPr>
          <w:p w14:paraId="7863D2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288900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E92E8D0"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79ABEAA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213.- Denuncia por doble o múltiple votación.</w:t>
            </w:r>
            <w:r w:rsidRPr="00222F34">
              <w:rPr>
                <w:rFonts w:ascii="Calibri" w:eastAsia="Times New Roman" w:hAnsi="Calibri" w:cs="Calibri"/>
                <w:color w:val="000000"/>
                <w:lang w:val="es-CO" w:eastAsia="es-CO" w:bidi="ar-SA"/>
              </w:rPr>
              <w:t xml:space="preserve"> Concluidos los escrutinios, la Registraduría Nacional del Estado Civil revisará cuidadosamente los registros de votantes y las listas de sufragantes, para establecer entre estos la doble o múltiple votación. Comprobado tal hecho, formulará la denuncia correspondiente ante autoridad competente. </w:t>
            </w:r>
          </w:p>
        </w:tc>
        <w:tc>
          <w:tcPr>
            <w:tcW w:w="3798" w:type="dxa"/>
            <w:tcBorders>
              <w:top w:val="nil"/>
              <w:left w:val="nil"/>
              <w:bottom w:val="single" w:sz="4" w:space="0" w:color="000000"/>
              <w:right w:val="single" w:sz="4" w:space="0" w:color="000000"/>
            </w:tcBorders>
            <w:shd w:val="clear" w:color="000000" w:fill="FFFFFF"/>
            <w:hideMark/>
          </w:tcPr>
          <w:p w14:paraId="53553F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217.- Denuncia por doble o múltiple votación.</w:t>
            </w:r>
            <w:r w:rsidRPr="00222F34">
              <w:rPr>
                <w:rFonts w:ascii="Calibri" w:eastAsia="Times New Roman" w:hAnsi="Calibri" w:cs="Calibri"/>
                <w:color w:val="000000"/>
                <w:lang w:val="es-CO" w:eastAsia="es-CO" w:bidi="ar-SA"/>
              </w:rPr>
              <w:t xml:space="preserve"> Concluidos los escrutinios, la Registraduría Nacional del Estado Civil revisará cuidadosamente los registros de votantes y las listas de sufragantes, para establecer entre estos la doble o múltiple votación. Comprobado tal hecho, formulará la denuncia correspondiente ante autoridad competente.</w:t>
            </w:r>
          </w:p>
        </w:tc>
        <w:tc>
          <w:tcPr>
            <w:tcW w:w="3798" w:type="dxa"/>
            <w:tcBorders>
              <w:top w:val="nil"/>
              <w:left w:val="nil"/>
              <w:bottom w:val="single" w:sz="4" w:space="0" w:color="000000"/>
              <w:right w:val="single" w:sz="4" w:space="0" w:color="000000"/>
            </w:tcBorders>
            <w:shd w:val="clear" w:color="000000" w:fill="FFFFFF"/>
            <w:hideMark/>
          </w:tcPr>
          <w:p w14:paraId="087080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217.- Denuncia por doble o múltiple votación.</w:t>
            </w:r>
            <w:r w:rsidRPr="00222F34">
              <w:rPr>
                <w:rFonts w:ascii="Calibri" w:eastAsia="Times New Roman" w:hAnsi="Calibri" w:cs="Calibri"/>
                <w:color w:val="000000"/>
                <w:lang w:val="es-CO" w:eastAsia="es-CO" w:bidi="ar-SA"/>
              </w:rPr>
              <w:t xml:space="preserve"> Concluidos los escrutinios, la Registraduría Nacional del Estado Civil revisará cuidadosamente los registros de votantes y las listas de sufragantes, para establecer entre estos la doble o múltiple votación. Comprobado tal hecho, formulará la denuncia correspondiente ante autoridad competente.</w:t>
            </w:r>
          </w:p>
        </w:tc>
        <w:tc>
          <w:tcPr>
            <w:tcW w:w="1480" w:type="dxa"/>
            <w:tcBorders>
              <w:top w:val="single" w:sz="4" w:space="0" w:color="auto"/>
              <w:left w:val="nil"/>
              <w:bottom w:val="nil"/>
              <w:right w:val="single" w:sz="4" w:space="0" w:color="000000"/>
            </w:tcBorders>
            <w:shd w:val="clear" w:color="000000" w:fill="FFFFFF"/>
            <w:hideMark/>
          </w:tcPr>
          <w:p w14:paraId="5EFA2CBB" w14:textId="3E460C2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0CC4D1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4FA361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VII</w:t>
            </w:r>
          </w:p>
        </w:tc>
        <w:tc>
          <w:tcPr>
            <w:tcW w:w="3798" w:type="dxa"/>
            <w:tcBorders>
              <w:top w:val="nil"/>
              <w:left w:val="nil"/>
              <w:bottom w:val="nil"/>
              <w:right w:val="single" w:sz="4" w:space="0" w:color="000000"/>
            </w:tcBorders>
            <w:shd w:val="clear" w:color="000000" w:fill="FFFFFF"/>
            <w:hideMark/>
          </w:tcPr>
          <w:p w14:paraId="2DFA425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VII</w:t>
            </w:r>
          </w:p>
        </w:tc>
        <w:tc>
          <w:tcPr>
            <w:tcW w:w="3798" w:type="dxa"/>
            <w:tcBorders>
              <w:top w:val="nil"/>
              <w:left w:val="nil"/>
              <w:bottom w:val="nil"/>
              <w:right w:val="single" w:sz="4" w:space="0" w:color="000000"/>
            </w:tcBorders>
            <w:shd w:val="clear" w:color="000000" w:fill="FFFFFF"/>
            <w:hideMark/>
          </w:tcPr>
          <w:p w14:paraId="74CEB9B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VII</w:t>
            </w:r>
          </w:p>
        </w:tc>
        <w:tc>
          <w:tcPr>
            <w:tcW w:w="1480" w:type="dxa"/>
            <w:tcBorders>
              <w:top w:val="single" w:sz="4" w:space="0" w:color="000000"/>
              <w:left w:val="nil"/>
              <w:bottom w:val="nil"/>
              <w:right w:val="single" w:sz="4" w:space="0" w:color="000000"/>
            </w:tcBorders>
            <w:shd w:val="clear" w:color="000000" w:fill="FFFFFF"/>
            <w:hideMark/>
          </w:tcPr>
          <w:p w14:paraId="39B8C7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A6E6C4B"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8B6D954"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Procedimiento para atender solicitudes de saneamiento de vicios de nulidad</w:t>
            </w:r>
          </w:p>
        </w:tc>
        <w:tc>
          <w:tcPr>
            <w:tcW w:w="3798" w:type="dxa"/>
            <w:tcBorders>
              <w:top w:val="nil"/>
              <w:left w:val="nil"/>
              <w:bottom w:val="single" w:sz="4" w:space="0" w:color="000000"/>
              <w:right w:val="single" w:sz="4" w:space="0" w:color="000000"/>
            </w:tcBorders>
            <w:shd w:val="clear" w:color="000000" w:fill="FFFFFF"/>
            <w:hideMark/>
          </w:tcPr>
          <w:p w14:paraId="59BC412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Procedimiento para atender solicitudes de saneamiento de vicios de nulidad</w:t>
            </w:r>
          </w:p>
        </w:tc>
        <w:tc>
          <w:tcPr>
            <w:tcW w:w="3798" w:type="dxa"/>
            <w:tcBorders>
              <w:top w:val="nil"/>
              <w:left w:val="nil"/>
              <w:bottom w:val="single" w:sz="4" w:space="0" w:color="000000"/>
              <w:right w:val="single" w:sz="4" w:space="0" w:color="000000"/>
            </w:tcBorders>
            <w:shd w:val="clear" w:color="000000" w:fill="FFFFFF"/>
            <w:hideMark/>
          </w:tcPr>
          <w:p w14:paraId="261C987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Procedimiento para atender solicitudes de saneamiento de vicios de nulidad</w:t>
            </w:r>
          </w:p>
        </w:tc>
        <w:tc>
          <w:tcPr>
            <w:tcW w:w="1480" w:type="dxa"/>
            <w:tcBorders>
              <w:top w:val="nil"/>
              <w:left w:val="nil"/>
              <w:bottom w:val="nil"/>
              <w:right w:val="single" w:sz="4" w:space="0" w:color="000000"/>
            </w:tcBorders>
            <w:shd w:val="clear" w:color="000000" w:fill="FFFFFF"/>
            <w:hideMark/>
          </w:tcPr>
          <w:p w14:paraId="3210D2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A63F3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93D5D5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214.- Competencia.</w:t>
            </w:r>
            <w:r w:rsidRPr="00222F34">
              <w:rPr>
                <w:rFonts w:ascii="Calibri" w:eastAsia="Times New Roman" w:hAnsi="Calibri" w:cs="Calibri"/>
                <w:color w:val="000000"/>
                <w:lang w:val="es-CO" w:eastAsia="es-CO" w:bidi="ar-SA"/>
              </w:rPr>
              <w:t xml:space="preserve"> El Consejo Nacional Electoral y las comisiones escrutadoras del Distrito Capital, distrital y general de Bogotá D.C., departamentales, municipales y zonales son competentes para atender las solicitudes de saneamiento de vicios de nulidad. </w:t>
            </w:r>
          </w:p>
        </w:tc>
        <w:tc>
          <w:tcPr>
            <w:tcW w:w="3798" w:type="dxa"/>
            <w:tcBorders>
              <w:top w:val="nil"/>
              <w:left w:val="nil"/>
              <w:bottom w:val="nil"/>
              <w:right w:val="single" w:sz="4" w:space="0" w:color="000000"/>
            </w:tcBorders>
            <w:shd w:val="clear" w:color="000000" w:fill="FFFFFF"/>
            <w:hideMark/>
          </w:tcPr>
          <w:p w14:paraId="123312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218.- Competencia.</w:t>
            </w:r>
            <w:r w:rsidRPr="00222F34">
              <w:rPr>
                <w:rFonts w:ascii="Calibri" w:eastAsia="Times New Roman" w:hAnsi="Calibri" w:cs="Calibri"/>
                <w:color w:val="000000"/>
                <w:lang w:val="es-CO" w:eastAsia="es-CO" w:bidi="ar-SA"/>
              </w:rPr>
              <w:t xml:space="preserve"> El Consejo Nacional Electoral y las comisiones escrutadoras del Distrito Capital, distrital y general de Bogotá D.C., departamentales, municipales y zonales son competentes para atender las solicitudes de saneamiento de vicios de nulidad electoral.</w:t>
            </w:r>
          </w:p>
        </w:tc>
        <w:tc>
          <w:tcPr>
            <w:tcW w:w="3798" w:type="dxa"/>
            <w:tcBorders>
              <w:top w:val="nil"/>
              <w:left w:val="nil"/>
              <w:bottom w:val="nil"/>
              <w:right w:val="single" w:sz="4" w:space="0" w:color="000000"/>
            </w:tcBorders>
            <w:shd w:val="clear" w:color="000000" w:fill="FFFFFF"/>
            <w:hideMark/>
          </w:tcPr>
          <w:p w14:paraId="4C6AB2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218.- Competencia.</w:t>
            </w:r>
            <w:r w:rsidRPr="00222F34">
              <w:rPr>
                <w:rFonts w:ascii="Calibri" w:eastAsia="Times New Roman" w:hAnsi="Calibri" w:cs="Calibri"/>
                <w:color w:val="000000"/>
                <w:lang w:val="es-CO" w:eastAsia="es-CO" w:bidi="ar-SA"/>
              </w:rPr>
              <w:t xml:space="preserve"> El Consejo Nacional Electoral y las comisiones escrutadoras del Distrito Capital, distrital y general de Bogotá D.C., departamentales, municipales y zonales son competentes para atender las solicitudes de saneamiento de vicios de nulidad electoral.</w:t>
            </w:r>
          </w:p>
        </w:tc>
        <w:tc>
          <w:tcPr>
            <w:tcW w:w="1480" w:type="dxa"/>
            <w:tcBorders>
              <w:top w:val="single" w:sz="4" w:space="0" w:color="000000"/>
              <w:left w:val="nil"/>
              <w:bottom w:val="single" w:sz="4" w:space="0" w:color="000000"/>
              <w:right w:val="single" w:sz="4" w:space="0" w:color="000000"/>
            </w:tcBorders>
            <w:shd w:val="clear" w:color="000000" w:fill="FFFFFF"/>
            <w:hideMark/>
          </w:tcPr>
          <w:p w14:paraId="3441F6CF" w14:textId="69A92697"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37A436C" w14:textId="77777777" w:rsidTr="00222F34">
        <w:trPr>
          <w:trHeight w:val="1200"/>
        </w:trPr>
        <w:tc>
          <w:tcPr>
            <w:tcW w:w="3798" w:type="dxa"/>
            <w:tcBorders>
              <w:top w:val="single" w:sz="4" w:space="0" w:color="000000"/>
              <w:left w:val="single" w:sz="4" w:space="0" w:color="000000"/>
              <w:bottom w:val="nil"/>
              <w:right w:val="single" w:sz="4" w:space="0" w:color="000000"/>
            </w:tcBorders>
            <w:shd w:val="clear" w:color="000000" w:fill="FFFFFF"/>
            <w:hideMark/>
          </w:tcPr>
          <w:p w14:paraId="41D3D68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215. Solicitud de saneamiento de nulidades.</w:t>
            </w:r>
            <w:r w:rsidRPr="00222F34">
              <w:rPr>
                <w:rFonts w:ascii="Calibri" w:eastAsia="Times New Roman" w:hAnsi="Calibri" w:cs="Calibri"/>
                <w:color w:val="000000"/>
                <w:lang w:val="es-CO" w:eastAsia="es-CO" w:bidi="ar-SA"/>
              </w:rPr>
              <w:t xml:space="preserve"> Cualquier persona o el Ministerio Público podrán solicitar el saneamiento de nulidades en el proceso de votación y escrutinio con base en hechos, que puedan afectar la validez de la declaración de elección y/o la verdad de lo resultados. </w:t>
            </w:r>
          </w:p>
        </w:tc>
        <w:tc>
          <w:tcPr>
            <w:tcW w:w="3798" w:type="dxa"/>
            <w:tcBorders>
              <w:top w:val="single" w:sz="4" w:space="0" w:color="000000"/>
              <w:left w:val="nil"/>
              <w:bottom w:val="nil"/>
              <w:right w:val="single" w:sz="4" w:space="0" w:color="000000"/>
            </w:tcBorders>
            <w:shd w:val="clear" w:color="000000" w:fill="FFFFFF"/>
            <w:hideMark/>
          </w:tcPr>
          <w:p w14:paraId="76DADA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219. Solicitud de saneamiento de nulidades. </w:t>
            </w:r>
            <w:r w:rsidRPr="00222F34">
              <w:rPr>
                <w:rFonts w:ascii="Calibri" w:eastAsia="Times New Roman" w:hAnsi="Calibri" w:cs="Calibri"/>
                <w:color w:val="000000"/>
                <w:lang w:val="es-CO" w:eastAsia="es-CO" w:bidi="ar-SA"/>
              </w:rPr>
              <w:t>Cualquier persona o el Ministerio Público podrán solicitar el saneamiento de nulidades en el proceso de votación y escrutinio con base en hechos, que puedan afectar la validez de la declaración de elección y/o la verdad de los resultados.</w:t>
            </w:r>
          </w:p>
        </w:tc>
        <w:tc>
          <w:tcPr>
            <w:tcW w:w="3798" w:type="dxa"/>
            <w:tcBorders>
              <w:top w:val="single" w:sz="4" w:space="0" w:color="000000"/>
              <w:left w:val="nil"/>
              <w:bottom w:val="nil"/>
              <w:right w:val="single" w:sz="4" w:space="0" w:color="000000"/>
            </w:tcBorders>
            <w:shd w:val="clear" w:color="000000" w:fill="FFFFFF"/>
            <w:hideMark/>
          </w:tcPr>
          <w:p w14:paraId="44FF52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219. Solicitud de saneamiento de nulidades. </w:t>
            </w:r>
            <w:r w:rsidRPr="00222F34">
              <w:rPr>
                <w:rFonts w:ascii="Calibri" w:eastAsia="Times New Roman" w:hAnsi="Calibri" w:cs="Calibri"/>
                <w:color w:val="000000"/>
                <w:lang w:val="es-CO" w:eastAsia="es-CO" w:bidi="ar-SA"/>
              </w:rPr>
              <w:t>Cualquier persona o el Ministerio Público podrán solicitar el saneamiento de nulidades en el proceso de votación y escrutinio con base en hechos, que puedan afectar la validez de la declaración de elección y/o la verdad de los resultados.</w:t>
            </w:r>
          </w:p>
        </w:tc>
        <w:tc>
          <w:tcPr>
            <w:tcW w:w="1480" w:type="dxa"/>
            <w:tcBorders>
              <w:top w:val="nil"/>
              <w:left w:val="nil"/>
              <w:bottom w:val="nil"/>
              <w:right w:val="single" w:sz="4" w:space="0" w:color="000000"/>
            </w:tcBorders>
            <w:shd w:val="clear" w:color="000000" w:fill="FFFFFF"/>
            <w:hideMark/>
          </w:tcPr>
          <w:p w14:paraId="12138FA4" w14:textId="6F39C15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598A74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4794C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 </w:t>
            </w:r>
          </w:p>
        </w:tc>
        <w:tc>
          <w:tcPr>
            <w:tcW w:w="3798" w:type="dxa"/>
            <w:tcBorders>
              <w:top w:val="nil"/>
              <w:left w:val="nil"/>
              <w:bottom w:val="nil"/>
              <w:right w:val="single" w:sz="4" w:space="0" w:color="000000"/>
            </w:tcBorders>
            <w:shd w:val="clear" w:color="000000" w:fill="FFFFFF"/>
            <w:hideMark/>
          </w:tcPr>
          <w:p w14:paraId="4C7C2C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w:t>
            </w:r>
          </w:p>
        </w:tc>
        <w:tc>
          <w:tcPr>
            <w:tcW w:w="3798" w:type="dxa"/>
            <w:tcBorders>
              <w:top w:val="nil"/>
              <w:left w:val="nil"/>
              <w:bottom w:val="nil"/>
              <w:right w:val="single" w:sz="4" w:space="0" w:color="000000"/>
            </w:tcBorders>
            <w:shd w:val="clear" w:color="000000" w:fill="FFFFFF"/>
            <w:hideMark/>
          </w:tcPr>
          <w:p w14:paraId="52B877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w:t>
            </w:r>
          </w:p>
        </w:tc>
        <w:tc>
          <w:tcPr>
            <w:tcW w:w="1480" w:type="dxa"/>
            <w:tcBorders>
              <w:top w:val="nil"/>
              <w:left w:val="nil"/>
              <w:bottom w:val="nil"/>
              <w:right w:val="single" w:sz="4" w:space="0" w:color="000000"/>
            </w:tcBorders>
            <w:shd w:val="clear" w:color="000000" w:fill="FFFFFF"/>
            <w:hideMark/>
          </w:tcPr>
          <w:p w14:paraId="09C27F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42DA58"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4C55E6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ningún caso se podrá impedir el ingreso de cualquier persona a la audiencia de escrutinio para formular la solicitud de saneamiento de nulidad. </w:t>
            </w:r>
          </w:p>
        </w:tc>
        <w:tc>
          <w:tcPr>
            <w:tcW w:w="3798" w:type="dxa"/>
            <w:tcBorders>
              <w:top w:val="nil"/>
              <w:left w:val="nil"/>
              <w:bottom w:val="single" w:sz="4" w:space="0" w:color="000000"/>
              <w:right w:val="single" w:sz="4" w:space="0" w:color="000000"/>
            </w:tcBorders>
            <w:shd w:val="clear" w:color="000000" w:fill="FFFFFF"/>
            <w:hideMark/>
          </w:tcPr>
          <w:p w14:paraId="1688B1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se podrá impedir el ingreso de cualquier persona a la audiencia de escrutinio para formular la solicitud de saneamiento de nulidad.</w:t>
            </w:r>
          </w:p>
        </w:tc>
        <w:tc>
          <w:tcPr>
            <w:tcW w:w="3798" w:type="dxa"/>
            <w:tcBorders>
              <w:top w:val="nil"/>
              <w:left w:val="nil"/>
              <w:bottom w:val="single" w:sz="4" w:space="0" w:color="000000"/>
              <w:right w:val="single" w:sz="4" w:space="0" w:color="000000"/>
            </w:tcBorders>
            <w:shd w:val="clear" w:color="000000" w:fill="FFFFFF"/>
            <w:hideMark/>
          </w:tcPr>
          <w:p w14:paraId="151F4B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se podrá impedir el ingreso de cualquier persona a la audiencia de escrutinio para formular la solicitud de saneamiento de nulidad.</w:t>
            </w:r>
          </w:p>
        </w:tc>
        <w:tc>
          <w:tcPr>
            <w:tcW w:w="1480" w:type="dxa"/>
            <w:tcBorders>
              <w:top w:val="nil"/>
              <w:left w:val="nil"/>
              <w:bottom w:val="nil"/>
              <w:right w:val="single" w:sz="4" w:space="0" w:color="000000"/>
            </w:tcBorders>
            <w:shd w:val="clear" w:color="000000" w:fill="FFFFFF"/>
            <w:hideMark/>
          </w:tcPr>
          <w:p w14:paraId="6CB1D4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58DDC9"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08BF563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216.- Requisitos de la solicitud.</w:t>
            </w:r>
            <w:r w:rsidRPr="00222F34">
              <w:rPr>
                <w:rFonts w:ascii="Calibri" w:eastAsia="Times New Roman" w:hAnsi="Calibri" w:cs="Calibri"/>
                <w:color w:val="000000"/>
                <w:lang w:val="es-CO" w:eastAsia="es-CO" w:bidi="ar-SA"/>
              </w:rPr>
              <w:t xml:space="preserve"> La solicitud deberá ser presentada por escrito, antes de la declaratoria de elección, con indicación precisa del departamento, municipio, zona, puesto y mesa de votación, así como la descripción de los hechos, </w:t>
            </w:r>
            <w:r w:rsidRPr="00222F34">
              <w:rPr>
                <w:rFonts w:ascii="Calibri" w:eastAsia="Times New Roman" w:hAnsi="Calibri" w:cs="Calibri"/>
                <w:color w:val="000000"/>
                <w:lang w:val="es-CO" w:eastAsia="es-CO" w:bidi="ar-SA"/>
              </w:rPr>
              <w:lastRenderedPageBreak/>
              <w:t xml:space="preserve">medios de prueba y fundamentos de derecho en que se sustenta la petición.  </w:t>
            </w:r>
          </w:p>
        </w:tc>
        <w:tc>
          <w:tcPr>
            <w:tcW w:w="3798" w:type="dxa"/>
            <w:tcBorders>
              <w:top w:val="nil"/>
              <w:left w:val="nil"/>
              <w:bottom w:val="single" w:sz="4" w:space="0" w:color="000000"/>
              <w:right w:val="single" w:sz="4" w:space="0" w:color="000000"/>
            </w:tcBorders>
            <w:shd w:val="clear" w:color="000000" w:fill="FFFFFF"/>
            <w:hideMark/>
          </w:tcPr>
          <w:p w14:paraId="2F5A18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220. Requisitos de la solicitud.</w:t>
            </w:r>
            <w:r w:rsidRPr="00222F34">
              <w:rPr>
                <w:rFonts w:ascii="Calibri" w:eastAsia="Times New Roman" w:hAnsi="Calibri" w:cs="Calibri"/>
                <w:color w:val="000000"/>
                <w:lang w:val="es-CO" w:eastAsia="es-CO" w:bidi="ar-SA"/>
              </w:rPr>
              <w:t xml:space="preserve"> La solicitud deberá ser presentada por escrito, antes de la declaratoria de elección, con indicación precisa del departamento, municipio, zona, puesto y mesa de votación, así como la descripción de los hechos, </w:t>
            </w:r>
            <w:r w:rsidRPr="00222F34">
              <w:rPr>
                <w:rFonts w:ascii="Calibri" w:eastAsia="Times New Roman" w:hAnsi="Calibri" w:cs="Calibri"/>
                <w:color w:val="000000"/>
                <w:lang w:val="es-CO" w:eastAsia="es-CO" w:bidi="ar-SA"/>
              </w:rPr>
              <w:lastRenderedPageBreak/>
              <w:t>medios de prueba y fundamentos de derecho en que se sustenta la petición.</w:t>
            </w:r>
          </w:p>
        </w:tc>
        <w:tc>
          <w:tcPr>
            <w:tcW w:w="3798" w:type="dxa"/>
            <w:tcBorders>
              <w:top w:val="nil"/>
              <w:left w:val="nil"/>
              <w:bottom w:val="single" w:sz="4" w:space="0" w:color="000000"/>
              <w:right w:val="single" w:sz="4" w:space="0" w:color="000000"/>
            </w:tcBorders>
            <w:shd w:val="clear" w:color="000000" w:fill="FFFFFF"/>
            <w:hideMark/>
          </w:tcPr>
          <w:p w14:paraId="2E67CE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220. Requisitos de la solicitud.</w:t>
            </w:r>
            <w:r w:rsidRPr="00222F34">
              <w:rPr>
                <w:rFonts w:ascii="Calibri" w:eastAsia="Times New Roman" w:hAnsi="Calibri" w:cs="Calibri"/>
                <w:color w:val="000000"/>
                <w:lang w:val="es-CO" w:eastAsia="es-CO" w:bidi="ar-SA"/>
              </w:rPr>
              <w:t xml:space="preserve"> La solicitud deberá ser presentada por escrito, antes de la declaratoria de elección, con indicación precisa del departamento, municipio, zona, puesto y mesa de votación, así como la descripción de los hechos, </w:t>
            </w:r>
            <w:r w:rsidRPr="00222F34">
              <w:rPr>
                <w:rFonts w:ascii="Calibri" w:eastAsia="Times New Roman" w:hAnsi="Calibri" w:cs="Calibri"/>
                <w:color w:val="000000"/>
                <w:lang w:val="es-CO" w:eastAsia="es-CO" w:bidi="ar-SA"/>
              </w:rPr>
              <w:lastRenderedPageBreak/>
              <w:t>medios de prueba y fundamentos de derecho en que se sustenta la petición.</w:t>
            </w:r>
          </w:p>
        </w:tc>
        <w:tc>
          <w:tcPr>
            <w:tcW w:w="1480" w:type="dxa"/>
            <w:tcBorders>
              <w:top w:val="single" w:sz="4" w:space="0" w:color="000000"/>
              <w:left w:val="nil"/>
              <w:bottom w:val="single" w:sz="4" w:space="0" w:color="000000"/>
              <w:right w:val="single" w:sz="4" w:space="0" w:color="000000"/>
            </w:tcBorders>
            <w:shd w:val="clear" w:color="000000" w:fill="FFFFFF"/>
            <w:hideMark/>
          </w:tcPr>
          <w:p w14:paraId="5F74CFE8" w14:textId="4F13512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69BF5DC3"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F412E1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217.- Rechazo de la solicitud.</w:t>
            </w:r>
            <w:r w:rsidRPr="00222F34">
              <w:rPr>
                <w:rFonts w:ascii="Calibri" w:eastAsia="Times New Roman" w:hAnsi="Calibri" w:cs="Calibri"/>
                <w:color w:val="000000"/>
                <w:lang w:val="es-CO" w:eastAsia="es-CO" w:bidi="ar-SA"/>
              </w:rPr>
              <w:t xml:space="preserve"> Si el escrito con el cual se formula la solicitud no se presenta con los requisitos previstos en el artículo anterior, la comisión escrutadora o el funcionario competente deberán rechazarla.  </w:t>
            </w:r>
          </w:p>
        </w:tc>
        <w:tc>
          <w:tcPr>
            <w:tcW w:w="3798" w:type="dxa"/>
            <w:tcBorders>
              <w:top w:val="nil"/>
              <w:left w:val="nil"/>
              <w:bottom w:val="single" w:sz="4" w:space="0" w:color="000000"/>
              <w:right w:val="single" w:sz="4" w:space="0" w:color="000000"/>
            </w:tcBorders>
            <w:shd w:val="clear" w:color="000000" w:fill="FFFFFF"/>
            <w:hideMark/>
          </w:tcPr>
          <w:p w14:paraId="729188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221.- Rechazo de la solicitud</w:t>
            </w:r>
            <w:r w:rsidRPr="00222F34">
              <w:rPr>
                <w:rFonts w:ascii="Calibri" w:eastAsia="Times New Roman" w:hAnsi="Calibri" w:cs="Calibri"/>
                <w:color w:val="000000"/>
                <w:lang w:val="es-CO" w:eastAsia="es-CO" w:bidi="ar-SA"/>
              </w:rPr>
              <w:t>. Si el escrito con el cual se formula la solicitud no se presenta con los requisitos previstos en el artículo anterior, la comisión escrutadora o el funcionario competente deberán rechazarla.</w:t>
            </w:r>
          </w:p>
        </w:tc>
        <w:tc>
          <w:tcPr>
            <w:tcW w:w="3798" w:type="dxa"/>
            <w:tcBorders>
              <w:top w:val="nil"/>
              <w:left w:val="nil"/>
              <w:bottom w:val="single" w:sz="4" w:space="0" w:color="000000"/>
              <w:right w:val="single" w:sz="4" w:space="0" w:color="000000"/>
            </w:tcBorders>
            <w:shd w:val="clear" w:color="000000" w:fill="FFFFFF"/>
            <w:hideMark/>
          </w:tcPr>
          <w:p w14:paraId="54377B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221.- Rechazo de la solicitud</w:t>
            </w:r>
            <w:r w:rsidRPr="00222F34">
              <w:rPr>
                <w:rFonts w:ascii="Calibri" w:eastAsia="Times New Roman" w:hAnsi="Calibri" w:cs="Calibri"/>
                <w:color w:val="000000"/>
                <w:lang w:val="es-CO" w:eastAsia="es-CO" w:bidi="ar-SA"/>
              </w:rPr>
              <w:t>. Si el escrito con el cual se formula la solicitud no se presenta con los requisitos previstos en el artículo anterior, la comisión escrutadora o el funcionario competente deberán rechazarla.</w:t>
            </w:r>
          </w:p>
        </w:tc>
        <w:tc>
          <w:tcPr>
            <w:tcW w:w="1480" w:type="dxa"/>
            <w:tcBorders>
              <w:top w:val="nil"/>
              <w:left w:val="nil"/>
              <w:bottom w:val="single" w:sz="4" w:space="0" w:color="000000"/>
              <w:right w:val="single" w:sz="4" w:space="0" w:color="000000"/>
            </w:tcBorders>
            <w:shd w:val="clear" w:color="000000" w:fill="FFFFFF"/>
            <w:hideMark/>
          </w:tcPr>
          <w:p w14:paraId="6F88AF70" w14:textId="713522E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283B36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D7CE84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218.- De la procedibilidad, oportunidad y notificación.</w:t>
            </w:r>
            <w:r w:rsidRPr="00222F34">
              <w:rPr>
                <w:rFonts w:ascii="Calibri" w:eastAsia="Times New Roman" w:hAnsi="Calibri" w:cs="Calibri"/>
                <w:color w:val="000000"/>
                <w:lang w:val="es-CO" w:eastAsia="es-CO" w:bidi="ar-SA"/>
              </w:rPr>
              <w:t xml:space="preserve"> La decisión adoptada por la respectiva comisión escrutadora, se notificará en la misma audiencia pública de escrutinios, antes de la declaratoria de elección. </w:t>
            </w:r>
          </w:p>
        </w:tc>
        <w:tc>
          <w:tcPr>
            <w:tcW w:w="3798" w:type="dxa"/>
            <w:tcBorders>
              <w:top w:val="nil"/>
              <w:left w:val="nil"/>
              <w:bottom w:val="nil"/>
              <w:right w:val="single" w:sz="4" w:space="0" w:color="000000"/>
            </w:tcBorders>
            <w:shd w:val="clear" w:color="000000" w:fill="FFFFFF"/>
            <w:hideMark/>
          </w:tcPr>
          <w:p w14:paraId="6BE75E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222.- De la procedibilidad, oportunidad y notificación.</w:t>
            </w:r>
            <w:r w:rsidRPr="00222F34">
              <w:rPr>
                <w:rFonts w:ascii="Calibri" w:eastAsia="Times New Roman" w:hAnsi="Calibri" w:cs="Calibri"/>
                <w:color w:val="000000"/>
                <w:lang w:val="es-CO" w:eastAsia="es-CO" w:bidi="ar-SA"/>
              </w:rPr>
              <w:t xml:space="preserve"> La decisión adoptada por la respectiva comisión escrutadora, se notificará en la misma audiencia pública de escrutinios, antes de la declaratoria de elección.</w:t>
            </w:r>
          </w:p>
        </w:tc>
        <w:tc>
          <w:tcPr>
            <w:tcW w:w="3798" w:type="dxa"/>
            <w:tcBorders>
              <w:top w:val="nil"/>
              <w:left w:val="nil"/>
              <w:bottom w:val="nil"/>
              <w:right w:val="single" w:sz="4" w:space="0" w:color="000000"/>
            </w:tcBorders>
            <w:shd w:val="clear" w:color="000000" w:fill="FFFFFF"/>
            <w:hideMark/>
          </w:tcPr>
          <w:p w14:paraId="2613FC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222.- De la procedibilidad, oportunidad y notificación.</w:t>
            </w:r>
            <w:r w:rsidRPr="00222F34">
              <w:rPr>
                <w:rFonts w:ascii="Calibri" w:eastAsia="Times New Roman" w:hAnsi="Calibri" w:cs="Calibri"/>
                <w:color w:val="000000"/>
                <w:lang w:val="es-CO" w:eastAsia="es-CO" w:bidi="ar-SA"/>
              </w:rPr>
              <w:t xml:space="preserve"> La decisión adoptada por la respectiva comisión escrutadora, se notificará en la misma audiencia pública de escrutinios, antes de la declaratoria de elección.</w:t>
            </w:r>
          </w:p>
        </w:tc>
        <w:tc>
          <w:tcPr>
            <w:tcW w:w="1480" w:type="dxa"/>
            <w:tcBorders>
              <w:top w:val="nil"/>
              <w:left w:val="nil"/>
              <w:bottom w:val="nil"/>
              <w:right w:val="single" w:sz="4" w:space="0" w:color="000000"/>
            </w:tcBorders>
            <w:shd w:val="clear" w:color="000000" w:fill="FFFFFF"/>
            <w:hideMark/>
          </w:tcPr>
          <w:p w14:paraId="67C1D7E1" w14:textId="254B196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0F41274"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61860F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la verificación de los hechos en que se basa esta solicitud requiera de pruebas técnicas que no estén disponibles de manera inmediata para los escrutadores, estos se abstendrán de tramitarla, y así lo declararán. </w:t>
            </w:r>
          </w:p>
        </w:tc>
        <w:tc>
          <w:tcPr>
            <w:tcW w:w="3798" w:type="dxa"/>
            <w:tcBorders>
              <w:top w:val="nil"/>
              <w:left w:val="nil"/>
              <w:bottom w:val="nil"/>
              <w:right w:val="single" w:sz="4" w:space="0" w:color="000000"/>
            </w:tcBorders>
            <w:shd w:val="clear" w:color="000000" w:fill="FFFFFF"/>
            <w:hideMark/>
          </w:tcPr>
          <w:p w14:paraId="6F13F5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la verificación de los hechos en que se basa esta solicitud requiera de pruebas técnicas que no estén disponibles de manera inmediata para los escrutadores, estos se abstendrán de tramitarla, y así lo declararán.</w:t>
            </w:r>
          </w:p>
        </w:tc>
        <w:tc>
          <w:tcPr>
            <w:tcW w:w="3798" w:type="dxa"/>
            <w:tcBorders>
              <w:top w:val="nil"/>
              <w:left w:val="nil"/>
              <w:bottom w:val="nil"/>
              <w:right w:val="single" w:sz="4" w:space="0" w:color="000000"/>
            </w:tcBorders>
            <w:shd w:val="clear" w:color="000000" w:fill="FFFFFF"/>
            <w:hideMark/>
          </w:tcPr>
          <w:p w14:paraId="6BAFBC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la verificación de los hechos en que se basa esta solicitud requiera de pruebas técnicas que no estén disponibles de manera inmediata para los escrutadores, estos se abstendrán de tramitarla, y así lo declararán.</w:t>
            </w:r>
          </w:p>
        </w:tc>
        <w:tc>
          <w:tcPr>
            <w:tcW w:w="1480" w:type="dxa"/>
            <w:tcBorders>
              <w:top w:val="nil"/>
              <w:left w:val="nil"/>
              <w:bottom w:val="nil"/>
              <w:right w:val="single" w:sz="4" w:space="0" w:color="000000"/>
            </w:tcBorders>
            <w:shd w:val="clear" w:color="000000" w:fill="FFFFFF"/>
            <w:hideMark/>
          </w:tcPr>
          <w:p w14:paraId="4FF04E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8113628"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FFC000" w:fill="FFFFFF"/>
            <w:hideMark/>
          </w:tcPr>
          <w:p w14:paraId="3E74BA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1F2433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que el ciudadano, candidato o apoderado no le fuera posible agotar el requisito de procedibilidad, el juez de lo contencioso administrativo podrá dar trámite al medio de control de nulidad electoral, en aplicación del principio de verdad electoral.</w:t>
            </w:r>
          </w:p>
        </w:tc>
        <w:tc>
          <w:tcPr>
            <w:tcW w:w="3798" w:type="dxa"/>
            <w:tcBorders>
              <w:top w:val="nil"/>
              <w:left w:val="nil"/>
              <w:bottom w:val="single" w:sz="4" w:space="0" w:color="000000"/>
              <w:right w:val="single" w:sz="4" w:space="0" w:color="000000"/>
            </w:tcBorders>
            <w:shd w:val="clear" w:color="000000" w:fill="FFFFFF"/>
            <w:hideMark/>
          </w:tcPr>
          <w:p w14:paraId="4ADE04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426642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5EB35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75795B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TÍTULO VII</w:t>
            </w:r>
          </w:p>
        </w:tc>
        <w:tc>
          <w:tcPr>
            <w:tcW w:w="3798" w:type="dxa"/>
            <w:tcBorders>
              <w:top w:val="nil"/>
              <w:left w:val="nil"/>
              <w:bottom w:val="nil"/>
              <w:right w:val="single" w:sz="4" w:space="0" w:color="000000"/>
            </w:tcBorders>
            <w:shd w:val="clear" w:color="000000" w:fill="FFFFFF"/>
            <w:hideMark/>
          </w:tcPr>
          <w:p w14:paraId="7616761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VII</w:t>
            </w:r>
          </w:p>
        </w:tc>
        <w:tc>
          <w:tcPr>
            <w:tcW w:w="3798" w:type="dxa"/>
            <w:tcBorders>
              <w:top w:val="nil"/>
              <w:left w:val="nil"/>
              <w:bottom w:val="nil"/>
              <w:right w:val="single" w:sz="4" w:space="0" w:color="000000"/>
            </w:tcBorders>
            <w:shd w:val="clear" w:color="000000" w:fill="FFFFFF"/>
            <w:hideMark/>
          </w:tcPr>
          <w:p w14:paraId="56BE86C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VII</w:t>
            </w:r>
          </w:p>
        </w:tc>
        <w:tc>
          <w:tcPr>
            <w:tcW w:w="1480" w:type="dxa"/>
            <w:tcBorders>
              <w:top w:val="nil"/>
              <w:left w:val="nil"/>
              <w:bottom w:val="nil"/>
              <w:right w:val="single" w:sz="4" w:space="0" w:color="000000"/>
            </w:tcBorders>
            <w:shd w:val="clear" w:color="000000" w:fill="FFFFFF"/>
            <w:hideMark/>
          </w:tcPr>
          <w:p w14:paraId="6644B8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1B5782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D13F7B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 Y ELECCIONES ATÍPICAS</w:t>
            </w:r>
          </w:p>
        </w:tc>
        <w:tc>
          <w:tcPr>
            <w:tcW w:w="3798" w:type="dxa"/>
            <w:tcBorders>
              <w:top w:val="nil"/>
              <w:left w:val="nil"/>
              <w:bottom w:val="nil"/>
              <w:right w:val="single" w:sz="4" w:space="0" w:color="000000"/>
            </w:tcBorders>
            <w:shd w:val="clear" w:color="000000" w:fill="FFFFFF"/>
            <w:hideMark/>
          </w:tcPr>
          <w:p w14:paraId="1213D85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 Y ELECCIONES ATÍPICAS</w:t>
            </w:r>
          </w:p>
        </w:tc>
        <w:tc>
          <w:tcPr>
            <w:tcW w:w="3798" w:type="dxa"/>
            <w:tcBorders>
              <w:top w:val="nil"/>
              <w:left w:val="nil"/>
              <w:bottom w:val="nil"/>
              <w:right w:val="single" w:sz="4" w:space="0" w:color="000000"/>
            </w:tcBorders>
            <w:shd w:val="clear" w:color="000000" w:fill="FFFFFF"/>
            <w:hideMark/>
          </w:tcPr>
          <w:p w14:paraId="1E60454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 Y ELECCIONES ATÍPICAS</w:t>
            </w:r>
          </w:p>
        </w:tc>
        <w:tc>
          <w:tcPr>
            <w:tcW w:w="1480" w:type="dxa"/>
            <w:tcBorders>
              <w:top w:val="nil"/>
              <w:left w:val="nil"/>
              <w:bottom w:val="nil"/>
              <w:right w:val="single" w:sz="4" w:space="0" w:color="000000"/>
            </w:tcBorders>
            <w:shd w:val="clear" w:color="000000" w:fill="FFFFFF"/>
            <w:hideMark/>
          </w:tcPr>
          <w:p w14:paraId="6E4F42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AA9C77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9CEDDC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70203B3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1F8CB83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748342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5DA3DE1"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0E55374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w:t>
            </w:r>
          </w:p>
        </w:tc>
        <w:tc>
          <w:tcPr>
            <w:tcW w:w="3798" w:type="dxa"/>
            <w:tcBorders>
              <w:top w:val="nil"/>
              <w:left w:val="nil"/>
              <w:bottom w:val="single" w:sz="4" w:space="0" w:color="000000"/>
              <w:right w:val="single" w:sz="4" w:space="0" w:color="000000"/>
            </w:tcBorders>
            <w:shd w:val="clear" w:color="000000" w:fill="FFFFFF"/>
            <w:hideMark/>
          </w:tcPr>
          <w:p w14:paraId="7635A67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w:t>
            </w:r>
          </w:p>
        </w:tc>
        <w:tc>
          <w:tcPr>
            <w:tcW w:w="3798" w:type="dxa"/>
            <w:tcBorders>
              <w:top w:val="nil"/>
              <w:left w:val="nil"/>
              <w:bottom w:val="single" w:sz="4" w:space="0" w:color="000000"/>
              <w:right w:val="single" w:sz="4" w:space="0" w:color="000000"/>
            </w:tcBorders>
            <w:shd w:val="clear" w:color="000000" w:fill="FFFFFF"/>
            <w:hideMark/>
          </w:tcPr>
          <w:p w14:paraId="033FBB4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w:t>
            </w:r>
          </w:p>
        </w:tc>
        <w:tc>
          <w:tcPr>
            <w:tcW w:w="1480" w:type="dxa"/>
            <w:tcBorders>
              <w:top w:val="nil"/>
              <w:left w:val="nil"/>
              <w:bottom w:val="single" w:sz="4" w:space="0" w:color="000000"/>
              <w:right w:val="single" w:sz="4" w:space="0" w:color="000000"/>
            </w:tcBorders>
            <w:shd w:val="clear" w:color="000000" w:fill="FFFFFF"/>
            <w:hideMark/>
          </w:tcPr>
          <w:p w14:paraId="3F009E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4C2DBB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084ABD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219.- Faltas absolutas de cargos uninominales.</w:t>
            </w:r>
            <w:r w:rsidRPr="00222F34">
              <w:rPr>
                <w:rFonts w:ascii="Calibri" w:eastAsia="Times New Roman" w:hAnsi="Calibri" w:cs="Calibri"/>
                <w:color w:val="000000"/>
                <w:lang w:val="es-CO" w:eastAsia="es-CO" w:bidi="ar-SA"/>
              </w:rPr>
              <w:t xml:space="preserve"> Son faltas  absolutas de los gobernadores y alcaldes: </w:t>
            </w:r>
          </w:p>
        </w:tc>
        <w:tc>
          <w:tcPr>
            <w:tcW w:w="3798" w:type="dxa"/>
            <w:tcBorders>
              <w:top w:val="nil"/>
              <w:left w:val="nil"/>
              <w:bottom w:val="nil"/>
              <w:right w:val="single" w:sz="4" w:space="0" w:color="000000"/>
            </w:tcBorders>
            <w:shd w:val="clear" w:color="000000" w:fill="FFFFFF"/>
            <w:hideMark/>
          </w:tcPr>
          <w:p w14:paraId="2CC04AE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223.- Faltas absolutas de cargos uninominales.</w:t>
            </w:r>
            <w:r w:rsidRPr="00222F34">
              <w:rPr>
                <w:rFonts w:ascii="Calibri" w:eastAsia="Times New Roman" w:hAnsi="Calibri" w:cs="Calibri"/>
                <w:color w:val="000000"/>
                <w:lang w:val="es-CO" w:eastAsia="es-CO" w:bidi="ar-SA"/>
              </w:rPr>
              <w:t xml:space="preserve"> Son faltas  absolutas de los gobernadores y alcaldes: </w:t>
            </w:r>
          </w:p>
        </w:tc>
        <w:tc>
          <w:tcPr>
            <w:tcW w:w="3798" w:type="dxa"/>
            <w:tcBorders>
              <w:top w:val="nil"/>
              <w:left w:val="nil"/>
              <w:bottom w:val="nil"/>
              <w:right w:val="single" w:sz="4" w:space="0" w:color="000000"/>
            </w:tcBorders>
            <w:shd w:val="clear" w:color="000000" w:fill="FFFFFF"/>
            <w:hideMark/>
          </w:tcPr>
          <w:p w14:paraId="6806D2B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223.- Faltas absolutas de cargos uninominales.</w:t>
            </w:r>
            <w:r w:rsidRPr="00222F34">
              <w:rPr>
                <w:rFonts w:ascii="Calibri" w:eastAsia="Times New Roman" w:hAnsi="Calibri" w:cs="Calibri"/>
                <w:color w:val="000000"/>
                <w:lang w:val="es-CO" w:eastAsia="es-CO" w:bidi="ar-SA"/>
              </w:rPr>
              <w:t xml:space="preserve"> Son faltas  absolutas de los gobernadores y alcaldes: </w:t>
            </w:r>
          </w:p>
        </w:tc>
        <w:tc>
          <w:tcPr>
            <w:tcW w:w="1480" w:type="dxa"/>
            <w:tcBorders>
              <w:top w:val="nil"/>
              <w:left w:val="nil"/>
              <w:bottom w:val="nil"/>
              <w:right w:val="single" w:sz="4" w:space="0" w:color="000000"/>
            </w:tcBorders>
            <w:shd w:val="clear" w:color="000000" w:fill="FFFFFF"/>
            <w:hideMark/>
          </w:tcPr>
          <w:p w14:paraId="68CDA86A" w14:textId="6C86B3B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7FCA23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27433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tc>
        <w:tc>
          <w:tcPr>
            <w:tcW w:w="3798" w:type="dxa"/>
            <w:tcBorders>
              <w:top w:val="nil"/>
              <w:left w:val="nil"/>
              <w:bottom w:val="nil"/>
              <w:right w:val="single" w:sz="4" w:space="0" w:color="000000"/>
            </w:tcBorders>
            <w:shd w:val="clear" w:color="000000" w:fill="FFFFFF"/>
            <w:hideMark/>
          </w:tcPr>
          <w:p w14:paraId="2EEE79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tc>
        <w:tc>
          <w:tcPr>
            <w:tcW w:w="3798" w:type="dxa"/>
            <w:tcBorders>
              <w:top w:val="nil"/>
              <w:left w:val="nil"/>
              <w:bottom w:val="nil"/>
              <w:right w:val="single" w:sz="4" w:space="0" w:color="000000"/>
            </w:tcBorders>
            <w:shd w:val="clear" w:color="000000" w:fill="FFFFFF"/>
            <w:hideMark/>
          </w:tcPr>
          <w:p w14:paraId="0DBD58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tc>
        <w:tc>
          <w:tcPr>
            <w:tcW w:w="1480" w:type="dxa"/>
            <w:tcBorders>
              <w:top w:val="nil"/>
              <w:left w:val="nil"/>
              <w:bottom w:val="nil"/>
              <w:right w:val="single" w:sz="4" w:space="0" w:color="000000"/>
            </w:tcBorders>
            <w:shd w:val="clear" w:color="000000" w:fill="FFFFFF"/>
            <w:hideMark/>
          </w:tcPr>
          <w:p w14:paraId="33FCE5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EC5408D"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1E7B5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o enfermedad superior a 180 días. </w:t>
            </w:r>
          </w:p>
        </w:tc>
        <w:tc>
          <w:tcPr>
            <w:tcW w:w="3798" w:type="dxa"/>
            <w:tcBorders>
              <w:top w:val="nil"/>
              <w:left w:val="nil"/>
              <w:bottom w:val="nil"/>
              <w:right w:val="single" w:sz="4" w:space="0" w:color="000000"/>
            </w:tcBorders>
            <w:shd w:val="clear" w:color="000000" w:fill="FFFFFF"/>
            <w:hideMark/>
          </w:tcPr>
          <w:p w14:paraId="311C7F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o enfermedad superior a 180 días. </w:t>
            </w:r>
          </w:p>
        </w:tc>
        <w:tc>
          <w:tcPr>
            <w:tcW w:w="3798" w:type="dxa"/>
            <w:tcBorders>
              <w:top w:val="nil"/>
              <w:left w:val="nil"/>
              <w:bottom w:val="nil"/>
              <w:right w:val="single" w:sz="4" w:space="0" w:color="000000"/>
            </w:tcBorders>
            <w:shd w:val="clear" w:color="000000" w:fill="FFFFFF"/>
            <w:hideMark/>
          </w:tcPr>
          <w:p w14:paraId="2D5C69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o enfermedad superior a 180 días. </w:t>
            </w:r>
          </w:p>
        </w:tc>
        <w:tc>
          <w:tcPr>
            <w:tcW w:w="1480" w:type="dxa"/>
            <w:tcBorders>
              <w:top w:val="nil"/>
              <w:left w:val="nil"/>
              <w:bottom w:val="nil"/>
              <w:right w:val="single" w:sz="4" w:space="0" w:color="000000"/>
            </w:tcBorders>
            <w:shd w:val="clear" w:color="000000" w:fill="FFFFFF"/>
            <w:hideMark/>
          </w:tcPr>
          <w:p w14:paraId="4D4157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BE78E8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04A56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tc>
        <w:tc>
          <w:tcPr>
            <w:tcW w:w="3798" w:type="dxa"/>
            <w:tcBorders>
              <w:top w:val="nil"/>
              <w:left w:val="nil"/>
              <w:bottom w:val="nil"/>
              <w:right w:val="single" w:sz="4" w:space="0" w:color="000000"/>
            </w:tcBorders>
            <w:shd w:val="clear" w:color="000000" w:fill="FFFFFF"/>
            <w:hideMark/>
          </w:tcPr>
          <w:p w14:paraId="4EEA76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tc>
        <w:tc>
          <w:tcPr>
            <w:tcW w:w="3798" w:type="dxa"/>
            <w:tcBorders>
              <w:top w:val="nil"/>
              <w:left w:val="nil"/>
              <w:bottom w:val="nil"/>
              <w:right w:val="single" w:sz="4" w:space="0" w:color="000000"/>
            </w:tcBorders>
            <w:shd w:val="clear" w:color="000000" w:fill="FFFFFF"/>
            <w:hideMark/>
          </w:tcPr>
          <w:p w14:paraId="13DFF4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tc>
        <w:tc>
          <w:tcPr>
            <w:tcW w:w="1480" w:type="dxa"/>
            <w:tcBorders>
              <w:top w:val="nil"/>
              <w:left w:val="nil"/>
              <w:bottom w:val="nil"/>
              <w:right w:val="single" w:sz="4" w:space="0" w:color="000000"/>
            </w:tcBorders>
            <w:shd w:val="clear" w:color="000000" w:fill="FFFFFF"/>
            <w:hideMark/>
          </w:tcPr>
          <w:p w14:paraId="11A82D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BF3A4B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D5490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renuncia debidamente aceptada. </w:t>
            </w:r>
          </w:p>
        </w:tc>
        <w:tc>
          <w:tcPr>
            <w:tcW w:w="3798" w:type="dxa"/>
            <w:tcBorders>
              <w:top w:val="nil"/>
              <w:left w:val="nil"/>
              <w:bottom w:val="nil"/>
              <w:right w:val="single" w:sz="4" w:space="0" w:color="000000"/>
            </w:tcBorders>
            <w:shd w:val="clear" w:color="000000" w:fill="FFFFFF"/>
            <w:hideMark/>
          </w:tcPr>
          <w:p w14:paraId="303405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renuncia debidamente aceptada. </w:t>
            </w:r>
          </w:p>
        </w:tc>
        <w:tc>
          <w:tcPr>
            <w:tcW w:w="3798" w:type="dxa"/>
            <w:tcBorders>
              <w:top w:val="nil"/>
              <w:left w:val="nil"/>
              <w:bottom w:val="nil"/>
              <w:right w:val="single" w:sz="4" w:space="0" w:color="000000"/>
            </w:tcBorders>
            <w:shd w:val="clear" w:color="000000" w:fill="FFFFFF"/>
            <w:hideMark/>
          </w:tcPr>
          <w:p w14:paraId="56CF49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renuncia debidamente aceptada. </w:t>
            </w:r>
          </w:p>
        </w:tc>
        <w:tc>
          <w:tcPr>
            <w:tcW w:w="1480" w:type="dxa"/>
            <w:tcBorders>
              <w:top w:val="nil"/>
              <w:left w:val="nil"/>
              <w:bottom w:val="nil"/>
              <w:right w:val="single" w:sz="4" w:space="0" w:color="000000"/>
            </w:tcBorders>
            <w:shd w:val="clear" w:color="000000" w:fill="FFFFFF"/>
            <w:hideMark/>
          </w:tcPr>
          <w:p w14:paraId="693972B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4FB18B"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D03A5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del cargo, declarada por autoridad judicial, del Presidente de la República o del gobernador. </w:t>
            </w:r>
          </w:p>
        </w:tc>
        <w:tc>
          <w:tcPr>
            <w:tcW w:w="3798" w:type="dxa"/>
            <w:tcBorders>
              <w:top w:val="nil"/>
              <w:left w:val="nil"/>
              <w:bottom w:val="nil"/>
              <w:right w:val="single" w:sz="4" w:space="0" w:color="000000"/>
            </w:tcBorders>
            <w:shd w:val="clear" w:color="000000" w:fill="FFFFFF"/>
            <w:hideMark/>
          </w:tcPr>
          <w:p w14:paraId="7FF4CE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del cargo, declarada por autoridad judicial, del Presidente de la República o del gobernador. </w:t>
            </w:r>
          </w:p>
        </w:tc>
        <w:tc>
          <w:tcPr>
            <w:tcW w:w="3798" w:type="dxa"/>
            <w:tcBorders>
              <w:top w:val="nil"/>
              <w:left w:val="nil"/>
              <w:bottom w:val="nil"/>
              <w:right w:val="single" w:sz="4" w:space="0" w:color="000000"/>
            </w:tcBorders>
            <w:shd w:val="clear" w:color="000000" w:fill="FFFFFF"/>
            <w:hideMark/>
          </w:tcPr>
          <w:p w14:paraId="6DA6B2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del cargo, declarada por autoridad judicial, del Presidente de la República o del gobernador. </w:t>
            </w:r>
          </w:p>
        </w:tc>
        <w:tc>
          <w:tcPr>
            <w:tcW w:w="1480" w:type="dxa"/>
            <w:tcBorders>
              <w:top w:val="nil"/>
              <w:left w:val="nil"/>
              <w:bottom w:val="nil"/>
              <w:right w:val="single" w:sz="4" w:space="0" w:color="000000"/>
            </w:tcBorders>
            <w:shd w:val="clear" w:color="000000" w:fill="FFFFFF"/>
            <w:hideMark/>
          </w:tcPr>
          <w:p w14:paraId="2F1F85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C5CA17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75B0B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interdicción judicial y la inhabilitación para el ejercicio de derechos y funciones públicas declarada por autoridad judicial. </w:t>
            </w:r>
          </w:p>
        </w:tc>
        <w:tc>
          <w:tcPr>
            <w:tcW w:w="3798" w:type="dxa"/>
            <w:tcBorders>
              <w:top w:val="nil"/>
              <w:left w:val="nil"/>
              <w:bottom w:val="nil"/>
              <w:right w:val="single" w:sz="4" w:space="0" w:color="000000"/>
            </w:tcBorders>
            <w:shd w:val="clear" w:color="000000" w:fill="FFFFFF"/>
            <w:hideMark/>
          </w:tcPr>
          <w:p w14:paraId="7ADE67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interdicción judicial y la inhabilitación para el ejercicio de derechos y funciones públicas declarada por autoridad judicial.</w:t>
            </w:r>
          </w:p>
        </w:tc>
        <w:tc>
          <w:tcPr>
            <w:tcW w:w="3798" w:type="dxa"/>
            <w:tcBorders>
              <w:top w:val="nil"/>
              <w:left w:val="nil"/>
              <w:bottom w:val="nil"/>
              <w:right w:val="single" w:sz="4" w:space="0" w:color="000000"/>
            </w:tcBorders>
            <w:shd w:val="clear" w:color="000000" w:fill="FFFFFF"/>
            <w:hideMark/>
          </w:tcPr>
          <w:p w14:paraId="4138F7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interdicción judicial y la inhabilitación para el ejercicio de derechos y funciones públicas declarada por autoridad judicial.</w:t>
            </w:r>
          </w:p>
        </w:tc>
        <w:tc>
          <w:tcPr>
            <w:tcW w:w="1480" w:type="dxa"/>
            <w:tcBorders>
              <w:top w:val="nil"/>
              <w:left w:val="nil"/>
              <w:bottom w:val="nil"/>
              <w:right w:val="single" w:sz="4" w:space="0" w:color="000000"/>
            </w:tcBorders>
            <w:shd w:val="clear" w:color="000000" w:fill="FFFFFF"/>
            <w:hideMark/>
          </w:tcPr>
          <w:p w14:paraId="417CD0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470C71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8ABC2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revocatoria del mandato. </w:t>
            </w:r>
          </w:p>
        </w:tc>
        <w:tc>
          <w:tcPr>
            <w:tcW w:w="3798" w:type="dxa"/>
            <w:tcBorders>
              <w:top w:val="nil"/>
              <w:left w:val="nil"/>
              <w:bottom w:val="nil"/>
              <w:right w:val="single" w:sz="4" w:space="0" w:color="000000"/>
            </w:tcBorders>
            <w:shd w:val="clear" w:color="000000" w:fill="FFFFFF"/>
            <w:hideMark/>
          </w:tcPr>
          <w:p w14:paraId="3046FD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revocatoria del mandato. </w:t>
            </w:r>
          </w:p>
        </w:tc>
        <w:tc>
          <w:tcPr>
            <w:tcW w:w="3798" w:type="dxa"/>
            <w:tcBorders>
              <w:top w:val="nil"/>
              <w:left w:val="nil"/>
              <w:bottom w:val="nil"/>
              <w:right w:val="single" w:sz="4" w:space="0" w:color="000000"/>
            </w:tcBorders>
            <w:shd w:val="clear" w:color="000000" w:fill="FFFFFF"/>
            <w:hideMark/>
          </w:tcPr>
          <w:p w14:paraId="2E693D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revocatoria del mandato. </w:t>
            </w:r>
          </w:p>
        </w:tc>
        <w:tc>
          <w:tcPr>
            <w:tcW w:w="1480" w:type="dxa"/>
            <w:tcBorders>
              <w:top w:val="nil"/>
              <w:left w:val="nil"/>
              <w:bottom w:val="nil"/>
              <w:right w:val="single" w:sz="4" w:space="0" w:color="000000"/>
            </w:tcBorders>
            <w:shd w:val="clear" w:color="000000" w:fill="FFFFFF"/>
            <w:hideMark/>
          </w:tcPr>
          <w:p w14:paraId="167368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D1D17FC"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559191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 condena a pena privativa de la libertad debidamente ejecutoriada. </w:t>
            </w:r>
          </w:p>
        </w:tc>
        <w:tc>
          <w:tcPr>
            <w:tcW w:w="3798" w:type="dxa"/>
            <w:tcBorders>
              <w:top w:val="nil"/>
              <w:left w:val="nil"/>
              <w:bottom w:val="single" w:sz="4" w:space="0" w:color="000000"/>
              <w:right w:val="single" w:sz="4" w:space="0" w:color="000000"/>
            </w:tcBorders>
            <w:shd w:val="clear" w:color="000000" w:fill="FFFFFF"/>
            <w:hideMark/>
          </w:tcPr>
          <w:p w14:paraId="4C896E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 condena a pena privativa de la libertad debidamente ejecutoriada. </w:t>
            </w:r>
          </w:p>
        </w:tc>
        <w:tc>
          <w:tcPr>
            <w:tcW w:w="3798" w:type="dxa"/>
            <w:tcBorders>
              <w:top w:val="nil"/>
              <w:left w:val="nil"/>
              <w:bottom w:val="single" w:sz="4" w:space="0" w:color="000000"/>
              <w:right w:val="single" w:sz="4" w:space="0" w:color="000000"/>
            </w:tcBorders>
            <w:shd w:val="clear" w:color="000000" w:fill="FFFFFF"/>
            <w:hideMark/>
          </w:tcPr>
          <w:p w14:paraId="4F5EC2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 condena a pena privativa de la libertad debidamente ejecutoriada. </w:t>
            </w:r>
          </w:p>
        </w:tc>
        <w:tc>
          <w:tcPr>
            <w:tcW w:w="1480" w:type="dxa"/>
            <w:tcBorders>
              <w:top w:val="nil"/>
              <w:left w:val="nil"/>
              <w:bottom w:val="single" w:sz="4" w:space="0" w:color="000000"/>
              <w:right w:val="single" w:sz="4" w:space="0" w:color="000000"/>
            </w:tcBorders>
            <w:shd w:val="clear" w:color="000000" w:fill="FFFFFF"/>
            <w:hideMark/>
          </w:tcPr>
          <w:p w14:paraId="01693B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889AF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02E010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220.- Faltas temporales de cargos uninominales.</w:t>
            </w:r>
            <w:r w:rsidRPr="00222F34">
              <w:rPr>
                <w:rFonts w:ascii="Calibri" w:eastAsia="Times New Roman" w:hAnsi="Calibri" w:cs="Calibri"/>
                <w:color w:val="000000"/>
                <w:lang w:val="es-CO" w:eastAsia="es-CO" w:bidi="ar-SA"/>
              </w:rPr>
              <w:t xml:space="preserve"> Son faltas temporales de los gobernadores y alcaldes:</w:t>
            </w:r>
          </w:p>
        </w:tc>
        <w:tc>
          <w:tcPr>
            <w:tcW w:w="3798" w:type="dxa"/>
            <w:tcBorders>
              <w:top w:val="nil"/>
              <w:left w:val="nil"/>
              <w:bottom w:val="nil"/>
              <w:right w:val="single" w:sz="4" w:space="0" w:color="000000"/>
            </w:tcBorders>
            <w:shd w:val="clear" w:color="00FF00" w:fill="FFFFFF"/>
            <w:hideMark/>
          </w:tcPr>
          <w:p w14:paraId="1FE95C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224.- Faltas temporales de cargos uninominales.</w:t>
            </w:r>
            <w:r w:rsidRPr="00222F34">
              <w:rPr>
                <w:rFonts w:ascii="Calibri" w:eastAsia="Times New Roman" w:hAnsi="Calibri" w:cs="Calibri"/>
                <w:color w:val="000000"/>
                <w:lang w:val="es-CO" w:eastAsia="es-CO" w:bidi="ar-SA"/>
              </w:rPr>
              <w:t xml:space="preserve"> Son faltas temporales de los gobernadores y alcaldes:</w:t>
            </w:r>
          </w:p>
        </w:tc>
        <w:tc>
          <w:tcPr>
            <w:tcW w:w="3798" w:type="dxa"/>
            <w:tcBorders>
              <w:top w:val="nil"/>
              <w:left w:val="nil"/>
              <w:bottom w:val="nil"/>
              <w:right w:val="single" w:sz="4" w:space="0" w:color="000000"/>
            </w:tcBorders>
            <w:shd w:val="clear" w:color="00FF00" w:fill="FFFFFF"/>
            <w:hideMark/>
          </w:tcPr>
          <w:p w14:paraId="568407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224.- Faltas temporales de cargos uninominales.</w:t>
            </w:r>
            <w:r w:rsidRPr="00222F34">
              <w:rPr>
                <w:rFonts w:ascii="Calibri" w:eastAsia="Times New Roman" w:hAnsi="Calibri" w:cs="Calibri"/>
                <w:color w:val="000000"/>
                <w:lang w:val="es-CO" w:eastAsia="es-CO" w:bidi="ar-SA"/>
              </w:rPr>
              <w:t xml:space="preserve"> Son faltas temporales de los gobernadores y alcaldes:</w:t>
            </w:r>
          </w:p>
        </w:tc>
        <w:tc>
          <w:tcPr>
            <w:tcW w:w="1480" w:type="dxa"/>
            <w:tcBorders>
              <w:top w:val="nil"/>
              <w:left w:val="nil"/>
              <w:bottom w:val="nil"/>
              <w:right w:val="single" w:sz="4" w:space="0" w:color="000000"/>
            </w:tcBorders>
            <w:shd w:val="clear" w:color="000000" w:fill="FFFFFF"/>
            <w:hideMark/>
          </w:tcPr>
          <w:p w14:paraId="2216BE20" w14:textId="46C39770"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5CCE96C1"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CAE62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Las vacaciones. </w:t>
            </w:r>
          </w:p>
        </w:tc>
        <w:tc>
          <w:tcPr>
            <w:tcW w:w="3798" w:type="dxa"/>
            <w:tcBorders>
              <w:top w:val="nil"/>
              <w:left w:val="nil"/>
              <w:bottom w:val="nil"/>
              <w:right w:val="single" w:sz="4" w:space="0" w:color="000000"/>
            </w:tcBorders>
            <w:shd w:val="clear" w:color="00FF00" w:fill="FFFFFF"/>
            <w:hideMark/>
          </w:tcPr>
          <w:p w14:paraId="290008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Las vacaciones. </w:t>
            </w:r>
          </w:p>
        </w:tc>
        <w:tc>
          <w:tcPr>
            <w:tcW w:w="3798" w:type="dxa"/>
            <w:tcBorders>
              <w:top w:val="nil"/>
              <w:left w:val="nil"/>
              <w:bottom w:val="nil"/>
              <w:right w:val="single" w:sz="4" w:space="0" w:color="000000"/>
            </w:tcBorders>
            <w:shd w:val="clear" w:color="00FF00" w:fill="FFFFFF"/>
            <w:hideMark/>
          </w:tcPr>
          <w:p w14:paraId="014DA0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Las vacaciones. </w:t>
            </w:r>
          </w:p>
        </w:tc>
        <w:tc>
          <w:tcPr>
            <w:tcW w:w="1480" w:type="dxa"/>
            <w:tcBorders>
              <w:top w:val="nil"/>
              <w:left w:val="nil"/>
              <w:bottom w:val="nil"/>
              <w:right w:val="single" w:sz="4" w:space="0" w:color="000000"/>
            </w:tcBorders>
            <w:shd w:val="clear" w:color="000000" w:fill="FFFFFF"/>
            <w:hideMark/>
          </w:tcPr>
          <w:p w14:paraId="1A0C16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F15416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C7A60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Los permisos y licencias debidamente conferidos. </w:t>
            </w:r>
          </w:p>
        </w:tc>
        <w:tc>
          <w:tcPr>
            <w:tcW w:w="3798" w:type="dxa"/>
            <w:tcBorders>
              <w:top w:val="nil"/>
              <w:left w:val="nil"/>
              <w:bottom w:val="nil"/>
              <w:right w:val="single" w:sz="4" w:space="0" w:color="000000"/>
            </w:tcBorders>
            <w:shd w:val="clear" w:color="00FF00" w:fill="FFFFFF"/>
            <w:hideMark/>
          </w:tcPr>
          <w:p w14:paraId="7DD098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Los permisos y licencias debidamente conferidos. </w:t>
            </w:r>
          </w:p>
        </w:tc>
        <w:tc>
          <w:tcPr>
            <w:tcW w:w="3798" w:type="dxa"/>
            <w:tcBorders>
              <w:top w:val="nil"/>
              <w:left w:val="nil"/>
              <w:bottom w:val="nil"/>
              <w:right w:val="single" w:sz="4" w:space="0" w:color="000000"/>
            </w:tcBorders>
            <w:shd w:val="clear" w:color="00FF00" w:fill="FFFFFF"/>
            <w:hideMark/>
          </w:tcPr>
          <w:p w14:paraId="466E74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Los permisos y licencias debidamente conferidos. </w:t>
            </w:r>
          </w:p>
        </w:tc>
        <w:tc>
          <w:tcPr>
            <w:tcW w:w="1480" w:type="dxa"/>
            <w:tcBorders>
              <w:top w:val="nil"/>
              <w:left w:val="nil"/>
              <w:bottom w:val="nil"/>
              <w:right w:val="single" w:sz="4" w:space="0" w:color="000000"/>
            </w:tcBorders>
            <w:shd w:val="clear" w:color="000000" w:fill="FFFFFF"/>
            <w:hideMark/>
          </w:tcPr>
          <w:p w14:paraId="168749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43F344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D7B12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incapacidad física transitoria. </w:t>
            </w:r>
          </w:p>
        </w:tc>
        <w:tc>
          <w:tcPr>
            <w:tcW w:w="3798" w:type="dxa"/>
            <w:tcBorders>
              <w:top w:val="nil"/>
              <w:left w:val="nil"/>
              <w:bottom w:val="nil"/>
              <w:right w:val="single" w:sz="4" w:space="0" w:color="000000"/>
            </w:tcBorders>
            <w:shd w:val="clear" w:color="00FF00" w:fill="FFFFFF"/>
            <w:hideMark/>
          </w:tcPr>
          <w:p w14:paraId="058037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incapacidad física transitoria. </w:t>
            </w:r>
          </w:p>
        </w:tc>
        <w:tc>
          <w:tcPr>
            <w:tcW w:w="3798" w:type="dxa"/>
            <w:tcBorders>
              <w:top w:val="nil"/>
              <w:left w:val="nil"/>
              <w:bottom w:val="nil"/>
              <w:right w:val="single" w:sz="4" w:space="0" w:color="000000"/>
            </w:tcBorders>
            <w:shd w:val="clear" w:color="00FF00" w:fill="FFFFFF"/>
            <w:hideMark/>
          </w:tcPr>
          <w:p w14:paraId="22D81C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incapacidad física transitoria. </w:t>
            </w:r>
          </w:p>
        </w:tc>
        <w:tc>
          <w:tcPr>
            <w:tcW w:w="1480" w:type="dxa"/>
            <w:tcBorders>
              <w:top w:val="nil"/>
              <w:left w:val="nil"/>
              <w:bottom w:val="nil"/>
              <w:right w:val="single" w:sz="4" w:space="0" w:color="000000"/>
            </w:tcBorders>
            <w:shd w:val="clear" w:color="000000" w:fill="FFFFFF"/>
            <w:hideMark/>
          </w:tcPr>
          <w:p w14:paraId="57BE22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7087D28"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7C5CA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del cargo por decisión de autoridad penal. </w:t>
            </w:r>
          </w:p>
        </w:tc>
        <w:tc>
          <w:tcPr>
            <w:tcW w:w="3798" w:type="dxa"/>
            <w:tcBorders>
              <w:top w:val="nil"/>
              <w:left w:val="nil"/>
              <w:bottom w:val="nil"/>
              <w:right w:val="single" w:sz="4" w:space="0" w:color="000000"/>
            </w:tcBorders>
            <w:shd w:val="clear" w:color="00FF00" w:fill="FFFFFF"/>
            <w:hideMark/>
          </w:tcPr>
          <w:p w14:paraId="7A05FF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del cargo por decisión de autoridad penal. </w:t>
            </w:r>
          </w:p>
        </w:tc>
        <w:tc>
          <w:tcPr>
            <w:tcW w:w="3798" w:type="dxa"/>
            <w:tcBorders>
              <w:top w:val="nil"/>
              <w:left w:val="nil"/>
              <w:bottom w:val="nil"/>
              <w:right w:val="single" w:sz="4" w:space="0" w:color="000000"/>
            </w:tcBorders>
            <w:shd w:val="clear" w:color="00FF00" w:fill="FFFFFF"/>
            <w:hideMark/>
          </w:tcPr>
          <w:p w14:paraId="5333F7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del cargo por decisión de autoridad penal. </w:t>
            </w:r>
          </w:p>
        </w:tc>
        <w:tc>
          <w:tcPr>
            <w:tcW w:w="1480" w:type="dxa"/>
            <w:tcBorders>
              <w:top w:val="nil"/>
              <w:left w:val="nil"/>
              <w:bottom w:val="nil"/>
              <w:right w:val="single" w:sz="4" w:space="0" w:color="000000"/>
            </w:tcBorders>
            <w:shd w:val="clear" w:color="000000" w:fill="FFFFFF"/>
            <w:hideMark/>
          </w:tcPr>
          <w:p w14:paraId="0BABC0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C62D5CE" w14:textId="77777777" w:rsidTr="00222F34">
        <w:trPr>
          <w:trHeight w:val="645"/>
        </w:trPr>
        <w:tc>
          <w:tcPr>
            <w:tcW w:w="3798" w:type="dxa"/>
            <w:tcBorders>
              <w:top w:val="nil"/>
              <w:left w:val="single" w:sz="4" w:space="0" w:color="000000"/>
              <w:bottom w:val="nil"/>
              <w:right w:val="single" w:sz="4" w:space="0" w:color="000000"/>
            </w:tcBorders>
            <w:shd w:val="clear" w:color="000000" w:fill="FFFFFF"/>
            <w:hideMark/>
          </w:tcPr>
          <w:p w14:paraId="7BB63D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suspensión provisional del acto de elección por decisión judicial, del Presidente de la República o del gobernador. </w:t>
            </w:r>
          </w:p>
        </w:tc>
        <w:tc>
          <w:tcPr>
            <w:tcW w:w="3798" w:type="dxa"/>
            <w:tcBorders>
              <w:top w:val="nil"/>
              <w:left w:val="nil"/>
              <w:bottom w:val="nil"/>
              <w:right w:val="single" w:sz="4" w:space="0" w:color="000000"/>
            </w:tcBorders>
            <w:shd w:val="clear" w:color="00FF00" w:fill="FFFFFF"/>
            <w:hideMark/>
          </w:tcPr>
          <w:p w14:paraId="1966F1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suspensión provisional del acto de elección por decisión judicial. </w:t>
            </w:r>
          </w:p>
        </w:tc>
        <w:tc>
          <w:tcPr>
            <w:tcW w:w="3798" w:type="dxa"/>
            <w:tcBorders>
              <w:top w:val="nil"/>
              <w:left w:val="nil"/>
              <w:bottom w:val="nil"/>
              <w:right w:val="single" w:sz="4" w:space="0" w:color="000000"/>
            </w:tcBorders>
            <w:shd w:val="clear" w:color="00FF00" w:fill="FFFFFF"/>
            <w:hideMark/>
          </w:tcPr>
          <w:p w14:paraId="1D5154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suspensión provisional del acto de elección por decisión judicial. </w:t>
            </w:r>
          </w:p>
        </w:tc>
        <w:tc>
          <w:tcPr>
            <w:tcW w:w="1480" w:type="dxa"/>
            <w:tcBorders>
              <w:top w:val="nil"/>
              <w:left w:val="nil"/>
              <w:bottom w:val="nil"/>
              <w:right w:val="single" w:sz="4" w:space="0" w:color="000000"/>
            </w:tcBorders>
            <w:shd w:val="clear" w:color="000000" w:fill="FFFFFF"/>
            <w:hideMark/>
          </w:tcPr>
          <w:p w14:paraId="543410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59781C"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6B12C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ausencia forzada e involuntaria.  </w:t>
            </w:r>
          </w:p>
        </w:tc>
        <w:tc>
          <w:tcPr>
            <w:tcW w:w="3798" w:type="dxa"/>
            <w:tcBorders>
              <w:top w:val="nil"/>
              <w:left w:val="nil"/>
              <w:bottom w:val="single" w:sz="4" w:space="0" w:color="000000"/>
              <w:right w:val="single" w:sz="4" w:space="0" w:color="000000"/>
            </w:tcBorders>
            <w:shd w:val="clear" w:color="00FF00" w:fill="FFFFFF"/>
            <w:hideMark/>
          </w:tcPr>
          <w:p w14:paraId="760A12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ausencia forzada e involuntaria.  </w:t>
            </w:r>
          </w:p>
        </w:tc>
        <w:tc>
          <w:tcPr>
            <w:tcW w:w="3798" w:type="dxa"/>
            <w:tcBorders>
              <w:top w:val="nil"/>
              <w:left w:val="nil"/>
              <w:bottom w:val="single" w:sz="4" w:space="0" w:color="000000"/>
              <w:right w:val="single" w:sz="4" w:space="0" w:color="000000"/>
            </w:tcBorders>
            <w:shd w:val="clear" w:color="00FF00" w:fill="FFFFFF"/>
            <w:hideMark/>
          </w:tcPr>
          <w:p w14:paraId="7B8015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ausencia forzada e involuntaria.  </w:t>
            </w:r>
          </w:p>
        </w:tc>
        <w:tc>
          <w:tcPr>
            <w:tcW w:w="1480" w:type="dxa"/>
            <w:tcBorders>
              <w:top w:val="nil"/>
              <w:left w:val="nil"/>
              <w:bottom w:val="single" w:sz="4" w:space="0" w:color="000000"/>
              <w:right w:val="single" w:sz="4" w:space="0" w:color="000000"/>
            </w:tcBorders>
            <w:shd w:val="clear" w:color="000000" w:fill="FFFFFF"/>
            <w:hideMark/>
          </w:tcPr>
          <w:p w14:paraId="7BB427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6F4503" w14:textId="77777777" w:rsidTr="00222F34">
        <w:trPr>
          <w:trHeight w:val="3300"/>
        </w:trPr>
        <w:tc>
          <w:tcPr>
            <w:tcW w:w="3798" w:type="dxa"/>
            <w:tcBorders>
              <w:top w:val="nil"/>
              <w:left w:val="single" w:sz="4" w:space="0" w:color="000000"/>
              <w:bottom w:val="nil"/>
              <w:right w:val="single" w:sz="4" w:space="0" w:color="000000"/>
            </w:tcBorders>
            <w:shd w:val="clear" w:color="000000" w:fill="FFFFFF"/>
            <w:hideMark/>
          </w:tcPr>
          <w:p w14:paraId="0861993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221.- Encargo ante faltas de gobernadores y alcaldes.</w:t>
            </w:r>
            <w:r w:rsidRPr="00222F34">
              <w:rPr>
                <w:rFonts w:ascii="Calibri" w:eastAsia="Times New Roman" w:hAnsi="Calibri" w:cs="Calibri"/>
                <w:color w:val="000000"/>
                <w:lang w:val="es-CO" w:eastAsia="es-CO" w:bidi="ar-SA"/>
              </w:rPr>
              <w:t xml:space="preserve"> 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w:t>
            </w:r>
            <w:r w:rsidRPr="00222F34">
              <w:rPr>
                <w:rFonts w:ascii="Calibri" w:eastAsia="Times New Roman" w:hAnsi="Calibri" w:cs="Calibri"/>
                <w:color w:val="000000"/>
                <w:lang w:val="es-CO" w:eastAsia="es-CO" w:bidi="ar-SA"/>
              </w:rPr>
              <w:lastRenderedPageBreak/>
              <w:t xml:space="preserve">hábiles siguientes al día en que fue recibida la solicitud, no presentaren la terna, se encargará a un ciudadano respetando su procedencia política. </w:t>
            </w:r>
          </w:p>
        </w:tc>
        <w:tc>
          <w:tcPr>
            <w:tcW w:w="3798" w:type="dxa"/>
            <w:tcBorders>
              <w:top w:val="nil"/>
              <w:left w:val="nil"/>
              <w:bottom w:val="nil"/>
              <w:right w:val="single" w:sz="4" w:space="0" w:color="000000"/>
            </w:tcBorders>
            <w:shd w:val="clear" w:color="000000" w:fill="FFFFFF"/>
            <w:hideMark/>
          </w:tcPr>
          <w:p w14:paraId="233FEB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225. Encargo ante faltas de gobernadores y alcaldes. </w:t>
            </w:r>
            <w:r w:rsidRPr="00222F34">
              <w:rPr>
                <w:rFonts w:ascii="Calibri" w:eastAsia="Times New Roman" w:hAnsi="Calibri" w:cs="Calibri"/>
                <w:color w:val="000000"/>
                <w:lang w:val="es-CO" w:eastAsia="es-CO" w:bidi="ar-SA"/>
              </w:rPr>
              <w:t xml:space="preserve">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w:t>
            </w:r>
            <w:r w:rsidRPr="00222F34">
              <w:rPr>
                <w:rFonts w:ascii="Calibri" w:eastAsia="Times New Roman" w:hAnsi="Calibri" w:cs="Calibri"/>
                <w:color w:val="000000"/>
                <w:lang w:val="es-CO" w:eastAsia="es-CO" w:bidi="ar-SA"/>
              </w:rPr>
              <w:lastRenderedPageBreak/>
              <w:t>hábiles siguientes al día en que fue recibida la solicitud, no presentaren la terna, se encargará a un ciudadano respetando su procedencia política.</w:t>
            </w:r>
          </w:p>
        </w:tc>
        <w:tc>
          <w:tcPr>
            <w:tcW w:w="3798" w:type="dxa"/>
            <w:tcBorders>
              <w:top w:val="nil"/>
              <w:left w:val="nil"/>
              <w:bottom w:val="nil"/>
              <w:right w:val="single" w:sz="4" w:space="0" w:color="000000"/>
            </w:tcBorders>
            <w:shd w:val="clear" w:color="000000" w:fill="FFFFFF"/>
            <w:hideMark/>
          </w:tcPr>
          <w:p w14:paraId="6635F9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225. Encargo ante faltas de gobernadores y alcaldes. </w:t>
            </w:r>
            <w:r w:rsidRPr="00222F34">
              <w:rPr>
                <w:rFonts w:ascii="Calibri" w:eastAsia="Times New Roman" w:hAnsi="Calibri" w:cs="Calibri"/>
                <w:color w:val="000000"/>
                <w:lang w:val="es-CO" w:eastAsia="es-CO" w:bidi="ar-SA"/>
              </w:rPr>
              <w:t xml:space="preserve">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w:t>
            </w:r>
            <w:r w:rsidRPr="00222F34">
              <w:rPr>
                <w:rFonts w:ascii="Calibri" w:eastAsia="Times New Roman" w:hAnsi="Calibri" w:cs="Calibri"/>
                <w:color w:val="000000"/>
                <w:lang w:val="es-CO" w:eastAsia="es-CO" w:bidi="ar-SA"/>
              </w:rPr>
              <w:lastRenderedPageBreak/>
              <w:t>hábiles siguientes al día en que fue recibida la solicitud, no presentaren la terna, se encargará a un ciudadano respetando su procedencia política.</w:t>
            </w:r>
          </w:p>
        </w:tc>
        <w:tc>
          <w:tcPr>
            <w:tcW w:w="1480" w:type="dxa"/>
            <w:tcBorders>
              <w:top w:val="nil"/>
              <w:left w:val="nil"/>
              <w:bottom w:val="nil"/>
              <w:right w:val="single" w:sz="4" w:space="0" w:color="000000"/>
            </w:tcBorders>
            <w:shd w:val="clear" w:color="000000" w:fill="FFFFFF"/>
            <w:hideMark/>
          </w:tcPr>
          <w:p w14:paraId="3FC3AA76" w14:textId="236AA99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CEB2DC2" w14:textId="77777777" w:rsidTr="00222F34">
        <w:trPr>
          <w:trHeight w:val="2745"/>
        </w:trPr>
        <w:tc>
          <w:tcPr>
            <w:tcW w:w="3798" w:type="dxa"/>
            <w:tcBorders>
              <w:top w:val="nil"/>
              <w:left w:val="single" w:sz="4" w:space="0" w:color="000000"/>
              <w:bottom w:val="single" w:sz="4" w:space="0" w:color="000000"/>
              <w:right w:val="single" w:sz="4" w:space="0" w:color="000000"/>
            </w:tcBorders>
            <w:shd w:val="clear" w:color="000000" w:fill="FFFFFF"/>
            <w:hideMark/>
          </w:tcPr>
          <w:p w14:paraId="57B75D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 suspensión una terna de ciudadanos a la organización política </w:t>
            </w:r>
            <w:r w:rsidRPr="00222F34">
              <w:rPr>
                <w:rFonts w:ascii="Calibri" w:eastAsia="Times New Roman" w:hAnsi="Calibri" w:cs="Calibri"/>
                <w:color w:val="000000"/>
                <w:lang w:val="es-CO" w:eastAsia="es-CO" w:bidi="ar-SA"/>
              </w:rPr>
              <w:lastRenderedPageBreak/>
              <w:t xml:space="preserve">que inscribió al elegido, conforme al procedimiento previsto para las faltas absolutas en este código. </w:t>
            </w:r>
          </w:p>
        </w:tc>
        <w:tc>
          <w:tcPr>
            <w:tcW w:w="3798" w:type="dxa"/>
            <w:tcBorders>
              <w:top w:val="nil"/>
              <w:left w:val="nil"/>
              <w:bottom w:val="single" w:sz="4" w:space="0" w:color="000000"/>
              <w:right w:val="single" w:sz="4" w:space="0" w:color="000000"/>
            </w:tcBorders>
            <w:shd w:val="clear" w:color="000000" w:fill="FFFFFF"/>
            <w:hideMark/>
          </w:tcPr>
          <w:p w14:paraId="308166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 suspensión una terna de ciudadanos a la organización política </w:t>
            </w:r>
            <w:r w:rsidRPr="00222F34">
              <w:rPr>
                <w:rFonts w:ascii="Calibri" w:eastAsia="Times New Roman" w:hAnsi="Calibri" w:cs="Calibri"/>
                <w:color w:val="000000"/>
                <w:lang w:val="es-CO" w:eastAsia="es-CO" w:bidi="ar-SA"/>
              </w:rPr>
              <w:lastRenderedPageBreak/>
              <w:t>que inscribió al elegido, conforme al procedimiento previsto para las faltas absolutas en este código.</w:t>
            </w:r>
          </w:p>
        </w:tc>
        <w:tc>
          <w:tcPr>
            <w:tcW w:w="3798" w:type="dxa"/>
            <w:tcBorders>
              <w:top w:val="nil"/>
              <w:left w:val="nil"/>
              <w:bottom w:val="single" w:sz="4" w:space="0" w:color="000000"/>
              <w:right w:val="single" w:sz="4" w:space="0" w:color="000000"/>
            </w:tcBorders>
            <w:shd w:val="clear" w:color="000000" w:fill="FFFFFF"/>
            <w:hideMark/>
          </w:tcPr>
          <w:p w14:paraId="6F3E49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 suspensión una terna de ciudadanos a la organización política </w:t>
            </w:r>
            <w:r w:rsidRPr="00222F34">
              <w:rPr>
                <w:rFonts w:ascii="Calibri" w:eastAsia="Times New Roman" w:hAnsi="Calibri" w:cs="Calibri"/>
                <w:color w:val="000000"/>
                <w:lang w:val="es-CO" w:eastAsia="es-CO" w:bidi="ar-SA"/>
              </w:rPr>
              <w:lastRenderedPageBreak/>
              <w:t>que inscribió al elegido, conforme al procedimiento previsto para las faltas absolutas en este código.</w:t>
            </w:r>
          </w:p>
        </w:tc>
        <w:tc>
          <w:tcPr>
            <w:tcW w:w="1480" w:type="dxa"/>
            <w:tcBorders>
              <w:top w:val="nil"/>
              <w:left w:val="nil"/>
              <w:bottom w:val="single" w:sz="4" w:space="0" w:color="000000"/>
              <w:right w:val="single" w:sz="4" w:space="0" w:color="000000"/>
            </w:tcBorders>
            <w:shd w:val="clear" w:color="000000" w:fill="FFFFFF"/>
            <w:hideMark/>
          </w:tcPr>
          <w:p w14:paraId="439F2F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5018FE68"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547380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222.- Reemplazo de miembros de corporaciones de elección popular.</w:t>
            </w:r>
            <w:r w:rsidRPr="00222F34">
              <w:rPr>
                <w:rFonts w:ascii="Calibri" w:eastAsia="Times New Roman" w:hAnsi="Calibri" w:cs="Calibri"/>
                <w:color w:val="000000"/>
                <w:lang w:val="es-CO" w:eastAsia="es-CO" w:bidi="ar-SA"/>
              </w:rPr>
              <w:t xml:space="preserve"> De conformidad con lo dispuesto en el artículo 134 de la Constitución Política, los miembros de las corporaciones públicas de elección popular podrán ser reemplazados en los casos de faltas absolutas o temporales que determine la ley. </w:t>
            </w:r>
          </w:p>
        </w:tc>
        <w:tc>
          <w:tcPr>
            <w:tcW w:w="3798" w:type="dxa"/>
            <w:tcBorders>
              <w:top w:val="nil"/>
              <w:left w:val="nil"/>
              <w:bottom w:val="nil"/>
              <w:right w:val="single" w:sz="4" w:space="0" w:color="000000"/>
            </w:tcBorders>
            <w:shd w:val="clear" w:color="000000" w:fill="FFFFFF"/>
            <w:hideMark/>
          </w:tcPr>
          <w:p w14:paraId="483E3C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226.- Reemplazo de miembros de corporaciones de elección popular.</w:t>
            </w:r>
            <w:r w:rsidRPr="00222F34">
              <w:rPr>
                <w:rFonts w:ascii="Calibri" w:eastAsia="Times New Roman" w:hAnsi="Calibri" w:cs="Calibri"/>
                <w:color w:val="000000"/>
                <w:lang w:val="es-CO" w:eastAsia="es-CO" w:bidi="ar-SA"/>
              </w:rPr>
              <w:t xml:space="preserve"> De conformidad con lo dispuesto en el artículo 134 de la Constitución Política, los miembros de las corporaciones públicas de elección popular podrán ser reemplazados en los casos de faltas absolutas o temporales que determine la ley.</w:t>
            </w:r>
          </w:p>
        </w:tc>
        <w:tc>
          <w:tcPr>
            <w:tcW w:w="3798" w:type="dxa"/>
            <w:tcBorders>
              <w:top w:val="nil"/>
              <w:left w:val="nil"/>
              <w:bottom w:val="nil"/>
              <w:right w:val="single" w:sz="4" w:space="0" w:color="000000"/>
            </w:tcBorders>
            <w:shd w:val="clear" w:color="000000" w:fill="FFFFFF"/>
            <w:hideMark/>
          </w:tcPr>
          <w:p w14:paraId="16B68F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226.- Reemplazo de miembros de corporaciones de elección popular.</w:t>
            </w:r>
            <w:r w:rsidRPr="00222F34">
              <w:rPr>
                <w:rFonts w:ascii="Calibri" w:eastAsia="Times New Roman" w:hAnsi="Calibri" w:cs="Calibri"/>
                <w:color w:val="000000"/>
                <w:lang w:val="es-CO" w:eastAsia="es-CO" w:bidi="ar-SA"/>
              </w:rPr>
              <w:t xml:space="preserve"> De conformidad con lo dispuesto en el artículo 134 de la Constitución Política, los miembros de las corporaciones públicas de elección popular podrán ser reemplazados en los casos de faltas absolutas o temporales que determine la ley.</w:t>
            </w:r>
          </w:p>
        </w:tc>
        <w:tc>
          <w:tcPr>
            <w:tcW w:w="1480" w:type="dxa"/>
            <w:tcBorders>
              <w:top w:val="nil"/>
              <w:left w:val="nil"/>
              <w:bottom w:val="nil"/>
              <w:right w:val="single" w:sz="4" w:space="0" w:color="000000"/>
            </w:tcBorders>
            <w:shd w:val="clear" w:color="000000" w:fill="FFFFFF"/>
            <w:hideMark/>
          </w:tcPr>
          <w:p w14:paraId="74BB4A29" w14:textId="02F50AD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A06695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9E4AA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Son faltas absolutas de los miembros de corporaciones públicas de elección popular: </w:t>
            </w:r>
          </w:p>
        </w:tc>
        <w:tc>
          <w:tcPr>
            <w:tcW w:w="3798" w:type="dxa"/>
            <w:tcBorders>
              <w:top w:val="nil"/>
              <w:left w:val="nil"/>
              <w:bottom w:val="nil"/>
              <w:right w:val="single" w:sz="4" w:space="0" w:color="000000"/>
            </w:tcBorders>
            <w:shd w:val="clear" w:color="000000" w:fill="FFFFFF"/>
            <w:hideMark/>
          </w:tcPr>
          <w:p w14:paraId="047A79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Son faltas absolutas de los miembros de corporaciones públicas de elección popular:</w:t>
            </w:r>
          </w:p>
        </w:tc>
        <w:tc>
          <w:tcPr>
            <w:tcW w:w="3798" w:type="dxa"/>
            <w:tcBorders>
              <w:top w:val="nil"/>
              <w:left w:val="nil"/>
              <w:bottom w:val="nil"/>
              <w:right w:val="single" w:sz="4" w:space="0" w:color="000000"/>
            </w:tcBorders>
            <w:shd w:val="clear" w:color="000000" w:fill="FFFFFF"/>
            <w:hideMark/>
          </w:tcPr>
          <w:p w14:paraId="6982F9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Son faltas absolutas de los miembros de corporaciones públicas de elección popular:</w:t>
            </w:r>
          </w:p>
        </w:tc>
        <w:tc>
          <w:tcPr>
            <w:tcW w:w="1480" w:type="dxa"/>
            <w:tcBorders>
              <w:top w:val="nil"/>
              <w:left w:val="nil"/>
              <w:bottom w:val="nil"/>
              <w:right w:val="single" w:sz="4" w:space="0" w:color="000000"/>
            </w:tcBorders>
            <w:shd w:val="clear" w:color="000000" w:fill="FFFFFF"/>
            <w:hideMark/>
          </w:tcPr>
          <w:p w14:paraId="60A8E2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D59D0B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3053AA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tc>
        <w:tc>
          <w:tcPr>
            <w:tcW w:w="3798" w:type="dxa"/>
            <w:tcBorders>
              <w:top w:val="nil"/>
              <w:left w:val="nil"/>
              <w:bottom w:val="nil"/>
              <w:right w:val="single" w:sz="4" w:space="0" w:color="000000"/>
            </w:tcBorders>
            <w:shd w:val="clear" w:color="000000" w:fill="FFFFFF"/>
            <w:hideMark/>
          </w:tcPr>
          <w:p w14:paraId="2AA8DE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tc>
        <w:tc>
          <w:tcPr>
            <w:tcW w:w="3798" w:type="dxa"/>
            <w:tcBorders>
              <w:top w:val="nil"/>
              <w:left w:val="nil"/>
              <w:bottom w:val="nil"/>
              <w:right w:val="single" w:sz="4" w:space="0" w:color="000000"/>
            </w:tcBorders>
            <w:shd w:val="clear" w:color="000000" w:fill="FFFFFF"/>
            <w:hideMark/>
          </w:tcPr>
          <w:p w14:paraId="2B6DDF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tc>
        <w:tc>
          <w:tcPr>
            <w:tcW w:w="1480" w:type="dxa"/>
            <w:tcBorders>
              <w:top w:val="nil"/>
              <w:left w:val="nil"/>
              <w:bottom w:val="nil"/>
              <w:right w:val="single" w:sz="4" w:space="0" w:color="000000"/>
            </w:tcBorders>
            <w:shd w:val="clear" w:color="000000" w:fill="FFFFFF"/>
            <w:hideMark/>
          </w:tcPr>
          <w:p w14:paraId="3127C2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59D3C4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9A9F5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w:t>
            </w:r>
          </w:p>
        </w:tc>
        <w:tc>
          <w:tcPr>
            <w:tcW w:w="3798" w:type="dxa"/>
            <w:tcBorders>
              <w:top w:val="nil"/>
              <w:left w:val="nil"/>
              <w:bottom w:val="nil"/>
              <w:right w:val="single" w:sz="4" w:space="0" w:color="000000"/>
            </w:tcBorders>
            <w:shd w:val="clear" w:color="000000" w:fill="FFFFFF"/>
            <w:hideMark/>
          </w:tcPr>
          <w:p w14:paraId="68370A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w:t>
            </w:r>
          </w:p>
        </w:tc>
        <w:tc>
          <w:tcPr>
            <w:tcW w:w="3798" w:type="dxa"/>
            <w:tcBorders>
              <w:top w:val="nil"/>
              <w:left w:val="nil"/>
              <w:bottom w:val="nil"/>
              <w:right w:val="single" w:sz="4" w:space="0" w:color="000000"/>
            </w:tcBorders>
            <w:shd w:val="clear" w:color="000000" w:fill="FFFFFF"/>
            <w:hideMark/>
          </w:tcPr>
          <w:p w14:paraId="228800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w:t>
            </w:r>
          </w:p>
        </w:tc>
        <w:tc>
          <w:tcPr>
            <w:tcW w:w="1480" w:type="dxa"/>
            <w:tcBorders>
              <w:top w:val="nil"/>
              <w:left w:val="nil"/>
              <w:bottom w:val="nil"/>
              <w:right w:val="single" w:sz="4" w:space="0" w:color="000000"/>
            </w:tcBorders>
            <w:shd w:val="clear" w:color="000000" w:fill="FFFFFF"/>
            <w:hideMark/>
          </w:tcPr>
          <w:p w14:paraId="5683B4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169C04"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C1DD57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tc>
        <w:tc>
          <w:tcPr>
            <w:tcW w:w="3798" w:type="dxa"/>
            <w:tcBorders>
              <w:top w:val="nil"/>
              <w:left w:val="nil"/>
              <w:bottom w:val="nil"/>
              <w:right w:val="single" w:sz="4" w:space="0" w:color="000000"/>
            </w:tcBorders>
            <w:shd w:val="clear" w:color="000000" w:fill="FFFFFF"/>
            <w:hideMark/>
          </w:tcPr>
          <w:p w14:paraId="2F9425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tc>
        <w:tc>
          <w:tcPr>
            <w:tcW w:w="3798" w:type="dxa"/>
            <w:tcBorders>
              <w:top w:val="nil"/>
              <w:left w:val="nil"/>
              <w:bottom w:val="nil"/>
              <w:right w:val="single" w:sz="4" w:space="0" w:color="000000"/>
            </w:tcBorders>
            <w:shd w:val="clear" w:color="000000" w:fill="FFFFFF"/>
            <w:hideMark/>
          </w:tcPr>
          <w:p w14:paraId="6181D4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tc>
        <w:tc>
          <w:tcPr>
            <w:tcW w:w="1480" w:type="dxa"/>
            <w:tcBorders>
              <w:top w:val="nil"/>
              <w:left w:val="nil"/>
              <w:bottom w:val="nil"/>
              <w:right w:val="single" w:sz="4" w:space="0" w:color="000000"/>
            </w:tcBorders>
            <w:shd w:val="clear" w:color="000000" w:fill="FFFFFF"/>
            <w:hideMark/>
          </w:tcPr>
          <w:p w14:paraId="4CC3A1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466FE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66BFE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renuncia aceptada. </w:t>
            </w:r>
          </w:p>
        </w:tc>
        <w:tc>
          <w:tcPr>
            <w:tcW w:w="3798" w:type="dxa"/>
            <w:tcBorders>
              <w:top w:val="nil"/>
              <w:left w:val="nil"/>
              <w:bottom w:val="nil"/>
              <w:right w:val="single" w:sz="4" w:space="0" w:color="000000"/>
            </w:tcBorders>
            <w:shd w:val="clear" w:color="000000" w:fill="FFFFFF"/>
            <w:hideMark/>
          </w:tcPr>
          <w:p w14:paraId="582269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renuncia aceptada. </w:t>
            </w:r>
          </w:p>
        </w:tc>
        <w:tc>
          <w:tcPr>
            <w:tcW w:w="3798" w:type="dxa"/>
            <w:tcBorders>
              <w:top w:val="nil"/>
              <w:left w:val="nil"/>
              <w:bottom w:val="nil"/>
              <w:right w:val="single" w:sz="4" w:space="0" w:color="000000"/>
            </w:tcBorders>
            <w:shd w:val="clear" w:color="000000" w:fill="FFFFFF"/>
            <w:hideMark/>
          </w:tcPr>
          <w:p w14:paraId="3B3C36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renuncia aceptada. </w:t>
            </w:r>
          </w:p>
        </w:tc>
        <w:tc>
          <w:tcPr>
            <w:tcW w:w="1480" w:type="dxa"/>
            <w:tcBorders>
              <w:top w:val="nil"/>
              <w:left w:val="nil"/>
              <w:bottom w:val="nil"/>
              <w:right w:val="single" w:sz="4" w:space="0" w:color="000000"/>
            </w:tcBorders>
            <w:shd w:val="clear" w:color="000000" w:fill="FFFFFF"/>
            <w:hideMark/>
          </w:tcPr>
          <w:p w14:paraId="101268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5C5BB2"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23F5C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el cargo, decretada por autoridad judicial. </w:t>
            </w:r>
          </w:p>
        </w:tc>
        <w:tc>
          <w:tcPr>
            <w:tcW w:w="3798" w:type="dxa"/>
            <w:tcBorders>
              <w:top w:val="nil"/>
              <w:left w:val="nil"/>
              <w:bottom w:val="nil"/>
              <w:right w:val="single" w:sz="4" w:space="0" w:color="000000"/>
            </w:tcBorders>
            <w:shd w:val="clear" w:color="000000" w:fill="FFFFFF"/>
            <w:hideMark/>
          </w:tcPr>
          <w:p w14:paraId="53D683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el cargo, decretada por autoridad judicial. </w:t>
            </w:r>
          </w:p>
        </w:tc>
        <w:tc>
          <w:tcPr>
            <w:tcW w:w="3798" w:type="dxa"/>
            <w:tcBorders>
              <w:top w:val="nil"/>
              <w:left w:val="nil"/>
              <w:bottom w:val="nil"/>
              <w:right w:val="single" w:sz="4" w:space="0" w:color="000000"/>
            </w:tcBorders>
            <w:shd w:val="clear" w:color="000000" w:fill="FFFFFF"/>
            <w:hideMark/>
          </w:tcPr>
          <w:p w14:paraId="6792C1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el cargo, decretada por autoridad judicial. </w:t>
            </w:r>
          </w:p>
        </w:tc>
        <w:tc>
          <w:tcPr>
            <w:tcW w:w="1480" w:type="dxa"/>
            <w:tcBorders>
              <w:top w:val="nil"/>
              <w:left w:val="nil"/>
              <w:bottom w:val="nil"/>
              <w:right w:val="single" w:sz="4" w:space="0" w:color="000000"/>
            </w:tcBorders>
            <w:shd w:val="clear" w:color="000000" w:fill="FFFFFF"/>
            <w:hideMark/>
          </w:tcPr>
          <w:p w14:paraId="041DEE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F76AEC"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13674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no posesión en el cargo. </w:t>
            </w:r>
          </w:p>
        </w:tc>
        <w:tc>
          <w:tcPr>
            <w:tcW w:w="3798" w:type="dxa"/>
            <w:tcBorders>
              <w:top w:val="nil"/>
              <w:left w:val="nil"/>
              <w:bottom w:val="nil"/>
              <w:right w:val="single" w:sz="4" w:space="0" w:color="000000"/>
            </w:tcBorders>
            <w:shd w:val="clear" w:color="000000" w:fill="FFFFFF"/>
            <w:hideMark/>
          </w:tcPr>
          <w:p w14:paraId="511BC0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no posesión en el cargo. </w:t>
            </w:r>
          </w:p>
        </w:tc>
        <w:tc>
          <w:tcPr>
            <w:tcW w:w="3798" w:type="dxa"/>
            <w:tcBorders>
              <w:top w:val="nil"/>
              <w:left w:val="nil"/>
              <w:bottom w:val="nil"/>
              <w:right w:val="single" w:sz="4" w:space="0" w:color="000000"/>
            </w:tcBorders>
            <w:shd w:val="clear" w:color="000000" w:fill="FFFFFF"/>
            <w:hideMark/>
          </w:tcPr>
          <w:p w14:paraId="30BC58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no posesión en el cargo. </w:t>
            </w:r>
          </w:p>
        </w:tc>
        <w:tc>
          <w:tcPr>
            <w:tcW w:w="1480" w:type="dxa"/>
            <w:tcBorders>
              <w:top w:val="nil"/>
              <w:left w:val="nil"/>
              <w:bottom w:val="nil"/>
              <w:right w:val="single" w:sz="4" w:space="0" w:color="000000"/>
            </w:tcBorders>
            <w:shd w:val="clear" w:color="000000" w:fill="FFFFFF"/>
            <w:hideMark/>
          </w:tcPr>
          <w:p w14:paraId="449B75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55E28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0CD94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pérdida de investidura. </w:t>
            </w:r>
          </w:p>
        </w:tc>
        <w:tc>
          <w:tcPr>
            <w:tcW w:w="3798" w:type="dxa"/>
            <w:tcBorders>
              <w:top w:val="nil"/>
              <w:left w:val="nil"/>
              <w:bottom w:val="nil"/>
              <w:right w:val="single" w:sz="4" w:space="0" w:color="000000"/>
            </w:tcBorders>
            <w:shd w:val="clear" w:color="000000" w:fill="FFFFFF"/>
            <w:hideMark/>
          </w:tcPr>
          <w:p w14:paraId="09D1AD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pérdida de investidura. </w:t>
            </w:r>
          </w:p>
        </w:tc>
        <w:tc>
          <w:tcPr>
            <w:tcW w:w="3798" w:type="dxa"/>
            <w:tcBorders>
              <w:top w:val="nil"/>
              <w:left w:val="nil"/>
              <w:bottom w:val="nil"/>
              <w:right w:val="single" w:sz="4" w:space="0" w:color="000000"/>
            </w:tcBorders>
            <w:shd w:val="clear" w:color="000000" w:fill="FFFFFF"/>
            <w:hideMark/>
          </w:tcPr>
          <w:p w14:paraId="4BFCAF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pérdida de investidura. </w:t>
            </w:r>
          </w:p>
        </w:tc>
        <w:tc>
          <w:tcPr>
            <w:tcW w:w="1480" w:type="dxa"/>
            <w:tcBorders>
              <w:top w:val="nil"/>
              <w:left w:val="nil"/>
              <w:bottom w:val="nil"/>
              <w:right w:val="single" w:sz="4" w:space="0" w:color="000000"/>
            </w:tcBorders>
            <w:shd w:val="clear" w:color="000000" w:fill="FFFFFF"/>
            <w:hideMark/>
          </w:tcPr>
          <w:p w14:paraId="37F7DF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C1230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8E063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8. La condena a pena privativa de la libertad debidamente ejecutoriada.  </w:t>
            </w:r>
          </w:p>
        </w:tc>
        <w:tc>
          <w:tcPr>
            <w:tcW w:w="3798" w:type="dxa"/>
            <w:tcBorders>
              <w:top w:val="nil"/>
              <w:left w:val="nil"/>
              <w:bottom w:val="nil"/>
              <w:right w:val="single" w:sz="4" w:space="0" w:color="000000"/>
            </w:tcBorders>
            <w:shd w:val="clear" w:color="000000" w:fill="FFFFFF"/>
            <w:hideMark/>
          </w:tcPr>
          <w:p w14:paraId="03440B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 condena a pena privativa de la libertad debidamente ejecutoriada.  </w:t>
            </w:r>
          </w:p>
        </w:tc>
        <w:tc>
          <w:tcPr>
            <w:tcW w:w="3798" w:type="dxa"/>
            <w:tcBorders>
              <w:top w:val="nil"/>
              <w:left w:val="nil"/>
              <w:bottom w:val="nil"/>
              <w:right w:val="single" w:sz="4" w:space="0" w:color="000000"/>
            </w:tcBorders>
            <w:shd w:val="clear" w:color="000000" w:fill="FFFFFF"/>
            <w:hideMark/>
          </w:tcPr>
          <w:p w14:paraId="64841A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 condena a pena privativa de la libertad debidamente ejecutoriada.  </w:t>
            </w:r>
          </w:p>
        </w:tc>
        <w:tc>
          <w:tcPr>
            <w:tcW w:w="1480" w:type="dxa"/>
            <w:tcBorders>
              <w:top w:val="nil"/>
              <w:left w:val="nil"/>
              <w:bottom w:val="nil"/>
              <w:right w:val="single" w:sz="4" w:space="0" w:color="000000"/>
            </w:tcBorders>
            <w:shd w:val="clear" w:color="000000" w:fill="FFFFFF"/>
            <w:hideMark/>
          </w:tcPr>
          <w:p w14:paraId="3AEEC3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23E064"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069B3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  </w:t>
            </w:r>
          </w:p>
        </w:tc>
        <w:tc>
          <w:tcPr>
            <w:tcW w:w="3798" w:type="dxa"/>
            <w:tcBorders>
              <w:top w:val="nil"/>
              <w:left w:val="nil"/>
              <w:bottom w:val="nil"/>
              <w:right w:val="single" w:sz="4" w:space="0" w:color="000000"/>
            </w:tcBorders>
            <w:shd w:val="clear" w:color="000000" w:fill="FFFFFF"/>
            <w:hideMark/>
          </w:tcPr>
          <w:p w14:paraId="6214A4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tc>
        <w:tc>
          <w:tcPr>
            <w:tcW w:w="3798" w:type="dxa"/>
            <w:tcBorders>
              <w:top w:val="nil"/>
              <w:left w:val="nil"/>
              <w:bottom w:val="nil"/>
              <w:right w:val="single" w:sz="4" w:space="0" w:color="000000"/>
            </w:tcBorders>
            <w:shd w:val="clear" w:color="000000" w:fill="FFFFFF"/>
            <w:hideMark/>
          </w:tcPr>
          <w:p w14:paraId="4CF0F4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tc>
        <w:tc>
          <w:tcPr>
            <w:tcW w:w="1480" w:type="dxa"/>
            <w:tcBorders>
              <w:top w:val="nil"/>
              <w:left w:val="nil"/>
              <w:bottom w:val="nil"/>
              <w:right w:val="single" w:sz="4" w:space="0" w:color="000000"/>
            </w:tcBorders>
            <w:shd w:val="clear" w:color="000000" w:fill="FFFFFF"/>
            <w:hideMark/>
          </w:tcPr>
          <w:p w14:paraId="52E264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CA2173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5644E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Son faltas temporales de los miembros de corporaciones públicas de elección popular que dan lugar a reemplazo: </w:t>
            </w:r>
          </w:p>
        </w:tc>
        <w:tc>
          <w:tcPr>
            <w:tcW w:w="3798" w:type="dxa"/>
            <w:tcBorders>
              <w:top w:val="nil"/>
              <w:left w:val="nil"/>
              <w:bottom w:val="nil"/>
              <w:right w:val="single" w:sz="4" w:space="0" w:color="000000"/>
            </w:tcBorders>
            <w:shd w:val="clear" w:color="000000" w:fill="FFFFFF"/>
            <w:hideMark/>
          </w:tcPr>
          <w:p w14:paraId="3427F7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Son faltas temporales de los miembros de corporaciones públicas de elección popular que dan lugar a reemplazo:</w:t>
            </w:r>
          </w:p>
        </w:tc>
        <w:tc>
          <w:tcPr>
            <w:tcW w:w="3798" w:type="dxa"/>
            <w:tcBorders>
              <w:top w:val="nil"/>
              <w:left w:val="nil"/>
              <w:bottom w:val="nil"/>
              <w:right w:val="single" w:sz="4" w:space="0" w:color="000000"/>
            </w:tcBorders>
            <w:shd w:val="clear" w:color="000000" w:fill="FFFFFF"/>
            <w:hideMark/>
          </w:tcPr>
          <w:p w14:paraId="7C40AB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Son faltas temporales de los miembros de corporaciones públicas de elección popular que dan lugar a reemplazo:</w:t>
            </w:r>
          </w:p>
        </w:tc>
        <w:tc>
          <w:tcPr>
            <w:tcW w:w="1480" w:type="dxa"/>
            <w:tcBorders>
              <w:top w:val="nil"/>
              <w:left w:val="nil"/>
              <w:bottom w:val="nil"/>
              <w:right w:val="single" w:sz="4" w:space="0" w:color="000000"/>
            </w:tcBorders>
            <w:shd w:val="clear" w:color="000000" w:fill="FFFFFF"/>
            <w:hideMark/>
          </w:tcPr>
          <w:p w14:paraId="581304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9AD8D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2162A2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licencia de maternidad. </w:t>
            </w:r>
          </w:p>
        </w:tc>
        <w:tc>
          <w:tcPr>
            <w:tcW w:w="3798" w:type="dxa"/>
            <w:tcBorders>
              <w:top w:val="nil"/>
              <w:left w:val="nil"/>
              <w:bottom w:val="nil"/>
              <w:right w:val="single" w:sz="4" w:space="0" w:color="000000"/>
            </w:tcBorders>
            <w:shd w:val="clear" w:color="000000" w:fill="FFFFFF"/>
            <w:hideMark/>
          </w:tcPr>
          <w:p w14:paraId="5FEFC8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licencia de maternidad. </w:t>
            </w:r>
          </w:p>
        </w:tc>
        <w:tc>
          <w:tcPr>
            <w:tcW w:w="3798" w:type="dxa"/>
            <w:tcBorders>
              <w:top w:val="nil"/>
              <w:left w:val="nil"/>
              <w:bottom w:val="nil"/>
              <w:right w:val="single" w:sz="4" w:space="0" w:color="000000"/>
            </w:tcBorders>
            <w:shd w:val="clear" w:color="000000" w:fill="FFFFFF"/>
            <w:hideMark/>
          </w:tcPr>
          <w:p w14:paraId="0CF479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licencia de maternidad. </w:t>
            </w:r>
          </w:p>
        </w:tc>
        <w:tc>
          <w:tcPr>
            <w:tcW w:w="1480" w:type="dxa"/>
            <w:tcBorders>
              <w:top w:val="nil"/>
              <w:left w:val="nil"/>
              <w:bottom w:val="nil"/>
              <w:right w:val="single" w:sz="4" w:space="0" w:color="000000"/>
            </w:tcBorders>
            <w:shd w:val="clear" w:color="000000" w:fill="FFFFFF"/>
            <w:hideMark/>
          </w:tcPr>
          <w:p w14:paraId="19D342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5D558C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77EDA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medida de aseguramiento por delitos distintos a los señalados en el artículo 134 de la Constitución Política. </w:t>
            </w:r>
          </w:p>
        </w:tc>
        <w:tc>
          <w:tcPr>
            <w:tcW w:w="3798" w:type="dxa"/>
            <w:tcBorders>
              <w:top w:val="nil"/>
              <w:left w:val="nil"/>
              <w:bottom w:val="nil"/>
              <w:right w:val="single" w:sz="4" w:space="0" w:color="000000"/>
            </w:tcBorders>
            <w:shd w:val="clear" w:color="000000" w:fill="FFFFFF"/>
            <w:hideMark/>
          </w:tcPr>
          <w:p w14:paraId="689215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medida de aseguramiento por delitos distintos a los señalados en el artículo 134 de la Constitución Política. </w:t>
            </w:r>
          </w:p>
        </w:tc>
        <w:tc>
          <w:tcPr>
            <w:tcW w:w="3798" w:type="dxa"/>
            <w:tcBorders>
              <w:top w:val="nil"/>
              <w:left w:val="nil"/>
              <w:bottom w:val="nil"/>
              <w:right w:val="single" w:sz="4" w:space="0" w:color="000000"/>
            </w:tcBorders>
            <w:shd w:val="clear" w:color="000000" w:fill="FFFFFF"/>
            <w:hideMark/>
          </w:tcPr>
          <w:p w14:paraId="475592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medida de aseguramiento por delitos distintos a los señalados en el artículo 134 de la Constitución Política. </w:t>
            </w:r>
          </w:p>
        </w:tc>
        <w:tc>
          <w:tcPr>
            <w:tcW w:w="1480" w:type="dxa"/>
            <w:tcBorders>
              <w:top w:val="nil"/>
              <w:left w:val="nil"/>
              <w:bottom w:val="nil"/>
              <w:right w:val="single" w:sz="4" w:space="0" w:color="000000"/>
            </w:tcBorders>
            <w:shd w:val="clear" w:color="000000" w:fill="FFFFFF"/>
            <w:hideMark/>
          </w:tcPr>
          <w:p w14:paraId="38EB4C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00476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4BC61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Suspensión en el cargo por decisión de autoridad judicial penal. </w:t>
            </w:r>
          </w:p>
        </w:tc>
        <w:tc>
          <w:tcPr>
            <w:tcW w:w="3798" w:type="dxa"/>
            <w:tcBorders>
              <w:top w:val="nil"/>
              <w:left w:val="nil"/>
              <w:bottom w:val="nil"/>
              <w:right w:val="single" w:sz="4" w:space="0" w:color="000000"/>
            </w:tcBorders>
            <w:shd w:val="clear" w:color="000000" w:fill="FFFFFF"/>
            <w:hideMark/>
          </w:tcPr>
          <w:p w14:paraId="59FFD6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Suspensión en el cargo por decisión de autoridad judicial penal. </w:t>
            </w:r>
          </w:p>
        </w:tc>
        <w:tc>
          <w:tcPr>
            <w:tcW w:w="3798" w:type="dxa"/>
            <w:tcBorders>
              <w:top w:val="nil"/>
              <w:left w:val="nil"/>
              <w:bottom w:val="nil"/>
              <w:right w:val="single" w:sz="4" w:space="0" w:color="000000"/>
            </w:tcBorders>
            <w:shd w:val="clear" w:color="000000" w:fill="FFFFFF"/>
            <w:hideMark/>
          </w:tcPr>
          <w:p w14:paraId="46DC6E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Suspensión en el cargo por decisión de autoridad judicial penal. </w:t>
            </w:r>
          </w:p>
        </w:tc>
        <w:tc>
          <w:tcPr>
            <w:tcW w:w="1480" w:type="dxa"/>
            <w:tcBorders>
              <w:top w:val="nil"/>
              <w:left w:val="nil"/>
              <w:bottom w:val="nil"/>
              <w:right w:val="single" w:sz="4" w:space="0" w:color="000000"/>
            </w:tcBorders>
            <w:shd w:val="clear" w:color="000000" w:fill="FFFFFF"/>
            <w:hideMark/>
          </w:tcPr>
          <w:p w14:paraId="1194F1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63E408B"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17BF5C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provisional del acto de elección por decisión judicial. </w:t>
            </w:r>
          </w:p>
        </w:tc>
        <w:tc>
          <w:tcPr>
            <w:tcW w:w="3798" w:type="dxa"/>
            <w:tcBorders>
              <w:top w:val="nil"/>
              <w:left w:val="nil"/>
              <w:bottom w:val="nil"/>
              <w:right w:val="single" w:sz="4" w:space="0" w:color="000000"/>
            </w:tcBorders>
            <w:shd w:val="clear" w:color="000000" w:fill="FFFFFF"/>
            <w:hideMark/>
          </w:tcPr>
          <w:p w14:paraId="235376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provisional del acto de elección por decisión judicial. </w:t>
            </w:r>
          </w:p>
        </w:tc>
        <w:tc>
          <w:tcPr>
            <w:tcW w:w="3798" w:type="dxa"/>
            <w:tcBorders>
              <w:top w:val="nil"/>
              <w:left w:val="nil"/>
              <w:bottom w:val="nil"/>
              <w:right w:val="single" w:sz="4" w:space="0" w:color="000000"/>
            </w:tcBorders>
            <w:shd w:val="clear" w:color="000000" w:fill="FFFFFF"/>
            <w:hideMark/>
          </w:tcPr>
          <w:p w14:paraId="53F5C69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provisional del acto de elección por decisión judicial. </w:t>
            </w:r>
          </w:p>
        </w:tc>
        <w:tc>
          <w:tcPr>
            <w:tcW w:w="1480" w:type="dxa"/>
            <w:tcBorders>
              <w:top w:val="nil"/>
              <w:left w:val="nil"/>
              <w:bottom w:val="nil"/>
              <w:right w:val="single" w:sz="4" w:space="0" w:color="000000"/>
            </w:tcBorders>
            <w:shd w:val="clear" w:color="000000" w:fill="FFFFFF"/>
            <w:hideMark/>
          </w:tcPr>
          <w:p w14:paraId="16CFA0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BA842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D3EDD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La ausencia forzada e involuntaria. </w:t>
            </w:r>
          </w:p>
        </w:tc>
        <w:tc>
          <w:tcPr>
            <w:tcW w:w="3798" w:type="dxa"/>
            <w:tcBorders>
              <w:top w:val="nil"/>
              <w:left w:val="nil"/>
              <w:bottom w:val="nil"/>
              <w:right w:val="single" w:sz="4" w:space="0" w:color="000000"/>
            </w:tcBorders>
            <w:shd w:val="clear" w:color="000000" w:fill="FFFFFF"/>
            <w:hideMark/>
          </w:tcPr>
          <w:p w14:paraId="3FBDA8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ausencia forzada e involuntaria. </w:t>
            </w:r>
          </w:p>
        </w:tc>
        <w:tc>
          <w:tcPr>
            <w:tcW w:w="3798" w:type="dxa"/>
            <w:tcBorders>
              <w:top w:val="nil"/>
              <w:left w:val="nil"/>
              <w:bottom w:val="nil"/>
              <w:right w:val="single" w:sz="4" w:space="0" w:color="000000"/>
            </w:tcBorders>
            <w:shd w:val="clear" w:color="000000" w:fill="FFFFFF"/>
            <w:hideMark/>
          </w:tcPr>
          <w:p w14:paraId="69ED47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ausencia forzada e involuntaria. </w:t>
            </w:r>
          </w:p>
        </w:tc>
        <w:tc>
          <w:tcPr>
            <w:tcW w:w="1480" w:type="dxa"/>
            <w:tcBorders>
              <w:top w:val="nil"/>
              <w:left w:val="nil"/>
              <w:bottom w:val="nil"/>
              <w:right w:val="single" w:sz="4" w:space="0" w:color="000000"/>
            </w:tcBorders>
            <w:shd w:val="clear" w:color="000000" w:fill="FFFFFF"/>
            <w:hideMark/>
          </w:tcPr>
          <w:p w14:paraId="4ED1F5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8344888"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96C6E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suspensión de la condición Congresional que desarrolla la ley 1828 de 2017, en el art. 14, lit. c).</w:t>
            </w:r>
          </w:p>
        </w:tc>
        <w:tc>
          <w:tcPr>
            <w:tcW w:w="3798" w:type="dxa"/>
            <w:tcBorders>
              <w:top w:val="nil"/>
              <w:left w:val="nil"/>
              <w:bottom w:val="nil"/>
              <w:right w:val="single" w:sz="4" w:space="0" w:color="000000"/>
            </w:tcBorders>
            <w:shd w:val="clear" w:color="000000" w:fill="FFFFFF"/>
            <w:hideMark/>
          </w:tcPr>
          <w:p w14:paraId="4FE5CB9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suspensión de la condición Congresional que desarrolla la ley 1828 de 2017, en el art. 14, lit. c).</w:t>
            </w:r>
          </w:p>
        </w:tc>
        <w:tc>
          <w:tcPr>
            <w:tcW w:w="3798" w:type="dxa"/>
            <w:tcBorders>
              <w:top w:val="nil"/>
              <w:left w:val="nil"/>
              <w:bottom w:val="nil"/>
              <w:right w:val="single" w:sz="4" w:space="0" w:color="000000"/>
            </w:tcBorders>
            <w:shd w:val="clear" w:color="000000" w:fill="FFFFFF"/>
            <w:hideMark/>
          </w:tcPr>
          <w:p w14:paraId="3DBFEF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suspensión de la condición Congresional que desarrolla la ley 1828 de 2017, en el art. 14, lit. c).</w:t>
            </w:r>
          </w:p>
        </w:tc>
        <w:tc>
          <w:tcPr>
            <w:tcW w:w="1480" w:type="dxa"/>
            <w:tcBorders>
              <w:top w:val="nil"/>
              <w:left w:val="nil"/>
              <w:bottom w:val="nil"/>
              <w:right w:val="single" w:sz="4" w:space="0" w:color="000000"/>
            </w:tcBorders>
            <w:shd w:val="clear" w:color="000000" w:fill="FFFFFF"/>
            <w:hideMark/>
          </w:tcPr>
          <w:p w14:paraId="074334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860FA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8CF62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reemplazos se proveerán con los candidatos no elegidos que, según el orden de inscripción para listas sin voto preferente o votación obtenida para lista con voto preferente, le sigan en forma sucesiva y descendente en la misma lista electoral al elegido que produjo la falta. </w:t>
            </w:r>
          </w:p>
        </w:tc>
        <w:tc>
          <w:tcPr>
            <w:tcW w:w="3798" w:type="dxa"/>
            <w:tcBorders>
              <w:top w:val="nil"/>
              <w:left w:val="nil"/>
              <w:bottom w:val="nil"/>
              <w:right w:val="single" w:sz="4" w:space="0" w:color="000000"/>
            </w:tcBorders>
            <w:shd w:val="clear" w:color="000000" w:fill="FFFFFF"/>
            <w:hideMark/>
          </w:tcPr>
          <w:p w14:paraId="56F41B7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reemplazos se proveerán con los candidatos no elegidos que, según el orden de inscripción para listas sin voto preferente o votación obtenida para lista con voto preferente, le sigan en forma sucesiva y descendente en la misma lista electoral al elegido que produjo la falta.</w:t>
            </w:r>
          </w:p>
        </w:tc>
        <w:tc>
          <w:tcPr>
            <w:tcW w:w="3798" w:type="dxa"/>
            <w:tcBorders>
              <w:top w:val="nil"/>
              <w:left w:val="nil"/>
              <w:bottom w:val="nil"/>
              <w:right w:val="single" w:sz="4" w:space="0" w:color="000000"/>
            </w:tcBorders>
            <w:shd w:val="clear" w:color="000000" w:fill="FFFFFF"/>
            <w:hideMark/>
          </w:tcPr>
          <w:p w14:paraId="6DCFC7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reemplazos se proveerán con los candidatos no elegidos que, según el orden de inscripción para listas sin voto preferente o votación obtenida para lista con voto preferente, le sigan en forma sucesiva y descendente en la misma lista electoral al elegido que produjo la falta.</w:t>
            </w:r>
          </w:p>
        </w:tc>
        <w:tc>
          <w:tcPr>
            <w:tcW w:w="1480" w:type="dxa"/>
            <w:tcBorders>
              <w:top w:val="nil"/>
              <w:left w:val="nil"/>
              <w:bottom w:val="nil"/>
              <w:right w:val="single" w:sz="4" w:space="0" w:color="000000"/>
            </w:tcBorders>
            <w:shd w:val="clear" w:color="000000" w:fill="FFFFFF"/>
            <w:hideMark/>
          </w:tcPr>
          <w:p w14:paraId="5737B0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6C97A36"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8140E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 </w:t>
            </w:r>
          </w:p>
        </w:tc>
        <w:tc>
          <w:tcPr>
            <w:tcW w:w="3798" w:type="dxa"/>
            <w:tcBorders>
              <w:top w:val="nil"/>
              <w:left w:val="nil"/>
              <w:bottom w:val="nil"/>
              <w:right w:val="single" w:sz="4" w:space="0" w:color="000000"/>
            </w:tcBorders>
            <w:shd w:val="clear" w:color="000000" w:fill="FFFFFF"/>
            <w:hideMark/>
          </w:tcPr>
          <w:p w14:paraId="448110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w:t>
            </w:r>
          </w:p>
        </w:tc>
        <w:tc>
          <w:tcPr>
            <w:tcW w:w="3798" w:type="dxa"/>
            <w:tcBorders>
              <w:top w:val="nil"/>
              <w:left w:val="nil"/>
              <w:bottom w:val="nil"/>
              <w:right w:val="single" w:sz="4" w:space="0" w:color="000000"/>
            </w:tcBorders>
            <w:shd w:val="clear" w:color="000000" w:fill="FFFFFF"/>
            <w:hideMark/>
          </w:tcPr>
          <w:p w14:paraId="2674F0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w:t>
            </w:r>
          </w:p>
        </w:tc>
        <w:tc>
          <w:tcPr>
            <w:tcW w:w="1480" w:type="dxa"/>
            <w:tcBorders>
              <w:top w:val="nil"/>
              <w:left w:val="nil"/>
              <w:bottom w:val="nil"/>
              <w:right w:val="single" w:sz="4" w:space="0" w:color="000000"/>
            </w:tcBorders>
            <w:shd w:val="clear" w:color="000000" w:fill="FFFFFF"/>
            <w:hideMark/>
          </w:tcPr>
          <w:p w14:paraId="6F4BB7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61EBA41" w14:textId="77777777" w:rsidTr="00222F34">
        <w:trPr>
          <w:trHeight w:val="300"/>
        </w:trPr>
        <w:tc>
          <w:tcPr>
            <w:tcW w:w="3798" w:type="dxa"/>
            <w:tcBorders>
              <w:top w:val="single" w:sz="4" w:space="0" w:color="000000"/>
              <w:left w:val="single" w:sz="4" w:space="0" w:color="000000"/>
              <w:bottom w:val="nil"/>
              <w:right w:val="single" w:sz="4" w:space="0" w:color="000000"/>
            </w:tcBorders>
            <w:shd w:val="clear" w:color="000000" w:fill="FFFFFF"/>
            <w:hideMark/>
          </w:tcPr>
          <w:p w14:paraId="3A6255B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single" w:sz="4" w:space="0" w:color="000000"/>
              <w:left w:val="nil"/>
              <w:bottom w:val="nil"/>
              <w:right w:val="single" w:sz="4" w:space="0" w:color="000000"/>
            </w:tcBorders>
            <w:shd w:val="clear" w:color="000000" w:fill="FFFFFF"/>
            <w:hideMark/>
          </w:tcPr>
          <w:p w14:paraId="6980119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single" w:sz="4" w:space="0" w:color="000000"/>
              <w:left w:val="nil"/>
              <w:bottom w:val="nil"/>
              <w:right w:val="single" w:sz="4" w:space="0" w:color="000000"/>
            </w:tcBorders>
            <w:shd w:val="clear" w:color="000000" w:fill="FFFFFF"/>
            <w:hideMark/>
          </w:tcPr>
          <w:p w14:paraId="7130D20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single" w:sz="4" w:space="0" w:color="000000"/>
              <w:left w:val="nil"/>
              <w:bottom w:val="nil"/>
              <w:right w:val="single" w:sz="4" w:space="0" w:color="000000"/>
            </w:tcBorders>
            <w:shd w:val="clear" w:color="000000" w:fill="FFFFFF"/>
            <w:hideMark/>
          </w:tcPr>
          <w:p w14:paraId="78F766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70D782C"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3DC199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Elecciones atípicas</w:t>
            </w:r>
          </w:p>
        </w:tc>
        <w:tc>
          <w:tcPr>
            <w:tcW w:w="3798" w:type="dxa"/>
            <w:tcBorders>
              <w:top w:val="nil"/>
              <w:left w:val="nil"/>
              <w:bottom w:val="single" w:sz="4" w:space="0" w:color="000000"/>
              <w:right w:val="single" w:sz="4" w:space="0" w:color="000000"/>
            </w:tcBorders>
            <w:shd w:val="clear" w:color="000000" w:fill="FFFFFF"/>
            <w:hideMark/>
          </w:tcPr>
          <w:p w14:paraId="4DCDB43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Elecciones atípicas</w:t>
            </w:r>
          </w:p>
        </w:tc>
        <w:tc>
          <w:tcPr>
            <w:tcW w:w="3798" w:type="dxa"/>
            <w:tcBorders>
              <w:top w:val="nil"/>
              <w:left w:val="nil"/>
              <w:bottom w:val="single" w:sz="4" w:space="0" w:color="000000"/>
              <w:right w:val="single" w:sz="4" w:space="0" w:color="000000"/>
            </w:tcBorders>
            <w:shd w:val="clear" w:color="000000" w:fill="FFFFFF"/>
            <w:hideMark/>
          </w:tcPr>
          <w:p w14:paraId="67880C21"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Elecciones atípicas</w:t>
            </w:r>
          </w:p>
        </w:tc>
        <w:tc>
          <w:tcPr>
            <w:tcW w:w="1480" w:type="dxa"/>
            <w:tcBorders>
              <w:top w:val="nil"/>
              <w:left w:val="nil"/>
              <w:bottom w:val="single" w:sz="4" w:space="0" w:color="000000"/>
              <w:right w:val="single" w:sz="4" w:space="0" w:color="000000"/>
            </w:tcBorders>
            <w:shd w:val="clear" w:color="000000" w:fill="FFFFFF"/>
            <w:hideMark/>
          </w:tcPr>
          <w:p w14:paraId="69463F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78876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6AC81D3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223. Definición de elecciones atípicas.</w:t>
            </w:r>
            <w:r w:rsidRPr="00222F34">
              <w:rPr>
                <w:rFonts w:ascii="Calibri" w:eastAsia="Times New Roman" w:hAnsi="Calibri" w:cs="Calibri"/>
                <w:color w:val="000000"/>
                <w:lang w:val="es-CO" w:eastAsia="es-CO" w:bidi="ar-SA"/>
              </w:rPr>
              <w:t xml:space="preserve"> Las elecciones atípicas son las que se realizan por fuera de las fechas ordinarias previstas en este código, para elegir autoridades uninominales y corporaciones públicas, por las causales consagradas en la Constitución Política y la ley. </w:t>
            </w:r>
          </w:p>
        </w:tc>
        <w:tc>
          <w:tcPr>
            <w:tcW w:w="3798" w:type="dxa"/>
            <w:tcBorders>
              <w:top w:val="nil"/>
              <w:left w:val="nil"/>
              <w:bottom w:val="nil"/>
              <w:right w:val="single" w:sz="4" w:space="0" w:color="000000"/>
            </w:tcBorders>
            <w:shd w:val="clear" w:color="000000" w:fill="FFFFFF"/>
            <w:hideMark/>
          </w:tcPr>
          <w:p w14:paraId="1A1633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227. Definición de elecciones atípicas.</w:t>
            </w:r>
            <w:r w:rsidRPr="00222F34">
              <w:rPr>
                <w:rFonts w:ascii="Calibri" w:eastAsia="Times New Roman" w:hAnsi="Calibri" w:cs="Calibri"/>
                <w:color w:val="000000"/>
                <w:lang w:val="es-CO" w:eastAsia="es-CO" w:bidi="ar-SA"/>
              </w:rPr>
              <w:t xml:space="preserve"> Las elecciones atípicas son las que se realizan por fuera de las fechas ordinarias previstas en este código, para elegir autoridades uninominales y corporaciones públicas, por las causales consagradas en la Constitución Política y la ley.</w:t>
            </w:r>
          </w:p>
        </w:tc>
        <w:tc>
          <w:tcPr>
            <w:tcW w:w="3798" w:type="dxa"/>
            <w:tcBorders>
              <w:top w:val="nil"/>
              <w:left w:val="nil"/>
              <w:bottom w:val="nil"/>
              <w:right w:val="single" w:sz="4" w:space="0" w:color="000000"/>
            </w:tcBorders>
            <w:shd w:val="clear" w:color="000000" w:fill="FFFFFF"/>
            <w:hideMark/>
          </w:tcPr>
          <w:p w14:paraId="60CF2C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227. Definición de elecciones atípicas.</w:t>
            </w:r>
            <w:r w:rsidRPr="00222F34">
              <w:rPr>
                <w:rFonts w:ascii="Calibri" w:eastAsia="Times New Roman" w:hAnsi="Calibri" w:cs="Calibri"/>
                <w:color w:val="000000"/>
                <w:lang w:val="es-CO" w:eastAsia="es-CO" w:bidi="ar-SA"/>
              </w:rPr>
              <w:t xml:space="preserve"> Las elecciones atípicas son las que se realizan por fuera de las fechas ordinarias previstas en este código, para elegir autoridades uninominales y corporaciones públicas, por las causales consagradas en la Constitución Política y la ley.</w:t>
            </w:r>
          </w:p>
        </w:tc>
        <w:tc>
          <w:tcPr>
            <w:tcW w:w="1480" w:type="dxa"/>
            <w:tcBorders>
              <w:top w:val="nil"/>
              <w:left w:val="nil"/>
              <w:bottom w:val="nil"/>
              <w:right w:val="single" w:sz="4" w:space="0" w:color="000000"/>
            </w:tcBorders>
            <w:shd w:val="clear" w:color="000000" w:fill="FFFFFF"/>
            <w:hideMark/>
          </w:tcPr>
          <w:p w14:paraId="06E3491D" w14:textId="006F576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F60F4C1"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22F002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Ministerio de Hacienda y Crédito Público destinará una partida anual para que la Registraduría Nacional del Estado Civil y el Consejo Nacional Electoral puedan llevar a cabo las elecciones. En caso de no haber elecciones atípicas durante la vigencia fiscal respectiva, la Registraduría Nacional del Estado Civil y el Consejo Nacional Electoral devolverán al Ministerio de Hacienda y Crédito Público los recursos destinados para tal fin.</w:t>
            </w:r>
          </w:p>
        </w:tc>
        <w:tc>
          <w:tcPr>
            <w:tcW w:w="3798" w:type="dxa"/>
            <w:tcBorders>
              <w:top w:val="nil"/>
              <w:left w:val="nil"/>
              <w:bottom w:val="single" w:sz="4" w:space="0" w:color="000000"/>
              <w:right w:val="single" w:sz="4" w:space="0" w:color="000000"/>
            </w:tcBorders>
            <w:shd w:val="clear" w:color="000000" w:fill="FFFFFF"/>
            <w:hideMark/>
          </w:tcPr>
          <w:p w14:paraId="6C95AD3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Ministerio de Hacienda y Crédito Público destinará una partida anual para que la Registraduría Nacional del Estado Civil y el Consejo Nacional Electoral puedan llevar a cabo las elecciones. En caso de no haber elecciones atípicas durante la vigencia fiscal respectiva, la Registraduría Nacional del Estado Civil y el Consejo Nacional Electoral devolverán al Ministerio de Hacienda y Crédito Público los recursos destinados para tal fin.</w:t>
            </w:r>
          </w:p>
        </w:tc>
        <w:tc>
          <w:tcPr>
            <w:tcW w:w="3798" w:type="dxa"/>
            <w:tcBorders>
              <w:top w:val="nil"/>
              <w:left w:val="nil"/>
              <w:bottom w:val="single" w:sz="4" w:space="0" w:color="000000"/>
              <w:right w:val="single" w:sz="4" w:space="0" w:color="000000"/>
            </w:tcBorders>
            <w:shd w:val="clear" w:color="000000" w:fill="FFFFFF"/>
            <w:hideMark/>
          </w:tcPr>
          <w:p w14:paraId="45234E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Ministerio de Hacienda y Crédito Público destinará una partida anual para que la Registraduría Nacional del Estado Civil y el Consejo Nacional Electoral puedan llevar a cabo las elecciones. En caso de no haber elecciones atípicas durante la vigencia fiscal respectiva, la Registraduría Nacional del Estado Civil y el Consejo Nacional Electoral devolverán al Ministerio de Hacienda y Crédito Público los recursos destinados para tal fin.</w:t>
            </w:r>
          </w:p>
        </w:tc>
        <w:tc>
          <w:tcPr>
            <w:tcW w:w="1480" w:type="dxa"/>
            <w:tcBorders>
              <w:top w:val="nil"/>
              <w:left w:val="nil"/>
              <w:bottom w:val="single" w:sz="4" w:space="0" w:color="000000"/>
              <w:right w:val="single" w:sz="4" w:space="0" w:color="000000"/>
            </w:tcBorders>
            <w:shd w:val="clear" w:color="000000" w:fill="FFFFFF"/>
            <w:hideMark/>
          </w:tcPr>
          <w:p w14:paraId="768F37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AC861D" w14:textId="77777777" w:rsidTr="00222F34">
        <w:trPr>
          <w:trHeight w:val="1545"/>
        </w:trPr>
        <w:tc>
          <w:tcPr>
            <w:tcW w:w="3798" w:type="dxa"/>
            <w:tcBorders>
              <w:top w:val="nil"/>
              <w:left w:val="single" w:sz="4" w:space="0" w:color="000000"/>
              <w:bottom w:val="nil"/>
              <w:right w:val="single" w:sz="4" w:space="0" w:color="000000"/>
            </w:tcBorders>
            <w:shd w:val="clear" w:color="000000" w:fill="FFFFFF"/>
            <w:hideMark/>
          </w:tcPr>
          <w:p w14:paraId="759A8DE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224.- Por vacancia absoluta.</w:t>
            </w:r>
            <w:r w:rsidRPr="00222F34">
              <w:rPr>
                <w:rFonts w:ascii="Calibri" w:eastAsia="Times New Roman" w:hAnsi="Calibri" w:cs="Calibri"/>
                <w:color w:val="000000"/>
                <w:lang w:val="es-CO" w:eastAsia="es-CO" w:bidi="ar-SA"/>
              </w:rPr>
              <w:t xml:space="preserve"> 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w:t>
            </w:r>
            <w:r w:rsidRPr="00222F34">
              <w:rPr>
                <w:rFonts w:ascii="Calibri" w:eastAsia="Times New Roman" w:hAnsi="Calibri" w:cs="Calibri"/>
                <w:color w:val="000000"/>
                <w:lang w:val="es-CO" w:eastAsia="es-CO" w:bidi="ar-SA"/>
              </w:rPr>
              <w:lastRenderedPageBreak/>
              <w:t xml:space="preserve">realizará el domingo inmediatamente siguiente. </w:t>
            </w:r>
          </w:p>
        </w:tc>
        <w:tc>
          <w:tcPr>
            <w:tcW w:w="3798" w:type="dxa"/>
            <w:tcBorders>
              <w:top w:val="nil"/>
              <w:left w:val="nil"/>
              <w:bottom w:val="nil"/>
              <w:right w:val="single" w:sz="4" w:space="0" w:color="000000"/>
            </w:tcBorders>
            <w:shd w:val="clear" w:color="000000" w:fill="FFFFFF"/>
            <w:hideMark/>
          </w:tcPr>
          <w:p w14:paraId="454349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228. Por vacancia absoluta. </w:t>
            </w:r>
            <w:r w:rsidRPr="00222F34">
              <w:rPr>
                <w:rFonts w:ascii="Calibri" w:eastAsia="Times New Roman" w:hAnsi="Calibri" w:cs="Calibri"/>
                <w:color w:val="000000"/>
                <w:lang w:val="es-CO" w:eastAsia="es-CO" w:bidi="ar-SA"/>
              </w:rPr>
              <w:t xml:space="preserve">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w:t>
            </w:r>
            <w:r w:rsidRPr="00222F34">
              <w:rPr>
                <w:rFonts w:ascii="Calibri" w:eastAsia="Times New Roman" w:hAnsi="Calibri" w:cs="Calibri"/>
                <w:color w:val="000000"/>
                <w:lang w:val="es-CO" w:eastAsia="es-CO" w:bidi="ar-SA"/>
              </w:rPr>
              <w:lastRenderedPageBreak/>
              <w:t>realizará el domingo inmediatamente siguiente.</w:t>
            </w:r>
          </w:p>
        </w:tc>
        <w:tc>
          <w:tcPr>
            <w:tcW w:w="3798" w:type="dxa"/>
            <w:tcBorders>
              <w:top w:val="nil"/>
              <w:left w:val="nil"/>
              <w:bottom w:val="nil"/>
              <w:right w:val="single" w:sz="4" w:space="0" w:color="000000"/>
            </w:tcBorders>
            <w:shd w:val="clear" w:color="000000" w:fill="FFFFFF"/>
            <w:hideMark/>
          </w:tcPr>
          <w:p w14:paraId="41604C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228. Por vacancia absoluta. </w:t>
            </w:r>
            <w:r w:rsidRPr="00222F34">
              <w:rPr>
                <w:rFonts w:ascii="Calibri" w:eastAsia="Times New Roman" w:hAnsi="Calibri" w:cs="Calibri"/>
                <w:color w:val="000000"/>
                <w:lang w:val="es-CO" w:eastAsia="es-CO" w:bidi="ar-SA"/>
              </w:rPr>
              <w:t xml:space="preserve">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w:t>
            </w:r>
            <w:r w:rsidRPr="00222F34">
              <w:rPr>
                <w:rFonts w:ascii="Calibri" w:eastAsia="Times New Roman" w:hAnsi="Calibri" w:cs="Calibri"/>
                <w:color w:val="000000"/>
                <w:lang w:val="es-CO" w:eastAsia="es-CO" w:bidi="ar-SA"/>
              </w:rPr>
              <w:lastRenderedPageBreak/>
              <w:t>realizará el domingo inmediatamente siguiente.</w:t>
            </w:r>
          </w:p>
        </w:tc>
        <w:tc>
          <w:tcPr>
            <w:tcW w:w="1480" w:type="dxa"/>
            <w:tcBorders>
              <w:top w:val="nil"/>
              <w:left w:val="nil"/>
              <w:bottom w:val="nil"/>
              <w:right w:val="single" w:sz="4" w:space="0" w:color="000000"/>
            </w:tcBorders>
            <w:shd w:val="clear" w:color="000000" w:fill="FFFFFF"/>
            <w:hideMark/>
          </w:tcPr>
          <w:p w14:paraId="26739875" w14:textId="70F7AC0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174E7BC"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4A1D68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caso de vacancia absoluta por muerte, el término para realizar la elección se contará a partir de los cinco (5) días siguientes a la muerte. </w:t>
            </w:r>
          </w:p>
        </w:tc>
        <w:tc>
          <w:tcPr>
            <w:tcW w:w="3798" w:type="dxa"/>
            <w:tcBorders>
              <w:top w:val="nil"/>
              <w:left w:val="nil"/>
              <w:bottom w:val="nil"/>
              <w:right w:val="single" w:sz="4" w:space="0" w:color="000000"/>
            </w:tcBorders>
            <w:shd w:val="clear" w:color="000000" w:fill="FFFFFF"/>
            <w:hideMark/>
          </w:tcPr>
          <w:p w14:paraId="2FB105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vacancia absoluta por muerte, el término para realizar la elección se contará a partir de los cinco (5) días siguientes a la muerte.</w:t>
            </w:r>
          </w:p>
        </w:tc>
        <w:tc>
          <w:tcPr>
            <w:tcW w:w="3798" w:type="dxa"/>
            <w:tcBorders>
              <w:top w:val="nil"/>
              <w:left w:val="nil"/>
              <w:bottom w:val="nil"/>
              <w:right w:val="single" w:sz="4" w:space="0" w:color="000000"/>
            </w:tcBorders>
            <w:shd w:val="clear" w:color="000000" w:fill="FFFFFF"/>
            <w:hideMark/>
          </w:tcPr>
          <w:p w14:paraId="352C68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vacancia absoluta por muerte, el término para realizar la elección se contará a partir de los cinco (5) días siguientes a la muerte.</w:t>
            </w:r>
          </w:p>
        </w:tc>
        <w:tc>
          <w:tcPr>
            <w:tcW w:w="1480" w:type="dxa"/>
            <w:tcBorders>
              <w:top w:val="nil"/>
              <w:left w:val="nil"/>
              <w:bottom w:val="nil"/>
              <w:right w:val="single" w:sz="4" w:space="0" w:color="000000"/>
            </w:tcBorders>
            <w:shd w:val="clear" w:color="000000" w:fill="FFFFFF"/>
            <w:hideMark/>
          </w:tcPr>
          <w:p w14:paraId="03B492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084145"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CEAF12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vacancia absoluta por renuncia, el término para realizar la elección se contará a partir de los cinco (5) días siguientes a la fecha en que quede en firme el acto administrativo que contenga la decisión de aceptación. </w:t>
            </w:r>
          </w:p>
        </w:tc>
        <w:tc>
          <w:tcPr>
            <w:tcW w:w="3798" w:type="dxa"/>
            <w:tcBorders>
              <w:top w:val="nil"/>
              <w:left w:val="nil"/>
              <w:bottom w:val="nil"/>
              <w:right w:val="single" w:sz="4" w:space="0" w:color="000000"/>
            </w:tcBorders>
            <w:shd w:val="clear" w:color="000000" w:fill="FFFFFF"/>
            <w:hideMark/>
          </w:tcPr>
          <w:p w14:paraId="1C319D6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vacancia absoluta por renuncia, el término para realizar la elección se contará a partir de los cinco (5) días siguientes a la fecha en que quede en firme el acto administrativo que contenga la decisión de aceptación.</w:t>
            </w:r>
          </w:p>
        </w:tc>
        <w:tc>
          <w:tcPr>
            <w:tcW w:w="3798" w:type="dxa"/>
            <w:tcBorders>
              <w:top w:val="nil"/>
              <w:left w:val="nil"/>
              <w:bottom w:val="nil"/>
              <w:right w:val="single" w:sz="4" w:space="0" w:color="000000"/>
            </w:tcBorders>
            <w:shd w:val="clear" w:color="000000" w:fill="FFFFFF"/>
            <w:hideMark/>
          </w:tcPr>
          <w:p w14:paraId="366FB8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vacancia absoluta por renuncia, el término para realizar la elección se contará a partir de los cinco (5) días siguientes a la fecha en que quede en firme el acto administrativo que contenga la decisión de aceptación.</w:t>
            </w:r>
          </w:p>
        </w:tc>
        <w:tc>
          <w:tcPr>
            <w:tcW w:w="1480" w:type="dxa"/>
            <w:tcBorders>
              <w:top w:val="nil"/>
              <w:left w:val="nil"/>
              <w:bottom w:val="nil"/>
              <w:right w:val="single" w:sz="4" w:space="0" w:color="000000"/>
            </w:tcBorders>
            <w:shd w:val="clear" w:color="000000" w:fill="FFFFFF"/>
            <w:hideMark/>
          </w:tcPr>
          <w:p w14:paraId="770049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64B22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4BCE6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destitución, por decisión judicial, inhabilitación que no sea por discapacidad y declaratoria de nulidad electoral, se contará a partir de los cinco (5) días siguientes a la fecha en que quede en firme el acto administrativo o la decisión respectiva. </w:t>
            </w:r>
          </w:p>
        </w:tc>
        <w:tc>
          <w:tcPr>
            <w:tcW w:w="3798" w:type="dxa"/>
            <w:tcBorders>
              <w:top w:val="nil"/>
              <w:left w:val="nil"/>
              <w:bottom w:val="nil"/>
              <w:right w:val="single" w:sz="4" w:space="0" w:color="000000"/>
            </w:tcBorders>
            <w:shd w:val="clear" w:color="000000" w:fill="FFFFFF"/>
            <w:hideMark/>
          </w:tcPr>
          <w:p w14:paraId="2DE2E4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destitución, por decisión judicial, inhabilitación que no sea por discapacidad y declaratoria de nulidad electoral, se contará a partir de los cinco (5) días siguientes a la fecha en que quede en firme el acto administrativo o la decisión respectiva.</w:t>
            </w:r>
          </w:p>
        </w:tc>
        <w:tc>
          <w:tcPr>
            <w:tcW w:w="3798" w:type="dxa"/>
            <w:tcBorders>
              <w:top w:val="nil"/>
              <w:left w:val="nil"/>
              <w:bottom w:val="nil"/>
              <w:right w:val="single" w:sz="4" w:space="0" w:color="000000"/>
            </w:tcBorders>
            <w:shd w:val="clear" w:color="000000" w:fill="FFFFFF"/>
            <w:hideMark/>
          </w:tcPr>
          <w:p w14:paraId="74662C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destitución, por decisión judicial, inhabilitación que no sea por discapacidad y declaratoria de nulidad electoral, se contará a partir de los cinco (5) días siguientes a la fecha en que quede en firme el acto administrativo o la decisión respectiva.</w:t>
            </w:r>
          </w:p>
        </w:tc>
        <w:tc>
          <w:tcPr>
            <w:tcW w:w="1480" w:type="dxa"/>
            <w:tcBorders>
              <w:top w:val="nil"/>
              <w:left w:val="nil"/>
              <w:bottom w:val="nil"/>
              <w:right w:val="single" w:sz="4" w:space="0" w:color="000000"/>
            </w:tcBorders>
            <w:shd w:val="clear" w:color="000000" w:fill="FFFFFF"/>
            <w:hideMark/>
          </w:tcPr>
          <w:p w14:paraId="0EB943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BF3B4C"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612AE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incapacidad física permanente o incapacidad médica por enfermedad superior a ciento ochenta (180 días), se contará a partir de los cinco (5) días siguientes a la fecha de la certificación emitida por la autoridad competente. </w:t>
            </w:r>
          </w:p>
        </w:tc>
        <w:tc>
          <w:tcPr>
            <w:tcW w:w="3798" w:type="dxa"/>
            <w:tcBorders>
              <w:top w:val="nil"/>
              <w:left w:val="nil"/>
              <w:bottom w:val="nil"/>
              <w:right w:val="single" w:sz="4" w:space="0" w:color="000000"/>
            </w:tcBorders>
            <w:shd w:val="clear" w:color="000000" w:fill="FFFFFF"/>
            <w:hideMark/>
          </w:tcPr>
          <w:p w14:paraId="25ADD6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incapacidad física permanente o incapacidad médica por enfermedad superior a ciento ochenta (180 días), se contará a partir de los cinco (5) días siguientes a la fecha de la certificación emitida por la autoridad competente.</w:t>
            </w:r>
          </w:p>
        </w:tc>
        <w:tc>
          <w:tcPr>
            <w:tcW w:w="3798" w:type="dxa"/>
            <w:tcBorders>
              <w:top w:val="nil"/>
              <w:left w:val="nil"/>
              <w:bottom w:val="nil"/>
              <w:right w:val="single" w:sz="4" w:space="0" w:color="000000"/>
            </w:tcBorders>
            <w:shd w:val="clear" w:color="000000" w:fill="FFFFFF"/>
            <w:hideMark/>
          </w:tcPr>
          <w:p w14:paraId="1912F7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incapacidad física permanente o incapacidad médica por enfermedad superior a ciento ochenta (180 días), se contará a partir de los cinco (5) días siguientes a la fecha de la certificación emitida por la autoridad competente.</w:t>
            </w:r>
          </w:p>
        </w:tc>
        <w:tc>
          <w:tcPr>
            <w:tcW w:w="1480" w:type="dxa"/>
            <w:tcBorders>
              <w:top w:val="nil"/>
              <w:left w:val="nil"/>
              <w:bottom w:val="nil"/>
              <w:right w:val="single" w:sz="4" w:space="0" w:color="000000"/>
            </w:tcBorders>
            <w:shd w:val="clear" w:color="000000" w:fill="FFFFFF"/>
            <w:hideMark/>
          </w:tcPr>
          <w:p w14:paraId="07BF44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D47359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652AF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 </w:t>
            </w:r>
          </w:p>
        </w:tc>
        <w:tc>
          <w:tcPr>
            <w:tcW w:w="3798" w:type="dxa"/>
            <w:tcBorders>
              <w:top w:val="nil"/>
              <w:left w:val="nil"/>
              <w:bottom w:val="nil"/>
              <w:right w:val="single" w:sz="4" w:space="0" w:color="000000"/>
            </w:tcBorders>
            <w:shd w:val="clear" w:color="000000" w:fill="FFFFFF"/>
            <w:hideMark/>
          </w:tcPr>
          <w:p w14:paraId="5D2D03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tc>
        <w:tc>
          <w:tcPr>
            <w:tcW w:w="3798" w:type="dxa"/>
            <w:tcBorders>
              <w:top w:val="nil"/>
              <w:left w:val="nil"/>
              <w:bottom w:val="nil"/>
              <w:right w:val="single" w:sz="4" w:space="0" w:color="000000"/>
            </w:tcBorders>
            <w:shd w:val="clear" w:color="000000" w:fill="FFFFFF"/>
            <w:hideMark/>
          </w:tcPr>
          <w:p w14:paraId="22F60D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tc>
        <w:tc>
          <w:tcPr>
            <w:tcW w:w="1480" w:type="dxa"/>
            <w:tcBorders>
              <w:top w:val="nil"/>
              <w:left w:val="nil"/>
              <w:bottom w:val="nil"/>
              <w:right w:val="single" w:sz="4" w:space="0" w:color="000000"/>
            </w:tcBorders>
            <w:shd w:val="clear" w:color="000000" w:fill="FFFFFF"/>
            <w:hideMark/>
          </w:tcPr>
          <w:p w14:paraId="5470FA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33EB97C"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7FE02F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revocatoria de mandato, se contará a partir de los cinco (5) días después de la fecha en que se certifiquen los resultados de la votación, siempre y cuando, no falte menos de dieciocho (18) meses para la finalización del respectivo periodo constitucional. </w:t>
            </w:r>
          </w:p>
        </w:tc>
        <w:tc>
          <w:tcPr>
            <w:tcW w:w="3798" w:type="dxa"/>
            <w:tcBorders>
              <w:top w:val="nil"/>
              <w:left w:val="nil"/>
              <w:bottom w:val="single" w:sz="4" w:space="0" w:color="000000"/>
              <w:right w:val="single" w:sz="4" w:space="0" w:color="000000"/>
            </w:tcBorders>
            <w:shd w:val="clear" w:color="000000" w:fill="FFFFFF"/>
            <w:hideMark/>
          </w:tcPr>
          <w:p w14:paraId="5695050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revocatoria de mandato, se contará a partir de los cinco (5) días después de la fecha en que se certifiquen los resultados de la votación, siempre y cuando, no falte menos de dieciocho (18) meses para la finalización del respectivo periodo constitucional.</w:t>
            </w:r>
          </w:p>
        </w:tc>
        <w:tc>
          <w:tcPr>
            <w:tcW w:w="3798" w:type="dxa"/>
            <w:tcBorders>
              <w:top w:val="nil"/>
              <w:left w:val="nil"/>
              <w:bottom w:val="single" w:sz="4" w:space="0" w:color="000000"/>
              <w:right w:val="single" w:sz="4" w:space="0" w:color="000000"/>
            </w:tcBorders>
            <w:shd w:val="clear" w:color="000000" w:fill="FFFFFF"/>
            <w:hideMark/>
          </w:tcPr>
          <w:p w14:paraId="2DEE0E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revocatoria de mandato, se contará a partir de los cinco (5) días después de la fecha en que se certifiquen los resultados de la votación, siempre y cuando, no falte menos de dieciocho (18) meses para la finalización del respectivo periodo constitucional.</w:t>
            </w:r>
          </w:p>
        </w:tc>
        <w:tc>
          <w:tcPr>
            <w:tcW w:w="1480" w:type="dxa"/>
            <w:tcBorders>
              <w:top w:val="nil"/>
              <w:left w:val="nil"/>
              <w:bottom w:val="single" w:sz="4" w:space="0" w:color="000000"/>
              <w:right w:val="single" w:sz="4" w:space="0" w:color="000000"/>
            </w:tcBorders>
            <w:shd w:val="clear" w:color="000000" w:fill="FFFFFF"/>
            <w:hideMark/>
          </w:tcPr>
          <w:p w14:paraId="20A920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F893ED"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85E971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225.- Por voto en blanco.</w:t>
            </w:r>
            <w:r w:rsidRPr="00222F34">
              <w:rPr>
                <w:rFonts w:ascii="Calibri" w:eastAsia="Times New Roman" w:hAnsi="Calibri" w:cs="Calibri"/>
                <w:color w:val="000000"/>
                <w:lang w:val="es-CO" w:eastAsia="es-CO" w:bidi="ar-SA"/>
              </w:rPr>
              <w:t xml:space="preserve"> 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 </w:t>
            </w:r>
          </w:p>
        </w:tc>
        <w:tc>
          <w:tcPr>
            <w:tcW w:w="3798" w:type="dxa"/>
            <w:tcBorders>
              <w:top w:val="nil"/>
              <w:left w:val="nil"/>
              <w:bottom w:val="single" w:sz="4" w:space="0" w:color="000000"/>
              <w:right w:val="single" w:sz="4" w:space="0" w:color="000000"/>
            </w:tcBorders>
            <w:shd w:val="clear" w:color="000000" w:fill="FFFFFF"/>
            <w:hideMark/>
          </w:tcPr>
          <w:p w14:paraId="0FD683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229.- Por voto en blanco</w:t>
            </w:r>
            <w:r w:rsidRPr="00222F34">
              <w:rPr>
                <w:rFonts w:ascii="Calibri" w:eastAsia="Times New Roman" w:hAnsi="Calibri" w:cs="Calibri"/>
                <w:color w:val="000000"/>
                <w:lang w:val="es-CO" w:eastAsia="es-CO" w:bidi="ar-SA"/>
              </w:rPr>
              <w:t>. 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w:t>
            </w:r>
          </w:p>
        </w:tc>
        <w:tc>
          <w:tcPr>
            <w:tcW w:w="3798" w:type="dxa"/>
            <w:tcBorders>
              <w:top w:val="nil"/>
              <w:left w:val="nil"/>
              <w:bottom w:val="single" w:sz="4" w:space="0" w:color="000000"/>
              <w:right w:val="single" w:sz="4" w:space="0" w:color="000000"/>
            </w:tcBorders>
            <w:shd w:val="clear" w:color="000000" w:fill="FFFFFF"/>
            <w:hideMark/>
          </w:tcPr>
          <w:p w14:paraId="337615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229.- Por voto en blanco</w:t>
            </w:r>
            <w:r w:rsidRPr="00222F34">
              <w:rPr>
                <w:rFonts w:ascii="Calibri" w:eastAsia="Times New Roman" w:hAnsi="Calibri" w:cs="Calibri"/>
                <w:color w:val="000000"/>
                <w:lang w:val="es-CO" w:eastAsia="es-CO" w:bidi="ar-SA"/>
              </w:rPr>
              <w:t>. 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w:t>
            </w:r>
          </w:p>
        </w:tc>
        <w:tc>
          <w:tcPr>
            <w:tcW w:w="1480" w:type="dxa"/>
            <w:tcBorders>
              <w:top w:val="nil"/>
              <w:left w:val="nil"/>
              <w:bottom w:val="nil"/>
              <w:right w:val="single" w:sz="4" w:space="0" w:color="000000"/>
            </w:tcBorders>
            <w:shd w:val="clear" w:color="000000" w:fill="FFFFFF"/>
            <w:hideMark/>
          </w:tcPr>
          <w:p w14:paraId="542F345C" w14:textId="6B1278C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1D28D38" w14:textId="77777777" w:rsidTr="00222F34">
        <w:trPr>
          <w:trHeight w:val="2100"/>
        </w:trPr>
        <w:tc>
          <w:tcPr>
            <w:tcW w:w="3798" w:type="dxa"/>
            <w:tcBorders>
              <w:top w:val="nil"/>
              <w:left w:val="single" w:sz="4" w:space="0" w:color="000000"/>
              <w:bottom w:val="single" w:sz="4" w:space="0" w:color="000000"/>
              <w:right w:val="single" w:sz="4" w:space="0" w:color="000000"/>
            </w:tcBorders>
            <w:shd w:val="clear" w:color="000000" w:fill="FFFFFF"/>
            <w:hideMark/>
          </w:tcPr>
          <w:p w14:paraId="284FB12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226.- Por no tomar posesión del cargo.</w:t>
            </w:r>
            <w:r w:rsidRPr="00222F34">
              <w:rPr>
                <w:rFonts w:ascii="Calibri" w:eastAsia="Times New Roman" w:hAnsi="Calibri" w:cs="Calibri"/>
                <w:color w:val="000000"/>
                <w:lang w:val="es-CO" w:eastAsia="es-CO" w:bidi="ar-SA"/>
              </w:rPr>
              <w:t xml:space="preserve"> Cuando un candidato electo para un cargo uninominal no toma posesión del cargo sin justa causa dentro de los ocho (8) días siguientes al inicio del periodo constitucional 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 </w:t>
            </w:r>
          </w:p>
        </w:tc>
        <w:tc>
          <w:tcPr>
            <w:tcW w:w="3798" w:type="dxa"/>
            <w:tcBorders>
              <w:top w:val="nil"/>
              <w:left w:val="nil"/>
              <w:bottom w:val="single" w:sz="4" w:space="0" w:color="000000"/>
              <w:right w:val="single" w:sz="4" w:space="0" w:color="000000"/>
            </w:tcBorders>
            <w:shd w:val="clear" w:color="000000" w:fill="FFFFFF"/>
            <w:hideMark/>
          </w:tcPr>
          <w:p w14:paraId="144C1F0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230.- Por no tomar posesión del cargo.</w:t>
            </w:r>
            <w:r w:rsidRPr="00222F34">
              <w:rPr>
                <w:rFonts w:ascii="Calibri" w:eastAsia="Times New Roman" w:hAnsi="Calibri" w:cs="Calibri"/>
                <w:color w:val="000000"/>
                <w:lang w:val="es-CO" w:eastAsia="es-CO" w:bidi="ar-SA"/>
              </w:rPr>
              <w:t xml:space="preserve"> Cuando un candidato electo para un cargo uninominal no toma posesión del cargo sin justa causa dentro de los ocho (8) días siguientes al inicio del periodo constitucional 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w:t>
            </w:r>
          </w:p>
        </w:tc>
        <w:tc>
          <w:tcPr>
            <w:tcW w:w="3798" w:type="dxa"/>
            <w:tcBorders>
              <w:top w:val="nil"/>
              <w:left w:val="nil"/>
              <w:bottom w:val="single" w:sz="4" w:space="0" w:color="000000"/>
              <w:right w:val="single" w:sz="4" w:space="0" w:color="000000"/>
            </w:tcBorders>
            <w:shd w:val="clear" w:color="000000" w:fill="FFFFFF"/>
            <w:hideMark/>
          </w:tcPr>
          <w:p w14:paraId="474E2A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230.- Por no tomar posesión del cargo.</w:t>
            </w:r>
            <w:r w:rsidRPr="00222F34">
              <w:rPr>
                <w:rFonts w:ascii="Calibri" w:eastAsia="Times New Roman" w:hAnsi="Calibri" w:cs="Calibri"/>
                <w:color w:val="000000"/>
                <w:lang w:val="es-CO" w:eastAsia="es-CO" w:bidi="ar-SA"/>
              </w:rPr>
              <w:t xml:space="preserve"> Cuando un candidato electo para un cargo uninominal no toma posesión del cargo sin justa causa dentro de los ocho (8) días siguientes al inicio del periodo constitucional 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w:t>
            </w:r>
          </w:p>
        </w:tc>
        <w:tc>
          <w:tcPr>
            <w:tcW w:w="1480" w:type="dxa"/>
            <w:tcBorders>
              <w:top w:val="single" w:sz="4" w:space="0" w:color="000000"/>
              <w:left w:val="nil"/>
              <w:bottom w:val="nil"/>
              <w:right w:val="single" w:sz="4" w:space="0" w:color="000000"/>
            </w:tcBorders>
            <w:shd w:val="clear" w:color="000000" w:fill="FFFFFF"/>
            <w:hideMark/>
          </w:tcPr>
          <w:p w14:paraId="1CB4DEC3" w14:textId="1464D44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9A5205B"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658087E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227.- Elecciones complementarias.</w:t>
            </w:r>
            <w:r w:rsidRPr="00222F34">
              <w:rPr>
                <w:rFonts w:ascii="Calibri" w:eastAsia="Times New Roman" w:hAnsi="Calibri" w:cs="Calibri"/>
                <w:color w:val="000000"/>
                <w:lang w:val="es-CO" w:eastAsia="es-CO" w:bidi="ar-SA"/>
              </w:rPr>
              <w:t xml:space="preserve"> 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w:t>
            </w:r>
            <w:r w:rsidRPr="00222F34">
              <w:rPr>
                <w:rFonts w:ascii="Calibri" w:eastAsia="Times New Roman" w:hAnsi="Calibri" w:cs="Calibri"/>
                <w:color w:val="000000"/>
                <w:lang w:val="es-CO" w:eastAsia="es-CO" w:bidi="ar-SA"/>
              </w:rPr>
              <w:lastRenderedPageBreak/>
              <w:t xml:space="preserve">la misma se realizará el domingo inmediatamente siguiente.  </w:t>
            </w:r>
          </w:p>
        </w:tc>
        <w:tc>
          <w:tcPr>
            <w:tcW w:w="3798" w:type="dxa"/>
            <w:tcBorders>
              <w:top w:val="nil"/>
              <w:left w:val="nil"/>
              <w:bottom w:val="nil"/>
              <w:right w:val="single" w:sz="4" w:space="0" w:color="000000"/>
            </w:tcBorders>
            <w:shd w:val="clear" w:color="000000" w:fill="FFFFFF"/>
            <w:hideMark/>
          </w:tcPr>
          <w:p w14:paraId="0EEA1A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231.- Elecciones complementarias</w:t>
            </w:r>
            <w:r w:rsidRPr="00222F34">
              <w:rPr>
                <w:rFonts w:ascii="Calibri" w:eastAsia="Times New Roman" w:hAnsi="Calibri" w:cs="Calibri"/>
                <w:color w:val="000000"/>
                <w:lang w:val="es-CO" w:eastAsia="es-CO" w:bidi="ar-SA"/>
              </w:rPr>
              <w:t xml:space="preserve">. 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w:t>
            </w:r>
            <w:r w:rsidRPr="00222F34">
              <w:rPr>
                <w:rFonts w:ascii="Calibri" w:eastAsia="Times New Roman" w:hAnsi="Calibri" w:cs="Calibri"/>
                <w:color w:val="000000"/>
                <w:lang w:val="es-CO" w:eastAsia="es-CO" w:bidi="ar-SA"/>
              </w:rPr>
              <w:lastRenderedPageBreak/>
              <w:t>la misma se realizará el domingo inmediatamente siguiente.</w:t>
            </w:r>
          </w:p>
        </w:tc>
        <w:tc>
          <w:tcPr>
            <w:tcW w:w="3798" w:type="dxa"/>
            <w:tcBorders>
              <w:top w:val="nil"/>
              <w:left w:val="nil"/>
              <w:bottom w:val="nil"/>
              <w:right w:val="single" w:sz="4" w:space="0" w:color="000000"/>
            </w:tcBorders>
            <w:shd w:val="clear" w:color="000000" w:fill="FFFFFF"/>
            <w:hideMark/>
          </w:tcPr>
          <w:p w14:paraId="461711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231.- Elecciones complementarias</w:t>
            </w:r>
            <w:r w:rsidRPr="00222F34">
              <w:rPr>
                <w:rFonts w:ascii="Calibri" w:eastAsia="Times New Roman" w:hAnsi="Calibri" w:cs="Calibri"/>
                <w:color w:val="000000"/>
                <w:lang w:val="es-CO" w:eastAsia="es-CO" w:bidi="ar-SA"/>
              </w:rPr>
              <w:t xml:space="preserve">. 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w:t>
            </w:r>
            <w:r w:rsidRPr="00222F34">
              <w:rPr>
                <w:rFonts w:ascii="Calibri" w:eastAsia="Times New Roman" w:hAnsi="Calibri" w:cs="Calibri"/>
                <w:color w:val="000000"/>
                <w:lang w:val="es-CO" w:eastAsia="es-CO" w:bidi="ar-SA"/>
              </w:rPr>
              <w:lastRenderedPageBreak/>
              <w:t>la misma se realizará el domingo inmediatamente siguiente.</w:t>
            </w:r>
          </w:p>
        </w:tc>
        <w:tc>
          <w:tcPr>
            <w:tcW w:w="1480" w:type="dxa"/>
            <w:tcBorders>
              <w:top w:val="single" w:sz="4" w:space="0" w:color="000000"/>
              <w:left w:val="nil"/>
              <w:bottom w:val="nil"/>
              <w:right w:val="single" w:sz="4" w:space="0" w:color="000000"/>
            </w:tcBorders>
            <w:shd w:val="clear" w:color="000000" w:fill="FFFFFF"/>
            <w:hideMark/>
          </w:tcPr>
          <w:p w14:paraId="7E0324BB" w14:textId="6E908A1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79A3B6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ED717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Si por faltas absolutas que no den lugar a reemplazo, los miembros de cuerpos colegiados elegidos, en una misma circunscripción electoral, quedan reducidos a la mitad o menos, se procederá conforme a la regla prevista en el artículo 134 de la Constitución Política. </w:t>
            </w:r>
          </w:p>
        </w:tc>
        <w:tc>
          <w:tcPr>
            <w:tcW w:w="3798" w:type="dxa"/>
            <w:tcBorders>
              <w:top w:val="nil"/>
              <w:left w:val="nil"/>
              <w:bottom w:val="nil"/>
              <w:right w:val="single" w:sz="4" w:space="0" w:color="000000"/>
            </w:tcBorders>
            <w:shd w:val="clear" w:color="000000" w:fill="FFFFFF"/>
            <w:hideMark/>
          </w:tcPr>
          <w:p w14:paraId="0CB8FE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por faltas absolutas que no den lugar a reemplazo, los miembros de cuerpos colegiados elegidos, en una misma circunscripción electoral, quedan reducidos a la mitad o menos, se procederá conforme a la regla prevista en el artículo 134 de la Constitución Política.</w:t>
            </w:r>
          </w:p>
        </w:tc>
        <w:tc>
          <w:tcPr>
            <w:tcW w:w="3798" w:type="dxa"/>
            <w:tcBorders>
              <w:top w:val="nil"/>
              <w:left w:val="nil"/>
              <w:bottom w:val="nil"/>
              <w:right w:val="single" w:sz="4" w:space="0" w:color="000000"/>
            </w:tcBorders>
            <w:shd w:val="clear" w:color="000000" w:fill="FFFFFF"/>
            <w:hideMark/>
          </w:tcPr>
          <w:p w14:paraId="2FF5EA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por faltas absolutas que no den lugar a reemplazo, los miembros de cuerpos colegiados elegidos, en una misma circunscripción electoral, quedan reducidos a la mitad o menos, se procederá conforme a la regla prevista en el artículo 134 de la Constitución Política.</w:t>
            </w:r>
          </w:p>
        </w:tc>
        <w:tc>
          <w:tcPr>
            <w:tcW w:w="1480" w:type="dxa"/>
            <w:tcBorders>
              <w:top w:val="nil"/>
              <w:left w:val="nil"/>
              <w:bottom w:val="nil"/>
              <w:right w:val="single" w:sz="4" w:space="0" w:color="000000"/>
            </w:tcBorders>
            <w:shd w:val="clear" w:color="000000" w:fill="FFFFFF"/>
            <w:hideMark/>
          </w:tcPr>
          <w:p w14:paraId="08412E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C22919" w14:textId="77777777" w:rsidTr="00222F34">
        <w:trPr>
          <w:trHeight w:val="2100"/>
        </w:trPr>
        <w:tc>
          <w:tcPr>
            <w:tcW w:w="3798" w:type="dxa"/>
            <w:tcBorders>
              <w:top w:val="single" w:sz="4" w:space="0" w:color="auto"/>
              <w:left w:val="single" w:sz="4" w:space="0" w:color="000000"/>
              <w:bottom w:val="single" w:sz="4" w:space="0" w:color="000000"/>
              <w:right w:val="single" w:sz="4" w:space="0" w:color="000000"/>
            </w:tcBorders>
            <w:shd w:val="clear" w:color="000000" w:fill="FFFFFF"/>
            <w:hideMark/>
          </w:tcPr>
          <w:p w14:paraId="02E4D84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228.- Por no declaratoria de elección.</w:t>
            </w:r>
            <w:r w:rsidRPr="00222F34">
              <w:rPr>
                <w:rFonts w:ascii="Calibri" w:eastAsia="Times New Roman" w:hAnsi="Calibri" w:cs="Calibri"/>
                <w:color w:val="000000"/>
                <w:lang w:val="es-CO" w:eastAsia="es-CO" w:bidi="ar-SA"/>
              </w:rPr>
              <w:t xml:space="preserve"> 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w:t>
            </w:r>
            <w:r w:rsidRPr="00222F34">
              <w:rPr>
                <w:rFonts w:ascii="Calibri" w:eastAsia="Times New Roman" w:hAnsi="Calibri" w:cs="Calibri"/>
                <w:color w:val="000000"/>
                <w:lang w:val="es-CO" w:eastAsia="es-CO" w:bidi="ar-SA"/>
              </w:rPr>
              <w:lastRenderedPageBreak/>
              <w:t xml:space="preserve">realizará el domingo inmediatamente siguiente. </w:t>
            </w:r>
          </w:p>
        </w:tc>
        <w:tc>
          <w:tcPr>
            <w:tcW w:w="3798" w:type="dxa"/>
            <w:tcBorders>
              <w:top w:val="single" w:sz="4" w:space="0" w:color="auto"/>
              <w:left w:val="nil"/>
              <w:bottom w:val="single" w:sz="4" w:space="0" w:color="000000"/>
              <w:right w:val="single" w:sz="4" w:space="0" w:color="000000"/>
            </w:tcBorders>
            <w:shd w:val="clear" w:color="000000" w:fill="FFFFFF"/>
            <w:hideMark/>
          </w:tcPr>
          <w:p w14:paraId="204AB0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232.- Por no declaratoria de elección. </w:t>
            </w:r>
            <w:r w:rsidRPr="00222F34">
              <w:rPr>
                <w:rFonts w:ascii="Calibri" w:eastAsia="Times New Roman" w:hAnsi="Calibri" w:cs="Calibri"/>
                <w:color w:val="000000"/>
                <w:lang w:val="es-CO" w:eastAsia="es-CO" w:bidi="ar-SA"/>
              </w:rPr>
              <w:t xml:space="preserve">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w:t>
            </w:r>
            <w:r w:rsidRPr="00222F34">
              <w:rPr>
                <w:rFonts w:ascii="Calibri" w:eastAsia="Times New Roman" w:hAnsi="Calibri" w:cs="Calibri"/>
                <w:color w:val="000000"/>
                <w:lang w:val="es-CO" w:eastAsia="es-CO" w:bidi="ar-SA"/>
              </w:rPr>
              <w:lastRenderedPageBreak/>
              <w:t>realizará el domingo inmediatamente siguiente.</w:t>
            </w:r>
          </w:p>
        </w:tc>
        <w:tc>
          <w:tcPr>
            <w:tcW w:w="3798" w:type="dxa"/>
            <w:tcBorders>
              <w:top w:val="single" w:sz="4" w:space="0" w:color="auto"/>
              <w:left w:val="nil"/>
              <w:bottom w:val="single" w:sz="4" w:space="0" w:color="000000"/>
              <w:right w:val="single" w:sz="4" w:space="0" w:color="000000"/>
            </w:tcBorders>
            <w:shd w:val="clear" w:color="000000" w:fill="FFFFFF"/>
            <w:hideMark/>
          </w:tcPr>
          <w:p w14:paraId="6C5697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232.- Por no declaratoria de elección. </w:t>
            </w:r>
            <w:r w:rsidRPr="00222F34">
              <w:rPr>
                <w:rFonts w:ascii="Calibri" w:eastAsia="Times New Roman" w:hAnsi="Calibri" w:cs="Calibri"/>
                <w:color w:val="000000"/>
                <w:lang w:val="es-CO" w:eastAsia="es-CO" w:bidi="ar-SA"/>
              </w:rPr>
              <w:t xml:space="preserve">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w:t>
            </w:r>
            <w:r w:rsidRPr="00222F34">
              <w:rPr>
                <w:rFonts w:ascii="Calibri" w:eastAsia="Times New Roman" w:hAnsi="Calibri" w:cs="Calibri"/>
                <w:color w:val="000000"/>
                <w:lang w:val="es-CO" w:eastAsia="es-CO" w:bidi="ar-SA"/>
              </w:rPr>
              <w:lastRenderedPageBreak/>
              <w:t>realizará el domingo inmediatamente siguiente.</w:t>
            </w:r>
          </w:p>
        </w:tc>
        <w:tc>
          <w:tcPr>
            <w:tcW w:w="1480" w:type="dxa"/>
            <w:tcBorders>
              <w:top w:val="single" w:sz="4" w:space="0" w:color="000000"/>
              <w:left w:val="nil"/>
              <w:bottom w:val="nil"/>
              <w:right w:val="single" w:sz="4" w:space="0" w:color="000000"/>
            </w:tcBorders>
            <w:shd w:val="clear" w:color="000000" w:fill="FFFFFF"/>
            <w:hideMark/>
          </w:tcPr>
          <w:p w14:paraId="50FF0DD3" w14:textId="761C9B8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4963092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AAF8EE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229.- Convocatoria de elecciones atípicas.</w:t>
            </w:r>
            <w:r w:rsidRPr="00222F34">
              <w:rPr>
                <w:rFonts w:ascii="Calibri" w:eastAsia="Times New Roman" w:hAnsi="Calibri" w:cs="Calibri"/>
                <w:color w:val="000000"/>
                <w:lang w:val="es-CO" w:eastAsia="es-CO" w:bidi="ar-SA"/>
              </w:rPr>
              <w:t xml:space="preserve"> Para las elecciones señaladas en este título, la convocatoria le corresponderá a la Organización Electoral. La mencionada convocatoria deberá ser ampliamente divulgada y apoyada por el Gobierno Nacional y los entes territoriales respectivos. </w:t>
            </w:r>
          </w:p>
        </w:tc>
        <w:tc>
          <w:tcPr>
            <w:tcW w:w="3798" w:type="dxa"/>
            <w:tcBorders>
              <w:top w:val="nil"/>
              <w:left w:val="nil"/>
              <w:bottom w:val="nil"/>
              <w:right w:val="single" w:sz="4" w:space="0" w:color="000000"/>
            </w:tcBorders>
            <w:shd w:val="clear" w:color="000000" w:fill="FFFFFF"/>
            <w:hideMark/>
          </w:tcPr>
          <w:p w14:paraId="2C0B1B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233.- Convocatoria de elecciones atípicas.</w:t>
            </w:r>
            <w:r w:rsidRPr="00222F34">
              <w:rPr>
                <w:rFonts w:ascii="Calibri" w:eastAsia="Times New Roman" w:hAnsi="Calibri" w:cs="Calibri"/>
                <w:color w:val="000000"/>
                <w:lang w:val="es-CO" w:eastAsia="es-CO" w:bidi="ar-SA"/>
              </w:rPr>
              <w:t xml:space="preserve"> Para las elecciones señaladas en este título, la convocatoria le corresponderá a la Organización Electoral. La mencionada convocatoria deberá ser ampliamente divulgada y apoyada por el Gobierno Nacional y los entes territoriales respectivos.</w:t>
            </w:r>
          </w:p>
        </w:tc>
        <w:tc>
          <w:tcPr>
            <w:tcW w:w="3798" w:type="dxa"/>
            <w:tcBorders>
              <w:top w:val="nil"/>
              <w:left w:val="nil"/>
              <w:bottom w:val="nil"/>
              <w:right w:val="single" w:sz="4" w:space="0" w:color="000000"/>
            </w:tcBorders>
            <w:shd w:val="clear" w:color="000000" w:fill="FFFFFF"/>
            <w:hideMark/>
          </w:tcPr>
          <w:p w14:paraId="41198C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233.- Convocatoria de elecciones atípicas.</w:t>
            </w:r>
            <w:r w:rsidRPr="00222F34">
              <w:rPr>
                <w:rFonts w:ascii="Calibri" w:eastAsia="Times New Roman" w:hAnsi="Calibri" w:cs="Calibri"/>
                <w:color w:val="000000"/>
                <w:lang w:val="es-CO" w:eastAsia="es-CO" w:bidi="ar-SA"/>
              </w:rPr>
              <w:t xml:space="preserve"> Para las elecciones señaladas en este título, la convocatoria le corresponderá a la Organización Electoral. La mencionada convocatoria deberá ser ampliamente divulgada y apoyada por el Gobierno Nacional y los entes territoriales respectivos.</w:t>
            </w:r>
          </w:p>
        </w:tc>
        <w:tc>
          <w:tcPr>
            <w:tcW w:w="1480" w:type="dxa"/>
            <w:tcBorders>
              <w:top w:val="single" w:sz="4" w:space="0" w:color="000000"/>
              <w:left w:val="nil"/>
              <w:bottom w:val="nil"/>
              <w:right w:val="single" w:sz="4" w:space="0" w:color="000000"/>
            </w:tcBorders>
            <w:shd w:val="clear" w:color="000000" w:fill="FFFFFF"/>
            <w:hideMark/>
          </w:tcPr>
          <w:p w14:paraId="0C2A2F3E" w14:textId="714EB49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A9D40D3" w14:textId="77777777" w:rsidTr="00222F34">
        <w:trPr>
          <w:trHeight w:val="300"/>
        </w:trPr>
        <w:tc>
          <w:tcPr>
            <w:tcW w:w="3798" w:type="dxa"/>
            <w:tcBorders>
              <w:top w:val="single" w:sz="4" w:space="0" w:color="000000"/>
              <w:left w:val="single" w:sz="4" w:space="0" w:color="000000"/>
              <w:bottom w:val="nil"/>
              <w:right w:val="single" w:sz="4" w:space="0" w:color="000000"/>
            </w:tcBorders>
            <w:shd w:val="clear" w:color="000000" w:fill="FFFFFF"/>
            <w:hideMark/>
          </w:tcPr>
          <w:p w14:paraId="77622C3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VIII</w:t>
            </w:r>
          </w:p>
        </w:tc>
        <w:tc>
          <w:tcPr>
            <w:tcW w:w="3798" w:type="dxa"/>
            <w:tcBorders>
              <w:top w:val="single" w:sz="4" w:space="0" w:color="000000"/>
              <w:left w:val="nil"/>
              <w:bottom w:val="nil"/>
              <w:right w:val="single" w:sz="4" w:space="0" w:color="000000"/>
            </w:tcBorders>
            <w:shd w:val="clear" w:color="000000" w:fill="FFFFFF"/>
            <w:hideMark/>
          </w:tcPr>
          <w:p w14:paraId="0C48775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VIII</w:t>
            </w:r>
          </w:p>
        </w:tc>
        <w:tc>
          <w:tcPr>
            <w:tcW w:w="3798" w:type="dxa"/>
            <w:tcBorders>
              <w:top w:val="single" w:sz="4" w:space="0" w:color="000000"/>
              <w:left w:val="nil"/>
              <w:bottom w:val="nil"/>
              <w:right w:val="single" w:sz="4" w:space="0" w:color="000000"/>
            </w:tcBorders>
            <w:shd w:val="clear" w:color="000000" w:fill="FFFFFF"/>
            <w:hideMark/>
          </w:tcPr>
          <w:p w14:paraId="5317AB4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VIII</w:t>
            </w:r>
          </w:p>
        </w:tc>
        <w:tc>
          <w:tcPr>
            <w:tcW w:w="1480" w:type="dxa"/>
            <w:tcBorders>
              <w:top w:val="single" w:sz="4" w:space="0" w:color="000000"/>
              <w:left w:val="nil"/>
              <w:bottom w:val="nil"/>
              <w:right w:val="single" w:sz="4" w:space="0" w:color="000000"/>
            </w:tcBorders>
            <w:shd w:val="clear" w:color="000000" w:fill="FFFFFF"/>
            <w:hideMark/>
          </w:tcPr>
          <w:p w14:paraId="4E13D9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358C232"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DCCE10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PARA LAS ORGANIZACIONES POLÍTICAS</w:t>
            </w:r>
          </w:p>
        </w:tc>
        <w:tc>
          <w:tcPr>
            <w:tcW w:w="3798" w:type="dxa"/>
            <w:tcBorders>
              <w:top w:val="nil"/>
              <w:left w:val="nil"/>
              <w:bottom w:val="single" w:sz="4" w:space="0" w:color="000000"/>
              <w:right w:val="single" w:sz="4" w:space="0" w:color="000000"/>
            </w:tcBorders>
            <w:shd w:val="clear" w:color="000000" w:fill="FFFFFF"/>
            <w:hideMark/>
          </w:tcPr>
          <w:p w14:paraId="27E1A57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PARA LAS ORGANIZACIONES POLÍTICAS</w:t>
            </w:r>
          </w:p>
        </w:tc>
        <w:tc>
          <w:tcPr>
            <w:tcW w:w="3798" w:type="dxa"/>
            <w:tcBorders>
              <w:top w:val="nil"/>
              <w:left w:val="nil"/>
              <w:bottom w:val="single" w:sz="4" w:space="0" w:color="000000"/>
              <w:right w:val="single" w:sz="4" w:space="0" w:color="000000"/>
            </w:tcBorders>
            <w:shd w:val="clear" w:color="000000" w:fill="FFFFFF"/>
            <w:hideMark/>
          </w:tcPr>
          <w:p w14:paraId="169634A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PARA LAS ORGANIZACIONES POLÍTICAS</w:t>
            </w:r>
          </w:p>
        </w:tc>
        <w:tc>
          <w:tcPr>
            <w:tcW w:w="1480" w:type="dxa"/>
            <w:tcBorders>
              <w:top w:val="nil"/>
              <w:left w:val="nil"/>
              <w:bottom w:val="single" w:sz="4" w:space="0" w:color="000000"/>
              <w:right w:val="single" w:sz="4" w:space="0" w:color="000000"/>
            </w:tcBorders>
            <w:shd w:val="clear" w:color="000000" w:fill="FFFFFF"/>
            <w:hideMark/>
          </w:tcPr>
          <w:p w14:paraId="1B6EC3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6952B2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F1EAE0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5707801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55CAA14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599A7C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4ECD6B5"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73A6493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consultas</w:t>
            </w:r>
          </w:p>
        </w:tc>
        <w:tc>
          <w:tcPr>
            <w:tcW w:w="3798" w:type="dxa"/>
            <w:tcBorders>
              <w:top w:val="nil"/>
              <w:left w:val="nil"/>
              <w:bottom w:val="single" w:sz="4" w:space="0" w:color="000000"/>
              <w:right w:val="single" w:sz="4" w:space="0" w:color="000000"/>
            </w:tcBorders>
            <w:shd w:val="clear" w:color="000000" w:fill="FFFFFF"/>
            <w:hideMark/>
          </w:tcPr>
          <w:p w14:paraId="4D54BEF1"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consultas</w:t>
            </w:r>
          </w:p>
        </w:tc>
        <w:tc>
          <w:tcPr>
            <w:tcW w:w="3798" w:type="dxa"/>
            <w:tcBorders>
              <w:top w:val="nil"/>
              <w:left w:val="nil"/>
              <w:bottom w:val="single" w:sz="4" w:space="0" w:color="000000"/>
              <w:right w:val="single" w:sz="4" w:space="0" w:color="000000"/>
            </w:tcBorders>
            <w:shd w:val="clear" w:color="000000" w:fill="FFFFFF"/>
            <w:hideMark/>
          </w:tcPr>
          <w:p w14:paraId="472E014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consultas</w:t>
            </w:r>
          </w:p>
        </w:tc>
        <w:tc>
          <w:tcPr>
            <w:tcW w:w="1480" w:type="dxa"/>
            <w:tcBorders>
              <w:top w:val="nil"/>
              <w:left w:val="nil"/>
              <w:bottom w:val="single" w:sz="4" w:space="0" w:color="000000"/>
              <w:right w:val="single" w:sz="4" w:space="0" w:color="000000"/>
            </w:tcBorders>
            <w:shd w:val="clear" w:color="000000" w:fill="FFFFFF"/>
            <w:hideMark/>
          </w:tcPr>
          <w:p w14:paraId="4AF4304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716F29C"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CF599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230.- Definición y tipos de consultas.</w:t>
            </w:r>
            <w:r w:rsidRPr="00222F34">
              <w:rPr>
                <w:rFonts w:ascii="Calibri" w:eastAsia="Times New Roman" w:hAnsi="Calibri" w:cs="Calibri"/>
                <w:color w:val="000000"/>
                <w:lang w:val="es-CO" w:eastAsia="es-CO" w:bidi="ar-SA"/>
              </w:rPr>
              <w:t xml:space="preserve"> Las consultas son mecanismos de democracia interna que las organizaciones políticas pueden utilizar con la finalidad de adoptar sus decisiones, escoger sus candidatos o el orden en la lista a cargos de elección popular, propios o de coalición. </w:t>
            </w:r>
          </w:p>
        </w:tc>
        <w:tc>
          <w:tcPr>
            <w:tcW w:w="3798" w:type="dxa"/>
            <w:tcBorders>
              <w:top w:val="nil"/>
              <w:left w:val="nil"/>
              <w:bottom w:val="nil"/>
              <w:right w:val="single" w:sz="4" w:space="0" w:color="000000"/>
            </w:tcBorders>
            <w:shd w:val="clear" w:color="000000" w:fill="FFFFFF"/>
            <w:hideMark/>
          </w:tcPr>
          <w:p w14:paraId="54FF28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234.- Definición y tipos de consultas</w:t>
            </w:r>
            <w:r w:rsidRPr="00222F34">
              <w:rPr>
                <w:rFonts w:ascii="Calibri" w:eastAsia="Times New Roman" w:hAnsi="Calibri" w:cs="Calibri"/>
                <w:color w:val="000000"/>
                <w:lang w:val="es-CO" w:eastAsia="es-CO" w:bidi="ar-SA"/>
              </w:rPr>
              <w:t>. Las consultas son mecanismos de democracia interna que las organizaciones políticas pueden utilizar con la finalidad de adoptar sus decisiones, escoger sus candidatos o el orden en la lista a cargos de elección popular, propios o de coalición.</w:t>
            </w:r>
          </w:p>
        </w:tc>
        <w:tc>
          <w:tcPr>
            <w:tcW w:w="3798" w:type="dxa"/>
            <w:tcBorders>
              <w:top w:val="nil"/>
              <w:left w:val="nil"/>
              <w:bottom w:val="nil"/>
              <w:right w:val="single" w:sz="4" w:space="0" w:color="000000"/>
            </w:tcBorders>
            <w:shd w:val="clear" w:color="000000" w:fill="FFFFFF"/>
            <w:hideMark/>
          </w:tcPr>
          <w:p w14:paraId="5BC291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234.- Definición y tipos de consultas</w:t>
            </w:r>
            <w:r w:rsidRPr="00222F34">
              <w:rPr>
                <w:rFonts w:ascii="Calibri" w:eastAsia="Times New Roman" w:hAnsi="Calibri" w:cs="Calibri"/>
                <w:color w:val="000000"/>
                <w:lang w:val="es-CO" w:eastAsia="es-CO" w:bidi="ar-SA"/>
              </w:rPr>
              <w:t>. Las consultas son mecanismos de democracia interna que las organizaciones políticas pueden utilizar con la finalidad de adoptar sus decisiones, escoger sus candidatos o el orden en la lista a cargos de elección popular, propios o de coalición.</w:t>
            </w:r>
          </w:p>
        </w:tc>
        <w:tc>
          <w:tcPr>
            <w:tcW w:w="1480" w:type="dxa"/>
            <w:tcBorders>
              <w:top w:val="nil"/>
              <w:left w:val="nil"/>
              <w:bottom w:val="nil"/>
              <w:right w:val="single" w:sz="4" w:space="0" w:color="000000"/>
            </w:tcBorders>
            <w:shd w:val="clear" w:color="000000" w:fill="FFFFFF"/>
            <w:hideMark/>
          </w:tcPr>
          <w:p w14:paraId="525D0F0B" w14:textId="4389D8A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2312467"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6662D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 </w:t>
            </w:r>
          </w:p>
        </w:tc>
        <w:tc>
          <w:tcPr>
            <w:tcW w:w="3798" w:type="dxa"/>
            <w:tcBorders>
              <w:top w:val="nil"/>
              <w:left w:val="nil"/>
              <w:bottom w:val="nil"/>
              <w:right w:val="single" w:sz="4" w:space="0" w:color="000000"/>
            </w:tcBorders>
            <w:shd w:val="clear" w:color="000000" w:fill="FFFFFF"/>
            <w:hideMark/>
          </w:tcPr>
          <w:p w14:paraId="38F7F7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w:t>
            </w:r>
          </w:p>
        </w:tc>
        <w:tc>
          <w:tcPr>
            <w:tcW w:w="3798" w:type="dxa"/>
            <w:tcBorders>
              <w:top w:val="nil"/>
              <w:left w:val="nil"/>
              <w:bottom w:val="nil"/>
              <w:right w:val="single" w:sz="4" w:space="0" w:color="000000"/>
            </w:tcBorders>
            <w:shd w:val="clear" w:color="000000" w:fill="FFFFFF"/>
            <w:hideMark/>
          </w:tcPr>
          <w:p w14:paraId="1BD439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w:t>
            </w:r>
          </w:p>
        </w:tc>
        <w:tc>
          <w:tcPr>
            <w:tcW w:w="1480" w:type="dxa"/>
            <w:tcBorders>
              <w:top w:val="nil"/>
              <w:left w:val="nil"/>
              <w:bottom w:val="nil"/>
              <w:right w:val="single" w:sz="4" w:space="0" w:color="000000"/>
            </w:tcBorders>
            <w:shd w:val="clear" w:color="000000" w:fill="FFFFFF"/>
            <w:hideMark/>
          </w:tcPr>
          <w:p w14:paraId="37A223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03FB9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24E5E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denominarán consultas interpartidistas las que se convoquen entre los partidos, movimientos políticos con personería jurídica, grupos significativos de ciudadanos y/o coaliciones para escoger candidatos a cargos uninominales o de corporaciones públicas. </w:t>
            </w:r>
          </w:p>
        </w:tc>
        <w:tc>
          <w:tcPr>
            <w:tcW w:w="3798" w:type="dxa"/>
            <w:tcBorders>
              <w:top w:val="nil"/>
              <w:left w:val="nil"/>
              <w:bottom w:val="nil"/>
              <w:right w:val="single" w:sz="4" w:space="0" w:color="000000"/>
            </w:tcBorders>
            <w:shd w:val="clear" w:color="000000" w:fill="FFFFFF"/>
            <w:hideMark/>
          </w:tcPr>
          <w:p w14:paraId="63931C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denominarán consultas interpartidistas las que se convoquen entre los partidos, movimientos políticos con personería jurídica, grupos significativos de ciudadanos y/o coaliciones para escoger candidatos a cargos uninominales o de corporaciones públicas.</w:t>
            </w:r>
          </w:p>
        </w:tc>
        <w:tc>
          <w:tcPr>
            <w:tcW w:w="3798" w:type="dxa"/>
            <w:tcBorders>
              <w:top w:val="nil"/>
              <w:left w:val="nil"/>
              <w:bottom w:val="nil"/>
              <w:right w:val="single" w:sz="4" w:space="0" w:color="000000"/>
            </w:tcBorders>
            <w:shd w:val="clear" w:color="000000" w:fill="FFFFFF"/>
            <w:hideMark/>
          </w:tcPr>
          <w:p w14:paraId="1DAD5B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denominarán consultas interpartidistas las que se convoquen entre los partidos, movimientos políticos con personería jurídica, grupos significativos de ciudadanos y/o coaliciones para escoger candidatos a cargos uninominales o de corporaciones públicas.</w:t>
            </w:r>
          </w:p>
        </w:tc>
        <w:tc>
          <w:tcPr>
            <w:tcW w:w="1480" w:type="dxa"/>
            <w:tcBorders>
              <w:top w:val="nil"/>
              <w:left w:val="nil"/>
              <w:bottom w:val="nil"/>
              <w:right w:val="single" w:sz="4" w:space="0" w:color="000000"/>
            </w:tcBorders>
            <w:shd w:val="clear" w:color="000000" w:fill="FFFFFF"/>
            <w:hideMark/>
          </w:tcPr>
          <w:p w14:paraId="1EA091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4673AEF"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60D7BA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 </w:t>
            </w:r>
          </w:p>
        </w:tc>
        <w:tc>
          <w:tcPr>
            <w:tcW w:w="3798" w:type="dxa"/>
            <w:tcBorders>
              <w:top w:val="nil"/>
              <w:left w:val="nil"/>
              <w:bottom w:val="single" w:sz="4" w:space="0" w:color="000000"/>
              <w:right w:val="single" w:sz="4" w:space="0" w:color="000000"/>
            </w:tcBorders>
            <w:shd w:val="clear" w:color="000000" w:fill="FFFFFF"/>
            <w:hideMark/>
          </w:tcPr>
          <w:p w14:paraId="4F1406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w:t>
            </w:r>
          </w:p>
        </w:tc>
        <w:tc>
          <w:tcPr>
            <w:tcW w:w="3798" w:type="dxa"/>
            <w:tcBorders>
              <w:top w:val="nil"/>
              <w:left w:val="nil"/>
              <w:bottom w:val="single" w:sz="4" w:space="0" w:color="000000"/>
              <w:right w:val="single" w:sz="4" w:space="0" w:color="000000"/>
            </w:tcBorders>
            <w:shd w:val="clear" w:color="000000" w:fill="FFFFFF"/>
            <w:hideMark/>
          </w:tcPr>
          <w:p w14:paraId="4E4F07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w:t>
            </w:r>
          </w:p>
        </w:tc>
        <w:tc>
          <w:tcPr>
            <w:tcW w:w="1480" w:type="dxa"/>
            <w:tcBorders>
              <w:top w:val="nil"/>
              <w:left w:val="nil"/>
              <w:bottom w:val="single" w:sz="4" w:space="0" w:color="000000"/>
              <w:right w:val="single" w:sz="4" w:space="0" w:color="000000"/>
            </w:tcBorders>
            <w:shd w:val="clear" w:color="000000" w:fill="FFFFFF"/>
            <w:hideMark/>
          </w:tcPr>
          <w:p w14:paraId="48DA29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EEF3221"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74CCC0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231.- Términos.</w:t>
            </w:r>
            <w:r w:rsidRPr="00222F34">
              <w:rPr>
                <w:rFonts w:ascii="Calibri" w:eastAsia="Times New Roman" w:hAnsi="Calibri" w:cs="Calibri"/>
                <w:color w:val="000000"/>
                <w:lang w:val="es-CO" w:eastAsia="es-CO" w:bidi="ar-SA"/>
              </w:rPr>
              <w:t xml:space="preserve"> La realización de las consultas podrá coincidir con las elecciones ordinarias. Cada año el Consejo Nacional Electoral señalará una fecha para la realización de las </w:t>
            </w:r>
            <w:r w:rsidRPr="00222F34">
              <w:rPr>
                <w:rFonts w:ascii="Calibri" w:eastAsia="Times New Roman" w:hAnsi="Calibri" w:cs="Calibri"/>
                <w:color w:val="000000"/>
                <w:lang w:val="es-CO" w:eastAsia="es-CO" w:bidi="ar-SA"/>
              </w:rPr>
              <w:lastRenderedPageBreak/>
              <w:t xml:space="preserve">consultas, cuando deban realizarse en día distinto al señalado para las elecciones ordinarias. </w:t>
            </w:r>
          </w:p>
        </w:tc>
        <w:tc>
          <w:tcPr>
            <w:tcW w:w="3798" w:type="dxa"/>
            <w:tcBorders>
              <w:top w:val="nil"/>
              <w:left w:val="nil"/>
              <w:bottom w:val="nil"/>
              <w:right w:val="single" w:sz="4" w:space="0" w:color="000000"/>
            </w:tcBorders>
            <w:shd w:val="clear" w:color="000000" w:fill="FFFFFF"/>
            <w:hideMark/>
          </w:tcPr>
          <w:p w14:paraId="183BDCE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235.- Términos</w:t>
            </w:r>
            <w:r w:rsidRPr="00222F34">
              <w:rPr>
                <w:rFonts w:ascii="Calibri" w:eastAsia="Times New Roman" w:hAnsi="Calibri" w:cs="Calibri"/>
                <w:color w:val="000000"/>
                <w:lang w:val="es-CO" w:eastAsia="es-CO" w:bidi="ar-SA"/>
              </w:rPr>
              <w:t xml:space="preserve">. La realización de las consultas podrá coincidir con las elecciones ordinarias. Cada año el Consejo Nacional Electoral señalará una fecha para la realización de las </w:t>
            </w:r>
            <w:r w:rsidRPr="00222F34">
              <w:rPr>
                <w:rFonts w:ascii="Calibri" w:eastAsia="Times New Roman" w:hAnsi="Calibri" w:cs="Calibri"/>
                <w:color w:val="000000"/>
                <w:lang w:val="es-CO" w:eastAsia="es-CO" w:bidi="ar-SA"/>
              </w:rPr>
              <w:lastRenderedPageBreak/>
              <w:t>consultas, cuando deban realizarse en día distinto al señalado para las elecciones ordinarias.</w:t>
            </w:r>
          </w:p>
        </w:tc>
        <w:tc>
          <w:tcPr>
            <w:tcW w:w="3798" w:type="dxa"/>
            <w:tcBorders>
              <w:top w:val="nil"/>
              <w:left w:val="nil"/>
              <w:bottom w:val="nil"/>
              <w:right w:val="single" w:sz="4" w:space="0" w:color="000000"/>
            </w:tcBorders>
            <w:shd w:val="clear" w:color="000000" w:fill="FFFFFF"/>
            <w:hideMark/>
          </w:tcPr>
          <w:p w14:paraId="4B96FBF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235.- Términos</w:t>
            </w:r>
            <w:r w:rsidRPr="00222F34">
              <w:rPr>
                <w:rFonts w:ascii="Calibri" w:eastAsia="Times New Roman" w:hAnsi="Calibri" w:cs="Calibri"/>
                <w:color w:val="000000"/>
                <w:lang w:val="es-CO" w:eastAsia="es-CO" w:bidi="ar-SA"/>
              </w:rPr>
              <w:t xml:space="preserve">. La realización de las consultas podrá coincidir con las elecciones ordinarias. Cada año el Consejo Nacional Electoral señalará una fecha para la realización de las </w:t>
            </w:r>
            <w:r w:rsidRPr="00222F34">
              <w:rPr>
                <w:rFonts w:ascii="Calibri" w:eastAsia="Times New Roman" w:hAnsi="Calibri" w:cs="Calibri"/>
                <w:color w:val="000000"/>
                <w:lang w:val="es-CO" w:eastAsia="es-CO" w:bidi="ar-SA"/>
              </w:rPr>
              <w:lastRenderedPageBreak/>
              <w:t>consultas, cuando deban realizarse en día distinto al señalado para las elecciones ordinarias.</w:t>
            </w:r>
          </w:p>
        </w:tc>
        <w:tc>
          <w:tcPr>
            <w:tcW w:w="1480" w:type="dxa"/>
            <w:tcBorders>
              <w:top w:val="nil"/>
              <w:left w:val="nil"/>
              <w:bottom w:val="nil"/>
              <w:right w:val="single" w:sz="4" w:space="0" w:color="000000"/>
            </w:tcBorders>
            <w:shd w:val="clear" w:color="000000" w:fill="FFFFFF"/>
            <w:hideMark/>
          </w:tcPr>
          <w:p w14:paraId="7A4BF47C" w14:textId="7B9E42F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Pr="00222F34">
              <w:rPr>
                <w:rFonts w:ascii="Calibri" w:eastAsia="Times New Roman" w:hAnsi="Calibri" w:cs="Calibri"/>
                <w:color w:val="000000"/>
                <w:lang w:val="es-CO" w:eastAsia="es-CO" w:bidi="ar-SA"/>
              </w:rPr>
              <w:t xml:space="preserve"> y se corrige redacción en </w:t>
            </w:r>
            <w:r w:rsidRPr="00222F34">
              <w:rPr>
                <w:rFonts w:ascii="Calibri" w:eastAsia="Times New Roman" w:hAnsi="Calibri" w:cs="Calibri"/>
                <w:color w:val="000000"/>
                <w:lang w:val="es-CO" w:eastAsia="es-CO" w:bidi="ar-SA"/>
              </w:rPr>
              <w:lastRenderedPageBreak/>
              <w:t>el último inciso.</w:t>
            </w:r>
          </w:p>
        </w:tc>
      </w:tr>
      <w:tr w:rsidR="00CD4925" w:rsidRPr="00222F34" w14:paraId="6A6F0103"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9630A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solo suministrarán la tarjeta electoral de la consulta que los votantes soliciten. </w:t>
            </w:r>
          </w:p>
        </w:tc>
        <w:tc>
          <w:tcPr>
            <w:tcW w:w="3798" w:type="dxa"/>
            <w:tcBorders>
              <w:top w:val="nil"/>
              <w:left w:val="nil"/>
              <w:bottom w:val="nil"/>
              <w:right w:val="single" w:sz="4" w:space="0" w:color="000000"/>
            </w:tcBorders>
            <w:shd w:val="clear" w:color="000000" w:fill="FFFFFF"/>
            <w:hideMark/>
          </w:tcPr>
          <w:p w14:paraId="778B74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sólo suministrarán la tarjeta electoral de la consulta que los votantes soliciten.</w:t>
            </w:r>
          </w:p>
        </w:tc>
        <w:tc>
          <w:tcPr>
            <w:tcW w:w="3798" w:type="dxa"/>
            <w:tcBorders>
              <w:top w:val="nil"/>
              <w:left w:val="nil"/>
              <w:bottom w:val="nil"/>
              <w:right w:val="single" w:sz="4" w:space="0" w:color="000000"/>
            </w:tcBorders>
            <w:shd w:val="clear" w:color="000000" w:fill="FFFFFF"/>
            <w:hideMark/>
          </w:tcPr>
          <w:p w14:paraId="3C0196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sólo suministrarán la tarjeta electoral de la consulta que los votantes soliciten.</w:t>
            </w:r>
          </w:p>
        </w:tc>
        <w:tc>
          <w:tcPr>
            <w:tcW w:w="1480" w:type="dxa"/>
            <w:tcBorders>
              <w:top w:val="nil"/>
              <w:left w:val="nil"/>
              <w:bottom w:val="nil"/>
              <w:right w:val="single" w:sz="4" w:space="0" w:color="000000"/>
            </w:tcBorders>
            <w:shd w:val="clear" w:color="000000" w:fill="FFFFFF"/>
            <w:hideMark/>
          </w:tcPr>
          <w:p w14:paraId="23FADFF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203EA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F86BA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campaña de proselitismo en el marco de las consultas internas, iniciará al menos dentro de los treinta (30) días anteriores a la fecha de votación de la consulta. </w:t>
            </w:r>
          </w:p>
        </w:tc>
        <w:tc>
          <w:tcPr>
            <w:tcW w:w="3798" w:type="dxa"/>
            <w:tcBorders>
              <w:top w:val="nil"/>
              <w:left w:val="nil"/>
              <w:bottom w:val="nil"/>
              <w:right w:val="single" w:sz="4" w:space="0" w:color="000000"/>
            </w:tcBorders>
            <w:shd w:val="clear" w:color="000000" w:fill="FFFFFF"/>
            <w:hideMark/>
          </w:tcPr>
          <w:p w14:paraId="2EB5C4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campaña de proselitismo en el marco de las consultas internas, iniciará al menos dentro de los treinta (30) días anteriores a la fecha de votación de la consulta.</w:t>
            </w:r>
          </w:p>
        </w:tc>
        <w:tc>
          <w:tcPr>
            <w:tcW w:w="3798" w:type="dxa"/>
            <w:tcBorders>
              <w:top w:val="nil"/>
              <w:left w:val="nil"/>
              <w:bottom w:val="nil"/>
              <w:right w:val="single" w:sz="4" w:space="0" w:color="000000"/>
            </w:tcBorders>
            <w:shd w:val="clear" w:color="000000" w:fill="FFFFFF"/>
            <w:hideMark/>
          </w:tcPr>
          <w:p w14:paraId="0E3356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campaña de proselitismo en el marco de las consultas internas, iniciará al menos dentro de los treinta (30) días anteriores a la fecha de votación de la consulta.</w:t>
            </w:r>
          </w:p>
        </w:tc>
        <w:tc>
          <w:tcPr>
            <w:tcW w:w="1480" w:type="dxa"/>
            <w:tcBorders>
              <w:top w:val="nil"/>
              <w:left w:val="nil"/>
              <w:bottom w:val="nil"/>
              <w:right w:val="single" w:sz="4" w:space="0" w:color="000000"/>
            </w:tcBorders>
            <w:shd w:val="clear" w:color="000000" w:fill="FFFFFF"/>
            <w:hideMark/>
          </w:tcPr>
          <w:p w14:paraId="6280AA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C6FE886"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91099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 </w:t>
            </w:r>
          </w:p>
        </w:tc>
        <w:tc>
          <w:tcPr>
            <w:tcW w:w="3798" w:type="dxa"/>
            <w:tcBorders>
              <w:top w:val="nil"/>
              <w:left w:val="nil"/>
              <w:bottom w:val="nil"/>
              <w:right w:val="single" w:sz="4" w:space="0" w:color="000000"/>
            </w:tcBorders>
            <w:shd w:val="clear" w:color="000000" w:fill="FFFFFF"/>
            <w:hideMark/>
          </w:tcPr>
          <w:p w14:paraId="6CD923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w:t>
            </w:r>
          </w:p>
        </w:tc>
        <w:tc>
          <w:tcPr>
            <w:tcW w:w="3798" w:type="dxa"/>
            <w:tcBorders>
              <w:top w:val="nil"/>
              <w:left w:val="nil"/>
              <w:bottom w:val="nil"/>
              <w:right w:val="single" w:sz="4" w:space="0" w:color="000000"/>
            </w:tcBorders>
            <w:shd w:val="clear" w:color="000000" w:fill="FFFFFF"/>
            <w:hideMark/>
          </w:tcPr>
          <w:p w14:paraId="61299E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w:t>
            </w:r>
          </w:p>
        </w:tc>
        <w:tc>
          <w:tcPr>
            <w:tcW w:w="1480" w:type="dxa"/>
            <w:tcBorders>
              <w:top w:val="nil"/>
              <w:left w:val="nil"/>
              <w:bottom w:val="nil"/>
              <w:right w:val="single" w:sz="4" w:space="0" w:color="000000"/>
            </w:tcBorders>
            <w:shd w:val="clear" w:color="000000" w:fill="FFFFFF"/>
            <w:hideMark/>
          </w:tcPr>
          <w:p w14:paraId="14B059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F234DC"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7C384B5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En el caso de las consultas para la escogencia de candidatos, los precandidatos deberán ser inscritos ante la Registraduría Nacional del Estado Civil, en la forma en que esta señale, cuatro (4) meses antes de la fecha de la realización de la respectiva consulta.  </w:t>
            </w:r>
          </w:p>
        </w:tc>
        <w:tc>
          <w:tcPr>
            <w:tcW w:w="3798" w:type="dxa"/>
            <w:tcBorders>
              <w:top w:val="nil"/>
              <w:left w:val="nil"/>
              <w:bottom w:val="single" w:sz="4" w:space="0" w:color="000000"/>
              <w:right w:val="single" w:sz="4" w:space="0" w:color="000000"/>
            </w:tcBorders>
            <w:shd w:val="clear" w:color="000000" w:fill="FFFFFF"/>
            <w:hideMark/>
          </w:tcPr>
          <w:p w14:paraId="16AF7A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las consultas para la escogencia de candidatos, los precandidatos deberán ser inscritos ante la Registraduría Nacional del Estado Civil, en la forma en que esta señale, cuatro (4) meses antes de la fecha de la realización de la respectiva consulta., vencido este periodo las organizaciones y partidos políticos no habrá posibilidad de retractarse.</w:t>
            </w:r>
          </w:p>
        </w:tc>
        <w:tc>
          <w:tcPr>
            <w:tcW w:w="3798" w:type="dxa"/>
            <w:tcBorders>
              <w:top w:val="nil"/>
              <w:left w:val="nil"/>
              <w:bottom w:val="single" w:sz="4" w:space="0" w:color="000000"/>
              <w:right w:val="single" w:sz="4" w:space="0" w:color="000000"/>
            </w:tcBorders>
            <w:shd w:val="clear" w:color="000000" w:fill="FFFFFF"/>
            <w:hideMark/>
          </w:tcPr>
          <w:p w14:paraId="64E989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las consultas para la escogencia de candidatos, los precandidatos deberán ser inscritos ante la Registraduría Nacional del Estado Civil, en la forma en que esta señale, cuatro (4) meses antes de la fecha de la realización de la respectiva consulta</w:t>
            </w:r>
            <w:r w:rsidRPr="00222F34">
              <w:rPr>
                <w:rFonts w:ascii="Calibri" w:eastAsia="Times New Roman" w:hAnsi="Calibri" w:cs="Calibri"/>
                <w:strike/>
                <w:color w:val="000000"/>
                <w:lang w:val="es-CO" w:eastAsia="es-CO" w:bidi="ar-SA"/>
              </w:rPr>
              <w:t>.</w:t>
            </w:r>
            <w:r w:rsidRPr="00222F34">
              <w:rPr>
                <w:rFonts w:ascii="Calibri" w:eastAsia="Times New Roman" w:hAnsi="Calibri" w:cs="Calibri"/>
                <w:color w:val="000000"/>
                <w:lang w:val="es-CO" w:eastAsia="es-CO" w:bidi="ar-SA"/>
              </w:rPr>
              <w:t>, vencido este periodo</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las organizaciones y partidos políticos no </w:t>
            </w:r>
            <w:r w:rsidRPr="00222F34">
              <w:rPr>
                <w:rFonts w:ascii="Calibri" w:eastAsia="Times New Roman" w:hAnsi="Calibri" w:cs="Calibri"/>
                <w:strike/>
                <w:color w:val="000000"/>
                <w:lang w:val="es-CO" w:eastAsia="es-CO" w:bidi="ar-SA"/>
              </w:rPr>
              <w:t>habrá</w:t>
            </w:r>
            <w:r w:rsidRPr="00222F34">
              <w:rPr>
                <w:rFonts w:ascii="Calibri" w:eastAsia="Times New Roman" w:hAnsi="Calibri" w:cs="Calibri"/>
                <w:color w:val="000000"/>
                <w:lang w:val="es-CO" w:eastAsia="es-CO" w:bidi="ar-SA"/>
              </w:rPr>
              <w:t xml:space="preserve"> </w:t>
            </w:r>
            <w:r w:rsidRPr="00222F34">
              <w:rPr>
                <w:rFonts w:ascii="Calibri" w:eastAsia="Times New Roman" w:hAnsi="Calibri" w:cs="Calibri"/>
                <w:b/>
                <w:bCs/>
                <w:color w:val="000000"/>
                <w:u w:val="single"/>
                <w:lang w:val="es-CO" w:eastAsia="es-CO" w:bidi="ar-SA"/>
              </w:rPr>
              <w:t xml:space="preserve">tendrán </w:t>
            </w:r>
            <w:r w:rsidRPr="00222F34">
              <w:rPr>
                <w:rFonts w:ascii="Calibri" w:eastAsia="Times New Roman" w:hAnsi="Calibri" w:cs="Calibri"/>
                <w:color w:val="000000"/>
                <w:lang w:val="es-CO" w:eastAsia="es-CO" w:bidi="ar-SA"/>
              </w:rPr>
              <w:t>posibilidad de retractarse.</w:t>
            </w:r>
          </w:p>
        </w:tc>
        <w:tc>
          <w:tcPr>
            <w:tcW w:w="1480" w:type="dxa"/>
            <w:tcBorders>
              <w:top w:val="nil"/>
              <w:left w:val="nil"/>
              <w:bottom w:val="single" w:sz="4" w:space="0" w:color="000000"/>
              <w:right w:val="single" w:sz="4" w:space="0" w:color="000000"/>
            </w:tcBorders>
            <w:shd w:val="clear" w:color="000000" w:fill="FFFFFF"/>
            <w:hideMark/>
          </w:tcPr>
          <w:p w14:paraId="6E5C4C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5BAAF06" w14:textId="77777777" w:rsidTr="00222F34">
        <w:trPr>
          <w:trHeight w:val="3300"/>
        </w:trPr>
        <w:tc>
          <w:tcPr>
            <w:tcW w:w="3798" w:type="dxa"/>
            <w:tcBorders>
              <w:top w:val="nil"/>
              <w:left w:val="single" w:sz="4" w:space="0" w:color="000000"/>
              <w:bottom w:val="nil"/>
              <w:right w:val="single" w:sz="4" w:space="0" w:color="000000"/>
            </w:tcBorders>
            <w:shd w:val="clear" w:color="000000" w:fill="FFFFFF"/>
            <w:hideMark/>
          </w:tcPr>
          <w:p w14:paraId="17E2C23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232.- De la formulación de la pregunta.</w:t>
            </w:r>
            <w:r w:rsidRPr="00222F34">
              <w:rPr>
                <w:rFonts w:ascii="Calibri" w:eastAsia="Times New Roman" w:hAnsi="Calibri" w:cs="Calibri"/>
                <w:color w:val="000000"/>
                <w:lang w:val="es-CO" w:eastAsia="es-CO" w:bidi="ar-SA"/>
              </w:rPr>
              <w:t xml:space="preserve"> En cuanto a las consultas que se 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w:t>
            </w:r>
            <w:r w:rsidRPr="00222F34">
              <w:rPr>
                <w:rFonts w:ascii="Calibri" w:eastAsia="Times New Roman" w:hAnsi="Calibri" w:cs="Calibri"/>
                <w:color w:val="000000"/>
                <w:lang w:val="es-CO" w:eastAsia="es-CO" w:bidi="ar-SA"/>
              </w:rPr>
              <w:lastRenderedPageBreak/>
              <w:t xml:space="preserve">no hacerlo, se entenderá que se desiste de la realización de la respectiva consulta. </w:t>
            </w:r>
          </w:p>
        </w:tc>
        <w:tc>
          <w:tcPr>
            <w:tcW w:w="3798" w:type="dxa"/>
            <w:tcBorders>
              <w:top w:val="nil"/>
              <w:left w:val="nil"/>
              <w:bottom w:val="nil"/>
              <w:right w:val="single" w:sz="4" w:space="0" w:color="000000"/>
            </w:tcBorders>
            <w:shd w:val="clear" w:color="000000" w:fill="FFFFFF"/>
            <w:hideMark/>
          </w:tcPr>
          <w:p w14:paraId="7140F6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236. De la formulación de la pregunta</w:t>
            </w:r>
            <w:r w:rsidRPr="00222F34">
              <w:rPr>
                <w:rFonts w:ascii="Calibri" w:eastAsia="Times New Roman" w:hAnsi="Calibri" w:cs="Calibri"/>
                <w:color w:val="000000"/>
                <w:lang w:val="es-CO" w:eastAsia="es-CO" w:bidi="ar-SA"/>
              </w:rPr>
              <w:t xml:space="preserve">. En cuanto a las consultas que se 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w:t>
            </w:r>
            <w:r w:rsidRPr="00222F34">
              <w:rPr>
                <w:rFonts w:ascii="Calibri" w:eastAsia="Times New Roman" w:hAnsi="Calibri" w:cs="Calibri"/>
                <w:color w:val="000000"/>
                <w:lang w:val="es-CO" w:eastAsia="es-CO" w:bidi="ar-SA"/>
              </w:rPr>
              <w:lastRenderedPageBreak/>
              <w:t>no hacerlo, se entenderá que se desiste de la realización de la respectiva consulta.</w:t>
            </w:r>
          </w:p>
        </w:tc>
        <w:tc>
          <w:tcPr>
            <w:tcW w:w="3798" w:type="dxa"/>
            <w:tcBorders>
              <w:top w:val="nil"/>
              <w:left w:val="nil"/>
              <w:bottom w:val="nil"/>
              <w:right w:val="single" w:sz="4" w:space="0" w:color="000000"/>
            </w:tcBorders>
            <w:shd w:val="clear" w:color="000000" w:fill="FFFFFF"/>
            <w:hideMark/>
          </w:tcPr>
          <w:p w14:paraId="642BE3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236. De la formulación de la pregunta</w:t>
            </w:r>
            <w:r w:rsidRPr="00222F34">
              <w:rPr>
                <w:rFonts w:ascii="Calibri" w:eastAsia="Times New Roman" w:hAnsi="Calibri" w:cs="Calibri"/>
                <w:color w:val="000000"/>
                <w:lang w:val="es-CO" w:eastAsia="es-CO" w:bidi="ar-SA"/>
              </w:rPr>
              <w:t xml:space="preserve">. En cuanto a las consultas que se 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w:t>
            </w:r>
            <w:r w:rsidRPr="00222F34">
              <w:rPr>
                <w:rFonts w:ascii="Calibri" w:eastAsia="Times New Roman" w:hAnsi="Calibri" w:cs="Calibri"/>
                <w:color w:val="000000"/>
                <w:lang w:val="es-CO" w:eastAsia="es-CO" w:bidi="ar-SA"/>
              </w:rPr>
              <w:lastRenderedPageBreak/>
              <w:t>no hacerlo, se entenderá que se desiste de la realización de la respectiva consulta.</w:t>
            </w:r>
          </w:p>
        </w:tc>
        <w:tc>
          <w:tcPr>
            <w:tcW w:w="1480" w:type="dxa"/>
            <w:tcBorders>
              <w:top w:val="nil"/>
              <w:left w:val="nil"/>
              <w:bottom w:val="nil"/>
              <w:right w:val="single" w:sz="4" w:space="0" w:color="000000"/>
            </w:tcBorders>
            <w:shd w:val="clear" w:color="000000" w:fill="FFFFFF"/>
            <w:hideMark/>
          </w:tcPr>
          <w:p w14:paraId="02D02226" w14:textId="1557CBD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36B9707B"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65D93AE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El Consejo Nacional Electoral tendrá en cuenta para su pronunciamiento que las preguntas que se formulen sean cerradas y que se encuentren presentadas en forma clara a la ciudadanía. </w:t>
            </w:r>
          </w:p>
        </w:tc>
        <w:tc>
          <w:tcPr>
            <w:tcW w:w="3798" w:type="dxa"/>
            <w:tcBorders>
              <w:top w:val="nil"/>
              <w:left w:val="nil"/>
              <w:bottom w:val="single" w:sz="4" w:space="0" w:color="000000"/>
              <w:right w:val="single" w:sz="4" w:space="0" w:color="000000"/>
            </w:tcBorders>
            <w:shd w:val="clear" w:color="000000" w:fill="FFFFFF"/>
            <w:hideMark/>
          </w:tcPr>
          <w:p w14:paraId="59B5392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tendrá en cuenta para su pronunciamiento que las preguntas que se formulen sean cerradas y que se encuentren presentadas en forma clara a la ciudadanía.</w:t>
            </w:r>
          </w:p>
        </w:tc>
        <w:tc>
          <w:tcPr>
            <w:tcW w:w="3798" w:type="dxa"/>
            <w:tcBorders>
              <w:top w:val="nil"/>
              <w:left w:val="nil"/>
              <w:bottom w:val="single" w:sz="4" w:space="0" w:color="000000"/>
              <w:right w:val="single" w:sz="4" w:space="0" w:color="000000"/>
            </w:tcBorders>
            <w:shd w:val="clear" w:color="000000" w:fill="FFFFFF"/>
            <w:hideMark/>
          </w:tcPr>
          <w:p w14:paraId="185D58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tendrá en cuenta para su pronunciamiento que las preguntas que se formulen sean cerradas y que se encuentren presentadas en forma clara a la ciudadanía.</w:t>
            </w:r>
          </w:p>
        </w:tc>
        <w:tc>
          <w:tcPr>
            <w:tcW w:w="1480" w:type="dxa"/>
            <w:tcBorders>
              <w:top w:val="nil"/>
              <w:left w:val="nil"/>
              <w:bottom w:val="single" w:sz="4" w:space="0" w:color="000000"/>
              <w:right w:val="single" w:sz="4" w:space="0" w:color="000000"/>
            </w:tcBorders>
            <w:shd w:val="clear" w:color="000000" w:fill="FFFFFF"/>
            <w:hideMark/>
          </w:tcPr>
          <w:p w14:paraId="5010FC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5AED7C1"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31CE20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233.- Normas aplicables a las consultas internas.</w:t>
            </w:r>
            <w:r w:rsidRPr="00222F34">
              <w:rPr>
                <w:rFonts w:ascii="Calibri" w:eastAsia="Times New Roman" w:hAnsi="Calibri" w:cs="Calibri"/>
                <w:color w:val="000000"/>
                <w:lang w:val="es-CO" w:eastAsia="es-CO" w:bidi="ar-SA"/>
              </w:rPr>
              <w:t xml:space="preserve"> Las consultas internas seguirán las siguientes reglas: </w:t>
            </w:r>
          </w:p>
        </w:tc>
        <w:tc>
          <w:tcPr>
            <w:tcW w:w="3798" w:type="dxa"/>
            <w:tcBorders>
              <w:top w:val="nil"/>
              <w:left w:val="nil"/>
              <w:bottom w:val="nil"/>
              <w:right w:val="single" w:sz="4" w:space="0" w:color="000000"/>
            </w:tcBorders>
            <w:shd w:val="clear" w:color="000000" w:fill="FFFFFF"/>
            <w:hideMark/>
          </w:tcPr>
          <w:p w14:paraId="0618A5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237.- Normas aplicables a las consultas internas. </w:t>
            </w:r>
            <w:r w:rsidRPr="00222F34">
              <w:rPr>
                <w:rFonts w:ascii="Calibri" w:eastAsia="Times New Roman" w:hAnsi="Calibri" w:cs="Calibri"/>
                <w:color w:val="000000"/>
                <w:lang w:val="es-CO" w:eastAsia="es-CO" w:bidi="ar-SA"/>
              </w:rPr>
              <w:t>Las consultas internas seguirán las siguientes reglas:</w:t>
            </w:r>
          </w:p>
        </w:tc>
        <w:tc>
          <w:tcPr>
            <w:tcW w:w="3798" w:type="dxa"/>
            <w:tcBorders>
              <w:top w:val="nil"/>
              <w:left w:val="nil"/>
              <w:bottom w:val="nil"/>
              <w:right w:val="single" w:sz="4" w:space="0" w:color="000000"/>
            </w:tcBorders>
            <w:shd w:val="clear" w:color="000000" w:fill="FFFFFF"/>
            <w:hideMark/>
          </w:tcPr>
          <w:p w14:paraId="7A8484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237.- Normas aplicables a las consultas internas. </w:t>
            </w:r>
            <w:r w:rsidRPr="00222F34">
              <w:rPr>
                <w:rFonts w:ascii="Calibri" w:eastAsia="Times New Roman" w:hAnsi="Calibri" w:cs="Calibri"/>
                <w:color w:val="000000"/>
                <w:lang w:val="es-CO" w:eastAsia="es-CO" w:bidi="ar-SA"/>
              </w:rPr>
              <w:t>Las consultas internas seguirán las siguientes reglas:</w:t>
            </w:r>
          </w:p>
        </w:tc>
        <w:tc>
          <w:tcPr>
            <w:tcW w:w="1480" w:type="dxa"/>
            <w:tcBorders>
              <w:top w:val="nil"/>
              <w:left w:val="nil"/>
              <w:bottom w:val="nil"/>
              <w:right w:val="single" w:sz="4" w:space="0" w:color="000000"/>
            </w:tcBorders>
            <w:shd w:val="clear" w:color="000000" w:fill="FFFFFF"/>
            <w:hideMark/>
          </w:tcPr>
          <w:p w14:paraId="48EAE061" w14:textId="03A894CB"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67DA012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4F9804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Tres (3) meses antes de la fecha de la consulta se realizará un corte en el registro de los militantes a cargo del Consejo Nacional Electoral. </w:t>
            </w:r>
          </w:p>
        </w:tc>
        <w:tc>
          <w:tcPr>
            <w:tcW w:w="3798" w:type="dxa"/>
            <w:tcBorders>
              <w:top w:val="nil"/>
              <w:left w:val="nil"/>
              <w:bottom w:val="nil"/>
              <w:right w:val="single" w:sz="4" w:space="0" w:color="000000"/>
            </w:tcBorders>
            <w:shd w:val="clear" w:color="000000" w:fill="FFFFFF"/>
            <w:hideMark/>
          </w:tcPr>
          <w:p w14:paraId="15E7A5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Tres (3) meses antes de la fecha de la consulta se realizará un corte en el registro de los militantes a cargo del Consejo Nacional Electoral.</w:t>
            </w:r>
          </w:p>
        </w:tc>
        <w:tc>
          <w:tcPr>
            <w:tcW w:w="3798" w:type="dxa"/>
            <w:tcBorders>
              <w:top w:val="nil"/>
              <w:left w:val="nil"/>
              <w:bottom w:val="nil"/>
              <w:right w:val="single" w:sz="4" w:space="0" w:color="000000"/>
            </w:tcBorders>
            <w:shd w:val="clear" w:color="000000" w:fill="FFFFFF"/>
            <w:hideMark/>
          </w:tcPr>
          <w:p w14:paraId="72C6E2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Tres (3) meses antes de la fecha de la consulta se realizará un corte en el registro de los militantes a cargo del Consejo Nacional Electoral.</w:t>
            </w:r>
          </w:p>
        </w:tc>
        <w:tc>
          <w:tcPr>
            <w:tcW w:w="1480" w:type="dxa"/>
            <w:tcBorders>
              <w:top w:val="nil"/>
              <w:left w:val="nil"/>
              <w:bottom w:val="nil"/>
              <w:right w:val="single" w:sz="4" w:space="0" w:color="000000"/>
            </w:tcBorders>
            <w:shd w:val="clear" w:color="000000" w:fill="FFFFFF"/>
            <w:hideMark/>
          </w:tcPr>
          <w:p w14:paraId="52F3A3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0D94E3C"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316C0E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Organización Electoral colaborará en la realización de las consultas mediante el suministro de tarjetas electorales y cubículos individuales instalados en cada mesa de votación, la </w:t>
            </w:r>
            <w:r w:rsidRPr="00222F34">
              <w:rPr>
                <w:rFonts w:ascii="Calibri" w:eastAsia="Times New Roman" w:hAnsi="Calibri" w:cs="Calibri"/>
                <w:color w:val="000000"/>
                <w:lang w:val="es-CO" w:eastAsia="es-CO" w:bidi="ar-SA"/>
              </w:rPr>
              <w:lastRenderedPageBreak/>
              <w:t xml:space="preserve">recolección de los votos y la realización del escrutinio. Para tal efecto, el Estado financiará el costo correspondiente. Se podrán utilizar sistemas de asistencia tecnológica para este proceso electoral. </w:t>
            </w:r>
          </w:p>
        </w:tc>
        <w:tc>
          <w:tcPr>
            <w:tcW w:w="3798" w:type="dxa"/>
            <w:tcBorders>
              <w:top w:val="nil"/>
              <w:left w:val="nil"/>
              <w:bottom w:val="nil"/>
              <w:right w:val="single" w:sz="4" w:space="0" w:color="000000"/>
            </w:tcBorders>
            <w:shd w:val="clear" w:color="000000" w:fill="FFFFFF"/>
            <w:hideMark/>
          </w:tcPr>
          <w:p w14:paraId="1972B8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La Organización Electoral colaborará en la realización de las consultas mediante el suministro de tarjetas electorales y cubículos individuales instalados en cada mesa de votación, la </w:t>
            </w:r>
            <w:r w:rsidRPr="00222F34">
              <w:rPr>
                <w:rFonts w:ascii="Calibri" w:eastAsia="Times New Roman" w:hAnsi="Calibri" w:cs="Calibri"/>
                <w:color w:val="000000"/>
                <w:lang w:val="es-CO" w:eastAsia="es-CO" w:bidi="ar-SA"/>
              </w:rPr>
              <w:lastRenderedPageBreak/>
              <w:t>recolección de los votos y la realización del escrutinio. Para tal efecto, el Estado financiará el costo correspondiente. Se podrán utilizar sistemas de asistencia tecnológica para este proceso electoral.</w:t>
            </w:r>
          </w:p>
        </w:tc>
        <w:tc>
          <w:tcPr>
            <w:tcW w:w="3798" w:type="dxa"/>
            <w:tcBorders>
              <w:top w:val="nil"/>
              <w:left w:val="nil"/>
              <w:bottom w:val="nil"/>
              <w:right w:val="single" w:sz="4" w:space="0" w:color="000000"/>
            </w:tcBorders>
            <w:shd w:val="clear" w:color="000000" w:fill="FFFFFF"/>
            <w:hideMark/>
          </w:tcPr>
          <w:p w14:paraId="611DE4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La Organización Electoral colaborará en la realización de las consultas mediante el suministro de tarjetas electorales y cubículos individuales instalados en cada mesa de votación, la </w:t>
            </w:r>
            <w:r w:rsidRPr="00222F34">
              <w:rPr>
                <w:rFonts w:ascii="Calibri" w:eastAsia="Times New Roman" w:hAnsi="Calibri" w:cs="Calibri"/>
                <w:color w:val="000000"/>
                <w:lang w:val="es-CO" w:eastAsia="es-CO" w:bidi="ar-SA"/>
              </w:rPr>
              <w:lastRenderedPageBreak/>
              <w:t>recolección de los votos y la realización del escrutinio. Para tal efecto, el Estado financiará el costo correspondiente. Se podrán utilizar sistemas de asistencia tecnológica para este proceso electoral.</w:t>
            </w:r>
          </w:p>
        </w:tc>
        <w:tc>
          <w:tcPr>
            <w:tcW w:w="1480" w:type="dxa"/>
            <w:tcBorders>
              <w:top w:val="nil"/>
              <w:left w:val="nil"/>
              <w:bottom w:val="nil"/>
              <w:right w:val="single" w:sz="4" w:space="0" w:color="000000"/>
            </w:tcBorders>
            <w:shd w:val="clear" w:color="000000" w:fill="FFFFFF"/>
            <w:hideMark/>
          </w:tcPr>
          <w:p w14:paraId="52DC19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AD1B954"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B9B45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 </w:t>
            </w:r>
          </w:p>
        </w:tc>
        <w:tc>
          <w:tcPr>
            <w:tcW w:w="3798" w:type="dxa"/>
            <w:tcBorders>
              <w:top w:val="nil"/>
              <w:left w:val="nil"/>
              <w:bottom w:val="nil"/>
              <w:right w:val="single" w:sz="4" w:space="0" w:color="000000"/>
            </w:tcBorders>
            <w:shd w:val="clear" w:color="000000" w:fill="FFFFFF"/>
            <w:hideMark/>
          </w:tcPr>
          <w:p w14:paraId="5ED5EDF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w:t>
            </w:r>
          </w:p>
        </w:tc>
        <w:tc>
          <w:tcPr>
            <w:tcW w:w="3798" w:type="dxa"/>
            <w:tcBorders>
              <w:top w:val="nil"/>
              <w:left w:val="nil"/>
              <w:bottom w:val="nil"/>
              <w:right w:val="single" w:sz="4" w:space="0" w:color="000000"/>
            </w:tcBorders>
            <w:shd w:val="clear" w:color="000000" w:fill="FFFFFF"/>
            <w:hideMark/>
          </w:tcPr>
          <w:p w14:paraId="5017BD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w:t>
            </w:r>
          </w:p>
        </w:tc>
        <w:tc>
          <w:tcPr>
            <w:tcW w:w="1480" w:type="dxa"/>
            <w:tcBorders>
              <w:top w:val="nil"/>
              <w:left w:val="nil"/>
              <w:bottom w:val="nil"/>
              <w:right w:val="single" w:sz="4" w:space="0" w:color="000000"/>
            </w:tcBorders>
            <w:shd w:val="clear" w:color="000000" w:fill="FFFFFF"/>
            <w:hideMark/>
          </w:tcPr>
          <w:p w14:paraId="39CAF9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96C2F4C"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ABF96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 </w:t>
            </w:r>
          </w:p>
        </w:tc>
        <w:tc>
          <w:tcPr>
            <w:tcW w:w="3798" w:type="dxa"/>
            <w:tcBorders>
              <w:top w:val="nil"/>
              <w:left w:val="nil"/>
              <w:bottom w:val="nil"/>
              <w:right w:val="single" w:sz="4" w:space="0" w:color="000000"/>
            </w:tcBorders>
            <w:shd w:val="clear" w:color="000000" w:fill="FFFFFF"/>
            <w:hideMark/>
          </w:tcPr>
          <w:p w14:paraId="43011F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w:t>
            </w:r>
          </w:p>
        </w:tc>
        <w:tc>
          <w:tcPr>
            <w:tcW w:w="3798" w:type="dxa"/>
            <w:tcBorders>
              <w:top w:val="nil"/>
              <w:left w:val="nil"/>
              <w:bottom w:val="nil"/>
              <w:right w:val="single" w:sz="4" w:space="0" w:color="000000"/>
            </w:tcBorders>
            <w:shd w:val="clear" w:color="000000" w:fill="FFFFFF"/>
            <w:hideMark/>
          </w:tcPr>
          <w:p w14:paraId="1D1713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w:t>
            </w:r>
          </w:p>
        </w:tc>
        <w:tc>
          <w:tcPr>
            <w:tcW w:w="1480" w:type="dxa"/>
            <w:tcBorders>
              <w:top w:val="nil"/>
              <w:left w:val="nil"/>
              <w:bottom w:val="nil"/>
              <w:right w:val="single" w:sz="4" w:space="0" w:color="000000"/>
            </w:tcBorders>
            <w:shd w:val="clear" w:color="000000" w:fill="FFFFFF"/>
            <w:hideMark/>
          </w:tcPr>
          <w:p w14:paraId="1961D6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E4C07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65F61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 </w:t>
            </w:r>
          </w:p>
        </w:tc>
        <w:tc>
          <w:tcPr>
            <w:tcW w:w="3798" w:type="dxa"/>
            <w:tcBorders>
              <w:top w:val="nil"/>
              <w:left w:val="nil"/>
              <w:bottom w:val="nil"/>
              <w:right w:val="single" w:sz="4" w:space="0" w:color="000000"/>
            </w:tcBorders>
            <w:shd w:val="clear" w:color="000000" w:fill="FFFFFF"/>
            <w:hideMark/>
          </w:tcPr>
          <w:p w14:paraId="34333FB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w:t>
            </w:r>
          </w:p>
        </w:tc>
        <w:tc>
          <w:tcPr>
            <w:tcW w:w="3798" w:type="dxa"/>
            <w:tcBorders>
              <w:top w:val="nil"/>
              <w:left w:val="nil"/>
              <w:bottom w:val="nil"/>
              <w:right w:val="single" w:sz="4" w:space="0" w:color="000000"/>
            </w:tcBorders>
            <w:shd w:val="clear" w:color="000000" w:fill="FFFFFF"/>
            <w:hideMark/>
          </w:tcPr>
          <w:p w14:paraId="2D1FC1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w:t>
            </w:r>
          </w:p>
        </w:tc>
        <w:tc>
          <w:tcPr>
            <w:tcW w:w="1480" w:type="dxa"/>
            <w:tcBorders>
              <w:top w:val="nil"/>
              <w:left w:val="nil"/>
              <w:bottom w:val="nil"/>
              <w:right w:val="single" w:sz="4" w:space="0" w:color="000000"/>
            </w:tcBorders>
            <w:shd w:val="clear" w:color="000000" w:fill="FFFFFF"/>
            <w:hideMark/>
          </w:tcPr>
          <w:p w14:paraId="363CB4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0179A40" w14:textId="77777777" w:rsidTr="00222F34">
        <w:trPr>
          <w:trHeight w:val="3000"/>
        </w:trPr>
        <w:tc>
          <w:tcPr>
            <w:tcW w:w="3798" w:type="dxa"/>
            <w:tcBorders>
              <w:top w:val="nil"/>
              <w:left w:val="single" w:sz="4" w:space="0" w:color="000000"/>
              <w:bottom w:val="nil"/>
              <w:right w:val="single" w:sz="4" w:space="0" w:color="000000"/>
            </w:tcBorders>
            <w:shd w:val="clear" w:color="000000" w:fill="FFFFFF"/>
            <w:hideMark/>
          </w:tcPr>
          <w:p w14:paraId="4FB7FF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con personería jurídica, así como las coaliciones de estos, podrán solicitar anticipos para estas consultas, de acuerdo con la reglamentación que expida el Consejo Nacional Electoral. </w:t>
            </w:r>
          </w:p>
        </w:tc>
        <w:tc>
          <w:tcPr>
            <w:tcW w:w="3798" w:type="dxa"/>
            <w:tcBorders>
              <w:top w:val="nil"/>
              <w:left w:val="nil"/>
              <w:bottom w:val="nil"/>
              <w:right w:val="single" w:sz="4" w:space="0" w:color="000000"/>
            </w:tcBorders>
            <w:shd w:val="clear" w:color="000000" w:fill="FFFFFF"/>
            <w:hideMark/>
          </w:tcPr>
          <w:p w14:paraId="60E2F7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con personería jurídica, así como las coaliciones de estos, podrán solicitar anticipos para estas consultas, de acuerdo con la reglamentación que expida el Consejo Nacional Electoral.</w:t>
            </w:r>
            <w:r w:rsidRPr="00222F34">
              <w:rPr>
                <w:rFonts w:ascii="Calibri" w:eastAsia="Times New Roman" w:hAnsi="Calibri" w:cs="Calibri"/>
                <w:color w:val="000000"/>
                <w:lang w:val="es-CO" w:eastAsia="es-CO" w:bidi="ar-SA"/>
              </w:rPr>
              <w:br/>
              <w:t>Los partidos, movimientos políticos con personería jurídica y coaliciones deben presentar los respectivos informes sobre ingresos y gastos de campaña de las consultas internas a la autoridad electoral, de conformidad con la Ley.</w:t>
            </w:r>
          </w:p>
        </w:tc>
        <w:tc>
          <w:tcPr>
            <w:tcW w:w="3798" w:type="dxa"/>
            <w:tcBorders>
              <w:top w:val="nil"/>
              <w:left w:val="nil"/>
              <w:bottom w:val="nil"/>
              <w:right w:val="single" w:sz="4" w:space="0" w:color="000000"/>
            </w:tcBorders>
            <w:shd w:val="clear" w:color="000000" w:fill="FFFFFF"/>
            <w:hideMark/>
          </w:tcPr>
          <w:p w14:paraId="7E2AA02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con personería jurídica, así como las coaliciones de estos, podrán solicitar anticipos para estas consultas, de acuerdo con la reglamentación que expida el Consejo Nacional Electoral.</w:t>
            </w:r>
            <w:r w:rsidRPr="00222F34">
              <w:rPr>
                <w:rFonts w:ascii="Calibri" w:eastAsia="Times New Roman" w:hAnsi="Calibri" w:cs="Calibri"/>
                <w:color w:val="000000"/>
                <w:lang w:val="es-CO" w:eastAsia="es-CO" w:bidi="ar-SA"/>
              </w:rPr>
              <w:br/>
              <w:t>Los partidos, movimientos políticos con personería jurídica y coaliciones deben presentar los respectivos informes sobre ingresos y gastos de campaña de las consultas internas a la autoridad electoral, de conformidad con la Ley.</w:t>
            </w:r>
          </w:p>
        </w:tc>
        <w:tc>
          <w:tcPr>
            <w:tcW w:w="1480" w:type="dxa"/>
            <w:tcBorders>
              <w:top w:val="nil"/>
              <w:left w:val="nil"/>
              <w:bottom w:val="nil"/>
              <w:right w:val="single" w:sz="4" w:space="0" w:color="000000"/>
            </w:tcBorders>
            <w:shd w:val="clear" w:color="000000" w:fill="FFFFFF"/>
            <w:hideMark/>
          </w:tcPr>
          <w:p w14:paraId="444EDA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081FE5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4854A4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A las consultas se aplicarán, en lo pertinente, las normas sobre financiación, el acceso a medios, la propaganda electoral y el escrutinio que rige las elecciones ordinarias. </w:t>
            </w:r>
          </w:p>
        </w:tc>
        <w:tc>
          <w:tcPr>
            <w:tcW w:w="3798" w:type="dxa"/>
            <w:tcBorders>
              <w:top w:val="nil"/>
              <w:left w:val="nil"/>
              <w:bottom w:val="nil"/>
              <w:right w:val="single" w:sz="4" w:space="0" w:color="000000"/>
            </w:tcBorders>
            <w:shd w:val="clear" w:color="000000" w:fill="FFFFFF"/>
            <w:hideMark/>
          </w:tcPr>
          <w:p w14:paraId="487FC5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 las consultas se aplicarán, en lo pertinente, las normas sobre financiación, el acceso a medios, la propaganda electoral y el escrutinio que rige las elecciones ordinarias.</w:t>
            </w:r>
          </w:p>
        </w:tc>
        <w:tc>
          <w:tcPr>
            <w:tcW w:w="3798" w:type="dxa"/>
            <w:tcBorders>
              <w:top w:val="nil"/>
              <w:left w:val="nil"/>
              <w:bottom w:val="nil"/>
              <w:right w:val="single" w:sz="4" w:space="0" w:color="000000"/>
            </w:tcBorders>
            <w:shd w:val="clear" w:color="000000" w:fill="FFFFFF"/>
            <w:hideMark/>
          </w:tcPr>
          <w:p w14:paraId="68D56B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 las consultas se aplicarán, en lo pertinente, las normas sobre financiación, el acceso a medios, la propaganda electoral y el escrutinio que rige las elecciones ordinarias.</w:t>
            </w:r>
          </w:p>
        </w:tc>
        <w:tc>
          <w:tcPr>
            <w:tcW w:w="1480" w:type="dxa"/>
            <w:tcBorders>
              <w:top w:val="nil"/>
              <w:left w:val="nil"/>
              <w:bottom w:val="nil"/>
              <w:right w:val="single" w:sz="4" w:space="0" w:color="000000"/>
            </w:tcBorders>
            <w:shd w:val="clear" w:color="000000" w:fill="FFFFFF"/>
            <w:hideMark/>
          </w:tcPr>
          <w:p w14:paraId="5E7B6F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20FD8C"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5607134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cuanto a los asuntos no reglados en el presente artículo de manera subsidiaria, el Consejo Nacional Electoral reglamentará las consultas garantizando la igualdad entre los partidos, movimientos políticos y grupos significativos de ciudadanos que participen en ellas. </w:t>
            </w:r>
          </w:p>
        </w:tc>
        <w:tc>
          <w:tcPr>
            <w:tcW w:w="3798" w:type="dxa"/>
            <w:tcBorders>
              <w:top w:val="nil"/>
              <w:left w:val="nil"/>
              <w:bottom w:val="single" w:sz="4" w:space="0" w:color="000000"/>
              <w:right w:val="single" w:sz="4" w:space="0" w:color="000000"/>
            </w:tcBorders>
            <w:shd w:val="clear" w:color="000000" w:fill="FFFFFF"/>
            <w:hideMark/>
          </w:tcPr>
          <w:p w14:paraId="687AF25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cuanto a los asuntos no reglados en el presente artículo de manera subsidiaria, el Consejo Nacional Electoral reglamentará las consultas garantizando la igualdad entre los partidos, movimientos políticos y grupos significativos de ciudadanos que participen en ellas.</w:t>
            </w:r>
          </w:p>
        </w:tc>
        <w:tc>
          <w:tcPr>
            <w:tcW w:w="3798" w:type="dxa"/>
            <w:tcBorders>
              <w:top w:val="nil"/>
              <w:left w:val="nil"/>
              <w:bottom w:val="single" w:sz="4" w:space="0" w:color="000000"/>
              <w:right w:val="single" w:sz="4" w:space="0" w:color="000000"/>
            </w:tcBorders>
            <w:shd w:val="clear" w:color="000000" w:fill="FFFFFF"/>
            <w:hideMark/>
          </w:tcPr>
          <w:p w14:paraId="4FB0D1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cuanto a los asuntos no reglados en el presente artículo de manera subsidiaria, el Consejo Nacional Electoral reglamentará las consultas garantizando la igualdad entre los partidos, movimientos políticos y grupos significativos de ciudadanos que participen en ellas.</w:t>
            </w:r>
          </w:p>
        </w:tc>
        <w:tc>
          <w:tcPr>
            <w:tcW w:w="1480" w:type="dxa"/>
            <w:tcBorders>
              <w:top w:val="nil"/>
              <w:left w:val="nil"/>
              <w:bottom w:val="single" w:sz="4" w:space="0" w:color="000000"/>
              <w:right w:val="single" w:sz="4" w:space="0" w:color="000000"/>
            </w:tcBorders>
            <w:shd w:val="clear" w:color="000000" w:fill="FFFFFF"/>
            <w:hideMark/>
          </w:tcPr>
          <w:p w14:paraId="4D6B5E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97AD49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BABAF3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234.- Obligatoriedad de los resultados de las consultas.</w:t>
            </w:r>
            <w:r w:rsidRPr="00222F34">
              <w:rPr>
                <w:rFonts w:ascii="Calibri" w:eastAsia="Times New Roman" w:hAnsi="Calibri" w:cs="Calibri"/>
                <w:color w:val="000000"/>
                <w:lang w:val="es-CO" w:eastAsia="es-CO" w:bidi="ar-SA"/>
              </w:rPr>
              <w:t xml:space="preserve"> El resultado de las consultas será vinculante y obligatorio para los partidos, movimientos políticos con personería jurídica y grupos significativos de ciudadanos que las hubieren convocado, así como para los precandidatos que hubieren participado en ellas. </w:t>
            </w:r>
          </w:p>
        </w:tc>
        <w:tc>
          <w:tcPr>
            <w:tcW w:w="3798" w:type="dxa"/>
            <w:tcBorders>
              <w:top w:val="nil"/>
              <w:left w:val="nil"/>
              <w:bottom w:val="nil"/>
              <w:right w:val="single" w:sz="4" w:space="0" w:color="000000"/>
            </w:tcBorders>
            <w:shd w:val="clear" w:color="000000" w:fill="FFFFFF"/>
            <w:hideMark/>
          </w:tcPr>
          <w:p w14:paraId="746E86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238. Obligatoriedad de los resultados de las consultas. </w:t>
            </w:r>
            <w:r w:rsidRPr="00222F34">
              <w:rPr>
                <w:rFonts w:ascii="Calibri" w:eastAsia="Times New Roman" w:hAnsi="Calibri" w:cs="Calibri"/>
                <w:color w:val="000000"/>
                <w:lang w:val="es-CO" w:eastAsia="es-CO" w:bidi="ar-SA"/>
              </w:rPr>
              <w:t>El resultado de las consultas será vinculante y obligatorio para los partidos, movimientos políticos con personería jurídica y grupos significativos de ciudadanos que las hubieren convocado, así como para los precandidatos que hubieren participado en ellas.</w:t>
            </w:r>
          </w:p>
        </w:tc>
        <w:tc>
          <w:tcPr>
            <w:tcW w:w="3798" w:type="dxa"/>
            <w:tcBorders>
              <w:top w:val="nil"/>
              <w:left w:val="nil"/>
              <w:bottom w:val="nil"/>
              <w:right w:val="single" w:sz="4" w:space="0" w:color="000000"/>
            </w:tcBorders>
            <w:shd w:val="clear" w:color="000000" w:fill="FFFFFF"/>
            <w:hideMark/>
          </w:tcPr>
          <w:p w14:paraId="4F30D0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238. Obligatoriedad de los resultados de las consultas. </w:t>
            </w:r>
            <w:r w:rsidRPr="00222F34">
              <w:rPr>
                <w:rFonts w:ascii="Calibri" w:eastAsia="Times New Roman" w:hAnsi="Calibri" w:cs="Calibri"/>
                <w:color w:val="000000"/>
                <w:lang w:val="es-CO" w:eastAsia="es-CO" w:bidi="ar-SA"/>
              </w:rPr>
              <w:t>El resultado de las consultas será vinculante y obligatorio para los partidos, movimientos políticos con personería jurídica y grupos significativos de ciudadanos que las hubieren convocado, así como para los precandidatos que hubieren participado en ellas.</w:t>
            </w:r>
          </w:p>
        </w:tc>
        <w:tc>
          <w:tcPr>
            <w:tcW w:w="1480" w:type="dxa"/>
            <w:tcBorders>
              <w:top w:val="nil"/>
              <w:left w:val="nil"/>
              <w:bottom w:val="nil"/>
              <w:right w:val="single" w:sz="4" w:space="0" w:color="000000"/>
            </w:tcBorders>
            <w:shd w:val="clear" w:color="000000" w:fill="FFFFFF"/>
            <w:hideMark/>
          </w:tcPr>
          <w:p w14:paraId="1EBC50F7" w14:textId="40ECC3E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8D8155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83B96C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 </w:t>
            </w:r>
          </w:p>
        </w:tc>
        <w:tc>
          <w:tcPr>
            <w:tcW w:w="3798" w:type="dxa"/>
            <w:tcBorders>
              <w:top w:val="nil"/>
              <w:left w:val="nil"/>
              <w:bottom w:val="nil"/>
              <w:right w:val="single" w:sz="4" w:space="0" w:color="000000"/>
            </w:tcBorders>
            <w:shd w:val="clear" w:color="000000" w:fill="FFFFFF"/>
            <w:hideMark/>
          </w:tcPr>
          <w:p w14:paraId="611420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w:t>
            </w:r>
          </w:p>
        </w:tc>
        <w:tc>
          <w:tcPr>
            <w:tcW w:w="3798" w:type="dxa"/>
            <w:tcBorders>
              <w:top w:val="nil"/>
              <w:left w:val="nil"/>
              <w:bottom w:val="nil"/>
              <w:right w:val="single" w:sz="4" w:space="0" w:color="000000"/>
            </w:tcBorders>
            <w:shd w:val="clear" w:color="000000" w:fill="FFFFFF"/>
            <w:hideMark/>
          </w:tcPr>
          <w:p w14:paraId="5C3F9B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w:t>
            </w:r>
          </w:p>
        </w:tc>
        <w:tc>
          <w:tcPr>
            <w:tcW w:w="1480" w:type="dxa"/>
            <w:tcBorders>
              <w:top w:val="nil"/>
              <w:left w:val="nil"/>
              <w:bottom w:val="nil"/>
              <w:right w:val="single" w:sz="4" w:space="0" w:color="000000"/>
            </w:tcBorders>
            <w:shd w:val="clear" w:color="000000" w:fill="FFFFFF"/>
            <w:hideMark/>
          </w:tcPr>
          <w:p w14:paraId="0F4DDB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758AAD"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54B6E8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 </w:t>
            </w:r>
          </w:p>
        </w:tc>
        <w:tc>
          <w:tcPr>
            <w:tcW w:w="3798" w:type="dxa"/>
            <w:tcBorders>
              <w:top w:val="nil"/>
              <w:left w:val="nil"/>
              <w:bottom w:val="single" w:sz="4" w:space="0" w:color="000000"/>
              <w:right w:val="single" w:sz="4" w:space="0" w:color="000000"/>
            </w:tcBorders>
            <w:shd w:val="clear" w:color="000000" w:fill="FFFFFF"/>
            <w:hideMark/>
          </w:tcPr>
          <w:p w14:paraId="07F1C8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w:t>
            </w:r>
          </w:p>
        </w:tc>
        <w:tc>
          <w:tcPr>
            <w:tcW w:w="3798" w:type="dxa"/>
            <w:tcBorders>
              <w:top w:val="nil"/>
              <w:left w:val="nil"/>
              <w:bottom w:val="single" w:sz="4" w:space="0" w:color="000000"/>
              <w:right w:val="single" w:sz="4" w:space="0" w:color="000000"/>
            </w:tcBorders>
            <w:shd w:val="clear" w:color="000000" w:fill="FFFFFF"/>
            <w:hideMark/>
          </w:tcPr>
          <w:p w14:paraId="61B8729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w:t>
            </w:r>
          </w:p>
        </w:tc>
        <w:tc>
          <w:tcPr>
            <w:tcW w:w="1480" w:type="dxa"/>
            <w:tcBorders>
              <w:top w:val="nil"/>
              <w:left w:val="nil"/>
              <w:bottom w:val="single" w:sz="4" w:space="0" w:color="000000"/>
              <w:right w:val="single" w:sz="4" w:space="0" w:color="000000"/>
            </w:tcBorders>
            <w:shd w:val="clear" w:color="000000" w:fill="FFFFFF"/>
            <w:hideMark/>
          </w:tcPr>
          <w:p w14:paraId="7C100A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5E3BC29"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4E55D8C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235.- Consultas interpartidarias. </w:t>
            </w:r>
            <w:r w:rsidRPr="00222F34">
              <w:rPr>
                <w:rFonts w:ascii="Calibri" w:eastAsia="Times New Roman" w:hAnsi="Calibri" w:cs="Calibri"/>
                <w:color w:val="000000"/>
                <w:lang w:val="es-CO" w:eastAsia="es-CO" w:bidi="ar-SA"/>
              </w:rPr>
              <w:t xml:space="preserve">Las reglas anteriores, en lo pertinente, también se aplicarán a las consultas interpartidarias. </w:t>
            </w:r>
          </w:p>
        </w:tc>
        <w:tc>
          <w:tcPr>
            <w:tcW w:w="3798" w:type="dxa"/>
            <w:tcBorders>
              <w:top w:val="nil"/>
              <w:left w:val="nil"/>
              <w:bottom w:val="single" w:sz="4" w:space="0" w:color="000000"/>
              <w:right w:val="single" w:sz="4" w:space="0" w:color="000000"/>
            </w:tcBorders>
            <w:shd w:val="clear" w:color="000000" w:fill="FFFFFF"/>
            <w:hideMark/>
          </w:tcPr>
          <w:p w14:paraId="4E6B15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239. Consultas interpartidarias. </w:t>
            </w:r>
            <w:r w:rsidRPr="00222F34">
              <w:rPr>
                <w:rFonts w:ascii="Calibri" w:eastAsia="Times New Roman" w:hAnsi="Calibri" w:cs="Calibri"/>
                <w:color w:val="000000"/>
                <w:lang w:val="es-CO" w:eastAsia="es-CO" w:bidi="ar-SA"/>
              </w:rPr>
              <w:t>Las reglas anteriores, en lo pertinente, también se aplicarán a las consultas interpartidarias.</w:t>
            </w:r>
          </w:p>
        </w:tc>
        <w:tc>
          <w:tcPr>
            <w:tcW w:w="3798" w:type="dxa"/>
            <w:tcBorders>
              <w:top w:val="nil"/>
              <w:left w:val="nil"/>
              <w:bottom w:val="single" w:sz="4" w:space="0" w:color="000000"/>
              <w:right w:val="single" w:sz="4" w:space="0" w:color="000000"/>
            </w:tcBorders>
            <w:shd w:val="clear" w:color="000000" w:fill="FFFFFF"/>
            <w:hideMark/>
          </w:tcPr>
          <w:p w14:paraId="7D127E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239. Consultas interpartidarias. </w:t>
            </w:r>
            <w:r w:rsidRPr="00222F34">
              <w:rPr>
                <w:rFonts w:ascii="Calibri" w:eastAsia="Times New Roman" w:hAnsi="Calibri" w:cs="Calibri"/>
                <w:color w:val="000000"/>
                <w:lang w:val="es-CO" w:eastAsia="es-CO" w:bidi="ar-SA"/>
              </w:rPr>
              <w:t>Las reglas anteriores, en lo pertinente, también se aplicarán a las consultas interpartidarias.</w:t>
            </w:r>
          </w:p>
        </w:tc>
        <w:tc>
          <w:tcPr>
            <w:tcW w:w="1480" w:type="dxa"/>
            <w:tcBorders>
              <w:top w:val="nil"/>
              <w:left w:val="nil"/>
              <w:bottom w:val="nil"/>
              <w:right w:val="single" w:sz="4" w:space="0" w:color="000000"/>
            </w:tcBorders>
            <w:shd w:val="clear" w:color="000000" w:fill="FFFFFF"/>
            <w:hideMark/>
          </w:tcPr>
          <w:p w14:paraId="4981DC0D" w14:textId="7082FDC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71C41DD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CB637C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IX</w:t>
            </w:r>
          </w:p>
        </w:tc>
        <w:tc>
          <w:tcPr>
            <w:tcW w:w="3798" w:type="dxa"/>
            <w:tcBorders>
              <w:top w:val="nil"/>
              <w:left w:val="nil"/>
              <w:bottom w:val="nil"/>
              <w:right w:val="single" w:sz="4" w:space="0" w:color="000000"/>
            </w:tcBorders>
            <w:shd w:val="clear" w:color="000000" w:fill="FFFFFF"/>
            <w:hideMark/>
          </w:tcPr>
          <w:p w14:paraId="5586A0B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IX</w:t>
            </w:r>
          </w:p>
        </w:tc>
        <w:tc>
          <w:tcPr>
            <w:tcW w:w="3798" w:type="dxa"/>
            <w:tcBorders>
              <w:top w:val="nil"/>
              <w:left w:val="nil"/>
              <w:bottom w:val="nil"/>
              <w:right w:val="single" w:sz="4" w:space="0" w:color="000000"/>
            </w:tcBorders>
            <w:shd w:val="clear" w:color="000000" w:fill="FFFFFF"/>
            <w:hideMark/>
          </w:tcPr>
          <w:p w14:paraId="28CF602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IX</w:t>
            </w:r>
          </w:p>
        </w:tc>
        <w:tc>
          <w:tcPr>
            <w:tcW w:w="1480" w:type="dxa"/>
            <w:tcBorders>
              <w:top w:val="single" w:sz="4" w:space="0" w:color="000000"/>
              <w:left w:val="nil"/>
              <w:bottom w:val="nil"/>
              <w:right w:val="single" w:sz="4" w:space="0" w:color="000000"/>
            </w:tcBorders>
            <w:shd w:val="clear" w:color="000000" w:fill="FFFFFF"/>
            <w:hideMark/>
          </w:tcPr>
          <w:p w14:paraId="36A84D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A7AE6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BB915B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SISTEMAS DE ASISTENCIA TECNOLÓGICA A LOS PROCESOS ELECTORALES</w:t>
            </w:r>
          </w:p>
        </w:tc>
        <w:tc>
          <w:tcPr>
            <w:tcW w:w="3798" w:type="dxa"/>
            <w:tcBorders>
              <w:top w:val="nil"/>
              <w:left w:val="nil"/>
              <w:bottom w:val="nil"/>
              <w:right w:val="single" w:sz="4" w:space="0" w:color="000000"/>
            </w:tcBorders>
            <w:shd w:val="clear" w:color="000000" w:fill="FFFFFF"/>
            <w:hideMark/>
          </w:tcPr>
          <w:p w14:paraId="56832D9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SISTEMAS DE ASISTENCIA TECNOLÓGICA A LOS PROCESOS ELECTORALES</w:t>
            </w:r>
          </w:p>
        </w:tc>
        <w:tc>
          <w:tcPr>
            <w:tcW w:w="3798" w:type="dxa"/>
            <w:tcBorders>
              <w:top w:val="nil"/>
              <w:left w:val="nil"/>
              <w:bottom w:val="nil"/>
              <w:right w:val="single" w:sz="4" w:space="0" w:color="000000"/>
            </w:tcBorders>
            <w:shd w:val="clear" w:color="000000" w:fill="FFFFFF"/>
            <w:hideMark/>
          </w:tcPr>
          <w:p w14:paraId="01794D2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SISTEMAS DE ASISTENCIA TECNOLÓGICA A LOS PROCESOS ELECTORALES</w:t>
            </w:r>
          </w:p>
        </w:tc>
        <w:tc>
          <w:tcPr>
            <w:tcW w:w="1480" w:type="dxa"/>
            <w:tcBorders>
              <w:top w:val="nil"/>
              <w:left w:val="nil"/>
              <w:bottom w:val="nil"/>
              <w:right w:val="single" w:sz="4" w:space="0" w:color="000000"/>
            </w:tcBorders>
            <w:shd w:val="clear" w:color="000000" w:fill="FFFFFF"/>
            <w:hideMark/>
          </w:tcPr>
          <w:p w14:paraId="2591B3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86B89A"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8DA524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6A92B65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196A3E4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1BE45B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6CCF751"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564B77A"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tc>
        <w:tc>
          <w:tcPr>
            <w:tcW w:w="3798" w:type="dxa"/>
            <w:tcBorders>
              <w:top w:val="nil"/>
              <w:left w:val="nil"/>
              <w:bottom w:val="single" w:sz="4" w:space="0" w:color="000000"/>
              <w:right w:val="single" w:sz="4" w:space="0" w:color="000000"/>
            </w:tcBorders>
            <w:shd w:val="clear" w:color="000000" w:fill="FFFFFF"/>
            <w:hideMark/>
          </w:tcPr>
          <w:p w14:paraId="23DF7A6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tc>
        <w:tc>
          <w:tcPr>
            <w:tcW w:w="3798" w:type="dxa"/>
            <w:tcBorders>
              <w:top w:val="nil"/>
              <w:left w:val="nil"/>
              <w:bottom w:val="single" w:sz="4" w:space="0" w:color="000000"/>
              <w:right w:val="single" w:sz="4" w:space="0" w:color="000000"/>
            </w:tcBorders>
            <w:shd w:val="clear" w:color="000000" w:fill="FFFFFF"/>
            <w:hideMark/>
          </w:tcPr>
          <w:p w14:paraId="4F673B9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tc>
        <w:tc>
          <w:tcPr>
            <w:tcW w:w="1480" w:type="dxa"/>
            <w:tcBorders>
              <w:top w:val="nil"/>
              <w:left w:val="nil"/>
              <w:bottom w:val="single" w:sz="4" w:space="0" w:color="000000"/>
              <w:right w:val="single" w:sz="4" w:space="0" w:color="000000"/>
            </w:tcBorders>
            <w:shd w:val="clear" w:color="000000" w:fill="FFFFFF"/>
            <w:hideMark/>
          </w:tcPr>
          <w:p w14:paraId="466549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B484CC"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038C0F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236.- Definición.</w:t>
            </w:r>
            <w:r w:rsidRPr="00222F34">
              <w:rPr>
                <w:rFonts w:ascii="Calibri" w:eastAsia="Times New Roman" w:hAnsi="Calibri" w:cs="Calibri"/>
                <w:color w:val="000000"/>
                <w:lang w:val="es-CO" w:eastAsia="es-CO" w:bidi="ar-SA"/>
              </w:rPr>
              <w:t xml:space="preserve"> Para facilitar el desarrollo de las votaciones, contribuir con la gestión, el seguimiento y la consolidación de la información de los procesos electorales, la Organización Electoral podrá implementar medios tecnológicos en todas las etapas del proceso electoral, que permitan la realización de las votaciones de autoridades, corporaciones públicas, mecanismos de participación ciudadana, </w:t>
            </w:r>
            <w:r w:rsidRPr="00222F34">
              <w:rPr>
                <w:rFonts w:ascii="Calibri" w:eastAsia="Times New Roman" w:hAnsi="Calibri" w:cs="Calibri"/>
                <w:color w:val="000000"/>
                <w:lang w:val="es-CO" w:eastAsia="es-CO" w:bidi="ar-SA"/>
              </w:rPr>
              <w:lastRenderedPageBreak/>
              <w:t xml:space="preserve">la garantía del secreto del voto y la verdad electoral.  </w:t>
            </w:r>
          </w:p>
        </w:tc>
        <w:tc>
          <w:tcPr>
            <w:tcW w:w="3798" w:type="dxa"/>
            <w:tcBorders>
              <w:top w:val="nil"/>
              <w:left w:val="nil"/>
              <w:bottom w:val="nil"/>
              <w:right w:val="single" w:sz="4" w:space="0" w:color="000000"/>
            </w:tcBorders>
            <w:shd w:val="clear" w:color="000000" w:fill="FFFFFF"/>
            <w:hideMark/>
          </w:tcPr>
          <w:p w14:paraId="4C4F4B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240.- Definición. </w:t>
            </w:r>
            <w:r w:rsidRPr="00222F34">
              <w:rPr>
                <w:rFonts w:ascii="Calibri" w:eastAsia="Times New Roman" w:hAnsi="Calibri" w:cs="Calibri"/>
                <w:color w:val="000000"/>
                <w:lang w:val="es-CO" w:eastAsia="es-CO" w:bidi="ar-SA"/>
              </w:rPr>
              <w:t xml:space="preserve">Para facilitar el desarrollo de las votaciones, contribuir con la gestión, el seguimiento y la consolidación de la información de los procesos electorales, la Organización Electoral podrá implementar medios tecnológicos en todas las etapas del proceso electoral, que permitan la realización de las votaciones de autoridades, corporaciones públicas, mecanismos de participación ciudadana, </w:t>
            </w:r>
            <w:r w:rsidRPr="00222F34">
              <w:rPr>
                <w:rFonts w:ascii="Calibri" w:eastAsia="Times New Roman" w:hAnsi="Calibri" w:cs="Calibri"/>
                <w:color w:val="000000"/>
                <w:lang w:val="es-CO" w:eastAsia="es-CO" w:bidi="ar-SA"/>
              </w:rPr>
              <w:lastRenderedPageBreak/>
              <w:t>la garantía del secreto del voto y la verdad electoral.</w:t>
            </w:r>
          </w:p>
        </w:tc>
        <w:tc>
          <w:tcPr>
            <w:tcW w:w="3798" w:type="dxa"/>
            <w:tcBorders>
              <w:top w:val="nil"/>
              <w:left w:val="nil"/>
              <w:bottom w:val="nil"/>
              <w:right w:val="single" w:sz="4" w:space="0" w:color="000000"/>
            </w:tcBorders>
            <w:shd w:val="clear" w:color="000000" w:fill="FFFFFF"/>
            <w:hideMark/>
          </w:tcPr>
          <w:p w14:paraId="190B69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240.- Definición. </w:t>
            </w:r>
            <w:r w:rsidRPr="00222F34">
              <w:rPr>
                <w:rFonts w:ascii="Calibri" w:eastAsia="Times New Roman" w:hAnsi="Calibri" w:cs="Calibri"/>
                <w:color w:val="000000"/>
                <w:lang w:val="es-CO" w:eastAsia="es-CO" w:bidi="ar-SA"/>
              </w:rPr>
              <w:t xml:space="preserve">Para facilitar el desarrollo de las votaciones, contribuir con la gestión, el seguimiento y la consolidación de la información de los procesos electorales, la Organización Electoral podrá implementar medios tecnológicos en todas las etapas del proceso electoral, que permitan la realización de las votaciones de autoridades, corporaciones públicas, mecanismos de participación ciudadana, </w:t>
            </w:r>
            <w:r w:rsidRPr="00222F34">
              <w:rPr>
                <w:rFonts w:ascii="Calibri" w:eastAsia="Times New Roman" w:hAnsi="Calibri" w:cs="Calibri"/>
                <w:color w:val="000000"/>
                <w:lang w:val="es-CO" w:eastAsia="es-CO" w:bidi="ar-SA"/>
              </w:rPr>
              <w:lastRenderedPageBreak/>
              <w:t>la garantía del secreto del voto y la verdad electoral.</w:t>
            </w:r>
          </w:p>
        </w:tc>
        <w:tc>
          <w:tcPr>
            <w:tcW w:w="1480" w:type="dxa"/>
            <w:tcBorders>
              <w:top w:val="nil"/>
              <w:left w:val="nil"/>
              <w:bottom w:val="nil"/>
              <w:right w:val="single" w:sz="4" w:space="0" w:color="000000"/>
            </w:tcBorders>
            <w:shd w:val="clear" w:color="000000" w:fill="FFFFFF"/>
            <w:hideMark/>
          </w:tcPr>
          <w:p w14:paraId="65E40C30" w14:textId="2894CE2C"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3EE26E9D"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0576D8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  </w:t>
            </w:r>
          </w:p>
        </w:tc>
        <w:tc>
          <w:tcPr>
            <w:tcW w:w="3798" w:type="dxa"/>
            <w:tcBorders>
              <w:top w:val="nil"/>
              <w:left w:val="nil"/>
              <w:bottom w:val="nil"/>
              <w:right w:val="single" w:sz="4" w:space="0" w:color="000000"/>
            </w:tcBorders>
            <w:shd w:val="clear" w:color="000000" w:fill="FFFFFF"/>
            <w:hideMark/>
          </w:tcPr>
          <w:p w14:paraId="751107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w:t>
            </w:r>
          </w:p>
        </w:tc>
        <w:tc>
          <w:tcPr>
            <w:tcW w:w="3798" w:type="dxa"/>
            <w:tcBorders>
              <w:top w:val="nil"/>
              <w:left w:val="nil"/>
              <w:bottom w:val="nil"/>
              <w:right w:val="single" w:sz="4" w:space="0" w:color="000000"/>
            </w:tcBorders>
            <w:shd w:val="clear" w:color="000000" w:fill="FFFFFF"/>
            <w:hideMark/>
          </w:tcPr>
          <w:p w14:paraId="295B27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w:t>
            </w:r>
          </w:p>
        </w:tc>
        <w:tc>
          <w:tcPr>
            <w:tcW w:w="1480" w:type="dxa"/>
            <w:tcBorders>
              <w:top w:val="nil"/>
              <w:left w:val="nil"/>
              <w:bottom w:val="nil"/>
              <w:right w:val="single" w:sz="4" w:space="0" w:color="000000"/>
            </w:tcBorders>
            <w:shd w:val="clear" w:color="000000" w:fill="FFFFFF"/>
            <w:hideMark/>
          </w:tcPr>
          <w:p w14:paraId="2915A8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B05688E"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FBA5ED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las otras modalidades de votación se establecerán mecanismos tecnológicos que permitan garantizar el secreto al voto sin trazabilidad de la elección del elector, la integridad, disponibilidad, seguridad del voto y la generación del equivalente funcional de los documentos electorales; así como la transmisión de los resultados electorales y la auditoría.  </w:t>
            </w:r>
          </w:p>
        </w:tc>
        <w:tc>
          <w:tcPr>
            <w:tcW w:w="3798" w:type="dxa"/>
            <w:tcBorders>
              <w:top w:val="nil"/>
              <w:left w:val="nil"/>
              <w:bottom w:val="nil"/>
              <w:right w:val="single" w:sz="4" w:space="0" w:color="000000"/>
            </w:tcBorders>
            <w:shd w:val="clear" w:color="000000" w:fill="FFFFFF"/>
            <w:hideMark/>
          </w:tcPr>
          <w:p w14:paraId="7BD453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las otras modalidades de votación se establecerán mecanismos tecnológicos que permitan garantizar el secreto al voto sin trazabilidad de la elección del elector, la integridad, disponibilidad, seguridad del voto y la generación del equivalente funcional de los documentos electorales; así como la transmisión de los resultados electorales y la auditoría.</w:t>
            </w:r>
          </w:p>
        </w:tc>
        <w:tc>
          <w:tcPr>
            <w:tcW w:w="3798" w:type="dxa"/>
            <w:tcBorders>
              <w:top w:val="nil"/>
              <w:left w:val="nil"/>
              <w:bottom w:val="nil"/>
              <w:right w:val="single" w:sz="4" w:space="0" w:color="000000"/>
            </w:tcBorders>
            <w:shd w:val="clear" w:color="000000" w:fill="FFFFFF"/>
            <w:hideMark/>
          </w:tcPr>
          <w:p w14:paraId="1B8DFB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las otras modalidades de votación se establecerán mecanismos tecnológicos que permitan garantizar el secreto al voto sin trazabilidad de la elección del elector, la integridad, disponibilidad, seguridad del voto y la generación del equivalente funcional de los documentos electorales; así como la transmisión de los resultados electorales y la auditoría.</w:t>
            </w:r>
          </w:p>
        </w:tc>
        <w:tc>
          <w:tcPr>
            <w:tcW w:w="1480" w:type="dxa"/>
            <w:tcBorders>
              <w:top w:val="nil"/>
              <w:left w:val="nil"/>
              <w:bottom w:val="nil"/>
              <w:right w:val="single" w:sz="4" w:space="0" w:color="000000"/>
            </w:tcBorders>
            <w:shd w:val="clear" w:color="000000" w:fill="FFFFFF"/>
            <w:hideMark/>
          </w:tcPr>
          <w:p w14:paraId="30E923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B37AC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98900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consolidación de los resultados de mesa podrán realizarla los jurados de votación con la ayuda del dispositivo </w:t>
            </w:r>
            <w:r w:rsidRPr="00222F34">
              <w:rPr>
                <w:rFonts w:ascii="Calibri" w:eastAsia="Times New Roman" w:hAnsi="Calibri" w:cs="Calibri"/>
                <w:color w:val="000000"/>
                <w:lang w:val="es-CO" w:eastAsia="es-CO" w:bidi="ar-SA"/>
              </w:rPr>
              <w:lastRenderedPageBreak/>
              <w:t xml:space="preserve">electrónico previsto para el desarrollo de las elecciones. </w:t>
            </w:r>
          </w:p>
        </w:tc>
        <w:tc>
          <w:tcPr>
            <w:tcW w:w="3798" w:type="dxa"/>
            <w:tcBorders>
              <w:top w:val="nil"/>
              <w:left w:val="nil"/>
              <w:bottom w:val="nil"/>
              <w:right w:val="single" w:sz="4" w:space="0" w:color="000000"/>
            </w:tcBorders>
            <w:shd w:val="clear" w:color="000000" w:fill="FFFFFF"/>
            <w:hideMark/>
          </w:tcPr>
          <w:p w14:paraId="37DF64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consolidación de los resultados de mesa podrán realizarla los jurados de votación con la ayuda del dispositivo </w:t>
            </w:r>
            <w:r w:rsidRPr="00222F34">
              <w:rPr>
                <w:rFonts w:ascii="Calibri" w:eastAsia="Times New Roman" w:hAnsi="Calibri" w:cs="Calibri"/>
                <w:color w:val="000000"/>
                <w:lang w:val="es-CO" w:eastAsia="es-CO" w:bidi="ar-SA"/>
              </w:rPr>
              <w:lastRenderedPageBreak/>
              <w:t>electrónico previsto para el desarrollo de las elecciones.</w:t>
            </w:r>
          </w:p>
        </w:tc>
        <w:tc>
          <w:tcPr>
            <w:tcW w:w="3798" w:type="dxa"/>
            <w:tcBorders>
              <w:top w:val="nil"/>
              <w:left w:val="nil"/>
              <w:bottom w:val="nil"/>
              <w:right w:val="single" w:sz="4" w:space="0" w:color="000000"/>
            </w:tcBorders>
            <w:shd w:val="clear" w:color="000000" w:fill="FFFFFF"/>
            <w:hideMark/>
          </w:tcPr>
          <w:p w14:paraId="1029BE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consolidación de los resultados de mesa podrán realizarla los jurados de votación con la ayuda del dispositivo </w:t>
            </w:r>
            <w:r w:rsidRPr="00222F34">
              <w:rPr>
                <w:rFonts w:ascii="Calibri" w:eastAsia="Times New Roman" w:hAnsi="Calibri" w:cs="Calibri"/>
                <w:color w:val="000000"/>
                <w:lang w:val="es-CO" w:eastAsia="es-CO" w:bidi="ar-SA"/>
              </w:rPr>
              <w:lastRenderedPageBreak/>
              <w:t>electrónico previsto para el desarrollo de las elecciones.</w:t>
            </w:r>
          </w:p>
        </w:tc>
        <w:tc>
          <w:tcPr>
            <w:tcW w:w="1480" w:type="dxa"/>
            <w:tcBorders>
              <w:top w:val="nil"/>
              <w:left w:val="nil"/>
              <w:bottom w:val="nil"/>
              <w:right w:val="single" w:sz="4" w:space="0" w:color="000000"/>
            </w:tcBorders>
            <w:shd w:val="clear" w:color="000000" w:fill="FFFFFF"/>
            <w:hideMark/>
          </w:tcPr>
          <w:p w14:paraId="2C8C3A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441A360B"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727AEB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Toda implementación será gradual previo al desarrollo de los planes piloto necesarios, ejecutados por la Registraduría Nacional del Estado Civil y debidamente auditados y monitoreados.  </w:t>
            </w:r>
          </w:p>
        </w:tc>
        <w:tc>
          <w:tcPr>
            <w:tcW w:w="3798" w:type="dxa"/>
            <w:tcBorders>
              <w:top w:val="nil"/>
              <w:left w:val="nil"/>
              <w:bottom w:val="single" w:sz="4" w:space="0" w:color="000000"/>
              <w:right w:val="single" w:sz="4" w:space="0" w:color="000000"/>
            </w:tcBorders>
            <w:shd w:val="clear" w:color="000000" w:fill="FFFFFF"/>
            <w:hideMark/>
          </w:tcPr>
          <w:p w14:paraId="70AF56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Toda implementación será gradual previo al desarrollo de los planes piloto necesarios, ejecutados por la Registraduría Nacional del Estado Civil y debidamente auditados y monitoreados.</w:t>
            </w:r>
          </w:p>
        </w:tc>
        <w:tc>
          <w:tcPr>
            <w:tcW w:w="3798" w:type="dxa"/>
            <w:tcBorders>
              <w:top w:val="nil"/>
              <w:left w:val="nil"/>
              <w:bottom w:val="single" w:sz="4" w:space="0" w:color="000000"/>
              <w:right w:val="single" w:sz="4" w:space="0" w:color="000000"/>
            </w:tcBorders>
            <w:shd w:val="clear" w:color="000000" w:fill="FFFFFF"/>
            <w:hideMark/>
          </w:tcPr>
          <w:p w14:paraId="118568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Toda implementación será gradual previo al desarrollo de los planes piloto necesarios, ejecutados por la Registraduría Nacional del Estado Civil y debidamente auditados y monitoreados.</w:t>
            </w:r>
          </w:p>
        </w:tc>
        <w:tc>
          <w:tcPr>
            <w:tcW w:w="1480" w:type="dxa"/>
            <w:tcBorders>
              <w:top w:val="nil"/>
              <w:left w:val="nil"/>
              <w:bottom w:val="single" w:sz="4" w:space="0" w:color="000000"/>
              <w:right w:val="single" w:sz="4" w:space="0" w:color="000000"/>
            </w:tcBorders>
            <w:shd w:val="clear" w:color="000000" w:fill="FFFFFF"/>
            <w:hideMark/>
          </w:tcPr>
          <w:p w14:paraId="4618E5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58567C"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3C9819C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237.- Medios tecnológicos para la votación.</w:t>
            </w:r>
            <w:r w:rsidRPr="00222F34">
              <w:rPr>
                <w:rFonts w:ascii="Calibri" w:eastAsia="Times New Roman" w:hAnsi="Calibri" w:cs="Calibri"/>
                <w:color w:val="000000"/>
                <w:lang w:val="es-CO" w:eastAsia="es-CO" w:bidi="ar-SA"/>
              </w:rPr>
              <w:t xml:space="preserve"> Los medios tecnológicos utilizados en los procesos electorales por parte de la Organización Electoral deberán asegurar la trazabilidad de los procesos, el debido tratamiento de la información en condiciones de integridad, seguridad, disponibilidad, garantizando que sea confiable, accesible para todas las personas sin discriminación, verificable, auditable, transparente y garantizar el carácter secreto del voto sin trazabilidad ni constreñimiento de la voluntad del elector. </w:t>
            </w:r>
          </w:p>
        </w:tc>
        <w:tc>
          <w:tcPr>
            <w:tcW w:w="3798" w:type="dxa"/>
            <w:tcBorders>
              <w:top w:val="nil"/>
              <w:left w:val="nil"/>
              <w:bottom w:val="nil"/>
              <w:right w:val="single" w:sz="4" w:space="0" w:color="000000"/>
            </w:tcBorders>
            <w:shd w:val="clear" w:color="00FF00" w:fill="FFFFFF"/>
            <w:hideMark/>
          </w:tcPr>
          <w:p w14:paraId="322233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241.- Medios tecnológicos para la votación.</w:t>
            </w:r>
            <w:r w:rsidRPr="00222F34">
              <w:rPr>
                <w:rFonts w:ascii="Calibri" w:eastAsia="Times New Roman" w:hAnsi="Calibri" w:cs="Calibri"/>
                <w:color w:val="000000"/>
                <w:lang w:val="es-CO" w:eastAsia="es-CO" w:bidi="ar-SA"/>
              </w:rPr>
              <w:t xml:space="preserve"> Los medios tecnológicos utilizados en los procesos electorales por parte de la Organización Electoral deberán asegurar la trazabilidad de los procesos, el debido tratamiento de la información en condiciones de integridad, seguridad, disponibilidad, garantizando que sea confiable, viable técnicamente, plenamente funcional y accesible para todas las personas sin discriminación, verificable, auditable, transparente y garantizar el carácter secreto del voto sin trazabilidad ni constreñimiento de la voluntad del elector.</w:t>
            </w:r>
          </w:p>
        </w:tc>
        <w:tc>
          <w:tcPr>
            <w:tcW w:w="3798" w:type="dxa"/>
            <w:tcBorders>
              <w:top w:val="nil"/>
              <w:left w:val="nil"/>
              <w:bottom w:val="nil"/>
              <w:right w:val="single" w:sz="4" w:space="0" w:color="000000"/>
            </w:tcBorders>
            <w:shd w:val="clear" w:color="00FF00" w:fill="FFFFFF"/>
            <w:hideMark/>
          </w:tcPr>
          <w:p w14:paraId="651AA1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241.- Medios tecnológicos para la votación.</w:t>
            </w:r>
            <w:r w:rsidRPr="00222F34">
              <w:rPr>
                <w:rFonts w:ascii="Calibri" w:eastAsia="Times New Roman" w:hAnsi="Calibri" w:cs="Calibri"/>
                <w:color w:val="000000"/>
                <w:lang w:val="es-CO" w:eastAsia="es-CO" w:bidi="ar-SA"/>
              </w:rPr>
              <w:t xml:space="preserve"> Los medios tecnológicos utilizados en los procesos electorales por parte de la Organización Electoral deberán asegurar la trazabilidad de los procesos, el debido tratamiento de la información en condiciones de integridad, seguridad, disponibilidad, garantizando que sea confiable, viable técnicamente, plenamente funcional y accesible para todas las personas sin discriminación, verificable, auditable, transparente y garantizar el carácter secreto del voto sin trazabilidad ni constreñimiento de la voluntad del elector.</w:t>
            </w:r>
          </w:p>
        </w:tc>
        <w:tc>
          <w:tcPr>
            <w:tcW w:w="1480" w:type="dxa"/>
            <w:tcBorders>
              <w:top w:val="nil"/>
              <w:left w:val="nil"/>
              <w:bottom w:val="nil"/>
              <w:right w:val="single" w:sz="4" w:space="0" w:color="000000"/>
            </w:tcBorders>
            <w:shd w:val="clear" w:color="000000" w:fill="FFFFFF"/>
            <w:hideMark/>
          </w:tcPr>
          <w:p w14:paraId="49BE15D5" w14:textId="1F2B13B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sin el último inciso</w:t>
            </w:r>
          </w:p>
        </w:tc>
      </w:tr>
      <w:tr w:rsidR="00CD4925" w:rsidRPr="00222F34" w14:paraId="5470D47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3FA9F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integración de tecnologías para el voto, deben observar mecanismos que garanticen la separación de los actos de autenticación del votante, el acto de sufragio y el acto de conteo para evitar la identificación del sufragante con su voto.  </w:t>
            </w:r>
          </w:p>
        </w:tc>
        <w:tc>
          <w:tcPr>
            <w:tcW w:w="3798" w:type="dxa"/>
            <w:tcBorders>
              <w:top w:val="nil"/>
              <w:left w:val="nil"/>
              <w:bottom w:val="nil"/>
              <w:right w:val="single" w:sz="4" w:space="0" w:color="000000"/>
            </w:tcBorders>
            <w:shd w:val="clear" w:color="00FF00" w:fill="FFFFFF"/>
            <w:hideMark/>
          </w:tcPr>
          <w:p w14:paraId="40B949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integración de tecnologías para el voto, deben observar mecanismos que garanticen la separación de los actos de autenticación del votante, el acto de sufragio y el acto de conteo para evitar la identificación del sufragante con su voto.  </w:t>
            </w:r>
          </w:p>
        </w:tc>
        <w:tc>
          <w:tcPr>
            <w:tcW w:w="3798" w:type="dxa"/>
            <w:tcBorders>
              <w:top w:val="nil"/>
              <w:left w:val="nil"/>
              <w:bottom w:val="nil"/>
              <w:right w:val="single" w:sz="4" w:space="0" w:color="000000"/>
            </w:tcBorders>
            <w:shd w:val="clear" w:color="00FF00" w:fill="FFFFFF"/>
            <w:hideMark/>
          </w:tcPr>
          <w:p w14:paraId="1F5130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integración de tecnologías para el voto, deben observar mecanismos que garanticen la separación de los actos de autenticación del votante, el acto de sufragio y el acto de conteo para evitar la identificación del sufragante con su voto.  </w:t>
            </w:r>
          </w:p>
        </w:tc>
        <w:tc>
          <w:tcPr>
            <w:tcW w:w="1480" w:type="dxa"/>
            <w:tcBorders>
              <w:top w:val="nil"/>
              <w:left w:val="nil"/>
              <w:bottom w:val="nil"/>
              <w:right w:val="single" w:sz="4" w:space="0" w:color="000000"/>
            </w:tcBorders>
            <w:shd w:val="clear" w:color="000000" w:fill="FFFFFF"/>
            <w:hideMark/>
          </w:tcPr>
          <w:p w14:paraId="08AF9E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103C62"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794E3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00" w:fill="FFFFFF"/>
            <w:hideMark/>
          </w:tcPr>
          <w:p w14:paraId="75DFFE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MINTIC propenderá por expandir la conectividad digital y acceso a internet de todas las registradurías y puestos de votación en Colombia para efectos de la implementación de voto mixto.</w:t>
            </w:r>
          </w:p>
        </w:tc>
        <w:tc>
          <w:tcPr>
            <w:tcW w:w="3798" w:type="dxa"/>
            <w:tcBorders>
              <w:top w:val="nil"/>
              <w:left w:val="nil"/>
              <w:bottom w:val="single" w:sz="4" w:space="0" w:color="000000"/>
              <w:right w:val="single" w:sz="4" w:space="0" w:color="000000"/>
            </w:tcBorders>
            <w:shd w:val="clear" w:color="00FF00" w:fill="FFFFFF"/>
            <w:hideMark/>
          </w:tcPr>
          <w:p w14:paraId="2D25CC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1E13C2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5155F1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4E976B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238.- Progresividad.</w:t>
            </w:r>
            <w:r w:rsidRPr="00222F34">
              <w:rPr>
                <w:rFonts w:ascii="Calibri" w:eastAsia="Times New Roman" w:hAnsi="Calibri" w:cs="Calibri"/>
                <w:color w:val="000000"/>
                <w:lang w:val="es-CO" w:eastAsia="es-CO" w:bidi="ar-SA"/>
              </w:rPr>
              <w:t xml:space="preserve"> La Registraduría Nacional del Estado Civil implementará, en las circunscripciones que ella defina, de manera progresiva, los sistemas de asistencia tecnológica en los procesos electorales. Estos sistemas existirán simultáneamente con la votación tradicional. </w:t>
            </w:r>
          </w:p>
        </w:tc>
        <w:tc>
          <w:tcPr>
            <w:tcW w:w="3798" w:type="dxa"/>
            <w:tcBorders>
              <w:top w:val="nil"/>
              <w:left w:val="nil"/>
              <w:bottom w:val="nil"/>
              <w:right w:val="single" w:sz="4" w:space="0" w:color="000000"/>
            </w:tcBorders>
            <w:shd w:val="clear" w:color="00FF00" w:fill="FFFFFF"/>
            <w:hideMark/>
          </w:tcPr>
          <w:p w14:paraId="4B7BE8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242.- Progresividad. </w:t>
            </w:r>
            <w:r w:rsidRPr="00222F34">
              <w:rPr>
                <w:rFonts w:ascii="Calibri" w:eastAsia="Times New Roman" w:hAnsi="Calibri" w:cs="Calibri"/>
                <w:color w:val="000000"/>
                <w:lang w:val="es-CO" w:eastAsia="es-CO" w:bidi="ar-SA"/>
              </w:rPr>
              <w:t>La Registraduría Nacional del Estado Civil implementará, en las circunscripciones que ella defina, de manera progresiva, los sistemas de asistencia tecnológica en los procesos electorales. Estos sistemas existirán simultáneamente con la votación tradicional.</w:t>
            </w:r>
          </w:p>
        </w:tc>
        <w:tc>
          <w:tcPr>
            <w:tcW w:w="3798" w:type="dxa"/>
            <w:tcBorders>
              <w:top w:val="nil"/>
              <w:left w:val="nil"/>
              <w:bottom w:val="nil"/>
              <w:right w:val="single" w:sz="4" w:space="0" w:color="000000"/>
            </w:tcBorders>
            <w:shd w:val="clear" w:color="00FF00" w:fill="FFFFFF"/>
            <w:hideMark/>
          </w:tcPr>
          <w:p w14:paraId="6B8E96E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242.- Progresividad. </w:t>
            </w:r>
            <w:r w:rsidRPr="00222F34">
              <w:rPr>
                <w:rFonts w:ascii="Calibri" w:eastAsia="Times New Roman" w:hAnsi="Calibri" w:cs="Calibri"/>
                <w:color w:val="000000"/>
                <w:lang w:val="es-CO" w:eastAsia="es-CO" w:bidi="ar-SA"/>
              </w:rPr>
              <w:t>La Registraduría Nacional del Estado Civil implementará, en las circunscripciones que ella defina, de manera progresiva, los sistemas de asistencia tecnológica en los procesos electorales. Estos sistemas existirán simultáneamente con la votación tradicional.</w:t>
            </w:r>
          </w:p>
        </w:tc>
        <w:tc>
          <w:tcPr>
            <w:tcW w:w="1480" w:type="dxa"/>
            <w:tcBorders>
              <w:top w:val="nil"/>
              <w:left w:val="nil"/>
              <w:bottom w:val="nil"/>
              <w:right w:val="single" w:sz="4" w:space="0" w:color="000000"/>
            </w:tcBorders>
            <w:shd w:val="clear" w:color="000000" w:fill="FFFFFF"/>
            <w:hideMark/>
          </w:tcPr>
          <w:p w14:paraId="5840B2BA" w14:textId="4BEAA07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5A5CF0A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FECCC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 </w:t>
            </w:r>
          </w:p>
        </w:tc>
        <w:tc>
          <w:tcPr>
            <w:tcW w:w="3798" w:type="dxa"/>
            <w:tcBorders>
              <w:top w:val="nil"/>
              <w:left w:val="nil"/>
              <w:bottom w:val="nil"/>
              <w:right w:val="single" w:sz="4" w:space="0" w:color="000000"/>
            </w:tcBorders>
            <w:shd w:val="clear" w:color="00FF00" w:fill="FFFFFF"/>
            <w:hideMark/>
          </w:tcPr>
          <w:p w14:paraId="1A6721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tc>
        <w:tc>
          <w:tcPr>
            <w:tcW w:w="3798" w:type="dxa"/>
            <w:tcBorders>
              <w:top w:val="nil"/>
              <w:left w:val="nil"/>
              <w:bottom w:val="nil"/>
              <w:right w:val="single" w:sz="4" w:space="0" w:color="000000"/>
            </w:tcBorders>
            <w:shd w:val="clear" w:color="00FF00" w:fill="FFFFFF"/>
            <w:hideMark/>
          </w:tcPr>
          <w:p w14:paraId="018308E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tc>
        <w:tc>
          <w:tcPr>
            <w:tcW w:w="1480" w:type="dxa"/>
            <w:tcBorders>
              <w:top w:val="nil"/>
              <w:left w:val="nil"/>
              <w:bottom w:val="nil"/>
              <w:right w:val="single" w:sz="4" w:space="0" w:color="000000"/>
            </w:tcBorders>
            <w:shd w:val="clear" w:color="000000" w:fill="FFFFFF"/>
            <w:hideMark/>
          </w:tcPr>
          <w:p w14:paraId="1AF8EB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E92DCC9"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3A8890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la implementación de los sistemas de asistencia tecnológica en los procesos electorales, luego de adelantar las pruebas técnicas y las etapas de preparación tecnológica y de seguridad, se socializará con los partidos, movimientos políticos con personería jurídica, grupos significativos de ciudadanos, auditores, observadores electorales y organizaciones de la sociedad civil,  para que puedan expresar por escrito, y en la etapa preelectoral, sus recomendaciones con el objeto de mejorar constantemente los sistemas utilizados en las diferentes elecciones que se realicen. La Registraduría deberá responder por escrito y de forma pública a estas observaciones.  </w:t>
            </w:r>
          </w:p>
        </w:tc>
        <w:tc>
          <w:tcPr>
            <w:tcW w:w="3798" w:type="dxa"/>
            <w:tcBorders>
              <w:top w:val="nil"/>
              <w:left w:val="nil"/>
              <w:bottom w:val="nil"/>
              <w:right w:val="single" w:sz="4" w:space="0" w:color="000000"/>
            </w:tcBorders>
            <w:shd w:val="clear" w:color="00FF00" w:fill="FFFFFF"/>
            <w:hideMark/>
          </w:tcPr>
          <w:p w14:paraId="240ACA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implementación de los sistemas de asistencia tecnológica en los procesos electorales, luego de adelantar las pruebas técnicas y las etapas de preparación tecnológica y de seguridad, se socializará con los partidos, movimientos políticos con personería jurídica, grupos significativos de ciudadanos, auditores, observadores electorales, instituciones de educación superior y las organizaciones de la sociedad civil, para que puedan expresar por escrito, y en la etapa preelectoral, sus recomendaciones con el objeto de mejorar constantemente los sistemas utilizados en las diferentes elecciones que se realicen, las recomendaciones deberán socializarse con la ciudadanía como parte del ejercicio de veeduría y transparencia.</w:t>
            </w:r>
          </w:p>
        </w:tc>
        <w:tc>
          <w:tcPr>
            <w:tcW w:w="3798" w:type="dxa"/>
            <w:tcBorders>
              <w:top w:val="nil"/>
              <w:left w:val="nil"/>
              <w:bottom w:val="nil"/>
              <w:right w:val="single" w:sz="4" w:space="0" w:color="000000"/>
            </w:tcBorders>
            <w:shd w:val="clear" w:color="00FF00" w:fill="FFFFFF"/>
            <w:hideMark/>
          </w:tcPr>
          <w:p w14:paraId="4D0DBF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implementación de los sistemas de asistencia tecnológica en los procesos electorales, luego de adelantar las pruebas técnicas y las etapas de preparación tecnológica y de seguridad, se socializará con los partidos, movimientos políticos con personería jurídica, grupos significativos de ciudadanos, auditores, observadores electorales, instituciones de educación superior y las organizaciones de la sociedad civil, para que puedan expresar por escrito, y en la etapa preelectoral, sus recomendaciones con el objeto de mejorar constantemente los sistemas utilizados en las diferentes elecciones que se realicen, las recomendaciones deberán socializarse con la ciudadanía como parte del ejercicio de veeduría y transparencia.</w:t>
            </w:r>
          </w:p>
        </w:tc>
        <w:tc>
          <w:tcPr>
            <w:tcW w:w="1480" w:type="dxa"/>
            <w:tcBorders>
              <w:top w:val="nil"/>
              <w:left w:val="nil"/>
              <w:bottom w:val="nil"/>
              <w:right w:val="single" w:sz="4" w:space="0" w:color="000000"/>
            </w:tcBorders>
            <w:shd w:val="clear" w:color="000000" w:fill="FFFFFF"/>
            <w:hideMark/>
          </w:tcPr>
          <w:p w14:paraId="23722F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928BA5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32D09F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Para facilitar la participación en las elecciones de presidente y vicepresidente de la República, los mecanismos de identificación biométrica y de voto electrónico permitirán de manera progresiva la votación de los ciudadanos en cualquier puesto. </w:t>
            </w:r>
          </w:p>
        </w:tc>
        <w:tc>
          <w:tcPr>
            <w:tcW w:w="3798" w:type="dxa"/>
            <w:tcBorders>
              <w:top w:val="nil"/>
              <w:left w:val="nil"/>
              <w:bottom w:val="nil"/>
              <w:right w:val="single" w:sz="4" w:space="0" w:color="000000"/>
            </w:tcBorders>
            <w:shd w:val="clear" w:color="00FF00" w:fill="FFFFFF"/>
            <w:hideMark/>
          </w:tcPr>
          <w:p w14:paraId="41E37D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facilitar la participación en las elecciones de presidente y vicepresidente de la República, los mecanismos de identificación biométrica y de voto electrónico mixto permitirán de manera progresiva y complementaria, la votación de los ciudadanos en cualquier puesto.</w:t>
            </w:r>
          </w:p>
        </w:tc>
        <w:tc>
          <w:tcPr>
            <w:tcW w:w="3798" w:type="dxa"/>
            <w:tcBorders>
              <w:top w:val="nil"/>
              <w:left w:val="nil"/>
              <w:bottom w:val="nil"/>
              <w:right w:val="single" w:sz="4" w:space="0" w:color="000000"/>
            </w:tcBorders>
            <w:shd w:val="clear" w:color="00FF00" w:fill="FFFFFF"/>
            <w:hideMark/>
          </w:tcPr>
          <w:p w14:paraId="4F5B29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facilitar la participación en las elecciones de presidente y vicepresidente de la República, los mecanismos de identificación biométrica y de voto electrónico mixto permitirán de manera progresiva y complementaria, la votación de los ciudadanos en cualquier puesto.</w:t>
            </w:r>
          </w:p>
        </w:tc>
        <w:tc>
          <w:tcPr>
            <w:tcW w:w="1480" w:type="dxa"/>
            <w:tcBorders>
              <w:top w:val="nil"/>
              <w:left w:val="nil"/>
              <w:bottom w:val="nil"/>
              <w:right w:val="single" w:sz="4" w:space="0" w:color="000000"/>
            </w:tcBorders>
            <w:shd w:val="clear" w:color="000000" w:fill="FFFFFF"/>
            <w:hideMark/>
          </w:tcPr>
          <w:p w14:paraId="77497C0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01ADF0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0A82721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w:t>
            </w:r>
          </w:p>
        </w:tc>
        <w:tc>
          <w:tcPr>
            <w:tcW w:w="3798" w:type="dxa"/>
            <w:tcBorders>
              <w:top w:val="nil"/>
              <w:left w:val="nil"/>
              <w:bottom w:val="nil"/>
              <w:right w:val="single" w:sz="4" w:space="0" w:color="000000"/>
            </w:tcBorders>
            <w:shd w:val="clear" w:color="00FF00" w:fill="FFFFFF"/>
            <w:hideMark/>
          </w:tcPr>
          <w:p w14:paraId="496034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w:t>
            </w:r>
          </w:p>
        </w:tc>
        <w:tc>
          <w:tcPr>
            <w:tcW w:w="3798" w:type="dxa"/>
            <w:tcBorders>
              <w:top w:val="nil"/>
              <w:left w:val="nil"/>
              <w:bottom w:val="nil"/>
              <w:right w:val="single" w:sz="4" w:space="0" w:color="000000"/>
            </w:tcBorders>
            <w:shd w:val="clear" w:color="00FF00" w:fill="FFFFFF"/>
            <w:hideMark/>
          </w:tcPr>
          <w:p w14:paraId="0AB7B4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w:t>
            </w:r>
          </w:p>
        </w:tc>
        <w:tc>
          <w:tcPr>
            <w:tcW w:w="1480" w:type="dxa"/>
            <w:tcBorders>
              <w:top w:val="nil"/>
              <w:left w:val="nil"/>
              <w:bottom w:val="nil"/>
              <w:right w:val="single" w:sz="4" w:space="0" w:color="000000"/>
            </w:tcBorders>
            <w:shd w:val="clear" w:color="000000" w:fill="FFFFFF"/>
            <w:hideMark/>
          </w:tcPr>
          <w:p w14:paraId="449C02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39FB06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1EAB01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Comisión Asesora para la Implementación Progresiva de los Sistemas de Asistencia Tecnológica en los Procesos Electorales podrá advertir sobre los inconvenientes que pudiera observar en la implementación del voto electrónico mixto de una herramienta tecnológica o sistema, y pedir la suspensión de nuevos aumentos en los planes pilotos, hasta que sean superadas las anomalías indicadas. </w:t>
            </w:r>
          </w:p>
        </w:tc>
        <w:tc>
          <w:tcPr>
            <w:tcW w:w="3798" w:type="dxa"/>
            <w:tcBorders>
              <w:top w:val="nil"/>
              <w:left w:val="nil"/>
              <w:bottom w:val="nil"/>
              <w:right w:val="single" w:sz="4" w:space="0" w:color="000000"/>
            </w:tcBorders>
            <w:shd w:val="clear" w:color="00FF00" w:fill="FFFFFF"/>
            <w:hideMark/>
          </w:tcPr>
          <w:p w14:paraId="737129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La Comisión Asesora para la Implementación Progresiva de los Sistemas de Asistencia Tecnológica en los Procesos Electorales podrá advertir sobre los inconvenientes que pudiera observar en la implementación del voto electrónico mixto de una herramienta tecnológica o sistema, y pedir sea considerada la suspensión de nuevos aumentos en los planes pilotos, hasta que sean superadas las anomalías indicadas.</w:t>
            </w:r>
          </w:p>
        </w:tc>
        <w:tc>
          <w:tcPr>
            <w:tcW w:w="3798" w:type="dxa"/>
            <w:tcBorders>
              <w:top w:val="nil"/>
              <w:left w:val="nil"/>
              <w:bottom w:val="nil"/>
              <w:right w:val="single" w:sz="4" w:space="0" w:color="000000"/>
            </w:tcBorders>
            <w:shd w:val="clear" w:color="00FF00" w:fill="FFFFFF"/>
            <w:hideMark/>
          </w:tcPr>
          <w:p w14:paraId="5746B6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La Comisión Asesora para la Implementación Progresiva de los Sistemas de Asistencia Tecnológica en los Procesos Electorales podrá advertir sobre los inconvenientes que pudiera observar en la implementación del voto electrónico mixto de una herramienta tecnológica o sistema, y pedir sea considerada la suspensión de nuevos aumentos en los planes pilotos, hasta que sean superadas las anomalías indicadas.</w:t>
            </w:r>
          </w:p>
        </w:tc>
        <w:tc>
          <w:tcPr>
            <w:tcW w:w="1480" w:type="dxa"/>
            <w:tcBorders>
              <w:top w:val="nil"/>
              <w:left w:val="nil"/>
              <w:bottom w:val="nil"/>
              <w:right w:val="single" w:sz="4" w:space="0" w:color="000000"/>
            </w:tcBorders>
            <w:shd w:val="clear" w:color="000000" w:fill="FFFFFF"/>
            <w:hideMark/>
          </w:tcPr>
          <w:p w14:paraId="4ED2AF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34871D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0400D4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regulará aspectos técnicos y operativos de los procesos no previstos en este Código, cuando del uso de medios tecnológicos se trate. </w:t>
            </w:r>
          </w:p>
        </w:tc>
        <w:tc>
          <w:tcPr>
            <w:tcW w:w="3798" w:type="dxa"/>
            <w:tcBorders>
              <w:top w:val="nil"/>
              <w:left w:val="nil"/>
              <w:bottom w:val="nil"/>
              <w:right w:val="single" w:sz="4" w:space="0" w:color="000000"/>
            </w:tcBorders>
            <w:shd w:val="clear" w:color="00FF00" w:fill="FFFFFF"/>
            <w:hideMark/>
          </w:tcPr>
          <w:p w14:paraId="544B3C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regulará aspectos técnicos y operativos de los procesos no previstos en este Código, cuando del uso de medios tecnológicos se trate.</w:t>
            </w:r>
          </w:p>
        </w:tc>
        <w:tc>
          <w:tcPr>
            <w:tcW w:w="3798" w:type="dxa"/>
            <w:tcBorders>
              <w:top w:val="nil"/>
              <w:left w:val="nil"/>
              <w:bottom w:val="nil"/>
              <w:right w:val="single" w:sz="4" w:space="0" w:color="000000"/>
            </w:tcBorders>
            <w:shd w:val="clear" w:color="00FF00" w:fill="FFFFFF"/>
            <w:hideMark/>
          </w:tcPr>
          <w:p w14:paraId="6562D2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regulará aspectos técnicos y operativos de los procesos no previstos en este Código, cuando del uso de medios tecnológicos se trate.</w:t>
            </w:r>
          </w:p>
        </w:tc>
        <w:tc>
          <w:tcPr>
            <w:tcW w:w="1480" w:type="dxa"/>
            <w:tcBorders>
              <w:top w:val="nil"/>
              <w:left w:val="nil"/>
              <w:bottom w:val="nil"/>
              <w:right w:val="single" w:sz="4" w:space="0" w:color="000000"/>
            </w:tcBorders>
            <w:shd w:val="clear" w:color="000000" w:fill="FFFFFF"/>
            <w:hideMark/>
          </w:tcPr>
          <w:p w14:paraId="1B2987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20E36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D44105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Para garantizar la progresividad, la Registraduría Nacional del Estado Civil deberá establecer un procedimiento que permita en cada proceso electoral la implementación de </w:t>
            </w:r>
            <w:r w:rsidRPr="00222F34">
              <w:rPr>
                <w:rFonts w:ascii="Calibri" w:eastAsia="Times New Roman" w:hAnsi="Calibri" w:cs="Calibri"/>
                <w:color w:val="000000"/>
                <w:lang w:val="es-CO" w:eastAsia="es-CO" w:bidi="ar-SA"/>
              </w:rPr>
              <w:lastRenderedPageBreak/>
              <w:t xml:space="preserve">planes piloto vinculantes del modelo de voto presencial electrónico mixto.  </w:t>
            </w:r>
          </w:p>
        </w:tc>
        <w:tc>
          <w:tcPr>
            <w:tcW w:w="3798" w:type="dxa"/>
            <w:tcBorders>
              <w:top w:val="nil"/>
              <w:left w:val="nil"/>
              <w:bottom w:val="nil"/>
              <w:right w:val="single" w:sz="4" w:space="0" w:color="000000"/>
            </w:tcBorders>
            <w:shd w:val="clear" w:color="00FF00" w:fill="FFFFFF"/>
            <w:hideMark/>
          </w:tcPr>
          <w:p w14:paraId="273374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5.</w:t>
            </w:r>
            <w:r w:rsidRPr="00222F34">
              <w:rPr>
                <w:rFonts w:ascii="Calibri" w:eastAsia="Times New Roman" w:hAnsi="Calibri" w:cs="Calibri"/>
                <w:color w:val="000000"/>
                <w:lang w:val="es-CO" w:eastAsia="es-CO" w:bidi="ar-SA"/>
              </w:rPr>
              <w:t xml:space="preserve"> Para garantizar la progresividad, la Registraduría Nacional del Estado Civil deberá establecer un procedimiento que permita en cada proceso electoral la implementación de </w:t>
            </w:r>
            <w:r w:rsidRPr="00222F34">
              <w:rPr>
                <w:rFonts w:ascii="Calibri" w:eastAsia="Times New Roman" w:hAnsi="Calibri" w:cs="Calibri"/>
                <w:color w:val="000000"/>
                <w:lang w:val="es-CO" w:eastAsia="es-CO" w:bidi="ar-SA"/>
              </w:rPr>
              <w:lastRenderedPageBreak/>
              <w:t>planes piloto vinculantes del modelo de voto presencial electrónico mixto.</w:t>
            </w:r>
          </w:p>
        </w:tc>
        <w:tc>
          <w:tcPr>
            <w:tcW w:w="3798" w:type="dxa"/>
            <w:tcBorders>
              <w:top w:val="nil"/>
              <w:left w:val="nil"/>
              <w:bottom w:val="nil"/>
              <w:right w:val="single" w:sz="4" w:space="0" w:color="000000"/>
            </w:tcBorders>
            <w:shd w:val="clear" w:color="00FF00" w:fill="FFFFFF"/>
            <w:hideMark/>
          </w:tcPr>
          <w:p w14:paraId="7C14DA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5.</w:t>
            </w:r>
            <w:r w:rsidRPr="00222F34">
              <w:rPr>
                <w:rFonts w:ascii="Calibri" w:eastAsia="Times New Roman" w:hAnsi="Calibri" w:cs="Calibri"/>
                <w:color w:val="000000"/>
                <w:lang w:val="es-CO" w:eastAsia="es-CO" w:bidi="ar-SA"/>
              </w:rPr>
              <w:t xml:space="preserve"> Para garantizar la progresividad, la Registraduría Nacional del Estado Civil deberá establecer un procedimiento que permita en cada proceso electoral la implementación de </w:t>
            </w:r>
            <w:r w:rsidRPr="00222F34">
              <w:rPr>
                <w:rFonts w:ascii="Calibri" w:eastAsia="Times New Roman" w:hAnsi="Calibri" w:cs="Calibri"/>
                <w:color w:val="000000"/>
                <w:lang w:val="es-CO" w:eastAsia="es-CO" w:bidi="ar-SA"/>
              </w:rPr>
              <w:lastRenderedPageBreak/>
              <w:t>planes piloto vinculantes del modelo de voto presencial electrónico mixto.</w:t>
            </w:r>
          </w:p>
        </w:tc>
        <w:tc>
          <w:tcPr>
            <w:tcW w:w="1480" w:type="dxa"/>
            <w:tcBorders>
              <w:top w:val="nil"/>
              <w:left w:val="nil"/>
              <w:bottom w:val="nil"/>
              <w:right w:val="single" w:sz="4" w:space="0" w:color="000000"/>
            </w:tcBorders>
            <w:shd w:val="clear" w:color="000000" w:fill="FFFFFF"/>
            <w:hideMark/>
          </w:tcPr>
          <w:p w14:paraId="4703CE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EA0A30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0C03C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la implementación de los planes pilotos vinculantes se tendrán en cuenta los Programas de Desarrollo con Enfoque Territorial como prioritarios, como forma de avanzar en la presencia integral del Estado. </w:t>
            </w:r>
          </w:p>
        </w:tc>
        <w:tc>
          <w:tcPr>
            <w:tcW w:w="3798" w:type="dxa"/>
            <w:tcBorders>
              <w:top w:val="nil"/>
              <w:left w:val="nil"/>
              <w:bottom w:val="nil"/>
              <w:right w:val="single" w:sz="4" w:space="0" w:color="000000"/>
            </w:tcBorders>
            <w:shd w:val="clear" w:color="00FF00" w:fill="FFFFFF"/>
            <w:hideMark/>
          </w:tcPr>
          <w:p w14:paraId="09D0B9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implementación de los planes pilotos vinculantes se tendrán en cuenta los Programas de Desarrollo con Enfoque Territorial como prioritarios, como forma de avanzar en la presencia integral del Estado.</w:t>
            </w:r>
          </w:p>
        </w:tc>
        <w:tc>
          <w:tcPr>
            <w:tcW w:w="3798" w:type="dxa"/>
            <w:tcBorders>
              <w:top w:val="nil"/>
              <w:left w:val="nil"/>
              <w:bottom w:val="nil"/>
              <w:right w:val="single" w:sz="4" w:space="0" w:color="000000"/>
            </w:tcBorders>
            <w:shd w:val="clear" w:color="00FF00" w:fill="FFFFFF"/>
            <w:hideMark/>
          </w:tcPr>
          <w:p w14:paraId="276EFD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implementación de los planes pilotos vinculantes se tendrán en cuenta los Programas de Desarrollo con Enfoque Territorial como prioritarios, como forma de avanzar en la presencia integral del Estado.</w:t>
            </w:r>
          </w:p>
        </w:tc>
        <w:tc>
          <w:tcPr>
            <w:tcW w:w="1480" w:type="dxa"/>
            <w:tcBorders>
              <w:top w:val="nil"/>
              <w:left w:val="nil"/>
              <w:bottom w:val="nil"/>
              <w:right w:val="single" w:sz="4" w:space="0" w:color="000000"/>
            </w:tcBorders>
            <w:shd w:val="clear" w:color="000000" w:fill="FFFFFF"/>
            <w:hideMark/>
          </w:tcPr>
          <w:p w14:paraId="67FE376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083AC1"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39BA60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Los planes piloto vinculantes podrán implementarse a partir de las elecciones atípicas o de juventudes a partir del año 2026 o las previstas en el calendario electoral ordinario a partir del año 2026.  </w:t>
            </w:r>
          </w:p>
        </w:tc>
        <w:tc>
          <w:tcPr>
            <w:tcW w:w="3798" w:type="dxa"/>
            <w:tcBorders>
              <w:top w:val="nil"/>
              <w:left w:val="nil"/>
              <w:bottom w:val="single" w:sz="4" w:space="0" w:color="000000"/>
              <w:right w:val="single" w:sz="4" w:space="0" w:color="000000"/>
            </w:tcBorders>
            <w:shd w:val="clear" w:color="00FF00" w:fill="FFFFFF"/>
            <w:hideMark/>
          </w:tcPr>
          <w:p w14:paraId="553E1E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Los planes piloto vinculantes podrán implementarse a partir de las elecciones atípicas, de juventudes o las previstas en el calendario electoral ordinario a partir del año 2026.</w:t>
            </w:r>
          </w:p>
        </w:tc>
        <w:tc>
          <w:tcPr>
            <w:tcW w:w="3798" w:type="dxa"/>
            <w:tcBorders>
              <w:top w:val="nil"/>
              <w:left w:val="nil"/>
              <w:bottom w:val="single" w:sz="4" w:space="0" w:color="000000"/>
              <w:right w:val="single" w:sz="4" w:space="0" w:color="000000"/>
            </w:tcBorders>
            <w:shd w:val="clear" w:color="00FF00" w:fill="FFFFFF"/>
            <w:hideMark/>
          </w:tcPr>
          <w:p w14:paraId="4B2071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Los planes piloto vinculantes podrán implementarse a partir de las elecciones atípicas, de juventudes o las previstas en el calendario electoral ordinario a partir del año 2026.</w:t>
            </w:r>
          </w:p>
        </w:tc>
        <w:tc>
          <w:tcPr>
            <w:tcW w:w="1480" w:type="dxa"/>
            <w:tcBorders>
              <w:top w:val="nil"/>
              <w:left w:val="nil"/>
              <w:bottom w:val="single" w:sz="4" w:space="0" w:color="000000"/>
              <w:right w:val="single" w:sz="4" w:space="0" w:color="000000"/>
            </w:tcBorders>
            <w:shd w:val="clear" w:color="000000" w:fill="FFFFFF"/>
            <w:hideMark/>
          </w:tcPr>
          <w:p w14:paraId="36AAD0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14C0AC"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20C2D61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239.- Comisión Asesora.</w:t>
            </w:r>
            <w:r w:rsidRPr="00222F34">
              <w:rPr>
                <w:rFonts w:ascii="Calibri" w:eastAsia="Times New Roman" w:hAnsi="Calibri" w:cs="Calibri"/>
                <w:color w:val="000000"/>
                <w:lang w:val="es-CO" w:eastAsia="es-CO" w:bidi="ar-SA"/>
              </w:rPr>
              <w:t xml:space="preserve"> Créase la Comisión Asesora para la Implementación Progresiva de los Sistemas de Asistencia Tecnológica en los Procesos Electorales, con el fin de realizar recomendaciones vinculantes a la Organización Electoral sobre la viabilidad técnica en aspectos relacionados con el escrutinio, el voto electrónico, la contratación de software, el preconteo y los demás temas establecidos en los artículos 153, 163, 166, 168, 169, 170, 173, 174, 175, 176, 177, 257, 258, 259 y 265 de la presente </w:t>
            </w:r>
            <w:r w:rsidRPr="00222F34">
              <w:rPr>
                <w:rFonts w:ascii="Calibri" w:eastAsia="Times New Roman" w:hAnsi="Calibri" w:cs="Calibri"/>
                <w:color w:val="000000"/>
                <w:lang w:val="es-CO" w:eastAsia="es-CO" w:bidi="ar-SA"/>
              </w:rPr>
              <w:lastRenderedPageBreak/>
              <w:t>ley y realizar actividades de acompañamiento y seguimiento en la eventual implementación de las nuevas tecnologías en el sistema electoral.</w:t>
            </w:r>
          </w:p>
        </w:tc>
        <w:tc>
          <w:tcPr>
            <w:tcW w:w="3798" w:type="dxa"/>
            <w:tcBorders>
              <w:top w:val="nil"/>
              <w:left w:val="nil"/>
              <w:bottom w:val="nil"/>
              <w:right w:val="single" w:sz="4" w:space="0" w:color="000000"/>
            </w:tcBorders>
            <w:shd w:val="clear" w:color="00FFFF" w:fill="FFFFFF"/>
            <w:hideMark/>
          </w:tcPr>
          <w:p w14:paraId="6D9BA08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243.- Comisión Asesora para la Implementación Progresiva de los Sistemas de Asistencia Tecnológica en los Procesos Electorale</w:t>
            </w:r>
            <w:r w:rsidRPr="00222F34">
              <w:rPr>
                <w:rFonts w:ascii="Calibri" w:eastAsia="Times New Roman" w:hAnsi="Calibri" w:cs="Calibri"/>
                <w:color w:val="000000"/>
                <w:lang w:val="es-CO" w:eastAsia="es-CO" w:bidi="ar-SA"/>
              </w:rPr>
              <w:t xml:space="preserve">s. Créase la Comisión Asesora para la Implementación Progresiva de los Sistemas de Asistencia Tecnológica en los Procesos Electorales, con el fin de realizar recomendaciones a la Organización Electoral sobre la viabilidad técnica en aspectos relacionados con el escrutinio, el voto electrónico mixto, la contratación de software, el preconteo y los demás </w:t>
            </w:r>
            <w:r w:rsidRPr="00222F34">
              <w:rPr>
                <w:rFonts w:ascii="Calibri" w:eastAsia="Times New Roman" w:hAnsi="Calibri" w:cs="Calibri"/>
                <w:color w:val="000000"/>
                <w:lang w:val="es-CO" w:eastAsia="es-CO" w:bidi="ar-SA"/>
              </w:rPr>
              <w:lastRenderedPageBreak/>
              <w:t>temas que aludan a los medios de asistencia tecnológica contenidos en la presente ley y realizar actividades de acompañamiento y seguimiento en la eventual implementación de las nuevas tecnologías en el sistema electoral.</w:t>
            </w:r>
          </w:p>
        </w:tc>
        <w:tc>
          <w:tcPr>
            <w:tcW w:w="3798" w:type="dxa"/>
            <w:tcBorders>
              <w:top w:val="nil"/>
              <w:left w:val="nil"/>
              <w:bottom w:val="nil"/>
              <w:right w:val="single" w:sz="4" w:space="0" w:color="000000"/>
            </w:tcBorders>
            <w:shd w:val="clear" w:color="00FFFF" w:fill="FFFFFF"/>
            <w:hideMark/>
          </w:tcPr>
          <w:p w14:paraId="066AE8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243.- Comisión Asesora para la Implementación Progresiva de los Sistemas de Asistencia Tecnológica en los Procesos Electorale</w:t>
            </w:r>
            <w:r w:rsidRPr="00222F34">
              <w:rPr>
                <w:rFonts w:ascii="Calibri" w:eastAsia="Times New Roman" w:hAnsi="Calibri" w:cs="Calibri"/>
                <w:color w:val="000000"/>
                <w:lang w:val="es-CO" w:eastAsia="es-CO" w:bidi="ar-SA"/>
              </w:rPr>
              <w:t xml:space="preserve">s. Créase la Comisión Asesora para la Implementación Progresiva de los Sistemas de Asistencia Tecnológica en los Procesos Electorales, con el fin de realizar recomendaciones a la Organización Electoral sobre la viabilidad técnica en aspectos relacionados con el escrutinio, el voto electrónico mixto, la contratación de software, el preconteo y los demás </w:t>
            </w:r>
            <w:r w:rsidRPr="00222F34">
              <w:rPr>
                <w:rFonts w:ascii="Calibri" w:eastAsia="Times New Roman" w:hAnsi="Calibri" w:cs="Calibri"/>
                <w:color w:val="000000"/>
                <w:lang w:val="es-CO" w:eastAsia="es-CO" w:bidi="ar-SA"/>
              </w:rPr>
              <w:lastRenderedPageBreak/>
              <w:t>temas que aludan a los medios de asistencia tecnológica contenidos en la presente ley y realizar actividades de acompañamiento y seguimiento en la eventual implementación de las nuevas tecnologías en el sistema electoral.</w:t>
            </w:r>
          </w:p>
        </w:tc>
        <w:tc>
          <w:tcPr>
            <w:tcW w:w="1480" w:type="dxa"/>
            <w:tcBorders>
              <w:top w:val="nil"/>
              <w:left w:val="nil"/>
              <w:bottom w:val="nil"/>
              <w:right w:val="single" w:sz="4" w:space="0" w:color="000000"/>
            </w:tcBorders>
            <w:shd w:val="clear" w:color="000000" w:fill="FFFFFF"/>
            <w:hideMark/>
          </w:tcPr>
          <w:p w14:paraId="4E5A3E4C" w14:textId="65B557C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Pr="00222F34">
              <w:rPr>
                <w:rFonts w:ascii="Calibri" w:eastAsia="Times New Roman" w:hAnsi="Calibri" w:cs="Calibri"/>
                <w:color w:val="000000"/>
                <w:lang w:val="es-CO" w:eastAsia="es-CO" w:bidi="ar-SA"/>
              </w:rPr>
              <w:t xml:space="preserve"> con ajuste de forma en el numeral 6.</w:t>
            </w:r>
          </w:p>
        </w:tc>
      </w:tr>
      <w:tr w:rsidR="00CD4925" w:rsidRPr="00222F34" w14:paraId="6112690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230893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Comisión estará conformada por  los siguientes expertos: </w:t>
            </w:r>
          </w:p>
        </w:tc>
        <w:tc>
          <w:tcPr>
            <w:tcW w:w="3798" w:type="dxa"/>
            <w:tcBorders>
              <w:top w:val="nil"/>
              <w:left w:val="nil"/>
              <w:bottom w:val="nil"/>
              <w:right w:val="single" w:sz="4" w:space="0" w:color="000000"/>
            </w:tcBorders>
            <w:shd w:val="clear" w:color="00FFFF" w:fill="FFFFFF"/>
            <w:hideMark/>
          </w:tcPr>
          <w:p w14:paraId="4B0D9B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estará conformada por los siguientes expertos:</w:t>
            </w:r>
          </w:p>
        </w:tc>
        <w:tc>
          <w:tcPr>
            <w:tcW w:w="3798" w:type="dxa"/>
            <w:tcBorders>
              <w:top w:val="nil"/>
              <w:left w:val="nil"/>
              <w:bottom w:val="nil"/>
              <w:right w:val="single" w:sz="4" w:space="0" w:color="000000"/>
            </w:tcBorders>
            <w:shd w:val="clear" w:color="00FFFF" w:fill="FFFFFF"/>
            <w:hideMark/>
          </w:tcPr>
          <w:p w14:paraId="640B2D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estará conformada por los siguientes expertos:</w:t>
            </w:r>
          </w:p>
        </w:tc>
        <w:tc>
          <w:tcPr>
            <w:tcW w:w="1480" w:type="dxa"/>
            <w:tcBorders>
              <w:top w:val="nil"/>
              <w:left w:val="nil"/>
              <w:bottom w:val="nil"/>
              <w:right w:val="single" w:sz="4" w:space="0" w:color="000000"/>
            </w:tcBorders>
            <w:shd w:val="clear" w:color="000000" w:fill="FFFFFF"/>
            <w:hideMark/>
          </w:tcPr>
          <w:p w14:paraId="1BD54DB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3F65392" w14:textId="77777777" w:rsidTr="00222F34">
        <w:trPr>
          <w:trHeight w:val="630"/>
        </w:trPr>
        <w:tc>
          <w:tcPr>
            <w:tcW w:w="3798" w:type="dxa"/>
            <w:tcBorders>
              <w:top w:val="nil"/>
              <w:left w:val="single" w:sz="4" w:space="0" w:color="000000"/>
              <w:bottom w:val="nil"/>
              <w:right w:val="single" w:sz="4" w:space="0" w:color="000000"/>
            </w:tcBorders>
            <w:shd w:val="clear" w:color="000000" w:fill="FFFFFF"/>
            <w:hideMark/>
          </w:tcPr>
          <w:p w14:paraId="1A53F0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El Registrador Nacional del Estado Civil o el Registrador Delegado en los Asuntos Electorales de la Registraduría Nacional del Estado Civil o quien se considere pertinente. </w:t>
            </w:r>
          </w:p>
        </w:tc>
        <w:tc>
          <w:tcPr>
            <w:tcW w:w="3798" w:type="dxa"/>
            <w:tcBorders>
              <w:top w:val="nil"/>
              <w:left w:val="nil"/>
              <w:bottom w:val="nil"/>
              <w:right w:val="single" w:sz="4" w:space="0" w:color="000000"/>
            </w:tcBorders>
            <w:shd w:val="clear" w:color="00FFFF" w:fill="FFFFFF"/>
            <w:hideMark/>
          </w:tcPr>
          <w:p w14:paraId="2137CE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El Registrador Nacional del Estado Civil o el Registrador Delegado en los Asuntos Electorales de la Registraduría Nacional del Estado Civil o quien se considere pertinente.</w:t>
            </w:r>
          </w:p>
        </w:tc>
        <w:tc>
          <w:tcPr>
            <w:tcW w:w="3798" w:type="dxa"/>
            <w:tcBorders>
              <w:top w:val="nil"/>
              <w:left w:val="nil"/>
              <w:bottom w:val="nil"/>
              <w:right w:val="single" w:sz="4" w:space="0" w:color="000000"/>
            </w:tcBorders>
            <w:shd w:val="clear" w:color="00FFFF" w:fill="FFFFFF"/>
            <w:hideMark/>
          </w:tcPr>
          <w:p w14:paraId="750B84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El Registrador Nacional del Estado Civil o el Registrador Delegado en los Asuntos Electorales de la Registraduría Nacional del Estado Civil o quien se considere pertinente.</w:t>
            </w:r>
          </w:p>
        </w:tc>
        <w:tc>
          <w:tcPr>
            <w:tcW w:w="1480" w:type="dxa"/>
            <w:tcBorders>
              <w:top w:val="nil"/>
              <w:left w:val="nil"/>
              <w:bottom w:val="nil"/>
              <w:right w:val="single" w:sz="4" w:space="0" w:color="000000"/>
            </w:tcBorders>
            <w:shd w:val="clear" w:color="000000" w:fill="FFFFFF"/>
            <w:hideMark/>
          </w:tcPr>
          <w:p w14:paraId="55DEEB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E5968B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F0FD6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El Ministro del Interior o el Director de Democracia, Participación Ciudadana y la Acción Comunal o quien haga sus veces. </w:t>
            </w:r>
          </w:p>
        </w:tc>
        <w:tc>
          <w:tcPr>
            <w:tcW w:w="3798" w:type="dxa"/>
            <w:tcBorders>
              <w:top w:val="nil"/>
              <w:left w:val="nil"/>
              <w:bottom w:val="nil"/>
              <w:right w:val="single" w:sz="4" w:space="0" w:color="000000"/>
            </w:tcBorders>
            <w:shd w:val="clear" w:color="00FFFF" w:fill="FFFFFF"/>
            <w:hideMark/>
          </w:tcPr>
          <w:p w14:paraId="673536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Ministro del Interior o el Director de Democracia, Participación Ciudadana y la Acción Comunal o quien haga sus veces.</w:t>
            </w:r>
          </w:p>
        </w:tc>
        <w:tc>
          <w:tcPr>
            <w:tcW w:w="3798" w:type="dxa"/>
            <w:tcBorders>
              <w:top w:val="nil"/>
              <w:left w:val="nil"/>
              <w:bottom w:val="nil"/>
              <w:right w:val="single" w:sz="4" w:space="0" w:color="000000"/>
            </w:tcBorders>
            <w:shd w:val="clear" w:color="00FFFF" w:fill="FFFFFF"/>
            <w:hideMark/>
          </w:tcPr>
          <w:p w14:paraId="7F89D1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Ministro del Interior o el Director de Democracia, Participación Ciudadana y la Acción Comunal o quien haga sus veces.</w:t>
            </w:r>
          </w:p>
        </w:tc>
        <w:tc>
          <w:tcPr>
            <w:tcW w:w="1480" w:type="dxa"/>
            <w:tcBorders>
              <w:top w:val="nil"/>
              <w:left w:val="nil"/>
              <w:bottom w:val="nil"/>
              <w:right w:val="single" w:sz="4" w:space="0" w:color="000000"/>
            </w:tcBorders>
            <w:shd w:val="clear" w:color="000000" w:fill="FFFFFF"/>
            <w:hideMark/>
          </w:tcPr>
          <w:p w14:paraId="653647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74E113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71289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El Ministro de Hacienda y Crédito Público o un delegado de la Dirección o Viceministerio que considere pertinente. </w:t>
            </w:r>
          </w:p>
        </w:tc>
        <w:tc>
          <w:tcPr>
            <w:tcW w:w="3798" w:type="dxa"/>
            <w:tcBorders>
              <w:top w:val="nil"/>
              <w:left w:val="nil"/>
              <w:bottom w:val="nil"/>
              <w:right w:val="single" w:sz="4" w:space="0" w:color="000000"/>
            </w:tcBorders>
            <w:shd w:val="clear" w:color="00FFFF" w:fill="FFFFFF"/>
            <w:hideMark/>
          </w:tcPr>
          <w:p w14:paraId="1D2537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Ministro de Hacienda y Crédito Público o un delegado de la Dirección o Viceministerio que considere pertinente.</w:t>
            </w:r>
          </w:p>
        </w:tc>
        <w:tc>
          <w:tcPr>
            <w:tcW w:w="3798" w:type="dxa"/>
            <w:tcBorders>
              <w:top w:val="nil"/>
              <w:left w:val="nil"/>
              <w:bottom w:val="nil"/>
              <w:right w:val="single" w:sz="4" w:space="0" w:color="000000"/>
            </w:tcBorders>
            <w:shd w:val="clear" w:color="00FFFF" w:fill="FFFFFF"/>
            <w:hideMark/>
          </w:tcPr>
          <w:p w14:paraId="37CC0D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Ministro de Hacienda y Crédito Público o un delegado de la Dirección o Viceministerio que considere pertinente.</w:t>
            </w:r>
          </w:p>
        </w:tc>
        <w:tc>
          <w:tcPr>
            <w:tcW w:w="1480" w:type="dxa"/>
            <w:tcBorders>
              <w:top w:val="nil"/>
              <w:left w:val="nil"/>
              <w:bottom w:val="nil"/>
              <w:right w:val="single" w:sz="4" w:space="0" w:color="000000"/>
            </w:tcBorders>
            <w:shd w:val="clear" w:color="000000" w:fill="FFFFFF"/>
            <w:hideMark/>
          </w:tcPr>
          <w:p w14:paraId="2A298E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306226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8F801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El Ministro de las Tecnologías de la Información y las Comunicaciones o un delegado de la Dirección o Viceministerio que se considere pertinente.  </w:t>
            </w:r>
          </w:p>
        </w:tc>
        <w:tc>
          <w:tcPr>
            <w:tcW w:w="3798" w:type="dxa"/>
            <w:tcBorders>
              <w:top w:val="nil"/>
              <w:left w:val="nil"/>
              <w:bottom w:val="nil"/>
              <w:right w:val="single" w:sz="4" w:space="0" w:color="000000"/>
            </w:tcBorders>
            <w:shd w:val="clear" w:color="00FFFF" w:fill="FFFFFF"/>
            <w:hideMark/>
          </w:tcPr>
          <w:p w14:paraId="4D4F98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El Ministro de las Tecnologías de la Información y las Comunicaciones o un delegado de la Dirección o Viceministerio que se considere pertinente.</w:t>
            </w:r>
          </w:p>
        </w:tc>
        <w:tc>
          <w:tcPr>
            <w:tcW w:w="3798" w:type="dxa"/>
            <w:tcBorders>
              <w:top w:val="nil"/>
              <w:left w:val="nil"/>
              <w:bottom w:val="nil"/>
              <w:right w:val="single" w:sz="4" w:space="0" w:color="000000"/>
            </w:tcBorders>
            <w:shd w:val="clear" w:color="00FFFF" w:fill="FFFFFF"/>
            <w:hideMark/>
          </w:tcPr>
          <w:p w14:paraId="01AC16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El Ministro de las Tecnologías de la Información y las Comunicaciones o un delegado de la Dirección o Viceministerio que se considere pertinente.</w:t>
            </w:r>
          </w:p>
        </w:tc>
        <w:tc>
          <w:tcPr>
            <w:tcW w:w="1480" w:type="dxa"/>
            <w:tcBorders>
              <w:top w:val="nil"/>
              <w:left w:val="nil"/>
              <w:bottom w:val="nil"/>
              <w:right w:val="single" w:sz="4" w:space="0" w:color="000000"/>
            </w:tcBorders>
            <w:shd w:val="clear" w:color="000000" w:fill="FFFFFF"/>
            <w:hideMark/>
          </w:tcPr>
          <w:p w14:paraId="41FAF1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7C21C3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D63C2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El Director del Departamento Administrativo Nacional de Planeación o su delegado. </w:t>
            </w:r>
          </w:p>
        </w:tc>
        <w:tc>
          <w:tcPr>
            <w:tcW w:w="3798" w:type="dxa"/>
            <w:tcBorders>
              <w:top w:val="nil"/>
              <w:left w:val="nil"/>
              <w:bottom w:val="nil"/>
              <w:right w:val="single" w:sz="4" w:space="0" w:color="000000"/>
            </w:tcBorders>
            <w:shd w:val="clear" w:color="00FFFF" w:fill="FFFFFF"/>
            <w:hideMark/>
          </w:tcPr>
          <w:p w14:paraId="67221D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Director del Departamento Administrativo Nacional de Planeación o su delegado.</w:t>
            </w:r>
          </w:p>
        </w:tc>
        <w:tc>
          <w:tcPr>
            <w:tcW w:w="3798" w:type="dxa"/>
            <w:tcBorders>
              <w:top w:val="nil"/>
              <w:left w:val="nil"/>
              <w:bottom w:val="nil"/>
              <w:right w:val="single" w:sz="4" w:space="0" w:color="000000"/>
            </w:tcBorders>
            <w:shd w:val="clear" w:color="00FFFF" w:fill="FFFFFF"/>
            <w:hideMark/>
          </w:tcPr>
          <w:p w14:paraId="22C718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Director del Departamento Administrativo Nacional de Planeación o su delegado.</w:t>
            </w:r>
          </w:p>
        </w:tc>
        <w:tc>
          <w:tcPr>
            <w:tcW w:w="1480" w:type="dxa"/>
            <w:tcBorders>
              <w:top w:val="nil"/>
              <w:left w:val="nil"/>
              <w:bottom w:val="nil"/>
              <w:right w:val="single" w:sz="4" w:space="0" w:color="000000"/>
            </w:tcBorders>
            <w:shd w:val="clear" w:color="000000" w:fill="FFFFFF"/>
            <w:hideMark/>
          </w:tcPr>
          <w:p w14:paraId="4B1034B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CE2D5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CC0CF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El Presidente del Consejo Nacional Electoral y un (1) magistrado designado por su Sala Plena. </w:t>
            </w:r>
          </w:p>
        </w:tc>
        <w:tc>
          <w:tcPr>
            <w:tcW w:w="3798" w:type="dxa"/>
            <w:tcBorders>
              <w:top w:val="nil"/>
              <w:left w:val="nil"/>
              <w:bottom w:val="nil"/>
              <w:right w:val="single" w:sz="4" w:space="0" w:color="000000"/>
            </w:tcBorders>
            <w:shd w:val="clear" w:color="00FFFF" w:fill="FFFFFF"/>
            <w:hideMark/>
          </w:tcPr>
          <w:p w14:paraId="0BEC29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El Presidente del Consejo Nacional Electoral y un (1) magistrado designado por su Sala Plena.</w:t>
            </w:r>
          </w:p>
        </w:tc>
        <w:tc>
          <w:tcPr>
            <w:tcW w:w="3798" w:type="dxa"/>
            <w:tcBorders>
              <w:top w:val="nil"/>
              <w:left w:val="nil"/>
              <w:bottom w:val="nil"/>
              <w:right w:val="single" w:sz="4" w:space="0" w:color="000000"/>
            </w:tcBorders>
            <w:shd w:val="clear" w:color="00FFFF" w:fill="FFFFFF"/>
            <w:hideMark/>
          </w:tcPr>
          <w:p w14:paraId="7DFDB4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El Presidente del Consejo Nacional Electoral y un (1) </w:t>
            </w:r>
            <w:r w:rsidRPr="00222F34">
              <w:rPr>
                <w:rFonts w:ascii="Calibri" w:eastAsia="Times New Roman" w:hAnsi="Calibri" w:cs="Calibri"/>
                <w:b/>
                <w:bCs/>
                <w:color w:val="000000"/>
                <w:u w:val="single"/>
                <w:lang w:val="es-CO" w:eastAsia="es-CO" w:bidi="ar-SA"/>
              </w:rPr>
              <w:t>M</w:t>
            </w:r>
            <w:r w:rsidRPr="00222F34">
              <w:rPr>
                <w:rFonts w:ascii="Calibri" w:eastAsia="Times New Roman" w:hAnsi="Calibri" w:cs="Calibri"/>
                <w:color w:val="000000"/>
                <w:lang w:val="es-CO" w:eastAsia="es-CO" w:bidi="ar-SA"/>
              </w:rPr>
              <w:t>agistrado designado por su Sala Plena.</w:t>
            </w:r>
          </w:p>
        </w:tc>
        <w:tc>
          <w:tcPr>
            <w:tcW w:w="1480" w:type="dxa"/>
            <w:tcBorders>
              <w:top w:val="nil"/>
              <w:left w:val="nil"/>
              <w:bottom w:val="nil"/>
              <w:right w:val="single" w:sz="4" w:space="0" w:color="000000"/>
            </w:tcBorders>
            <w:shd w:val="clear" w:color="000000" w:fill="FFFFFF"/>
            <w:hideMark/>
          </w:tcPr>
          <w:p w14:paraId="08F804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439F2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9AE9D2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El Presidente de la Comisión Especial de Vigilancia y Seguimiento al Organismo Electoral del Senado de la República. </w:t>
            </w:r>
          </w:p>
        </w:tc>
        <w:tc>
          <w:tcPr>
            <w:tcW w:w="3798" w:type="dxa"/>
            <w:tcBorders>
              <w:top w:val="nil"/>
              <w:left w:val="nil"/>
              <w:bottom w:val="nil"/>
              <w:right w:val="single" w:sz="4" w:space="0" w:color="000000"/>
            </w:tcBorders>
            <w:shd w:val="clear" w:color="00FFFF" w:fill="FFFFFF"/>
            <w:hideMark/>
          </w:tcPr>
          <w:p w14:paraId="1AD0AC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Presidentes de las Comisiones Especiales de Vigilancia y Seguimiento al Organismo Electoral del Congreso de la República.</w:t>
            </w:r>
          </w:p>
        </w:tc>
        <w:tc>
          <w:tcPr>
            <w:tcW w:w="3798" w:type="dxa"/>
            <w:tcBorders>
              <w:top w:val="nil"/>
              <w:left w:val="nil"/>
              <w:bottom w:val="nil"/>
              <w:right w:val="single" w:sz="4" w:space="0" w:color="000000"/>
            </w:tcBorders>
            <w:shd w:val="clear" w:color="00FFFF" w:fill="FFFFFF"/>
            <w:hideMark/>
          </w:tcPr>
          <w:p w14:paraId="52682D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Presidentes de las Comisiones Especiales de Vigilancia y Seguimiento al Organismo Electoral del Congreso de la República.</w:t>
            </w:r>
          </w:p>
        </w:tc>
        <w:tc>
          <w:tcPr>
            <w:tcW w:w="1480" w:type="dxa"/>
            <w:tcBorders>
              <w:top w:val="nil"/>
              <w:left w:val="nil"/>
              <w:bottom w:val="nil"/>
              <w:right w:val="single" w:sz="4" w:space="0" w:color="000000"/>
            </w:tcBorders>
            <w:shd w:val="clear" w:color="000000" w:fill="FFFFFF"/>
            <w:hideMark/>
          </w:tcPr>
          <w:p w14:paraId="019BEF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D0EAF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3D0A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 persona encargada de la Oficina de Tecnologías de la Información del Consejo Nacional Electoral.</w:t>
            </w:r>
          </w:p>
        </w:tc>
        <w:tc>
          <w:tcPr>
            <w:tcW w:w="3798" w:type="dxa"/>
            <w:tcBorders>
              <w:top w:val="nil"/>
              <w:left w:val="nil"/>
              <w:bottom w:val="nil"/>
              <w:right w:val="single" w:sz="4" w:space="0" w:color="000000"/>
            </w:tcBorders>
            <w:shd w:val="clear" w:color="00FFFF" w:fill="FFFFFF"/>
            <w:hideMark/>
          </w:tcPr>
          <w:p w14:paraId="6FD2A2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 persona encargada de la Oficina de Tecnologías de la Información del Consejo Nacional Electoral.</w:t>
            </w:r>
          </w:p>
        </w:tc>
        <w:tc>
          <w:tcPr>
            <w:tcW w:w="3798" w:type="dxa"/>
            <w:tcBorders>
              <w:top w:val="nil"/>
              <w:left w:val="nil"/>
              <w:bottom w:val="nil"/>
              <w:right w:val="single" w:sz="4" w:space="0" w:color="000000"/>
            </w:tcBorders>
            <w:shd w:val="clear" w:color="00FFFF" w:fill="FFFFFF"/>
            <w:hideMark/>
          </w:tcPr>
          <w:p w14:paraId="7EA728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 persona encargada de la Oficina de Tecnologías de la Información del Consejo Nacional Electoral.</w:t>
            </w:r>
          </w:p>
        </w:tc>
        <w:tc>
          <w:tcPr>
            <w:tcW w:w="1480" w:type="dxa"/>
            <w:tcBorders>
              <w:top w:val="nil"/>
              <w:left w:val="nil"/>
              <w:bottom w:val="nil"/>
              <w:right w:val="single" w:sz="4" w:space="0" w:color="000000"/>
            </w:tcBorders>
            <w:shd w:val="clear" w:color="000000" w:fill="FFFFFF"/>
            <w:hideMark/>
          </w:tcPr>
          <w:p w14:paraId="6DD3FE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248570"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01D278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El Gerente de Informática de la Registraduría Nacional del Estado Civil.</w:t>
            </w:r>
          </w:p>
        </w:tc>
        <w:tc>
          <w:tcPr>
            <w:tcW w:w="3798" w:type="dxa"/>
            <w:tcBorders>
              <w:top w:val="nil"/>
              <w:left w:val="nil"/>
              <w:bottom w:val="nil"/>
              <w:right w:val="single" w:sz="4" w:space="0" w:color="000000"/>
            </w:tcBorders>
            <w:shd w:val="clear" w:color="00FFFF" w:fill="FFFFFF"/>
            <w:hideMark/>
          </w:tcPr>
          <w:p w14:paraId="025328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El Gerente de Informática de la Registraduría Nacional del Estado Civil.</w:t>
            </w:r>
          </w:p>
        </w:tc>
        <w:tc>
          <w:tcPr>
            <w:tcW w:w="3798" w:type="dxa"/>
            <w:tcBorders>
              <w:top w:val="nil"/>
              <w:left w:val="nil"/>
              <w:bottom w:val="nil"/>
              <w:right w:val="single" w:sz="4" w:space="0" w:color="000000"/>
            </w:tcBorders>
            <w:shd w:val="clear" w:color="00FFFF" w:fill="FFFFFF"/>
            <w:hideMark/>
          </w:tcPr>
          <w:p w14:paraId="4B461B7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El Gerente de Informática de la Registraduría Nacional del Estado Civil.</w:t>
            </w:r>
          </w:p>
        </w:tc>
        <w:tc>
          <w:tcPr>
            <w:tcW w:w="1480" w:type="dxa"/>
            <w:tcBorders>
              <w:top w:val="nil"/>
              <w:left w:val="nil"/>
              <w:bottom w:val="nil"/>
              <w:right w:val="single" w:sz="4" w:space="0" w:color="000000"/>
            </w:tcBorders>
            <w:shd w:val="clear" w:color="000000" w:fill="FFFFFF"/>
            <w:hideMark/>
          </w:tcPr>
          <w:p w14:paraId="5B9932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A03329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71FD9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Tres (3) Representantes de las Universidades Públicas y Privadas de las facultades de Ingeniería y Tecnologías de la Información o disciplina afines.</w:t>
            </w:r>
          </w:p>
        </w:tc>
        <w:tc>
          <w:tcPr>
            <w:tcW w:w="3798" w:type="dxa"/>
            <w:tcBorders>
              <w:top w:val="nil"/>
              <w:left w:val="nil"/>
              <w:bottom w:val="nil"/>
              <w:right w:val="single" w:sz="4" w:space="0" w:color="000000"/>
            </w:tcBorders>
            <w:shd w:val="clear" w:color="00FFFF" w:fill="FFFFFF"/>
            <w:hideMark/>
          </w:tcPr>
          <w:p w14:paraId="7BEEA0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Tres (3) Representantes de las Universidades Públicas y Privadas de las facultades de Ingeniería y Tecnologías de la Información o disciplina afines.</w:t>
            </w:r>
          </w:p>
        </w:tc>
        <w:tc>
          <w:tcPr>
            <w:tcW w:w="3798" w:type="dxa"/>
            <w:tcBorders>
              <w:top w:val="nil"/>
              <w:left w:val="nil"/>
              <w:bottom w:val="nil"/>
              <w:right w:val="single" w:sz="4" w:space="0" w:color="000000"/>
            </w:tcBorders>
            <w:shd w:val="clear" w:color="00FFFF" w:fill="FFFFFF"/>
            <w:hideMark/>
          </w:tcPr>
          <w:p w14:paraId="0C89B8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Tres (3) Representantes de las Universidades Públicas y Privadas de las facultades de Ingeniería y Tecnologías de la Información o disciplina afines.</w:t>
            </w:r>
          </w:p>
        </w:tc>
        <w:tc>
          <w:tcPr>
            <w:tcW w:w="1480" w:type="dxa"/>
            <w:tcBorders>
              <w:top w:val="nil"/>
              <w:left w:val="nil"/>
              <w:bottom w:val="nil"/>
              <w:right w:val="single" w:sz="4" w:space="0" w:color="000000"/>
            </w:tcBorders>
            <w:shd w:val="clear" w:color="000000" w:fill="FFFFFF"/>
            <w:hideMark/>
          </w:tcPr>
          <w:p w14:paraId="1A7B5F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26D595"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7B962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Tres (3) Representantes de las organizaciones de la sociedad civil y expertos en asuntos electorales, temas informáticos y digitales.</w:t>
            </w:r>
          </w:p>
        </w:tc>
        <w:tc>
          <w:tcPr>
            <w:tcW w:w="3798" w:type="dxa"/>
            <w:tcBorders>
              <w:top w:val="nil"/>
              <w:left w:val="nil"/>
              <w:bottom w:val="nil"/>
              <w:right w:val="single" w:sz="4" w:space="0" w:color="000000"/>
            </w:tcBorders>
            <w:shd w:val="clear" w:color="00FFFF" w:fill="FFFFFF"/>
            <w:hideMark/>
          </w:tcPr>
          <w:p w14:paraId="5DFB8B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Tres (3) Representantes de las organizaciones de la sociedad civil y expertos en asuntos electorales, temas informáticos y digitales.</w:t>
            </w:r>
          </w:p>
        </w:tc>
        <w:tc>
          <w:tcPr>
            <w:tcW w:w="3798" w:type="dxa"/>
            <w:tcBorders>
              <w:top w:val="nil"/>
              <w:left w:val="nil"/>
              <w:bottom w:val="nil"/>
              <w:right w:val="single" w:sz="4" w:space="0" w:color="000000"/>
            </w:tcBorders>
            <w:shd w:val="clear" w:color="00FFFF" w:fill="FFFFFF"/>
            <w:hideMark/>
          </w:tcPr>
          <w:p w14:paraId="1615C60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Tres (3) Representantes de las organizaciones de la sociedad civil y expertos en asuntos electorales, temas informáticos y digitales.</w:t>
            </w:r>
          </w:p>
        </w:tc>
        <w:tc>
          <w:tcPr>
            <w:tcW w:w="1480" w:type="dxa"/>
            <w:tcBorders>
              <w:top w:val="nil"/>
              <w:left w:val="nil"/>
              <w:bottom w:val="nil"/>
              <w:right w:val="single" w:sz="4" w:space="0" w:color="000000"/>
            </w:tcBorders>
            <w:shd w:val="clear" w:color="000000" w:fill="FFFFFF"/>
            <w:hideMark/>
          </w:tcPr>
          <w:p w14:paraId="5C5A24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76FA1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1DC5F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Un Senador del partido de oposición elegido por la Plenaria del Senado de la República.</w:t>
            </w:r>
          </w:p>
        </w:tc>
        <w:tc>
          <w:tcPr>
            <w:tcW w:w="3798" w:type="dxa"/>
            <w:tcBorders>
              <w:top w:val="nil"/>
              <w:left w:val="nil"/>
              <w:bottom w:val="nil"/>
              <w:right w:val="single" w:sz="4" w:space="0" w:color="000000"/>
            </w:tcBorders>
            <w:shd w:val="clear" w:color="00FFFF" w:fill="FFFFFF"/>
            <w:hideMark/>
          </w:tcPr>
          <w:p w14:paraId="6E38C4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Cinco (5) representantes de los partidos y movimientos políticos con personería jurídica escogidos por sorteo.</w:t>
            </w:r>
          </w:p>
        </w:tc>
        <w:tc>
          <w:tcPr>
            <w:tcW w:w="3798" w:type="dxa"/>
            <w:tcBorders>
              <w:top w:val="nil"/>
              <w:left w:val="nil"/>
              <w:bottom w:val="nil"/>
              <w:right w:val="single" w:sz="4" w:space="0" w:color="000000"/>
            </w:tcBorders>
            <w:shd w:val="clear" w:color="00FFFF" w:fill="FFFFFF"/>
            <w:hideMark/>
          </w:tcPr>
          <w:p w14:paraId="12D395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Cinco (5) representantes de los partidos y movimientos políticos con personería jurídica escogidos por sorteo.</w:t>
            </w:r>
          </w:p>
        </w:tc>
        <w:tc>
          <w:tcPr>
            <w:tcW w:w="1480" w:type="dxa"/>
            <w:tcBorders>
              <w:top w:val="nil"/>
              <w:left w:val="nil"/>
              <w:bottom w:val="nil"/>
              <w:right w:val="single" w:sz="4" w:space="0" w:color="000000"/>
            </w:tcBorders>
            <w:shd w:val="clear" w:color="000000" w:fill="FFFFFF"/>
            <w:hideMark/>
          </w:tcPr>
          <w:p w14:paraId="5A1995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E4602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96643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Presidencia de la Comisión presentará las recomendaciones a la Registraduría Nacional del Estado Civil y hará seguimiento a las acciones que sean </w:t>
            </w:r>
            <w:r w:rsidRPr="00222F34">
              <w:rPr>
                <w:rFonts w:ascii="Calibri" w:eastAsia="Times New Roman" w:hAnsi="Calibri" w:cs="Calibri"/>
                <w:color w:val="000000"/>
                <w:lang w:val="es-CO" w:eastAsia="es-CO" w:bidi="ar-SA"/>
              </w:rPr>
              <w:lastRenderedPageBreak/>
              <w:t>adoptadas por la entidad. La implementación de sistemas de asistencia tecnológica a los procesos electorales deberá ser socializada en la Comisión.</w:t>
            </w:r>
          </w:p>
        </w:tc>
        <w:tc>
          <w:tcPr>
            <w:tcW w:w="3798" w:type="dxa"/>
            <w:tcBorders>
              <w:top w:val="nil"/>
              <w:left w:val="nil"/>
              <w:bottom w:val="nil"/>
              <w:right w:val="single" w:sz="4" w:space="0" w:color="000000"/>
            </w:tcBorders>
            <w:shd w:val="clear" w:color="FFC000" w:fill="FFFFFF"/>
            <w:hideMark/>
          </w:tcPr>
          <w:p w14:paraId="732B7C2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nil"/>
              <w:right w:val="single" w:sz="4" w:space="0" w:color="000000"/>
            </w:tcBorders>
            <w:shd w:val="clear" w:color="FFC000" w:fill="FFFFFF"/>
            <w:hideMark/>
          </w:tcPr>
          <w:p w14:paraId="66477C9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5F84DB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AE066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249EF5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La Comisión será presidida por la persona que ostente la Presidencia del Consejo Nacional Electoral. Se dará su propio reglamento, se reunirá presencial o virtualmente por derecho propio al menos una vez al mes. </w:t>
            </w:r>
          </w:p>
        </w:tc>
        <w:tc>
          <w:tcPr>
            <w:tcW w:w="3798" w:type="dxa"/>
            <w:tcBorders>
              <w:top w:val="nil"/>
              <w:left w:val="nil"/>
              <w:bottom w:val="nil"/>
              <w:right w:val="single" w:sz="4" w:space="0" w:color="000000"/>
            </w:tcBorders>
            <w:shd w:val="clear" w:color="00FFFF" w:fill="FFFFFF"/>
            <w:hideMark/>
          </w:tcPr>
          <w:p w14:paraId="6970C74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Comisión será presidida por la persona que designen los integrantes de la Comisión mediante elección democrática. Se dará su propio reglamento, se reunirá presencial o virtualmente por derecho propio al menos una vez por semestre.</w:t>
            </w:r>
          </w:p>
        </w:tc>
        <w:tc>
          <w:tcPr>
            <w:tcW w:w="3798" w:type="dxa"/>
            <w:tcBorders>
              <w:top w:val="nil"/>
              <w:left w:val="nil"/>
              <w:bottom w:val="nil"/>
              <w:right w:val="single" w:sz="4" w:space="0" w:color="000000"/>
            </w:tcBorders>
            <w:shd w:val="clear" w:color="00FFFF" w:fill="FFFFFF"/>
            <w:hideMark/>
          </w:tcPr>
          <w:p w14:paraId="26990E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Comisión será presidida por la persona que designen los integrantes de la Comisión mediante elección democrática. Se dará su propio reglamento, se reunirá presencial o virtualmente por derecho propio al menos una vez por semestre.</w:t>
            </w:r>
          </w:p>
        </w:tc>
        <w:tc>
          <w:tcPr>
            <w:tcW w:w="1480" w:type="dxa"/>
            <w:tcBorders>
              <w:top w:val="nil"/>
              <w:left w:val="nil"/>
              <w:bottom w:val="nil"/>
              <w:right w:val="single" w:sz="4" w:space="0" w:color="000000"/>
            </w:tcBorders>
            <w:shd w:val="clear" w:color="000000" w:fill="FFFFFF"/>
            <w:hideMark/>
          </w:tcPr>
          <w:p w14:paraId="58C319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601776E"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62383AB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Serán invitados permanentes los representantes legales de cada partido o movimiento político con personería jurídica, y un representante de cada grupo significativo de ciudadanos con representación en el Congreso, o su delegado, las Misiones de Observación Electoral Nacionales e Internacionales y aquellas entidades u organizaciones especializados en la materia, quienes intervendrán con voz en la Comisión para formular recomendaciones. La participación de invitados permanentes no será tenida en cuenta para la conformación del quórum. A sus sesiones podrán asistir servidores públicos y particulares invitados por la misma. </w:t>
            </w:r>
          </w:p>
        </w:tc>
        <w:tc>
          <w:tcPr>
            <w:tcW w:w="3798" w:type="dxa"/>
            <w:tcBorders>
              <w:top w:val="nil"/>
              <w:left w:val="nil"/>
              <w:bottom w:val="nil"/>
              <w:right w:val="single" w:sz="4" w:space="0" w:color="000000"/>
            </w:tcBorders>
            <w:shd w:val="clear" w:color="00FFFF" w:fill="FFFFFF"/>
            <w:hideMark/>
          </w:tcPr>
          <w:p w14:paraId="223159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Serán invitados permanentes los representantes legales de cada partido o movimiento político con personería jurídica, y representantes de cada grupo significativo de ciudadanos con representación en el Congreso, o su delegado, las Misiones de Observación Electoral Nacionales e Internacionales y aquellas entidades u organizaciones especializados en la materia, quienes intervendrán con voz en la Comisión para formular recomendaciones. La participación de invitados permanentes no será tenida en cuenta para la conformación del quórum. A sus sesiones podrán asistir servidores públicos y particulares invitados por la misma.</w:t>
            </w:r>
          </w:p>
        </w:tc>
        <w:tc>
          <w:tcPr>
            <w:tcW w:w="3798" w:type="dxa"/>
            <w:tcBorders>
              <w:top w:val="nil"/>
              <w:left w:val="nil"/>
              <w:bottom w:val="nil"/>
              <w:right w:val="single" w:sz="4" w:space="0" w:color="000000"/>
            </w:tcBorders>
            <w:shd w:val="clear" w:color="00FFFF" w:fill="FFFFFF"/>
            <w:hideMark/>
          </w:tcPr>
          <w:p w14:paraId="5A35B2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Serán invitados permanentes los representantes legales de cada partido o movimiento político con personería jurídica, y representantes de cada grupo significativo de ciudadanos con representación en el Congreso, o su delegado, las Misiones de Observación Electoral Nacionales e Internacionales y aquellas entidades u organizaciones especializados en la materia, quienes intervendrán con voz en la Comisión para formular recomendaciones. La participación de invitados permanentes no será tenida en cuenta para la conformación del quórum. A sus sesiones podrán asistir servidores públicos y particulares invitados por la misma.</w:t>
            </w:r>
          </w:p>
        </w:tc>
        <w:tc>
          <w:tcPr>
            <w:tcW w:w="1480" w:type="dxa"/>
            <w:tcBorders>
              <w:top w:val="nil"/>
              <w:left w:val="nil"/>
              <w:bottom w:val="nil"/>
              <w:right w:val="single" w:sz="4" w:space="0" w:color="000000"/>
            </w:tcBorders>
            <w:shd w:val="clear" w:color="000000" w:fill="FFFFFF"/>
            <w:hideMark/>
          </w:tcPr>
          <w:p w14:paraId="58FBFC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0185FC5"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114FA8B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3. </w:t>
            </w:r>
            <w:r w:rsidRPr="00222F34">
              <w:rPr>
                <w:rFonts w:ascii="Calibri" w:eastAsia="Times New Roman" w:hAnsi="Calibri" w:cs="Calibri"/>
                <w:color w:val="000000"/>
                <w:lang w:val="es-CO" w:eastAsia="es-CO" w:bidi="ar-SA"/>
              </w:rPr>
              <w:t xml:space="preserve">La Comisión será convocada por la Organización Electoral quien se encargará de reglamentar, dentro de los seis (6) meses siguientes a la promulgación de esta ley, el procedimiento para la elección de los representantes de la academia y de las organizaciones de sociedad civil, que trata los numerales 12 y 13 bajo los principios de publicidad, transparencia y criterios de mérito para su elección. </w:t>
            </w:r>
          </w:p>
        </w:tc>
        <w:tc>
          <w:tcPr>
            <w:tcW w:w="3798" w:type="dxa"/>
            <w:tcBorders>
              <w:top w:val="nil"/>
              <w:left w:val="nil"/>
              <w:bottom w:val="single" w:sz="4" w:space="0" w:color="000000"/>
              <w:right w:val="single" w:sz="4" w:space="0" w:color="000000"/>
            </w:tcBorders>
            <w:shd w:val="clear" w:color="00FFFF" w:fill="FFFFFF"/>
            <w:hideMark/>
          </w:tcPr>
          <w:p w14:paraId="3807D0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Comisión será convocada por la Organización Electoral quien se encargará de reglamentar, dentro de los seis (6) meses siguientes a la promulgación de esta ley, el procedimiento para la elección de los representantes de la academia y de las organizaciones de sociedad civil, bajo los principios de publicidad, transparencia y criterios de mérito para su elección.</w:t>
            </w:r>
          </w:p>
        </w:tc>
        <w:tc>
          <w:tcPr>
            <w:tcW w:w="3798" w:type="dxa"/>
            <w:tcBorders>
              <w:top w:val="nil"/>
              <w:left w:val="nil"/>
              <w:bottom w:val="single" w:sz="4" w:space="0" w:color="000000"/>
              <w:right w:val="single" w:sz="4" w:space="0" w:color="000000"/>
            </w:tcBorders>
            <w:shd w:val="clear" w:color="00FFFF" w:fill="FFFFFF"/>
            <w:hideMark/>
          </w:tcPr>
          <w:p w14:paraId="1EE589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Comisión será convocada por la Organización Electoral quien se encargará de reglamentar, dentro de los seis (6) meses siguientes a la promulgación de esta ley, el procedimiento para la elección de los representantes de la academia y de las organizaciones de sociedad civil, bajo los principios de publicidad, transparencia y criterios de mérito para su elección.</w:t>
            </w:r>
          </w:p>
        </w:tc>
        <w:tc>
          <w:tcPr>
            <w:tcW w:w="1480" w:type="dxa"/>
            <w:tcBorders>
              <w:top w:val="nil"/>
              <w:left w:val="nil"/>
              <w:bottom w:val="single" w:sz="4" w:space="0" w:color="000000"/>
              <w:right w:val="single" w:sz="4" w:space="0" w:color="000000"/>
            </w:tcBorders>
            <w:shd w:val="clear" w:color="000000" w:fill="FFFFFF"/>
            <w:hideMark/>
          </w:tcPr>
          <w:p w14:paraId="66EA28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9D704BB"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021EEDF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240.- Mecanismos de contingencia.</w:t>
            </w:r>
            <w:r w:rsidRPr="00222F34">
              <w:rPr>
                <w:rFonts w:ascii="Calibri" w:eastAsia="Times New Roman" w:hAnsi="Calibri" w:cs="Calibri"/>
                <w:color w:val="000000"/>
                <w:lang w:val="es-CO" w:eastAsia="es-CO" w:bidi="ar-SA"/>
              </w:rPr>
              <w:t xml:space="preserve"> 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 </w:t>
            </w:r>
          </w:p>
        </w:tc>
        <w:tc>
          <w:tcPr>
            <w:tcW w:w="3798" w:type="dxa"/>
            <w:tcBorders>
              <w:top w:val="nil"/>
              <w:left w:val="nil"/>
              <w:bottom w:val="single" w:sz="4" w:space="0" w:color="000000"/>
              <w:right w:val="single" w:sz="4" w:space="0" w:color="000000"/>
            </w:tcBorders>
            <w:shd w:val="clear" w:color="000000" w:fill="FFFFFF"/>
            <w:hideMark/>
          </w:tcPr>
          <w:p w14:paraId="779B2D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244.- Mecanismos de contingencia.</w:t>
            </w:r>
            <w:r w:rsidRPr="00222F34">
              <w:rPr>
                <w:rFonts w:ascii="Calibri" w:eastAsia="Times New Roman" w:hAnsi="Calibri" w:cs="Calibri"/>
                <w:color w:val="000000"/>
                <w:lang w:val="es-CO" w:eastAsia="es-CO" w:bidi="ar-SA"/>
              </w:rPr>
              <w:t xml:space="preserve"> 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p>
        </w:tc>
        <w:tc>
          <w:tcPr>
            <w:tcW w:w="3798" w:type="dxa"/>
            <w:tcBorders>
              <w:top w:val="nil"/>
              <w:left w:val="nil"/>
              <w:bottom w:val="single" w:sz="4" w:space="0" w:color="000000"/>
              <w:right w:val="single" w:sz="4" w:space="0" w:color="000000"/>
            </w:tcBorders>
            <w:shd w:val="clear" w:color="000000" w:fill="FFFFFF"/>
            <w:hideMark/>
          </w:tcPr>
          <w:p w14:paraId="172ECB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244.- Mecanismos de contingencia.</w:t>
            </w:r>
            <w:r w:rsidRPr="00222F34">
              <w:rPr>
                <w:rFonts w:ascii="Calibri" w:eastAsia="Times New Roman" w:hAnsi="Calibri" w:cs="Calibri"/>
                <w:color w:val="000000"/>
                <w:lang w:val="es-CO" w:eastAsia="es-CO" w:bidi="ar-SA"/>
              </w:rPr>
              <w:t xml:space="preserve"> 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p>
        </w:tc>
        <w:tc>
          <w:tcPr>
            <w:tcW w:w="1480" w:type="dxa"/>
            <w:tcBorders>
              <w:top w:val="nil"/>
              <w:left w:val="nil"/>
              <w:bottom w:val="single" w:sz="4" w:space="0" w:color="000000"/>
              <w:right w:val="single" w:sz="4" w:space="0" w:color="000000"/>
            </w:tcBorders>
            <w:shd w:val="clear" w:color="000000" w:fill="FFFFFF"/>
            <w:hideMark/>
          </w:tcPr>
          <w:p w14:paraId="79493DDB" w14:textId="3B7EA2E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A36F1F5" w14:textId="77777777" w:rsidTr="00222F34">
        <w:trPr>
          <w:trHeight w:val="2235"/>
        </w:trPr>
        <w:tc>
          <w:tcPr>
            <w:tcW w:w="3798" w:type="dxa"/>
            <w:tcBorders>
              <w:top w:val="nil"/>
              <w:left w:val="single" w:sz="4" w:space="0" w:color="000000"/>
              <w:bottom w:val="nil"/>
              <w:right w:val="single" w:sz="4" w:space="0" w:color="000000"/>
            </w:tcBorders>
            <w:shd w:val="clear" w:color="000000" w:fill="FFFFFF"/>
            <w:hideMark/>
          </w:tcPr>
          <w:p w14:paraId="18DD2B5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241. Seguridad nacional y protección del proceso electoral.</w:t>
            </w:r>
            <w:r w:rsidRPr="00222F34">
              <w:rPr>
                <w:rFonts w:ascii="Calibri" w:eastAsia="Times New Roman" w:hAnsi="Calibri" w:cs="Calibri"/>
                <w:color w:val="000000"/>
                <w:lang w:val="es-CO" w:eastAsia="es-CO" w:bidi="ar-SA"/>
              </w:rPr>
              <w:t xml:space="preserve"> Las actividades que tengan como objetivo el cumplimiento de la misión de la Registraduría Nacional del Estado Civil que son consideradas como seguridad y defensa nacional serán exclusivamente aquellas que se ejecuten directamente para la realización de la función de registro civil, la identificación, los </w:t>
            </w:r>
            <w:r w:rsidRPr="00222F34">
              <w:rPr>
                <w:rFonts w:ascii="Calibri" w:eastAsia="Times New Roman" w:hAnsi="Calibri" w:cs="Calibri"/>
                <w:color w:val="000000"/>
                <w:lang w:val="es-CO" w:eastAsia="es-CO" w:bidi="ar-SA"/>
              </w:rPr>
              <w:lastRenderedPageBreak/>
              <w:t>procesos electorales y mecanismos de participación ciudadana</w:t>
            </w:r>
          </w:p>
        </w:tc>
        <w:tc>
          <w:tcPr>
            <w:tcW w:w="3798" w:type="dxa"/>
            <w:tcBorders>
              <w:top w:val="nil"/>
              <w:left w:val="nil"/>
              <w:bottom w:val="nil"/>
              <w:right w:val="single" w:sz="4" w:space="0" w:color="000000"/>
            </w:tcBorders>
            <w:shd w:val="clear" w:color="00FFFF" w:fill="FFFFFF"/>
            <w:hideMark/>
          </w:tcPr>
          <w:p w14:paraId="77D36A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245. Seguridad nacional y protección del proceso electoral. </w:t>
            </w:r>
            <w:r w:rsidRPr="00222F34">
              <w:rPr>
                <w:rFonts w:ascii="Calibri" w:eastAsia="Times New Roman" w:hAnsi="Calibri" w:cs="Calibri"/>
                <w:color w:val="000000"/>
                <w:lang w:val="es-CO" w:eastAsia="es-CO" w:bidi="ar-SA"/>
              </w:rPr>
              <w:t xml:space="preserve">Las actividades que tengan como objetivo el cumplimiento de la misión de la Registraduría Nacional del Estado Civil que son consideradas como seguridad y defensa nacional serán exclusivamente aquellas que se ejecuten directamente para la realización de la función de registro civil, la identificación, los </w:t>
            </w:r>
            <w:r w:rsidRPr="00222F34">
              <w:rPr>
                <w:rFonts w:ascii="Calibri" w:eastAsia="Times New Roman" w:hAnsi="Calibri" w:cs="Calibri"/>
                <w:color w:val="000000"/>
                <w:lang w:val="es-CO" w:eastAsia="es-CO" w:bidi="ar-SA"/>
              </w:rPr>
              <w:lastRenderedPageBreak/>
              <w:t>procesos electorales y mecanismos de participación ciudadana.</w:t>
            </w:r>
          </w:p>
        </w:tc>
        <w:tc>
          <w:tcPr>
            <w:tcW w:w="3798" w:type="dxa"/>
            <w:tcBorders>
              <w:top w:val="nil"/>
              <w:left w:val="nil"/>
              <w:bottom w:val="nil"/>
              <w:right w:val="single" w:sz="4" w:space="0" w:color="000000"/>
            </w:tcBorders>
            <w:shd w:val="clear" w:color="00FFFF" w:fill="FFFFFF"/>
            <w:hideMark/>
          </w:tcPr>
          <w:p w14:paraId="04A724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245. Seguridad nacional y protección del proceso electoral. </w:t>
            </w:r>
            <w:r w:rsidRPr="00222F34">
              <w:rPr>
                <w:rFonts w:ascii="Calibri" w:eastAsia="Times New Roman" w:hAnsi="Calibri" w:cs="Calibri"/>
                <w:color w:val="000000"/>
                <w:lang w:val="es-CO" w:eastAsia="es-CO" w:bidi="ar-SA"/>
              </w:rPr>
              <w:t xml:space="preserve">Las actividades que tengan como objetivo el cumplimiento de la misión de la Registraduría Nacional del Estado Civil que son consideradas como seguridad y defensa nacional serán exclusivamente aquellas que se ejecuten directamente para la realización de la función de registro civil, la identificación, los </w:t>
            </w:r>
            <w:r w:rsidRPr="00222F34">
              <w:rPr>
                <w:rFonts w:ascii="Calibri" w:eastAsia="Times New Roman" w:hAnsi="Calibri" w:cs="Calibri"/>
                <w:color w:val="000000"/>
                <w:lang w:val="es-CO" w:eastAsia="es-CO" w:bidi="ar-SA"/>
              </w:rPr>
              <w:lastRenderedPageBreak/>
              <w:t>procesos electorales y mecanismos de participación ciudadana.</w:t>
            </w:r>
          </w:p>
        </w:tc>
        <w:tc>
          <w:tcPr>
            <w:tcW w:w="1480" w:type="dxa"/>
            <w:tcBorders>
              <w:top w:val="nil"/>
              <w:left w:val="nil"/>
              <w:bottom w:val="nil"/>
              <w:right w:val="single" w:sz="4" w:space="0" w:color="000000"/>
            </w:tcBorders>
            <w:shd w:val="clear" w:color="000000" w:fill="FFFFFF"/>
            <w:hideMark/>
          </w:tcPr>
          <w:p w14:paraId="1B2B61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Se acoge el texto aprobado por la Cámara con el parágrafo 2 aprobado por el Senado</w:t>
            </w:r>
          </w:p>
        </w:tc>
      </w:tr>
      <w:tr w:rsidR="00CD4925" w:rsidRPr="00222F34" w14:paraId="17613BC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8ED33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Las fuerzas militares y de la policía bajo la dirección del Presidente de la República, prestarán su apoyo en la custodia de los documentos electorales y la infraestructura tecnológica. Adicionalmente, cuando las circunstancias así lo obliguen colaborarán en el transporte del material electoral y de los servidores públicos. </w:t>
            </w:r>
          </w:p>
        </w:tc>
        <w:tc>
          <w:tcPr>
            <w:tcW w:w="3798" w:type="dxa"/>
            <w:tcBorders>
              <w:top w:val="nil"/>
              <w:left w:val="nil"/>
              <w:bottom w:val="nil"/>
              <w:right w:val="single" w:sz="4" w:space="0" w:color="000000"/>
            </w:tcBorders>
            <w:shd w:val="clear" w:color="000000" w:fill="FFFFFF"/>
            <w:hideMark/>
          </w:tcPr>
          <w:p w14:paraId="1EE613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fuerzas militares y de la policía bajo la dirección del Presidente de la República, prestarán su apoyo en la custodia de los documentos electorales y la infraestructura tecnológica. Adicionalmente, cuando las circunstancias así lo obliguen colaborarán en el transporte del material electoral y de los servidores públicos.</w:t>
            </w:r>
          </w:p>
        </w:tc>
        <w:tc>
          <w:tcPr>
            <w:tcW w:w="3798" w:type="dxa"/>
            <w:tcBorders>
              <w:top w:val="nil"/>
              <w:left w:val="nil"/>
              <w:bottom w:val="nil"/>
              <w:right w:val="single" w:sz="4" w:space="0" w:color="000000"/>
            </w:tcBorders>
            <w:shd w:val="clear" w:color="000000" w:fill="FFFFFF"/>
            <w:hideMark/>
          </w:tcPr>
          <w:p w14:paraId="7B823B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fuerzas militares y de la policía bajo la dirección del Presidente de la República, prestarán su apoyo en la custodia de los documentos electorales y la infraestructura tecnológica. Adicionalmente, cuando las circunstancias así lo obliguen colaborarán en el transporte del material electoral y de los servidores públicos.</w:t>
            </w:r>
          </w:p>
        </w:tc>
        <w:tc>
          <w:tcPr>
            <w:tcW w:w="1480" w:type="dxa"/>
            <w:tcBorders>
              <w:top w:val="nil"/>
              <w:left w:val="nil"/>
              <w:bottom w:val="nil"/>
              <w:right w:val="single" w:sz="4" w:space="0" w:color="000000"/>
            </w:tcBorders>
            <w:shd w:val="clear" w:color="000000" w:fill="FFFFFF"/>
            <w:hideMark/>
          </w:tcPr>
          <w:p w14:paraId="4E330C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9B620B"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83F86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transmisión de resultados se realizará conforme al protocolo de seguridad y de ciberseguridad que diseñe la Registraduría Nacional del Estado Civil con el apoyo de los organismos de seguridad del Estado y organizaciones internacionales de veeduría y transparencia electoral acreditadas.</w:t>
            </w:r>
          </w:p>
        </w:tc>
        <w:tc>
          <w:tcPr>
            <w:tcW w:w="3798" w:type="dxa"/>
            <w:tcBorders>
              <w:top w:val="nil"/>
              <w:left w:val="nil"/>
              <w:bottom w:val="nil"/>
              <w:right w:val="single" w:sz="4" w:space="0" w:color="000000"/>
            </w:tcBorders>
            <w:shd w:val="clear" w:color="000000" w:fill="FFFFFF"/>
            <w:hideMark/>
          </w:tcPr>
          <w:p w14:paraId="081D9F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transmisión de resultados se realizará conforme al protocolo de seguridad y de ciberseguridad que diseñe la Registraduría Nacional del Estado Civil con el apoyo de los organismos de seguridad del Estado y con observancia de las organizaciones internacionales de veeduría y transparencia electoral acreditadas.</w:t>
            </w:r>
          </w:p>
        </w:tc>
        <w:tc>
          <w:tcPr>
            <w:tcW w:w="3798" w:type="dxa"/>
            <w:tcBorders>
              <w:top w:val="nil"/>
              <w:left w:val="nil"/>
              <w:bottom w:val="nil"/>
              <w:right w:val="single" w:sz="4" w:space="0" w:color="000000"/>
            </w:tcBorders>
            <w:shd w:val="clear" w:color="000000" w:fill="FFFFFF"/>
            <w:hideMark/>
          </w:tcPr>
          <w:p w14:paraId="737A85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transmisión de resultados se realizará conforme al protocolo de seguridad y de ciberseguridad que diseñe la Registraduría Nacional del Estado Civil con el apoyo de los organismos de seguridad del Estado y con observancia de las organizaciones internacionales de veeduría y transparencia electoral acreditadas.</w:t>
            </w:r>
          </w:p>
        </w:tc>
        <w:tc>
          <w:tcPr>
            <w:tcW w:w="1480" w:type="dxa"/>
            <w:tcBorders>
              <w:top w:val="nil"/>
              <w:left w:val="nil"/>
              <w:bottom w:val="nil"/>
              <w:right w:val="single" w:sz="4" w:space="0" w:color="000000"/>
            </w:tcBorders>
            <w:shd w:val="clear" w:color="000000" w:fill="FFFFFF"/>
            <w:hideMark/>
          </w:tcPr>
          <w:p w14:paraId="3E66E6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7A3567"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00CF6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Las condiciones de seguridad no pueden usarse en ningún momento para limitar la veeduría, auditoría y la observación al proceso electoral de organizaciones nacionales o internacionales debidamente acreditadas, así como para permitir la transparencia del proceso. </w:t>
            </w:r>
          </w:p>
        </w:tc>
        <w:tc>
          <w:tcPr>
            <w:tcW w:w="3798" w:type="dxa"/>
            <w:tcBorders>
              <w:top w:val="nil"/>
              <w:left w:val="nil"/>
              <w:bottom w:val="nil"/>
              <w:right w:val="single" w:sz="4" w:space="0" w:color="000000"/>
            </w:tcBorders>
            <w:shd w:val="clear" w:color="000000" w:fill="FFFFFF"/>
            <w:hideMark/>
          </w:tcPr>
          <w:p w14:paraId="4C49D6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condiciones de seguridad no pueden usarse en ningún momento para limitar la veeduría, auditoría y la observación al proceso electoral de organizaciones nacionales o internacionales debidamente acreditadas, , así como el desarrollo de las auditorías a Asistencia Tecnológica en los procesos electorales, para permitir la transparencia del proceso.</w:t>
            </w:r>
          </w:p>
        </w:tc>
        <w:tc>
          <w:tcPr>
            <w:tcW w:w="3798" w:type="dxa"/>
            <w:tcBorders>
              <w:top w:val="nil"/>
              <w:left w:val="nil"/>
              <w:bottom w:val="nil"/>
              <w:right w:val="single" w:sz="4" w:space="0" w:color="000000"/>
            </w:tcBorders>
            <w:shd w:val="clear" w:color="000000" w:fill="FFFFFF"/>
            <w:hideMark/>
          </w:tcPr>
          <w:p w14:paraId="47A786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condiciones de seguridad no pueden usarse en ningún momento para limitar la veeduría, auditoría y la observación al proceso electoral de organizaciones nacionales o internacionales debidamente acreditadas, , así como el desarrollo de las auditorías a Asistencia Tecnológica en los procesos electorales, para permitir la transparencia del proceso.</w:t>
            </w:r>
          </w:p>
        </w:tc>
        <w:tc>
          <w:tcPr>
            <w:tcW w:w="1480" w:type="dxa"/>
            <w:tcBorders>
              <w:top w:val="nil"/>
              <w:left w:val="nil"/>
              <w:bottom w:val="nil"/>
              <w:right w:val="single" w:sz="4" w:space="0" w:color="000000"/>
            </w:tcBorders>
            <w:shd w:val="clear" w:color="000000" w:fill="FFFFFF"/>
            <w:hideMark/>
          </w:tcPr>
          <w:p w14:paraId="00CE7C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1FE5A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475F5DC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Una vez se suscriban los respectivos contratos bajo la modalidad de seguridad nacional, la Registraduria Nacional del Estado Civil deberá garantizar su total publicidad y acceso, con excepción de los datos sensibles que contengan.</w:t>
            </w:r>
          </w:p>
        </w:tc>
        <w:tc>
          <w:tcPr>
            <w:tcW w:w="3798" w:type="dxa"/>
            <w:tcBorders>
              <w:top w:val="nil"/>
              <w:left w:val="nil"/>
              <w:bottom w:val="single" w:sz="4" w:space="0" w:color="000000"/>
              <w:right w:val="single" w:sz="4" w:space="0" w:color="000000"/>
            </w:tcBorders>
            <w:shd w:val="clear" w:color="000000" w:fill="FFFFFF"/>
            <w:hideMark/>
          </w:tcPr>
          <w:p w14:paraId="309C6F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7C805D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Una vez se suscriban los respectivos contratos bajo la modalidad de seguridad nacional, la Registraduría Nacional del Estado Civil deberá garantizar su total publicidad y acceso, con excepción de los datos sensibles que contengan.</w:t>
            </w:r>
          </w:p>
        </w:tc>
        <w:tc>
          <w:tcPr>
            <w:tcW w:w="1480" w:type="dxa"/>
            <w:tcBorders>
              <w:top w:val="nil"/>
              <w:left w:val="nil"/>
              <w:bottom w:val="single" w:sz="4" w:space="0" w:color="000000"/>
              <w:right w:val="single" w:sz="4" w:space="0" w:color="000000"/>
            </w:tcBorders>
            <w:shd w:val="clear" w:color="000000" w:fill="FFFFFF"/>
            <w:hideMark/>
          </w:tcPr>
          <w:p w14:paraId="639974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0C98AA9"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0FBA089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ARTICULO 242. Régimen contractual.</w:t>
            </w:r>
            <w:r w:rsidRPr="00222F34">
              <w:rPr>
                <w:rFonts w:ascii="Calibri" w:eastAsia="Times New Roman" w:hAnsi="Calibri" w:cs="Calibri"/>
                <w:color w:val="000000"/>
                <w:lang w:val="es-CO" w:eastAsia="es-CO" w:bidi="ar-SA"/>
              </w:rPr>
              <w:t xml:space="preserve"> 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los principios de la función administrativa. </w:t>
            </w:r>
          </w:p>
        </w:tc>
        <w:tc>
          <w:tcPr>
            <w:tcW w:w="3798" w:type="dxa"/>
            <w:tcBorders>
              <w:top w:val="nil"/>
              <w:left w:val="nil"/>
              <w:bottom w:val="single" w:sz="4" w:space="0" w:color="000000"/>
              <w:right w:val="single" w:sz="4" w:space="0" w:color="000000"/>
            </w:tcBorders>
            <w:shd w:val="clear" w:color="000000" w:fill="FFFFFF"/>
            <w:hideMark/>
          </w:tcPr>
          <w:p w14:paraId="6EE869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246. Régimen contractual.</w:t>
            </w:r>
            <w:r w:rsidRPr="00222F34">
              <w:rPr>
                <w:rFonts w:ascii="Calibri" w:eastAsia="Times New Roman" w:hAnsi="Calibri" w:cs="Calibri"/>
                <w:color w:val="000000"/>
                <w:lang w:val="es-CO" w:eastAsia="es-CO" w:bidi="ar-SA"/>
              </w:rPr>
              <w:t xml:space="preserve"> 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los principios de la función administrativa.</w:t>
            </w:r>
          </w:p>
        </w:tc>
        <w:tc>
          <w:tcPr>
            <w:tcW w:w="3798" w:type="dxa"/>
            <w:tcBorders>
              <w:top w:val="nil"/>
              <w:left w:val="nil"/>
              <w:bottom w:val="single" w:sz="4" w:space="0" w:color="000000"/>
              <w:right w:val="single" w:sz="4" w:space="0" w:color="000000"/>
            </w:tcBorders>
            <w:shd w:val="clear" w:color="000000" w:fill="FFFFFF"/>
            <w:hideMark/>
          </w:tcPr>
          <w:p w14:paraId="651C0C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246. Régimen contractual.</w:t>
            </w:r>
            <w:r w:rsidRPr="00222F34">
              <w:rPr>
                <w:rFonts w:ascii="Calibri" w:eastAsia="Times New Roman" w:hAnsi="Calibri" w:cs="Calibri"/>
                <w:color w:val="000000"/>
                <w:lang w:val="es-CO" w:eastAsia="es-CO" w:bidi="ar-SA"/>
              </w:rPr>
              <w:t xml:space="preserve"> 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los principios de la función administrativa.</w:t>
            </w:r>
          </w:p>
        </w:tc>
        <w:tc>
          <w:tcPr>
            <w:tcW w:w="1480" w:type="dxa"/>
            <w:tcBorders>
              <w:top w:val="nil"/>
              <w:left w:val="nil"/>
              <w:bottom w:val="single" w:sz="4" w:space="0" w:color="000000"/>
              <w:right w:val="single" w:sz="4" w:space="0" w:color="000000"/>
            </w:tcBorders>
            <w:shd w:val="clear" w:color="000000" w:fill="FFFFFF"/>
            <w:hideMark/>
          </w:tcPr>
          <w:p w14:paraId="0029DB2A" w14:textId="128A9CAE"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EADABD1"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2ED95C4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243.- Infraestructura de conectividad para las elecciones.</w:t>
            </w:r>
            <w:r w:rsidRPr="00222F34">
              <w:rPr>
                <w:rFonts w:ascii="Calibri" w:eastAsia="Times New Roman" w:hAnsi="Calibri" w:cs="Calibri"/>
                <w:color w:val="000000"/>
                <w:lang w:val="es-CO" w:eastAsia="es-CO" w:bidi="ar-SA"/>
              </w:rPr>
              <w:t xml:space="preserve"> 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w:t>
            </w:r>
          </w:p>
        </w:tc>
        <w:tc>
          <w:tcPr>
            <w:tcW w:w="3798" w:type="dxa"/>
            <w:tcBorders>
              <w:top w:val="nil"/>
              <w:left w:val="nil"/>
              <w:bottom w:val="nil"/>
              <w:right w:val="single" w:sz="4" w:space="0" w:color="000000"/>
            </w:tcBorders>
            <w:shd w:val="clear" w:color="000000" w:fill="FFFFFF"/>
            <w:hideMark/>
          </w:tcPr>
          <w:p w14:paraId="63B5BA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247.- Infraestructura de conectividad para las elecciones</w:t>
            </w:r>
            <w:r w:rsidRPr="00222F34">
              <w:rPr>
                <w:rFonts w:ascii="Calibri" w:eastAsia="Times New Roman" w:hAnsi="Calibri" w:cs="Calibri"/>
                <w:color w:val="000000"/>
                <w:lang w:val="es-CO" w:eastAsia="es-CO" w:bidi="ar-SA"/>
              </w:rPr>
              <w:t>. 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w:t>
            </w:r>
          </w:p>
        </w:tc>
        <w:tc>
          <w:tcPr>
            <w:tcW w:w="3798" w:type="dxa"/>
            <w:tcBorders>
              <w:top w:val="nil"/>
              <w:left w:val="nil"/>
              <w:bottom w:val="nil"/>
              <w:right w:val="single" w:sz="4" w:space="0" w:color="000000"/>
            </w:tcBorders>
            <w:shd w:val="clear" w:color="000000" w:fill="FFFFFF"/>
            <w:hideMark/>
          </w:tcPr>
          <w:p w14:paraId="4DBAEF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247.- Infraestructura de conectividad para las elecciones</w:t>
            </w:r>
            <w:r w:rsidRPr="00222F34">
              <w:rPr>
                <w:rFonts w:ascii="Calibri" w:eastAsia="Times New Roman" w:hAnsi="Calibri" w:cs="Calibri"/>
                <w:color w:val="000000"/>
                <w:lang w:val="es-CO" w:eastAsia="es-CO" w:bidi="ar-SA"/>
              </w:rPr>
              <w:t>. 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w:t>
            </w:r>
          </w:p>
        </w:tc>
        <w:tc>
          <w:tcPr>
            <w:tcW w:w="1480" w:type="dxa"/>
            <w:tcBorders>
              <w:top w:val="nil"/>
              <w:left w:val="nil"/>
              <w:bottom w:val="nil"/>
              <w:right w:val="single" w:sz="4" w:space="0" w:color="000000"/>
            </w:tcBorders>
            <w:shd w:val="clear" w:color="000000" w:fill="FFFFFF"/>
            <w:hideMark/>
          </w:tcPr>
          <w:p w14:paraId="17749610" w14:textId="7DEBE1F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6AEAF8E0"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17A5601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operadores tecnológicos que presten servicios para soportar el proceso electoral deberán implementar los lineamientos y estándares para garantizar la interoperabilidad de estos servicios en concordancia con la Ley 1341 de 2009 modificada por la Ley 1978 de 2019 o normas que las modifiquen, adicionen o sustituyan.   </w:t>
            </w:r>
          </w:p>
        </w:tc>
        <w:tc>
          <w:tcPr>
            <w:tcW w:w="3798" w:type="dxa"/>
            <w:tcBorders>
              <w:top w:val="nil"/>
              <w:left w:val="nil"/>
              <w:bottom w:val="single" w:sz="4" w:space="0" w:color="000000"/>
              <w:right w:val="single" w:sz="4" w:space="0" w:color="000000"/>
            </w:tcBorders>
            <w:shd w:val="clear" w:color="000000" w:fill="FFFFFF"/>
            <w:hideMark/>
          </w:tcPr>
          <w:p w14:paraId="3E654E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operadores de redes y servicios de telecomunicaciones y las entidades que presten la infraestructura tecnológica y/o los servicios para soportar el proceso electoral deberán garantizar la seguridad digital.</w:t>
            </w:r>
          </w:p>
        </w:tc>
        <w:tc>
          <w:tcPr>
            <w:tcW w:w="3798" w:type="dxa"/>
            <w:tcBorders>
              <w:top w:val="nil"/>
              <w:left w:val="nil"/>
              <w:bottom w:val="single" w:sz="4" w:space="0" w:color="000000"/>
              <w:right w:val="single" w:sz="4" w:space="0" w:color="000000"/>
            </w:tcBorders>
            <w:shd w:val="clear" w:color="000000" w:fill="FFFFFF"/>
            <w:hideMark/>
          </w:tcPr>
          <w:p w14:paraId="4F6ED7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operadores de redes y servicios de telecomunicaciones y las entidades que presten la infraestructura tecnológica y/o los servicios para soportar el proceso electoral deberán garantizar la seguridad digital.</w:t>
            </w:r>
          </w:p>
        </w:tc>
        <w:tc>
          <w:tcPr>
            <w:tcW w:w="1480" w:type="dxa"/>
            <w:tcBorders>
              <w:top w:val="nil"/>
              <w:left w:val="nil"/>
              <w:bottom w:val="single" w:sz="4" w:space="0" w:color="000000"/>
              <w:right w:val="single" w:sz="4" w:space="0" w:color="000000"/>
            </w:tcBorders>
            <w:shd w:val="clear" w:color="000000" w:fill="FFFFFF"/>
            <w:hideMark/>
          </w:tcPr>
          <w:p w14:paraId="6A521B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AA32A1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35A98C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55A4817B"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23082E71"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nil"/>
              <w:left w:val="nil"/>
              <w:bottom w:val="nil"/>
              <w:right w:val="single" w:sz="4" w:space="0" w:color="000000"/>
            </w:tcBorders>
            <w:shd w:val="clear" w:color="000000" w:fill="FFFFFF"/>
            <w:hideMark/>
          </w:tcPr>
          <w:p w14:paraId="0BEA67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A78FD3F"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2091EF59"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Auditoría informática electoral</w:t>
            </w:r>
          </w:p>
        </w:tc>
        <w:tc>
          <w:tcPr>
            <w:tcW w:w="3798" w:type="dxa"/>
            <w:tcBorders>
              <w:top w:val="nil"/>
              <w:left w:val="nil"/>
              <w:bottom w:val="single" w:sz="4" w:space="0" w:color="000000"/>
              <w:right w:val="single" w:sz="4" w:space="0" w:color="000000"/>
            </w:tcBorders>
            <w:shd w:val="clear" w:color="000000" w:fill="FFFFFF"/>
            <w:hideMark/>
          </w:tcPr>
          <w:p w14:paraId="1997F802"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Auditoría informática electoral</w:t>
            </w:r>
          </w:p>
        </w:tc>
        <w:tc>
          <w:tcPr>
            <w:tcW w:w="3798" w:type="dxa"/>
            <w:tcBorders>
              <w:top w:val="nil"/>
              <w:left w:val="nil"/>
              <w:bottom w:val="single" w:sz="4" w:space="0" w:color="000000"/>
              <w:right w:val="single" w:sz="4" w:space="0" w:color="000000"/>
            </w:tcBorders>
            <w:shd w:val="clear" w:color="000000" w:fill="FFFFFF"/>
            <w:hideMark/>
          </w:tcPr>
          <w:p w14:paraId="761233EC"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Auditoría informática electoral</w:t>
            </w:r>
          </w:p>
        </w:tc>
        <w:tc>
          <w:tcPr>
            <w:tcW w:w="1480" w:type="dxa"/>
            <w:tcBorders>
              <w:top w:val="nil"/>
              <w:left w:val="nil"/>
              <w:bottom w:val="single" w:sz="4" w:space="0" w:color="000000"/>
              <w:right w:val="single" w:sz="4" w:space="0" w:color="000000"/>
            </w:tcBorders>
            <w:shd w:val="clear" w:color="000000" w:fill="FFFFFF"/>
            <w:hideMark/>
          </w:tcPr>
          <w:p w14:paraId="335EE4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7D28D1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E983FA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244.- Auditoría informática electoral.</w:t>
            </w:r>
            <w:r w:rsidRPr="00222F34">
              <w:rPr>
                <w:rFonts w:ascii="Calibri" w:eastAsia="Times New Roman" w:hAnsi="Calibri" w:cs="Calibri"/>
                <w:color w:val="000000"/>
                <w:lang w:val="es-CO" w:eastAsia="es-CO" w:bidi="ar-SA"/>
              </w:rPr>
              <w:t xml:space="preserve"> Es el conjunto de técnicas, procedimientos y actividades, destinado a analizar, evaluar, probar, verificar y hacer las recomendaciones que sean del caso, en aspectos relacionados con la planificación, control, eficacia y seguridad de los sistemas tecnológicos utilizados por la Organización Electoral, en particular en relación con los mecanismos que permitan garantizar la integridad de las votaciones.</w:t>
            </w:r>
          </w:p>
        </w:tc>
        <w:tc>
          <w:tcPr>
            <w:tcW w:w="3798" w:type="dxa"/>
            <w:tcBorders>
              <w:top w:val="nil"/>
              <w:left w:val="nil"/>
              <w:bottom w:val="nil"/>
              <w:right w:val="single" w:sz="4" w:space="0" w:color="000000"/>
            </w:tcBorders>
            <w:shd w:val="clear" w:color="000000" w:fill="FFFFFF"/>
            <w:hideMark/>
          </w:tcPr>
          <w:p w14:paraId="61CE43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248.- Auditoría informática electoral</w:t>
            </w:r>
            <w:r w:rsidRPr="00222F34">
              <w:rPr>
                <w:rFonts w:ascii="Calibri" w:eastAsia="Times New Roman" w:hAnsi="Calibri" w:cs="Calibri"/>
                <w:color w:val="000000"/>
                <w:lang w:val="es-CO" w:eastAsia="es-CO" w:bidi="ar-SA"/>
              </w:rPr>
              <w:t>. Es el conjunto de técnicas, procedimientos y actividades, destinado a analizar, evaluar, probar, verificar y hacer las recomendaciones que sean del caso, en aspectos relacionados con la planificación, control, eficacia y seguridad de los sistemas tecnológicos utilizados por la Organización Electoral, en particular en relación con los mecanismos que permitan garantizar la integridad de las votaciones.</w:t>
            </w:r>
          </w:p>
        </w:tc>
        <w:tc>
          <w:tcPr>
            <w:tcW w:w="3798" w:type="dxa"/>
            <w:tcBorders>
              <w:top w:val="nil"/>
              <w:left w:val="nil"/>
              <w:bottom w:val="nil"/>
              <w:right w:val="single" w:sz="4" w:space="0" w:color="000000"/>
            </w:tcBorders>
            <w:shd w:val="clear" w:color="000000" w:fill="FFFFFF"/>
            <w:hideMark/>
          </w:tcPr>
          <w:p w14:paraId="410740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248.- Auditoría informática electoral</w:t>
            </w:r>
            <w:r w:rsidRPr="00222F34">
              <w:rPr>
                <w:rFonts w:ascii="Calibri" w:eastAsia="Times New Roman" w:hAnsi="Calibri" w:cs="Calibri"/>
                <w:color w:val="000000"/>
                <w:lang w:val="es-CO" w:eastAsia="es-CO" w:bidi="ar-SA"/>
              </w:rPr>
              <w:t>. Es el conjunto de técnicas, procedimientos y actividades, destinado a analizar, evaluar, probar, verificar y hacer las recomendaciones que sean del caso, en aspectos relacionados con la planificación, control, eficacia y seguridad de los sistemas tecnológicos utilizados por la Organización Electoral, en particular en relación con los mecanismos que permitan garantizar la integridad de las votaciones.</w:t>
            </w:r>
          </w:p>
        </w:tc>
        <w:tc>
          <w:tcPr>
            <w:tcW w:w="1480" w:type="dxa"/>
            <w:tcBorders>
              <w:top w:val="nil"/>
              <w:left w:val="nil"/>
              <w:bottom w:val="nil"/>
              <w:right w:val="single" w:sz="4" w:space="0" w:color="000000"/>
            </w:tcBorders>
            <w:shd w:val="clear" w:color="000000" w:fill="FFFFFF"/>
            <w:hideMark/>
          </w:tcPr>
          <w:p w14:paraId="4E463E58" w14:textId="5A74F1E9"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12D0537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37C4E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Comprende un examen metódico y pormenorizado de los servicios informáticos que están involucrados en el proceso electoral, y el seguimiento en tiempo oportuno de los procesos de sorteo de jurados y postulación de testigos, preconteo, y escrutinio  y cualquier otro sistema tecnologico que intervenga o participe en el sistema electoral. Esto con el fin de evaluar la funcionalidad, la trazabilidad, la seguridad de los mismos y la veracidad de los resultados electorales. </w:t>
            </w:r>
          </w:p>
        </w:tc>
        <w:tc>
          <w:tcPr>
            <w:tcW w:w="3798" w:type="dxa"/>
            <w:tcBorders>
              <w:top w:val="nil"/>
              <w:left w:val="nil"/>
              <w:bottom w:val="nil"/>
              <w:right w:val="single" w:sz="4" w:space="0" w:color="000000"/>
            </w:tcBorders>
            <w:shd w:val="clear" w:color="000000" w:fill="FFFFFF"/>
            <w:hideMark/>
          </w:tcPr>
          <w:p w14:paraId="32DD65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Comprende un examen metódico y pormenorizado de los servicios informáticos que están involucrados en el proceso electoral, y el seguimiento en tiempo oportuno de los procesos de inscripción de ciudadanos, sorteo de jurados y postulación de testigos, preconteo, y escrutinio y cualquier otro sistema tecnológico que intervenga o participe en el sistema electoral. Esto con el fin de evaluar la funcionalidad, la trazabilidad, la seguridad de los mismos y la veracidad de los resultados electorales.</w:t>
            </w:r>
          </w:p>
        </w:tc>
        <w:tc>
          <w:tcPr>
            <w:tcW w:w="3798" w:type="dxa"/>
            <w:tcBorders>
              <w:top w:val="nil"/>
              <w:left w:val="nil"/>
              <w:bottom w:val="nil"/>
              <w:right w:val="single" w:sz="4" w:space="0" w:color="000000"/>
            </w:tcBorders>
            <w:shd w:val="clear" w:color="000000" w:fill="FFFFFF"/>
            <w:hideMark/>
          </w:tcPr>
          <w:p w14:paraId="728B3B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Comprende un examen metódico y pormenorizado de los servicios informáticos que están involucrados en el proceso electoral, y el seguimiento en tiempo oportuno de los procesos de inscripción de ciudadanos, sorteo de jurados y postulación de testigos, preconteo, y escrutinio y cualquier otro sistema tecnológico que intervenga o participe en el sistema electoral. Esto con el fin de evaluar la funcionalidad, la trazabilidad, la seguridad de los mismos y la veracidad de los resultados electorales.</w:t>
            </w:r>
          </w:p>
        </w:tc>
        <w:tc>
          <w:tcPr>
            <w:tcW w:w="1480" w:type="dxa"/>
            <w:tcBorders>
              <w:top w:val="nil"/>
              <w:left w:val="nil"/>
              <w:bottom w:val="nil"/>
              <w:right w:val="single" w:sz="4" w:space="0" w:color="000000"/>
            </w:tcBorders>
            <w:shd w:val="clear" w:color="000000" w:fill="FFFFFF"/>
            <w:hideMark/>
          </w:tcPr>
          <w:p w14:paraId="62668A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2514E05"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5D1FCC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auditoría se realizará en todas las plataformas tecnológicas incluyendo, revisiones de la parte documental, funcional, de todo el código fuente tanto del lado de los equipos como de los servidores (“front end” y “back end”), de las bases de datos, sistemas operativos, mecanismos criptográficos de entrada y salida, hardware y cualquier otro sistema o herramienta tecnológica que intervenga o participe en el sistema electoral, para lo cual se llevarán a cabo las pruebas, simulacros, test de seguridad, y demás actividades necesarias.</w:t>
            </w:r>
          </w:p>
        </w:tc>
        <w:tc>
          <w:tcPr>
            <w:tcW w:w="3798" w:type="dxa"/>
            <w:tcBorders>
              <w:top w:val="nil"/>
              <w:left w:val="nil"/>
              <w:bottom w:val="nil"/>
              <w:right w:val="single" w:sz="4" w:space="0" w:color="000000"/>
            </w:tcBorders>
            <w:shd w:val="clear" w:color="000000" w:fill="FFFFFF"/>
            <w:hideMark/>
          </w:tcPr>
          <w:p w14:paraId="27F578D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auditoría se realizará en todas las plataformas tecnológicas incluyendo, revisiones de la parte documental, funcional, de todo el código fuente tanto del lado de los equipos como de los servidores (“front end” y “back end”), de las bases de datos, sistemas operativos, mecanismos criptográficos de entrada y salida, hardware y cualquier otro sistema o herramienta tecnológica que intervenga o participe en el sistema electoral, para lo cual se llevarán a cabo las pruebas, simulacros, test de seguridad, y demás actividades necesarias.</w:t>
            </w:r>
          </w:p>
        </w:tc>
        <w:tc>
          <w:tcPr>
            <w:tcW w:w="3798" w:type="dxa"/>
            <w:tcBorders>
              <w:top w:val="nil"/>
              <w:left w:val="nil"/>
              <w:bottom w:val="nil"/>
              <w:right w:val="single" w:sz="4" w:space="0" w:color="000000"/>
            </w:tcBorders>
            <w:shd w:val="clear" w:color="000000" w:fill="FFFFFF"/>
            <w:hideMark/>
          </w:tcPr>
          <w:p w14:paraId="0F2A5D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auditoría se realizará en todas las plataformas tecnológicas incluyendo, revisiones de la parte documental, funcional, de todo el código fuente tanto del lado de los equipos como de los servidores (“front end” y “back end”), de las bases de datos, sistemas operativos, mecanismos criptográficos de entrada y salida, hardware y cualquier otro sistema o herramienta tecnológica que intervenga o participe en el sistema electoral, para lo cual se llevarán a cabo las pruebas, simulacros, test de seguridad, y demás actividades necesarias.</w:t>
            </w:r>
          </w:p>
        </w:tc>
        <w:tc>
          <w:tcPr>
            <w:tcW w:w="1480" w:type="dxa"/>
            <w:tcBorders>
              <w:top w:val="nil"/>
              <w:left w:val="nil"/>
              <w:bottom w:val="nil"/>
              <w:right w:val="single" w:sz="4" w:space="0" w:color="000000"/>
            </w:tcBorders>
            <w:shd w:val="clear" w:color="000000" w:fill="FFFFFF"/>
            <w:hideMark/>
          </w:tcPr>
          <w:p w14:paraId="674DE4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70066DF" w14:textId="77777777" w:rsidTr="00222F34">
        <w:trPr>
          <w:trHeight w:val="1500"/>
        </w:trPr>
        <w:tc>
          <w:tcPr>
            <w:tcW w:w="3798" w:type="dxa"/>
            <w:tcBorders>
              <w:top w:val="nil"/>
              <w:left w:val="single" w:sz="4" w:space="0" w:color="000000"/>
              <w:bottom w:val="nil"/>
              <w:right w:val="single" w:sz="4" w:space="0" w:color="000000"/>
            </w:tcBorders>
            <w:shd w:val="clear" w:color="FFC000" w:fill="FFFFFF"/>
            <w:hideMark/>
          </w:tcPr>
          <w:p w14:paraId="742AF2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2EB74C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Plan de Auditorías será dado a conocer a los auditores acreditados, misiones de observación electoral nacional e internacional y organizaciones políticas a más tardar siete (7) meses antes del inicio de funcionamiento de los sistemas. Los tiempos para la presentación de resultados y hallazgos y su adopción seguirá las reglas y tiempos establecidos en el siguiente artículo.</w:t>
            </w:r>
          </w:p>
        </w:tc>
        <w:tc>
          <w:tcPr>
            <w:tcW w:w="3798" w:type="dxa"/>
            <w:tcBorders>
              <w:top w:val="nil"/>
              <w:left w:val="nil"/>
              <w:bottom w:val="nil"/>
              <w:right w:val="single" w:sz="4" w:space="0" w:color="000000"/>
            </w:tcBorders>
            <w:shd w:val="clear" w:color="000000" w:fill="FFFFFF"/>
            <w:hideMark/>
          </w:tcPr>
          <w:p w14:paraId="48EBF3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Plan de Auditorías será dado a conocer a los auditores acreditados, misiones de observación electoral nacional e internacional y organizaciones políticas a más tardar siete (7) meses antes del inicio de funcionamiento de los sistemas. Los tiempos para la presentación de resultados y hallazgos y su adopción seguirá las reglas y tiempos establecidos en el siguiente artículo.</w:t>
            </w:r>
          </w:p>
        </w:tc>
        <w:tc>
          <w:tcPr>
            <w:tcW w:w="1480" w:type="dxa"/>
            <w:tcBorders>
              <w:top w:val="nil"/>
              <w:left w:val="nil"/>
              <w:bottom w:val="nil"/>
              <w:right w:val="single" w:sz="4" w:space="0" w:color="000000"/>
            </w:tcBorders>
            <w:shd w:val="clear" w:color="000000" w:fill="FFFFFF"/>
            <w:hideMark/>
          </w:tcPr>
          <w:p w14:paraId="1EDAB2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5C8E23D"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757753D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auditores de sistemas durante las jornadas de escrutinio en mesa y en comisión.</w:t>
            </w:r>
          </w:p>
        </w:tc>
        <w:tc>
          <w:tcPr>
            <w:tcW w:w="3798" w:type="dxa"/>
            <w:tcBorders>
              <w:top w:val="nil"/>
              <w:left w:val="nil"/>
              <w:bottom w:val="single" w:sz="4" w:space="0" w:color="000000"/>
              <w:right w:val="single" w:sz="4" w:space="0" w:color="000000"/>
            </w:tcBorders>
            <w:shd w:val="clear" w:color="000000" w:fill="FFFFFF"/>
            <w:hideMark/>
          </w:tcPr>
          <w:p w14:paraId="7DD7A52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auditores de sistemas durante las jornadas de escrutinio en mesa y en comisión.</w:t>
            </w:r>
          </w:p>
        </w:tc>
        <w:tc>
          <w:tcPr>
            <w:tcW w:w="3798" w:type="dxa"/>
            <w:tcBorders>
              <w:top w:val="nil"/>
              <w:left w:val="nil"/>
              <w:bottom w:val="single" w:sz="4" w:space="0" w:color="000000"/>
              <w:right w:val="single" w:sz="4" w:space="0" w:color="000000"/>
            </w:tcBorders>
            <w:shd w:val="clear" w:color="000000" w:fill="FFFFFF"/>
            <w:hideMark/>
          </w:tcPr>
          <w:p w14:paraId="54E8EC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auditores de sistemas durante las jornadas de escrutinio en mesa y en comisión.</w:t>
            </w:r>
          </w:p>
        </w:tc>
        <w:tc>
          <w:tcPr>
            <w:tcW w:w="1480" w:type="dxa"/>
            <w:tcBorders>
              <w:top w:val="nil"/>
              <w:left w:val="nil"/>
              <w:bottom w:val="single" w:sz="4" w:space="0" w:color="000000"/>
              <w:right w:val="single" w:sz="4" w:space="0" w:color="000000"/>
            </w:tcBorders>
            <w:shd w:val="clear" w:color="000000" w:fill="FFFFFF"/>
            <w:hideMark/>
          </w:tcPr>
          <w:p w14:paraId="06CD1C7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7BF0861"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069BE0B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245.- Auditorías de funcionalidad.</w:t>
            </w:r>
            <w:r w:rsidRPr="00222F34">
              <w:rPr>
                <w:rFonts w:ascii="Calibri" w:eastAsia="Times New Roman" w:hAnsi="Calibri" w:cs="Calibri"/>
                <w:color w:val="000000"/>
                <w:lang w:val="es-CO" w:eastAsia="es-CO" w:bidi="ar-SA"/>
              </w:rPr>
              <w:t xml:space="preserve"> Además de lo establecido en el artículo anterior, los auditores de sistemas y expertos nacionales e internacionales de misiones electorales acreditados podrán conocer, acompañar e inspeccionar la funcionalidad de todos los procesos de sistematización de datos que utilice, la Organización Electoral para el cumplimiento de sus fines y que guarden estrecha relación con los resultados electorales, con el propósito de presentar las observaciones correspondientes. La Organización Electoral deberá proporcionarles la información correspondiente desde la </w:t>
            </w:r>
            <w:r w:rsidRPr="00222F34">
              <w:rPr>
                <w:rFonts w:ascii="Calibri" w:eastAsia="Times New Roman" w:hAnsi="Calibri" w:cs="Calibri"/>
                <w:color w:val="000000"/>
                <w:lang w:val="es-CO" w:eastAsia="es-CO" w:bidi="ar-SA"/>
              </w:rPr>
              <w:lastRenderedPageBreak/>
              <w:t xml:space="preserve">etapa de contratación de los mencionados procesos.  </w:t>
            </w:r>
          </w:p>
        </w:tc>
        <w:tc>
          <w:tcPr>
            <w:tcW w:w="3798" w:type="dxa"/>
            <w:tcBorders>
              <w:top w:val="nil"/>
              <w:left w:val="nil"/>
              <w:bottom w:val="nil"/>
              <w:right w:val="single" w:sz="4" w:space="0" w:color="000000"/>
            </w:tcBorders>
            <w:shd w:val="clear" w:color="00FF00" w:fill="FFFFFF"/>
            <w:hideMark/>
          </w:tcPr>
          <w:p w14:paraId="250829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249.- Auditorías de funcionalidad. </w:t>
            </w:r>
            <w:r w:rsidRPr="00222F34">
              <w:rPr>
                <w:rFonts w:ascii="Calibri" w:eastAsia="Times New Roman" w:hAnsi="Calibri" w:cs="Calibri"/>
                <w:color w:val="000000"/>
                <w:lang w:val="es-CO" w:eastAsia="es-CO" w:bidi="ar-SA"/>
              </w:rPr>
              <w:t xml:space="preserve">Además de lo establecido en el artículo anterior, los auditores de sistemas y expertos nacionales e internacionales de misiones electorales acreditados podrán conocer, acompañar e inspeccionar la funcionalidad de todos los procesos de sistematización de datos que utilice, la Organización Electoral para el cumplimiento de sus fines y que guarden estrecha relación con los resultados electorales, con el propósito de presentar las observaciones correspondientes. La Organización Electoral deberá proporcionarles la información correspondiente desde la </w:t>
            </w:r>
            <w:r w:rsidRPr="00222F34">
              <w:rPr>
                <w:rFonts w:ascii="Calibri" w:eastAsia="Times New Roman" w:hAnsi="Calibri" w:cs="Calibri"/>
                <w:color w:val="000000"/>
                <w:lang w:val="es-CO" w:eastAsia="es-CO" w:bidi="ar-SA"/>
              </w:rPr>
              <w:lastRenderedPageBreak/>
              <w:t>etapa de contratación de los mencionados procesos.</w:t>
            </w:r>
          </w:p>
        </w:tc>
        <w:tc>
          <w:tcPr>
            <w:tcW w:w="3798" w:type="dxa"/>
            <w:tcBorders>
              <w:top w:val="nil"/>
              <w:left w:val="nil"/>
              <w:bottom w:val="nil"/>
              <w:right w:val="single" w:sz="4" w:space="0" w:color="000000"/>
            </w:tcBorders>
            <w:shd w:val="clear" w:color="00FF00" w:fill="FFFFFF"/>
            <w:hideMark/>
          </w:tcPr>
          <w:p w14:paraId="451E21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249.- Auditorías de funcionalidad. </w:t>
            </w:r>
            <w:r w:rsidRPr="00222F34">
              <w:rPr>
                <w:rFonts w:ascii="Calibri" w:eastAsia="Times New Roman" w:hAnsi="Calibri" w:cs="Calibri"/>
                <w:color w:val="000000"/>
                <w:lang w:val="es-CO" w:eastAsia="es-CO" w:bidi="ar-SA"/>
              </w:rPr>
              <w:t xml:space="preserve">Además de lo establecido en el artículo anterior, los auditores de sistemas y expertos nacionales e internacionales de misiones electorales acreditados podrán conocer, acompañar e inspeccionar la funcionalidad de todos los procesos de sistematización de datos que utilice, la Organización Electoral para el cumplimiento de sus fines y que guarden estrecha relación con los resultados electorales, con el propósito de presentar las observaciones correspondientes. La Organización Electoral deberá proporcionarles la información correspondiente desde la </w:t>
            </w:r>
            <w:r w:rsidRPr="00222F34">
              <w:rPr>
                <w:rFonts w:ascii="Calibri" w:eastAsia="Times New Roman" w:hAnsi="Calibri" w:cs="Calibri"/>
                <w:color w:val="000000"/>
                <w:lang w:val="es-CO" w:eastAsia="es-CO" w:bidi="ar-SA"/>
              </w:rPr>
              <w:lastRenderedPageBreak/>
              <w:t>etapa de contratación de los mencionados procesos.</w:t>
            </w:r>
          </w:p>
        </w:tc>
        <w:tc>
          <w:tcPr>
            <w:tcW w:w="1480" w:type="dxa"/>
            <w:tcBorders>
              <w:top w:val="nil"/>
              <w:left w:val="nil"/>
              <w:bottom w:val="nil"/>
              <w:right w:val="single" w:sz="4" w:space="0" w:color="000000"/>
            </w:tcBorders>
            <w:shd w:val="clear" w:color="000000" w:fill="FFFFFF"/>
            <w:hideMark/>
          </w:tcPr>
          <w:p w14:paraId="2FFA7DF6" w14:textId="3FCB172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Pr="00222F34">
              <w:rPr>
                <w:rFonts w:ascii="Calibri" w:eastAsia="Times New Roman" w:hAnsi="Calibri" w:cs="Calibri"/>
                <w:color w:val="000000"/>
                <w:lang w:val="es-CO" w:eastAsia="es-CO" w:bidi="ar-SA"/>
              </w:rPr>
              <w:t>, salvo el penúltimo inciso y en los parágrafos 1 y 2, en los que se acogen los textos de Senado.</w:t>
            </w:r>
          </w:p>
        </w:tc>
      </w:tr>
      <w:tr w:rsidR="00CD4925" w:rsidRPr="00222F34" w14:paraId="3EF295D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6B14C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Por consiguiente, tendrán entre otros los siguientes derechos y garantías especiales:  </w:t>
            </w:r>
          </w:p>
        </w:tc>
        <w:tc>
          <w:tcPr>
            <w:tcW w:w="3798" w:type="dxa"/>
            <w:tcBorders>
              <w:top w:val="nil"/>
              <w:left w:val="nil"/>
              <w:bottom w:val="nil"/>
              <w:right w:val="single" w:sz="4" w:space="0" w:color="000000"/>
            </w:tcBorders>
            <w:shd w:val="clear" w:color="00FF00" w:fill="FFFFFF"/>
            <w:hideMark/>
          </w:tcPr>
          <w:p w14:paraId="4ABF6E4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Por consiguiente, tendrán entre otros los siguientes derechos y garantías especiales:</w:t>
            </w:r>
          </w:p>
        </w:tc>
        <w:tc>
          <w:tcPr>
            <w:tcW w:w="3798" w:type="dxa"/>
            <w:tcBorders>
              <w:top w:val="nil"/>
              <w:left w:val="nil"/>
              <w:bottom w:val="nil"/>
              <w:right w:val="single" w:sz="4" w:space="0" w:color="000000"/>
            </w:tcBorders>
            <w:shd w:val="clear" w:color="00FF00" w:fill="FFFFFF"/>
            <w:hideMark/>
          </w:tcPr>
          <w:p w14:paraId="2CF5A4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Por consiguiente, tendrán entre otros los siguientes derechos y garantías especiales:</w:t>
            </w:r>
          </w:p>
        </w:tc>
        <w:tc>
          <w:tcPr>
            <w:tcW w:w="1480" w:type="dxa"/>
            <w:tcBorders>
              <w:top w:val="nil"/>
              <w:left w:val="nil"/>
              <w:bottom w:val="nil"/>
              <w:right w:val="single" w:sz="4" w:space="0" w:color="000000"/>
            </w:tcBorders>
            <w:shd w:val="clear" w:color="000000" w:fill="FFFFFF"/>
            <w:hideMark/>
          </w:tcPr>
          <w:p w14:paraId="66A765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D6136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B6A8C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Auditar la funcionalidad del proceso desarrollado por el software utilizado para la escogencia de jurados de votación.  </w:t>
            </w:r>
          </w:p>
        </w:tc>
        <w:tc>
          <w:tcPr>
            <w:tcW w:w="3798" w:type="dxa"/>
            <w:tcBorders>
              <w:top w:val="nil"/>
              <w:left w:val="nil"/>
              <w:bottom w:val="nil"/>
              <w:right w:val="single" w:sz="4" w:space="0" w:color="000000"/>
            </w:tcBorders>
            <w:shd w:val="clear" w:color="00FF00" w:fill="FFFFFF"/>
            <w:hideMark/>
          </w:tcPr>
          <w:p w14:paraId="41955F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Auditar la funcionalidad del proceso desarrollado por el software utilizado para la escogencia de jurados de votación y la inscripción de ciudadanos.</w:t>
            </w:r>
          </w:p>
        </w:tc>
        <w:tc>
          <w:tcPr>
            <w:tcW w:w="3798" w:type="dxa"/>
            <w:tcBorders>
              <w:top w:val="nil"/>
              <w:left w:val="nil"/>
              <w:bottom w:val="nil"/>
              <w:right w:val="single" w:sz="4" w:space="0" w:color="000000"/>
            </w:tcBorders>
            <w:shd w:val="clear" w:color="00FF00" w:fill="FFFFFF"/>
            <w:hideMark/>
          </w:tcPr>
          <w:p w14:paraId="1A724A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Auditar la funcionalidad del proceso desarrollado por el software utilizado para la escogencia de jurados de votación y la inscripción de ciudadanos.</w:t>
            </w:r>
          </w:p>
        </w:tc>
        <w:tc>
          <w:tcPr>
            <w:tcW w:w="1480" w:type="dxa"/>
            <w:tcBorders>
              <w:top w:val="nil"/>
              <w:left w:val="nil"/>
              <w:bottom w:val="nil"/>
              <w:right w:val="single" w:sz="4" w:space="0" w:color="000000"/>
            </w:tcBorders>
            <w:shd w:val="clear" w:color="000000" w:fill="FFFFFF"/>
            <w:hideMark/>
          </w:tcPr>
          <w:p w14:paraId="2D9547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E84272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9B337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Auditar la funcionalidad del proceso de captura de datos y la contabilización y el manejo de la información relacionada con los resultados de las votaciones de los procesos electorales.  </w:t>
            </w:r>
          </w:p>
        </w:tc>
        <w:tc>
          <w:tcPr>
            <w:tcW w:w="3798" w:type="dxa"/>
            <w:tcBorders>
              <w:top w:val="nil"/>
              <w:left w:val="nil"/>
              <w:bottom w:val="nil"/>
              <w:right w:val="single" w:sz="4" w:space="0" w:color="000000"/>
            </w:tcBorders>
            <w:shd w:val="clear" w:color="00FF00" w:fill="FFFFFF"/>
            <w:hideMark/>
          </w:tcPr>
          <w:p w14:paraId="6B65F9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Auditar la funcionalidad del proceso de captura de datos y la contabilización y el manejo de la información relacionada con los resultados de las votaciones de los procesos electorales.</w:t>
            </w:r>
          </w:p>
        </w:tc>
        <w:tc>
          <w:tcPr>
            <w:tcW w:w="3798" w:type="dxa"/>
            <w:tcBorders>
              <w:top w:val="nil"/>
              <w:left w:val="nil"/>
              <w:bottom w:val="nil"/>
              <w:right w:val="single" w:sz="4" w:space="0" w:color="000000"/>
            </w:tcBorders>
            <w:shd w:val="clear" w:color="00FF00" w:fill="FFFFFF"/>
            <w:hideMark/>
          </w:tcPr>
          <w:p w14:paraId="42124A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Auditar la funcionalidad del proceso de captura de datos y la contabilización y el manejo de la información relacionada con los resultados de las votaciones de los procesos electorales.</w:t>
            </w:r>
          </w:p>
        </w:tc>
        <w:tc>
          <w:tcPr>
            <w:tcW w:w="1480" w:type="dxa"/>
            <w:tcBorders>
              <w:top w:val="nil"/>
              <w:left w:val="nil"/>
              <w:bottom w:val="nil"/>
              <w:right w:val="single" w:sz="4" w:space="0" w:color="000000"/>
            </w:tcBorders>
            <w:shd w:val="clear" w:color="000000" w:fill="FFFFFF"/>
            <w:hideMark/>
          </w:tcPr>
          <w:p w14:paraId="52B400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09DBF7"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EDE2E2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Auditar la funcionalidad del proceso de captura del resultado de la votación de cada una de las mesas de votación.  </w:t>
            </w:r>
          </w:p>
        </w:tc>
        <w:tc>
          <w:tcPr>
            <w:tcW w:w="3798" w:type="dxa"/>
            <w:tcBorders>
              <w:top w:val="nil"/>
              <w:left w:val="nil"/>
              <w:bottom w:val="nil"/>
              <w:right w:val="single" w:sz="4" w:space="0" w:color="000000"/>
            </w:tcBorders>
            <w:shd w:val="clear" w:color="00FF00" w:fill="FFFFFF"/>
            <w:hideMark/>
          </w:tcPr>
          <w:p w14:paraId="7C9C55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Auditar la funcionalidad del proceso de captura del resultado de la votación de cada una de las mesas de votación.</w:t>
            </w:r>
          </w:p>
        </w:tc>
        <w:tc>
          <w:tcPr>
            <w:tcW w:w="3798" w:type="dxa"/>
            <w:tcBorders>
              <w:top w:val="nil"/>
              <w:left w:val="nil"/>
              <w:bottom w:val="nil"/>
              <w:right w:val="single" w:sz="4" w:space="0" w:color="000000"/>
            </w:tcBorders>
            <w:shd w:val="clear" w:color="00FF00" w:fill="FFFFFF"/>
            <w:hideMark/>
          </w:tcPr>
          <w:p w14:paraId="147F20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Auditar la funcionalidad del proceso de captura del resultado de la votación de cada una de las mesas de votación.</w:t>
            </w:r>
          </w:p>
        </w:tc>
        <w:tc>
          <w:tcPr>
            <w:tcW w:w="1480" w:type="dxa"/>
            <w:tcBorders>
              <w:top w:val="nil"/>
              <w:left w:val="nil"/>
              <w:bottom w:val="nil"/>
              <w:right w:val="single" w:sz="4" w:space="0" w:color="000000"/>
            </w:tcBorders>
            <w:shd w:val="clear" w:color="000000" w:fill="FFFFFF"/>
            <w:hideMark/>
          </w:tcPr>
          <w:p w14:paraId="6C13E3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267FD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F4872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Auditar la funcionalidad del procesamiento y la consolidación de los resultados consignados en las actas de jurados de votación.  </w:t>
            </w:r>
          </w:p>
        </w:tc>
        <w:tc>
          <w:tcPr>
            <w:tcW w:w="3798" w:type="dxa"/>
            <w:tcBorders>
              <w:top w:val="nil"/>
              <w:left w:val="nil"/>
              <w:bottom w:val="nil"/>
              <w:right w:val="single" w:sz="4" w:space="0" w:color="000000"/>
            </w:tcBorders>
            <w:shd w:val="clear" w:color="00FF00" w:fill="FFFFFF"/>
            <w:hideMark/>
          </w:tcPr>
          <w:p w14:paraId="795464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Auditar la funcionalidad del procesamiento y la consolidación de los resultados consignados en las actas de jurados de votación.</w:t>
            </w:r>
          </w:p>
        </w:tc>
        <w:tc>
          <w:tcPr>
            <w:tcW w:w="3798" w:type="dxa"/>
            <w:tcBorders>
              <w:top w:val="nil"/>
              <w:left w:val="nil"/>
              <w:bottom w:val="nil"/>
              <w:right w:val="single" w:sz="4" w:space="0" w:color="000000"/>
            </w:tcBorders>
            <w:shd w:val="clear" w:color="00FF00" w:fill="FFFFFF"/>
            <w:hideMark/>
          </w:tcPr>
          <w:p w14:paraId="35AF053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Auditar la funcionalidad del procesamiento y la consolidación de los resultados consignados en las actas de jurados de votación.</w:t>
            </w:r>
          </w:p>
        </w:tc>
        <w:tc>
          <w:tcPr>
            <w:tcW w:w="1480" w:type="dxa"/>
            <w:tcBorders>
              <w:top w:val="nil"/>
              <w:left w:val="nil"/>
              <w:bottom w:val="nil"/>
              <w:right w:val="single" w:sz="4" w:space="0" w:color="000000"/>
            </w:tcBorders>
            <w:shd w:val="clear" w:color="000000" w:fill="FFFFFF"/>
            <w:hideMark/>
          </w:tcPr>
          <w:p w14:paraId="166739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F0D7C3F"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D01F6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5. Participar en el registro y verificación de la información técnica del código fuente y ejecutables del software de preconteo, escrutinio, digitalización, consolidación y divulgación, que para tal efecto realice la Organización Electoral.  </w:t>
            </w:r>
          </w:p>
        </w:tc>
        <w:tc>
          <w:tcPr>
            <w:tcW w:w="3798" w:type="dxa"/>
            <w:tcBorders>
              <w:top w:val="nil"/>
              <w:left w:val="nil"/>
              <w:bottom w:val="nil"/>
              <w:right w:val="single" w:sz="4" w:space="0" w:color="000000"/>
            </w:tcBorders>
            <w:shd w:val="clear" w:color="00FF00" w:fill="FFFFFF"/>
            <w:hideMark/>
          </w:tcPr>
          <w:p w14:paraId="1F6B9E7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Participar en el registro y verificación de la información técnica del código fuente y ejecutables del software de inscripción de ciudadanos, sorteo de jurados de votación, preconteo, escrutinio, digitalización, consolidación y divulgación, que para tal efecto realice la Organización Electoral.</w:t>
            </w:r>
          </w:p>
        </w:tc>
        <w:tc>
          <w:tcPr>
            <w:tcW w:w="3798" w:type="dxa"/>
            <w:tcBorders>
              <w:top w:val="nil"/>
              <w:left w:val="nil"/>
              <w:bottom w:val="nil"/>
              <w:right w:val="single" w:sz="4" w:space="0" w:color="000000"/>
            </w:tcBorders>
            <w:shd w:val="clear" w:color="00FF00" w:fill="FFFFFF"/>
            <w:hideMark/>
          </w:tcPr>
          <w:p w14:paraId="7EAA50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Participar en el registro y verificación de la información técnica del código fuente y ejecutables del software de inscripción de ciudadanos, sorteo de jurados de votación, preconteo, escrutinio, digitalización, consolidación y divulgación, que para tal efecto realice la Organización Electoral.</w:t>
            </w:r>
          </w:p>
        </w:tc>
        <w:tc>
          <w:tcPr>
            <w:tcW w:w="1480" w:type="dxa"/>
            <w:tcBorders>
              <w:top w:val="nil"/>
              <w:left w:val="nil"/>
              <w:bottom w:val="nil"/>
              <w:right w:val="single" w:sz="4" w:space="0" w:color="000000"/>
            </w:tcBorders>
            <w:shd w:val="clear" w:color="000000" w:fill="FFFFFF"/>
            <w:hideMark/>
          </w:tcPr>
          <w:p w14:paraId="66EEB7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0CF75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364821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Solicitar la entrega del Log completo de auditoría que genere el software de escrutinio.  </w:t>
            </w:r>
          </w:p>
        </w:tc>
        <w:tc>
          <w:tcPr>
            <w:tcW w:w="3798" w:type="dxa"/>
            <w:tcBorders>
              <w:top w:val="nil"/>
              <w:left w:val="nil"/>
              <w:bottom w:val="nil"/>
              <w:right w:val="single" w:sz="4" w:space="0" w:color="000000"/>
            </w:tcBorders>
            <w:shd w:val="clear" w:color="00FF00" w:fill="FFFFFF"/>
            <w:hideMark/>
          </w:tcPr>
          <w:p w14:paraId="71E0448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Solicitar la entrega del Log completo de auditoría que genere el software de escrutinio.</w:t>
            </w:r>
          </w:p>
        </w:tc>
        <w:tc>
          <w:tcPr>
            <w:tcW w:w="3798" w:type="dxa"/>
            <w:tcBorders>
              <w:top w:val="nil"/>
              <w:left w:val="nil"/>
              <w:bottom w:val="nil"/>
              <w:right w:val="single" w:sz="4" w:space="0" w:color="000000"/>
            </w:tcBorders>
            <w:shd w:val="clear" w:color="00FF00" w:fill="FFFFFF"/>
            <w:hideMark/>
          </w:tcPr>
          <w:p w14:paraId="43B135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Solicitar la entrega del Log completo de auditoría que genere el software de escrutinio.</w:t>
            </w:r>
          </w:p>
        </w:tc>
        <w:tc>
          <w:tcPr>
            <w:tcW w:w="1480" w:type="dxa"/>
            <w:tcBorders>
              <w:top w:val="nil"/>
              <w:left w:val="nil"/>
              <w:bottom w:val="nil"/>
              <w:right w:val="single" w:sz="4" w:space="0" w:color="000000"/>
            </w:tcBorders>
            <w:shd w:val="clear" w:color="000000" w:fill="FFFFFF"/>
            <w:hideMark/>
          </w:tcPr>
          <w:p w14:paraId="005B56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352F48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4B7A92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Formular observaciones o recomendaciones sobre los documentos contractuales. </w:t>
            </w:r>
          </w:p>
        </w:tc>
        <w:tc>
          <w:tcPr>
            <w:tcW w:w="3798" w:type="dxa"/>
            <w:tcBorders>
              <w:top w:val="nil"/>
              <w:left w:val="nil"/>
              <w:bottom w:val="nil"/>
              <w:right w:val="single" w:sz="4" w:space="0" w:color="000000"/>
            </w:tcBorders>
            <w:shd w:val="clear" w:color="00FF00" w:fill="FFFFFF"/>
            <w:hideMark/>
          </w:tcPr>
          <w:p w14:paraId="3860F59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Formular observaciones o recomendaciones sobre los documentos contractuales.</w:t>
            </w:r>
          </w:p>
        </w:tc>
        <w:tc>
          <w:tcPr>
            <w:tcW w:w="3798" w:type="dxa"/>
            <w:tcBorders>
              <w:top w:val="nil"/>
              <w:left w:val="nil"/>
              <w:bottom w:val="nil"/>
              <w:right w:val="single" w:sz="4" w:space="0" w:color="000000"/>
            </w:tcBorders>
            <w:shd w:val="clear" w:color="00FF00" w:fill="FFFFFF"/>
            <w:hideMark/>
          </w:tcPr>
          <w:p w14:paraId="7ABB4CE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Formular observaciones o recomendaciones sobre los documentos contractuales.</w:t>
            </w:r>
          </w:p>
        </w:tc>
        <w:tc>
          <w:tcPr>
            <w:tcW w:w="1480" w:type="dxa"/>
            <w:tcBorders>
              <w:top w:val="nil"/>
              <w:left w:val="nil"/>
              <w:bottom w:val="nil"/>
              <w:right w:val="single" w:sz="4" w:space="0" w:color="000000"/>
            </w:tcBorders>
            <w:shd w:val="clear" w:color="000000" w:fill="FFFFFF"/>
            <w:hideMark/>
          </w:tcPr>
          <w:p w14:paraId="7E81C4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CB9DE2"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07B2C0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Las funciones que se deriven de los protocolos de observación electoral.  </w:t>
            </w:r>
          </w:p>
        </w:tc>
        <w:tc>
          <w:tcPr>
            <w:tcW w:w="3798" w:type="dxa"/>
            <w:tcBorders>
              <w:top w:val="nil"/>
              <w:left w:val="nil"/>
              <w:bottom w:val="nil"/>
              <w:right w:val="single" w:sz="4" w:space="0" w:color="000000"/>
            </w:tcBorders>
            <w:shd w:val="clear" w:color="00FF00" w:fill="FFFFFF"/>
            <w:hideMark/>
          </w:tcPr>
          <w:p w14:paraId="00547A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Las funciones que se deriven de los protocolos de observación electoral y del Plan de Auditorías.</w:t>
            </w:r>
          </w:p>
        </w:tc>
        <w:tc>
          <w:tcPr>
            <w:tcW w:w="3798" w:type="dxa"/>
            <w:tcBorders>
              <w:top w:val="nil"/>
              <w:left w:val="nil"/>
              <w:bottom w:val="nil"/>
              <w:right w:val="single" w:sz="4" w:space="0" w:color="000000"/>
            </w:tcBorders>
            <w:shd w:val="clear" w:color="00FF00" w:fill="FFFFFF"/>
            <w:hideMark/>
          </w:tcPr>
          <w:p w14:paraId="43FBEDD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Las funciones que se deriven de los protocolos de observación electoral y del Plan de Auditorías.</w:t>
            </w:r>
          </w:p>
        </w:tc>
        <w:tc>
          <w:tcPr>
            <w:tcW w:w="1480" w:type="dxa"/>
            <w:tcBorders>
              <w:top w:val="nil"/>
              <w:left w:val="nil"/>
              <w:bottom w:val="nil"/>
              <w:right w:val="single" w:sz="4" w:space="0" w:color="000000"/>
            </w:tcBorders>
            <w:shd w:val="clear" w:color="000000" w:fill="FFFFFF"/>
            <w:hideMark/>
          </w:tcPr>
          <w:p w14:paraId="32E16AD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56C52F"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7A74A5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el ejercicio de estas facultades, los auditores de sistemas tendrán en cuenta los instructivos elaborados por la Organización Electoral, previo conocimiento de los partidos, movimientos políticos, de grupos significativos de ciudadanos y coaliciones, así como de organizaciones de observación electoral acreditadas. Los instructivos considerarán las normas legales y reglamentarias sobre la materia, las cuales deben ser razonables y proporcionales para que no limiten </w:t>
            </w:r>
            <w:r w:rsidRPr="00222F34">
              <w:rPr>
                <w:rFonts w:ascii="Calibri" w:eastAsia="Times New Roman" w:hAnsi="Calibri" w:cs="Calibri"/>
                <w:color w:val="000000"/>
                <w:lang w:val="es-CO" w:eastAsia="es-CO" w:bidi="ar-SA"/>
              </w:rPr>
              <w:lastRenderedPageBreak/>
              <w:t xml:space="preserve">injustificadamente el ejercicio de velar por la transparencia del proceso.  </w:t>
            </w:r>
          </w:p>
        </w:tc>
        <w:tc>
          <w:tcPr>
            <w:tcW w:w="3798" w:type="dxa"/>
            <w:tcBorders>
              <w:top w:val="nil"/>
              <w:left w:val="nil"/>
              <w:bottom w:val="nil"/>
              <w:right w:val="single" w:sz="4" w:space="0" w:color="000000"/>
            </w:tcBorders>
            <w:shd w:val="clear" w:color="00FF00" w:fill="FFFFFF"/>
            <w:hideMark/>
          </w:tcPr>
          <w:p w14:paraId="67F5FE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Para el ejercicio de estas facultades, la Comisión Asesora para la Implementación Progresiva de los Sistemas de Asistencia Tecnológica en los Procesos Electorales diseñará el Plan de Auditoría-. Este Plan tendrá en cuenta las normas legales y reglamentarias sobre la materia, las cuales deben ser razonables y proporcionales para que no limiten injustificadamente el ejercicio de velar por la transparencia del proceso.</w:t>
            </w:r>
          </w:p>
        </w:tc>
        <w:tc>
          <w:tcPr>
            <w:tcW w:w="3798" w:type="dxa"/>
            <w:tcBorders>
              <w:top w:val="nil"/>
              <w:left w:val="nil"/>
              <w:bottom w:val="nil"/>
              <w:right w:val="single" w:sz="4" w:space="0" w:color="000000"/>
            </w:tcBorders>
            <w:shd w:val="clear" w:color="000000" w:fill="FFFFFF"/>
            <w:hideMark/>
          </w:tcPr>
          <w:p w14:paraId="634255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el ejercicio de estas facultades, los auditores de sistemas tendrán en cuenta los instructivos elaborados por la Organización Electoral, previo conocimiento de los partidos, movimientos políticos, de grupos significativos de ciudadanos y coaliciones, así como de organizaciones de observación electoral acreditadas. Los instructivos considerarán las normas legales y reglamentarias sobre la materia, las cuales deben ser razonables y proporcionales para que no limiten </w:t>
            </w:r>
            <w:r w:rsidRPr="00222F34">
              <w:rPr>
                <w:rFonts w:ascii="Calibri" w:eastAsia="Times New Roman" w:hAnsi="Calibri" w:cs="Calibri"/>
                <w:color w:val="000000"/>
                <w:lang w:val="es-CO" w:eastAsia="es-CO" w:bidi="ar-SA"/>
              </w:rPr>
              <w:lastRenderedPageBreak/>
              <w:t xml:space="preserve">injustificadamente el ejercicio de velar por la transparencia del proceso.  </w:t>
            </w:r>
          </w:p>
        </w:tc>
        <w:tc>
          <w:tcPr>
            <w:tcW w:w="1480" w:type="dxa"/>
            <w:tcBorders>
              <w:top w:val="nil"/>
              <w:left w:val="nil"/>
              <w:bottom w:val="nil"/>
              <w:right w:val="single" w:sz="4" w:space="0" w:color="000000"/>
            </w:tcBorders>
            <w:shd w:val="clear" w:color="000000" w:fill="FFFFFF"/>
            <w:hideMark/>
          </w:tcPr>
          <w:p w14:paraId="02D78D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038CC21A"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75D76F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instructivos serán dados a conocer a los auditores acreditados con el correspondiente plan de auditoría de funcionalidad a más tardar tres (3) meses desde el inicio de funcionamiento de los sistemas. </w:t>
            </w:r>
          </w:p>
        </w:tc>
        <w:tc>
          <w:tcPr>
            <w:tcW w:w="3798" w:type="dxa"/>
            <w:tcBorders>
              <w:top w:val="nil"/>
              <w:left w:val="nil"/>
              <w:bottom w:val="nil"/>
              <w:right w:val="single" w:sz="4" w:space="0" w:color="000000"/>
            </w:tcBorders>
            <w:shd w:val="clear" w:color="00FF00" w:fill="FFFFFF"/>
            <w:hideMark/>
          </w:tcPr>
          <w:p w14:paraId="64EAA5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Plan de Auditorías tanto para las auditorías informática electoral y las auditorías de funcionalidad será dado a conocer a los auditores acreditados, misiones de observación electoral nacional e internacional y organizaciones políticas a más tardar siete (7) meses antes del inicio de funcionamiento de los sistemas. Los resultados y hallazgos de las auditorias deberán presentarse antes de los tres (3) meses de la utilización de cualquier sistema tecnológico utilizado por la Organización Electoral. La Organización Electoral publicará el consolidado de los resultados, hallazgos y medidas correctivas adoptadas dentro de un plazo máximo de un (1) mes antes del funcionamiento de los sistemas auditados.</w:t>
            </w:r>
          </w:p>
        </w:tc>
        <w:tc>
          <w:tcPr>
            <w:tcW w:w="3798" w:type="dxa"/>
            <w:tcBorders>
              <w:top w:val="nil"/>
              <w:left w:val="nil"/>
              <w:bottom w:val="nil"/>
              <w:right w:val="single" w:sz="4" w:space="0" w:color="000000"/>
            </w:tcBorders>
            <w:shd w:val="clear" w:color="00FF00" w:fill="FFFFFF"/>
            <w:hideMark/>
          </w:tcPr>
          <w:p w14:paraId="18CEDAC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Plan de Auditorías tanto para las auditorías informática electoral y las auditorías de funcionalidad será dado a conocer a los auditores acreditados, misiones de observación electoral nacional e internacional y organizaciones políticas a más tardar siete (7) meses antes del inicio de funcionamiento de los sistemas. Los resultados y hallazgos de las auditorias deberán presentarse antes de los tres (3) meses de la utilización de cualquier sistema tecnológico utilizado por la Organización Electoral. La Organización Electoral publicará el consolidado de los resultados, hallazgos y medidas correctivas adoptadas dentro de un plazo máximo de un (1) mes antes del funcionamiento de los sistemas auditados.</w:t>
            </w:r>
          </w:p>
        </w:tc>
        <w:tc>
          <w:tcPr>
            <w:tcW w:w="1480" w:type="dxa"/>
            <w:tcBorders>
              <w:top w:val="nil"/>
              <w:left w:val="nil"/>
              <w:bottom w:val="nil"/>
              <w:right w:val="single" w:sz="4" w:space="0" w:color="000000"/>
            </w:tcBorders>
            <w:shd w:val="clear" w:color="000000" w:fill="FFFFFF"/>
            <w:hideMark/>
          </w:tcPr>
          <w:p w14:paraId="52AAF5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FBFB95C"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9FF117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Los auditores previstos para las clases de auditoría dispuestos en el presente Código, pueden ser personas naturales o jurídicas presentadas por los partidos y movimientos políticos con personería jurídica o los grupos significativos.</w:t>
            </w:r>
          </w:p>
        </w:tc>
        <w:tc>
          <w:tcPr>
            <w:tcW w:w="3798" w:type="dxa"/>
            <w:tcBorders>
              <w:top w:val="nil"/>
              <w:left w:val="nil"/>
              <w:bottom w:val="nil"/>
              <w:right w:val="single" w:sz="4" w:space="0" w:color="000000"/>
            </w:tcBorders>
            <w:shd w:val="clear" w:color="00FF00" w:fill="FFFFFF"/>
            <w:hideMark/>
          </w:tcPr>
          <w:p w14:paraId="594F1BD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Los auditores previstos para las clases de auditoría dispuestos en el presente Código, pueden ser personas naturales o jurídicas presentadas por los partidos y movimientos políticos con personería jurídica o los grupos significativos y las misiones de observación electoral nacional e internacional.</w:t>
            </w:r>
          </w:p>
        </w:tc>
        <w:tc>
          <w:tcPr>
            <w:tcW w:w="3798" w:type="dxa"/>
            <w:tcBorders>
              <w:top w:val="nil"/>
              <w:left w:val="nil"/>
              <w:bottom w:val="nil"/>
              <w:right w:val="single" w:sz="4" w:space="0" w:color="000000"/>
            </w:tcBorders>
            <w:shd w:val="clear" w:color="000000" w:fill="FFFFFF"/>
            <w:hideMark/>
          </w:tcPr>
          <w:p w14:paraId="4AECC83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auditores previstos para las clases de auditoría dispuestos en el presente Código, pueden ser personas naturales o jurídicas presentadas por los partidos y movimientos políticos con personería jurídica o los grupos significativos.</w:t>
            </w:r>
          </w:p>
        </w:tc>
        <w:tc>
          <w:tcPr>
            <w:tcW w:w="1480" w:type="dxa"/>
            <w:tcBorders>
              <w:top w:val="nil"/>
              <w:left w:val="nil"/>
              <w:bottom w:val="nil"/>
              <w:right w:val="single" w:sz="4" w:space="0" w:color="000000"/>
            </w:tcBorders>
            <w:shd w:val="clear" w:color="000000" w:fill="FFFFFF"/>
            <w:hideMark/>
          </w:tcPr>
          <w:p w14:paraId="78CB06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6BA84E1"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936D24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y el Consejo Nacional Electoral diseñarán el compromiso de confidencialidad que deberán suscribir los auditores para garantizar la seguridad y reserva de la información del proceso electoral. Este compromiso en ningún caso podrá evitar que los auditores acreditados informen sobre los hallazgos y hagan seguimiento a las soluciones implementadas en los términos de esta ley.  </w:t>
            </w:r>
          </w:p>
        </w:tc>
        <w:tc>
          <w:tcPr>
            <w:tcW w:w="3798" w:type="dxa"/>
            <w:tcBorders>
              <w:top w:val="nil"/>
              <w:left w:val="nil"/>
              <w:bottom w:val="nil"/>
              <w:right w:val="single" w:sz="4" w:space="0" w:color="000000"/>
            </w:tcBorders>
            <w:shd w:val="clear" w:color="00FF00" w:fill="FFFFFF"/>
            <w:hideMark/>
          </w:tcPr>
          <w:p w14:paraId="672D5E5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Registraduría Nacional del Estado Civil y el Consejo Nacional Electoral diseñarán el compromiso de confidencialidad que deberán suscribir los auditores para garantizar la seguridad. Este compromiso en ningún caso podrá evitar que los auditores acreditados informen sobre los hallazgos y hagan seguimiento a las soluciones implementadas en los términos de esta ley.</w:t>
            </w:r>
          </w:p>
        </w:tc>
        <w:tc>
          <w:tcPr>
            <w:tcW w:w="3798" w:type="dxa"/>
            <w:tcBorders>
              <w:top w:val="nil"/>
              <w:left w:val="nil"/>
              <w:bottom w:val="nil"/>
              <w:right w:val="single" w:sz="4" w:space="0" w:color="000000"/>
            </w:tcBorders>
            <w:shd w:val="clear" w:color="000000" w:fill="FFFFFF"/>
            <w:hideMark/>
          </w:tcPr>
          <w:p w14:paraId="5289B93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y el Consejo Nacional Electoral diseñarán el compromiso de confidencialidad que deberán suscribir los auditores para garantizar la seguridad y reserva de la información del proceso electoral. Este compromiso en ningún caso podrá evitar que los auditores acreditados informen sobre los hallazgos y hagan seguimiento a las soluciones implementadas en los términos de esta ley.  </w:t>
            </w:r>
          </w:p>
        </w:tc>
        <w:tc>
          <w:tcPr>
            <w:tcW w:w="1480" w:type="dxa"/>
            <w:tcBorders>
              <w:top w:val="nil"/>
              <w:left w:val="nil"/>
              <w:bottom w:val="nil"/>
              <w:right w:val="single" w:sz="4" w:space="0" w:color="000000"/>
            </w:tcBorders>
            <w:shd w:val="clear" w:color="000000" w:fill="FFFFFF"/>
            <w:hideMark/>
          </w:tcPr>
          <w:p w14:paraId="0893BCB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1BECF5C"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5C88768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Consejo Nacional Electoral establecerá el mecanismo de acreditación para los auditores, antes del inicio de la etapa de contratación de los diferentes sistemas.  La responsabilidad sobre la idoneidad de los auditores es de las organizaciones políticas, razón por la cual no exigirán requisitos para su acreditación.</w:t>
            </w:r>
          </w:p>
        </w:tc>
        <w:tc>
          <w:tcPr>
            <w:tcW w:w="3798" w:type="dxa"/>
            <w:tcBorders>
              <w:top w:val="nil"/>
              <w:left w:val="nil"/>
              <w:bottom w:val="single" w:sz="4" w:space="0" w:color="000000"/>
              <w:right w:val="single" w:sz="4" w:space="0" w:color="000000"/>
            </w:tcBorders>
            <w:shd w:val="clear" w:color="00FF00" w:fill="FFFFFF"/>
            <w:hideMark/>
          </w:tcPr>
          <w:p w14:paraId="7A378A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Consejo Nacional Electoral establecerá el mecanismo de acreditación para los auditores, a más tardar dos meses antes de que se socialice el Plan de Auditorías. La responsabilidad sobre la idoneidad de los auditores es de las organizaciones políticas, razón por la cual no se exigirán requisitos para su acreditación, a parte </w:t>
            </w:r>
            <w:r w:rsidRPr="00222F34">
              <w:rPr>
                <w:rFonts w:ascii="Calibri" w:eastAsia="Times New Roman" w:hAnsi="Calibri" w:cs="Calibri"/>
                <w:color w:val="000000"/>
                <w:lang w:val="es-CO" w:eastAsia="es-CO" w:bidi="ar-SA"/>
              </w:rPr>
              <w:lastRenderedPageBreak/>
              <w:t xml:space="preserve">de ser profesional en ingeniería de sistemas o carreras afines. </w:t>
            </w:r>
          </w:p>
        </w:tc>
        <w:tc>
          <w:tcPr>
            <w:tcW w:w="3798" w:type="dxa"/>
            <w:tcBorders>
              <w:top w:val="nil"/>
              <w:left w:val="nil"/>
              <w:bottom w:val="single" w:sz="4" w:space="0" w:color="000000"/>
              <w:right w:val="single" w:sz="4" w:space="0" w:color="000000"/>
            </w:tcBorders>
            <w:shd w:val="clear" w:color="000000" w:fill="FFFFFF"/>
            <w:hideMark/>
          </w:tcPr>
          <w:p w14:paraId="3FC68E0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xml:space="preserve"> El Consejo Nacional Electoral establecerá el mecanismo de acreditación para los auditores, a más tardar dos meses antes de que se socialice el Plan de Auditorías. La responsabilidad sobre la idoneidad de los auditores es de las organizaciones políticas, razón por la cual no se exigirán requisitos para su acreditación, a parte </w:t>
            </w:r>
            <w:r w:rsidRPr="00222F34">
              <w:rPr>
                <w:rFonts w:ascii="Calibri" w:eastAsia="Times New Roman" w:hAnsi="Calibri" w:cs="Calibri"/>
                <w:color w:val="000000"/>
                <w:lang w:val="es-CO" w:eastAsia="es-CO" w:bidi="ar-SA"/>
              </w:rPr>
              <w:lastRenderedPageBreak/>
              <w:t xml:space="preserve">de ser profesional en ingeniería de sistemas o carreras afines. </w:t>
            </w:r>
          </w:p>
        </w:tc>
        <w:tc>
          <w:tcPr>
            <w:tcW w:w="1480" w:type="dxa"/>
            <w:tcBorders>
              <w:top w:val="nil"/>
              <w:left w:val="nil"/>
              <w:bottom w:val="single" w:sz="4" w:space="0" w:color="000000"/>
              <w:right w:val="single" w:sz="4" w:space="0" w:color="000000"/>
            </w:tcBorders>
            <w:shd w:val="clear" w:color="000000" w:fill="FFFFFF"/>
            <w:hideMark/>
          </w:tcPr>
          <w:p w14:paraId="3F447E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24DFE263"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025C6D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TÍTULO X</w:t>
            </w:r>
          </w:p>
        </w:tc>
        <w:tc>
          <w:tcPr>
            <w:tcW w:w="3798" w:type="dxa"/>
            <w:tcBorders>
              <w:top w:val="nil"/>
              <w:left w:val="nil"/>
              <w:bottom w:val="nil"/>
              <w:right w:val="single" w:sz="4" w:space="0" w:color="000000"/>
            </w:tcBorders>
            <w:shd w:val="clear" w:color="000000" w:fill="FFFFFF"/>
            <w:hideMark/>
          </w:tcPr>
          <w:p w14:paraId="544974A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X</w:t>
            </w:r>
          </w:p>
        </w:tc>
        <w:tc>
          <w:tcPr>
            <w:tcW w:w="3798" w:type="dxa"/>
            <w:tcBorders>
              <w:top w:val="nil"/>
              <w:left w:val="nil"/>
              <w:bottom w:val="nil"/>
              <w:right w:val="single" w:sz="4" w:space="0" w:color="000000"/>
            </w:tcBorders>
            <w:shd w:val="clear" w:color="000000" w:fill="FFFFFF"/>
            <w:hideMark/>
          </w:tcPr>
          <w:p w14:paraId="210D0901"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X</w:t>
            </w:r>
          </w:p>
        </w:tc>
        <w:tc>
          <w:tcPr>
            <w:tcW w:w="1480" w:type="dxa"/>
            <w:tcBorders>
              <w:top w:val="nil"/>
              <w:left w:val="nil"/>
              <w:bottom w:val="nil"/>
              <w:right w:val="single" w:sz="4" w:space="0" w:color="000000"/>
            </w:tcBorders>
            <w:shd w:val="clear" w:color="000000" w:fill="FFFFFF"/>
            <w:hideMark/>
          </w:tcPr>
          <w:p w14:paraId="0C1F39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F12317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BFCAE4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FINALES</w:t>
            </w:r>
          </w:p>
        </w:tc>
        <w:tc>
          <w:tcPr>
            <w:tcW w:w="3798" w:type="dxa"/>
            <w:tcBorders>
              <w:top w:val="nil"/>
              <w:left w:val="nil"/>
              <w:bottom w:val="nil"/>
              <w:right w:val="single" w:sz="4" w:space="0" w:color="000000"/>
            </w:tcBorders>
            <w:shd w:val="clear" w:color="000000" w:fill="FFFFFF"/>
            <w:hideMark/>
          </w:tcPr>
          <w:p w14:paraId="67B7C4F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FINALES</w:t>
            </w:r>
          </w:p>
        </w:tc>
        <w:tc>
          <w:tcPr>
            <w:tcW w:w="3798" w:type="dxa"/>
            <w:tcBorders>
              <w:top w:val="nil"/>
              <w:left w:val="nil"/>
              <w:bottom w:val="nil"/>
              <w:right w:val="single" w:sz="4" w:space="0" w:color="000000"/>
            </w:tcBorders>
            <w:shd w:val="clear" w:color="000000" w:fill="FFFFFF"/>
            <w:hideMark/>
          </w:tcPr>
          <w:p w14:paraId="100C47B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FINALES</w:t>
            </w:r>
          </w:p>
        </w:tc>
        <w:tc>
          <w:tcPr>
            <w:tcW w:w="1480" w:type="dxa"/>
            <w:tcBorders>
              <w:top w:val="nil"/>
              <w:left w:val="nil"/>
              <w:bottom w:val="nil"/>
              <w:right w:val="single" w:sz="4" w:space="0" w:color="000000"/>
            </w:tcBorders>
            <w:shd w:val="clear" w:color="000000" w:fill="FFFFFF"/>
            <w:hideMark/>
          </w:tcPr>
          <w:p w14:paraId="422922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A1EBA9"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3800260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78C0A4A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3798" w:type="dxa"/>
            <w:tcBorders>
              <w:top w:val="nil"/>
              <w:left w:val="nil"/>
              <w:bottom w:val="nil"/>
              <w:right w:val="single" w:sz="4" w:space="0" w:color="000000"/>
            </w:tcBorders>
            <w:shd w:val="clear" w:color="000000" w:fill="FFFFFF"/>
            <w:hideMark/>
          </w:tcPr>
          <w:p w14:paraId="117A668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tc>
        <w:tc>
          <w:tcPr>
            <w:tcW w:w="1480" w:type="dxa"/>
            <w:tcBorders>
              <w:top w:val="nil"/>
              <w:left w:val="nil"/>
              <w:bottom w:val="nil"/>
              <w:right w:val="single" w:sz="4" w:space="0" w:color="000000"/>
            </w:tcBorders>
            <w:shd w:val="clear" w:color="000000" w:fill="FFFFFF"/>
            <w:hideMark/>
          </w:tcPr>
          <w:p w14:paraId="1FBC0F4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B767D9"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ADA6AF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capacitación electoral y la promoción de la democracia</w:t>
            </w:r>
          </w:p>
        </w:tc>
        <w:tc>
          <w:tcPr>
            <w:tcW w:w="3798" w:type="dxa"/>
            <w:tcBorders>
              <w:top w:val="nil"/>
              <w:left w:val="nil"/>
              <w:bottom w:val="single" w:sz="4" w:space="0" w:color="000000"/>
              <w:right w:val="single" w:sz="4" w:space="0" w:color="000000"/>
            </w:tcBorders>
            <w:shd w:val="clear" w:color="000000" w:fill="FFFFFF"/>
            <w:hideMark/>
          </w:tcPr>
          <w:p w14:paraId="684664E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capacitación electoral y la promoción de la democracia</w:t>
            </w:r>
          </w:p>
        </w:tc>
        <w:tc>
          <w:tcPr>
            <w:tcW w:w="3798" w:type="dxa"/>
            <w:tcBorders>
              <w:top w:val="nil"/>
              <w:left w:val="nil"/>
              <w:bottom w:val="single" w:sz="4" w:space="0" w:color="000000"/>
              <w:right w:val="single" w:sz="4" w:space="0" w:color="000000"/>
            </w:tcBorders>
            <w:shd w:val="clear" w:color="000000" w:fill="FFFFFF"/>
            <w:hideMark/>
          </w:tcPr>
          <w:p w14:paraId="6F994C87"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capacitación electoral y la promoción de la democracia</w:t>
            </w:r>
          </w:p>
        </w:tc>
        <w:tc>
          <w:tcPr>
            <w:tcW w:w="1480" w:type="dxa"/>
            <w:tcBorders>
              <w:top w:val="nil"/>
              <w:left w:val="nil"/>
              <w:bottom w:val="single" w:sz="4" w:space="0" w:color="000000"/>
              <w:right w:val="single" w:sz="4" w:space="0" w:color="000000"/>
            </w:tcBorders>
            <w:shd w:val="clear" w:color="000000" w:fill="FFFFFF"/>
            <w:hideMark/>
          </w:tcPr>
          <w:p w14:paraId="6719BE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75CAE5" w14:textId="77777777" w:rsidTr="00222F34">
        <w:trPr>
          <w:trHeight w:val="3900"/>
        </w:trPr>
        <w:tc>
          <w:tcPr>
            <w:tcW w:w="3798" w:type="dxa"/>
            <w:tcBorders>
              <w:top w:val="nil"/>
              <w:left w:val="single" w:sz="4" w:space="0" w:color="000000"/>
              <w:bottom w:val="nil"/>
              <w:right w:val="single" w:sz="4" w:space="0" w:color="000000"/>
            </w:tcBorders>
            <w:shd w:val="clear" w:color="000000" w:fill="FFFFFF"/>
            <w:hideMark/>
          </w:tcPr>
          <w:p w14:paraId="5417CE1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246.- De la promoción de la democracia y la participación ciudadana.</w:t>
            </w:r>
            <w:r w:rsidRPr="00222F34">
              <w:rPr>
                <w:rFonts w:ascii="Calibri" w:eastAsia="Times New Roman" w:hAnsi="Calibri" w:cs="Calibri"/>
                <w:color w:val="000000"/>
                <w:lang w:val="es-CO" w:eastAsia="es-CO" w:bidi="ar-SA"/>
              </w:rPr>
              <w:t xml:space="preserve"> 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en especial para la población mayor, en situación de discapacidad y grupos étnicos, sobre los procedimientos y la logística electoral, así como de los candidatos inscritos para cada elección con el fin de hacer efectiva la participación ciudadana. También diseñará e implementará programas dirigidos a los partidos y movimientos políticos con personería jurídica para </w:t>
            </w:r>
            <w:r w:rsidRPr="00222F34">
              <w:rPr>
                <w:rFonts w:ascii="Calibri" w:eastAsia="Times New Roman" w:hAnsi="Calibri" w:cs="Calibri"/>
                <w:color w:val="000000"/>
                <w:lang w:val="es-CO" w:eastAsia="es-CO" w:bidi="ar-SA"/>
              </w:rPr>
              <w:lastRenderedPageBreak/>
              <w:t xml:space="preserve">promover el conocimiento de la normatividad electoral, la democratización interna de las organizaciones políticas, la administración de los registros de militantes, la realización de consultas internas, la promoción de la participación política real y efectiva de las mujeres y de las personas con discapacidad y la capacitación de sus directivos. </w:t>
            </w:r>
          </w:p>
        </w:tc>
        <w:tc>
          <w:tcPr>
            <w:tcW w:w="3798" w:type="dxa"/>
            <w:tcBorders>
              <w:top w:val="nil"/>
              <w:left w:val="nil"/>
              <w:bottom w:val="nil"/>
              <w:right w:val="single" w:sz="4" w:space="0" w:color="000000"/>
            </w:tcBorders>
            <w:shd w:val="clear" w:color="00FF00" w:fill="FFFFFF"/>
            <w:hideMark/>
          </w:tcPr>
          <w:p w14:paraId="304A358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250.- De la promoción de la democracia y la participación ciudadana</w:t>
            </w:r>
            <w:r w:rsidRPr="00222F34">
              <w:rPr>
                <w:rFonts w:ascii="Calibri" w:eastAsia="Times New Roman" w:hAnsi="Calibri" w:cs="Calibri"/>
                <w:color w:val="000000"/>
                <w:lang w:val="es-CO" w:eastAsia="es-CO" w:bidi="ar-SA"/>
              </w:rPr>
              <w:t>. 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en especial para la población mayor, en situación de discapacidad y grupos étnicos, sobre los procedimientos y la logística electoral, así como de los candidatos inscritos para cada elección con el fin de hacer efectiva la participación ciudadana.</w:t>
            </w:r>
          </w:p>
        </w:tc>
        <w:tc>
          <w:tcPr>
            <w:tcW w:w="3798" w:type="dxa"/>
            <w:tcBorders>
              <w:top w:val="nil"/>
              <w:left w:val="nil"/>
              <w:bottom w:val="nil"/>
              <w:right w:val="single" w:sz="4" w:space="0" w:color="000000"/>
            </w:tcBorders>
            <w:shd w:val="clear" w:color="00FF00" w:fill="FFFFFF"/>
            <w:hideMark/>
          </w:tcPr>
          <w:p w14:paraId="29F448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250.- De la promoción de la democracia y la participación ciudadana</w:t>
            </w:r>
            <w:r w:rsidRPr="00222F34">
              <w:rPr>
                <w:rFonts w:ascii="Calibri" w:eastAsia="Times New Roman" w:hAnsi="Calibri" w:cs="Calibri"/>
                <w:color w:val="000000"/>
                <w:lang w:val="es-CO" w:eastAsia="es-CO" w:bidi="ar-SA"/>
              </w:rPr>
              <w:t>. 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en especial para la población mayor, en situación de discapacidad y grupos étnicos, sobre los procedimientos y la logística electoral, así como de los candidatos inscritos para cada elección con el fin de hacer efectiva la participación ciudadana.</w:t>
            </w:r>
          </w:p>
        </w:tc>
        <w:tc>
          <w:tcPr>
            <w:tcW w:w="1480" w:type="dxa"/>
            <w:tcBorders>
              <w:top w:val="nil"/>
              <w:left w:val="nil"/>
              <w:bottom w:val="nil"/>
              <w:right w:val="single" w:sz="4" w:space="0" w:color="000000"/>
            </w:tcBorders>
            <w:shd w:val="clear" w:color="000000" w:fill="FFFFFF"/>
            <w:hideMark/>
          </w:tcPr>
          <w:p w14:paraId="1B8D07ED" w14:textId="5121EFD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58860DB5" w14:textId="77777777" w:rsidTr="00222F34">
        <w:trPr>
          <w:trHeight w:val="1800"/>
        </w:trPr>
        <w:tc>
          <w:tcPr>
            <w:tcW w:w="3798" w:type="dxa"/>
            <w:tcBorders>
              <w:top w:val="nil"/>
              <w:left w:val="single" w:sz="4" w:space="0" w:color="000000"/>
              <w:bottom w:val="nil"/>
              <w:right w:val="single" w:sz="4" w:space="0" w:color="000000"/>
            </w:tcBorders>
            <w:shd w:val="clear" w:color="FFC000" w:fill="FFFFFF"/>
            <w:hideMark/>
          </w:tcPr>
          <w:p w14:paraId="1DF564B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6A25C3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así como de las personas trans y no binarias y de las personas con discapacidad y la capacitación de sus directivos.</w:t>
            </w:r>
          </w:p>
        </w:tc>
        <w:tc>
          <w:tcPr>
            <w:tcW w:w="3798" w:type="dxa"/>
            <w:tcBorders>
              <w:top w:val="nil"/>
              <w:left w:val="nil"/>
              <w:bottom w:val="nil"/>
              <w:right w:val="single" w:sz="4" w:space="0" w:color="000000"/>
            </w:tcBorders>
            <w:shd w:val="clear" w:color="00FF00" w:fill="FFFFFF"/>
            <w:hideMark/>
          </w:tcPr>
          <w:p w14:paraId="45BCA6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así como de las personas trans y no binarias y de las personas con discapacidad y la capacitación de sus directivos.</w:t>
            </w:r>
          </w:p>
        </w:tc>
        <w:tc>
          <w:tcPr>
            <w:tcW w:w="1480" w:type="dxa"/>
            <w:tcBorders>
              <w:top w:val="nil"/>
              <w:left w:val="nil"/>
              <w:bottom w:val="nil"/>
              <w:right w:val="single" w:sz="4" w:space="0" w:color="000000"/>
            </w:tcBorders>
            <w:shd w:val="clear" w:color="000000" w:fill="FFFFFF"/>
            <w:hideMark/>
          </w:tcPr>
          <w:p w14:paraId="715EAF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2CE112E" w14:textId="77777777" w:rsidTr="00222F34">
        <w:trPr>
          <w:trHeight w:val="900"/>
        </w:trPr>
        <w:tc>
          <w:tcPr>
            <w:tcW w:w="3798" w:type="dxa"/>
            <w:tcBorders>
              <w:top w:val="nil"/>
              <w:left w:val="single" w:sz="4" w:space="0" w:color="000000"/>
              <w:bottom w:val="nil"/>
              <w:right w:val="single" w:sz="4" w:space="0" w:color="000000"/>
            </w:tcBorders>
            <w:shd w:val="clear" w:color="FFC000" w:fill="FFFFFF"/>
            <w:hideMark/>
          </w:tcPr>
          <w:p w14:paraId="29C8C9D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nil"/>
              <w:right w:val="single" w:sz="4" w:space="0" w:color="000000"/>
            </w:tcBorders>
            <w:shd w:val="clear" w:color="00FF00" w:fill="FFFFFF"/>
            <w:hideMark/>
          </w:tcPr>
          <w:p w14:paraId="16F35A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Igualmente diseñará e implementará programas y proyectos destinados a promover la veeduría y control social de la Organización Electoral, los procesos electorales y el funcionamiento de la Registraduría Nacional del Estado Civil.</w:t>
            </w:r>
          </w:p>
        </w:tc>
        <w:tc>
          <w:tcPr>
            <w:tcW w:w="3798" w:type="dxa"/>
            <w:tcBorders>
              <w:top w:val="nil"/>
              <w:left w:val="nil"/>
              <w:bottom w:val="nil"/>
              <w:right w:val="single" w:sz="4" w:space="0" w:color="000000"/>
            </w:tcBorders>
            <w:shd w:val="clear" w:color="00FF00" w:fill="FFFFFF"/>
            <w:hideMark/>
          </w:tcPr>
          <w:p w14:paraId="10EF38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Igualmente diseñará e implementará programas y proyectos destinados a promover la veeduría y control social de la Organización Electoral, los procesos electorales y el funcionamiento de la Registraduría Nacional del Estado Civil.</w:t>
            </w:r>
          </w:p>
        </w:tc>
        <w:tc>
          <w:tcPr>
            <w:tcW w:w="1480" w:type="dxa"/>
            <w:tcBorders>
              <w:top w:val="nil"/>
              <w:left w:val="nil"/>
              <w:bottom w:val="nil"/>
              <w:right w:val="single" w:sz="4" w:space="0" w:color="000000"/>
            </w:tcBorders>
            <w:shd w:val="clear" w:color="000000" w:fill="FFFFFF"/>
            <w:hideMark/>
          </w:tcPr>
          <w:p w14:paraId="445097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1D96446"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1675F0B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 </w:t>
            </w:r>
          </w:p>
        </w:tc>
        <w:tc>
          <w:tcPr>
            <w:tcW w:w="3798" w:type="dxa"/>
            <w:tcBorders>
              <w:top w:val="nil"/>
              <w:left w:val="nil"/>
              <w:bottom w:val="single" w:sz="4" w:space="0" w:color="000000"/>
              <w:right w:val="single" w:sz="4" w:space="0" w:color="000000"/>
            </w:tcBorders>
            <w:shd w:val="clear" w:color="000000" w:fill="FFFFFF"/>
            <w:hideMark/>
          </w:tcPr>
          <w:p w14:paraId="45A0A8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w:t>
            </w:r>
          </w:p>
        </w:tc>
        <w:tc>
          <w:tcPr>
            <w:tcW w:w="3798" w:type="dxa"/>
            <w:tcBorders>
              <w:top w:val="nil"/>
              <w:left w:val="nil"/>
              <w:bottom w:val="single" w:sz="4" w:space="0" w:color="000000"/>
              <w:right w:val="single" w:sz="4" w:space="0" w:color="000000"/>
            </w:tcBorders>
            <w:shd w:val="clear" w:color="000000" w:fill="FFFFFF"/>
            <w:hideMark/>
          </w:tcPr>
          <w:p w14:paraId="3F7F220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w:t>
            </w:r>
          </w:p>
        </w:tc>
        <w:tc>
          <w:tcPr>
            <w:tcW w:w="1480" w:type="dxa"/>
            <w:tcBorders>
              <w:top w:val="nil"/>
              <w:left w:val="nil"/>
              <w:bottom w:val="single" w:sz="4" w:space="0" w:color="000000"/>
              <w:right w:val="single" w:sz="4" w:space="0" w:color="000000"/>
            </w:tcBorders>
            <w:shd w:val="clear" w:color="000000" w:fill="FFFFFF"/>
            <w:hideMark/>
          </w:tcPr>
          <w:p w14:paraId="0B499B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9B2D55"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BE89B1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247.- Formación en democracia y cultura ciudadana.</w:t>
            </w:r>
            <w:r w:rsidRPr="00222F34">
              <w:rPr>
                <w:rFonts w:ascii="Calibri" w:eastAsia="Times New Roman" w:hAnsi="Calibri" w:cs="Calibri"/>
                <w:color w:val="000000"/>
                <w:lang w:val="es-CO" w:eastAsia="es-CO" w:bidi="ar-SA"/>
              </w:rPr>
              <w:t xml:space="preserve"> Los establecimientos educativos deberán incentivar la formación en democracia, participación ciudadana y cultura política, de conformidad con lo dispuesto en los artículos 67 de la Constitución Política.  </w:t>
            </w:r>
          </w:p>
        </w:tc>
        <w:tc>
          <w:tcPr>
            <w:tcW w:w="3798" w:type="dxa"/>
            <w:tcBorders>
              <w:top w:val="nil"/>
              <w:left w:val="nil"/>
              <w:bottom w:val="nil"/>
              <w:right w:val="single" w:sz="4" w:space="0" w:color="000000"/>
            </w:tcBorders>
            <w:shd w:val="clear" w:color="000000" w:fill="FFFFFF"/>
            <w:hideMark/>
          </w:tcPr>
          <w:p w14:paraId="159263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251. Formación en democracia y cultura ciudadana</w:t>
            </w:r>
            <w:r w:rsidRPr="00222F34">
              <w:rPr>
                <w:rFonts w:ascii="Calibri" w:eastAsia="Times New Roman" w:hAnsi="Calibri" w:cs="Calibri"/>
                <w:color w:val="000000"/>
                <w:lang w:val="es-CO" w:eastAsia="es-CO" w:bidi="ar-SA"/>
              </w:rPr>
              <w:t>. Los establecimientos educativos deberán incentivar la formación en democracia, participación ciudadana y cultura política, de conformidad con lo dispuesto en el artículo 67 de la Constitución Política.</w:t>
            </w:r>
          </w:p>
        </w:tc>
        <w:tc>
          <w:tcPr>
            <w:tcW w:w="3798" w:type="dxa"/>
            <w:tcBorders>
              <w:top w:val="nil"/>
              <w:left w:val="nil"/>
              <w:bottom w:val="nil"/>
              <w:right w:val="single" w:sz="4" w:space="0" w:color="000000"/>
            </w:tcBorders>
            <w:shd w:val="clear" w:color="000000" w:fill="FFFFFF"/>
            <w:hideMark/>
          </w:tcPr>
          <w:p w14:paraId="2C069EA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251. Formación en democracia y cultura ciudadana</w:t>
            </w:r>
            <w:r w:rsidRPr="00222F34">
              <w:rPr>
                <w:rFonts w:ascii="Calibri" w:eastAsia="Times New Roman" w:hAnsi="Calibri" w:cs="Calibri"/>
                <w:color w:val="000000"/>
                <w:lang w:val="es-CO" w:eastAsia="es-CO" w:bidi="ar-SA"/>
              </w:rPr>
              <w:t>. Los establecimientos educativos deberán incentivar la formación en democracia, participación ciudadana y cultura política, de conformidad con lo dispuesto en el artículo 67 de la Constitución Política.</w:t>
            </w:r>
          </w:p>
        </w:tc>
        <w:tc>
          <w:tcPr>
            <w:tcW w:w="1480" w:type="dxa"/>
            <w:tcBorders>
              <w:top w:val="nil"/>
              <w:left w:val="nil"/>
              <w:bottom w:val="nil"/>
              <w:right w:val="single" w:sz="4" w:space="0" w:color="000000"/>
            </w:tcBorders>
            <w:shd w:val="clear" w:color="000000" w:fill="FFFFFF"/>
            <w:hideMark/>
          </w:tcPr>
          <w:p w14:paraId="1501D027" w14:textId="00096DF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7C2AFF4" w14:textId="77777777" w:rsidTr="00222F34">
        <w:trPr>
          <w:trHeight w:val="930"/>
        </w:trPr>
        <w:tc>
          <w:tcPr>
            <w:tcW w:w="3798" w:type="dxa"/>
            <w:tcBorders>
              <w:top w:val="nil"/>
              <w:left w:val="single" w:sz="4" w:space="0" w:color="000000"/>
              <w:bottom w:val="nil"/>
              <w:right w:val="single" w:sz="4" w:space="0" w:color="000000"/>
            </w:tcBorders>
            <w:shd w:val="clear" w:color="000000" w:fill="FFFFFF"/>
            <w:hideMark/>
          </w:tcPr>
          <w:p w14:paraId="3926BC1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establecimientos educativos implementarán estrategias de formación y sensibilización en los procesos de elección a través de voto de instancias del Gobierno Escolar, mediante ejercicios prácticos de participación democrática, entre otras medidas. </w:t>
            </w:r>
          </w:p>
        </w:tc>
        <w:tc>
          <w:tcPr>
            <w:tcW w:w="3798" w:type="dxa"/>
            <w:tcBorders>
              <w:top w:val="nil"/>
              <w:left w:val="nil"/>
              <w:bottom w:val="nil"/>
              <w:right w:val="single" w:sz="4" w:space="0" w:color="000000"/>
            </w:tcBorders>
            <w:shd w:val="clear" w:color="000000" w:fill="FFFFFF"/>
            <w:hideMark/>
          </w:tcPr>
          <w:p w14:paraId="1E0AB0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establecimientos educativos implementarán estrategias de formación y sensibilización en los procesos de elección a través de voto de instancias del Gobierno Escolar, mediante ejercicios prácticos de participación democrática, entre otras medidas.</w:t>
            </w:r>
          </w:p>
        </w:tc>
        <w:tc>
          <w:tcPr>
            <w:tcW w:w="3798" w:type="dxa"/>
            <w:tcBorders>
              <w:top w:val="nil"/>
              <w:left w:val="nil"/>
              <w:bottom w:val="nil"/>
              <w:right w:val="single" w:sz="4" w:space="0" w:color="000000"/>
            </w:tcBorders>
            <w:shd w:val="clear" w:color="000000" w:fill="FFFFFF"/>
            <w:hideMark/>
          </w:tcPr>
          <w:p w14:paraId="1B26A92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establecimientos educativos implementarán estrategias de formación y sensibilización en los procesos de elección a través de voto de instancias del Gobierno Escolar, mediante ejercicios prácticos de participación democrática, entre otras medidas.</w:t>
            </w:r>
          </w:p>
        </w:tc>
        <w:tc>
          <w:tcPr>
            <w:tcW w:w="1480" w:type="dxa"/>
            <w:tcBorders>
              <w:top w:val="nil"/>
              <w:left w:val="nil"/>
              <w:bottom w:val="nil"/>
              <w:right w:val="single" w:sz="4" w:space="0" w:color="000000"/>
            </w:tcBorders>
            <w:shd w:val="clear" w:color="000000" w:fill="FFFFFF"/>
            <w:hideMark/>
          </w:tcPr>
          <w:p w14:paraId="35339A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2BA733"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22E4DE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 </w:t>
            </w:r>
          </w:p>
        </w:tc>
        <w:tc>
          <w:tcPr>
            <w:tcW w:w="3798" w:type="dxa"/>
            <w:tcBorders>
              <w:top w:val="nil"/>
              <w:left w:val="nil"/>
              <w:bottom w:val="nil"/>
              <w:right w:val="single" w:sz="4" w:space="0" w:color="000000"/>
            </w:tcBorders>
            <w:shd w:val="clear" w:color="000000" w:fill="FFFFFF"/>
            <w:hideMark/>
          </w:tcPr>
          <w:p w14:paraId="41457E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tc>
        <w:tc>
          <w:tcPr>
            <w:tcW w:w="3798" w:type="dxa"/>
            <w:tcBorders>
              <w:top w:val="nil"/>
              <w:left w:val="nil"/>
              <w:bottom w:val="nil"/>
              <w:right w:val="single" w:sz="4" w:space="0" w:color="000000"/>
            </w:tcBorders>
            <w:shd w:val="clear" w:color="000000" w:fill="FFFFFF"/>
            <w:hideMark/>
          </w:tcPr>
          <w:p w14:paraId="220934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tc>
        <w:tc>
          <w:tcPr>
            <w:tcW w:w="1480" w:type="dxa"/>
            <w:tcBorders>
              <w:top w:val="nil"/>
              <w:left w:val="nil"/>
              <w:bottom w:val="nil"/>
              <w:right w:val="single" w:sz="4" w:space="0" w:color="000000"/>
            </w:tcBorders>
            <w:shd w:val="clear" w:color="000000" w:fill="FFFFFF"/>
            <w:hideMark/>
          </w:tcPr>
          <w:p w14:paraId="5623241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7CE734B"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2EBA0F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 </w:t>
            </w:r>
          </w:p>
        </w:tc>
        <w:tc>
          <w:tcPr>
            <w:tcW w:w="3798" w:type="dxa"/>
            <w:tcBorders>
              <w:top w:val="nil"/>
              <w:left w:val="nil"/>
              <w:bottom w:val="single" w:sz="4" w:space="0" w:color="000000"/>
              <w:right w:val="single" w:sz="4" w:space="0" w:color="000000"/>
            </w:tcBorders>
            <w:shd w:val="clear" w:color="000000" w:fill="FFFFFF"/>
            <w:hideMark/>
          </w:tcPr>
          <w:p w14:paraId="32E3BA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tc>
        <w:tc>
          <w:tcPr>
            <w:tcW w:w="3798" w:type="dxa"/>
            <w:tcBorders>
              <w:top w:val="nil"/>
              <w:left w:val="nil"/>
              <w:bottom w:val="single" w:sz="4" w:space="0" w:color="000000"/>
              <w:right w:val="single" w:sz="4" w:space="0" w:color="000000"/>
            </w:tcBorders>
            <w:shd w:val="clear" w:color="000000" w:fill="FFFFFF"/>
            <w:hideMark/>
          </w:tcPr>
          <w:p w14:paraId="6566A7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tc>
        <w:tc>
          <w:tcPr>
            <w:tcW w:w="1480" w:type="dxa"/>
            <w:tcBorders>
              <w:top w:val="nil"/>
              <w:left w:val="nil"/>
              <w:bottom w:val="single" w:sz="4" w:space="0" w:color="000000"/>
              <w:right w:val="single" w:sz="4" w:space="0" w:color="000000"/>
            </w:tcBorders>
            <w:shd w:val="clear" w:color="000000" w:fill="FFFFFF"/>
            <w:hideMark/>
          </w:tcPr>
          <w:p w14:paraId="2E45D37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C9CC92E"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629CFC6"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1D14BC5E"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3798" w:type="dxa"/>
            <w:tcBorders>
              <w:top w:val="nil"/>
              <w:left w:val="nil"/>
              <w:bottom w:val="nil"/>
              <w:right w:val="single" w:sz="4" w:space="0" w:color="000000"/>
            </w:tcBorders>
            <w:shd w:val="clear" w:color="000000" w:fill="FFFFFF"/>
            <w:hideMark/>
          </w:tcPr>
          <w:p w14:paraId="3F8B2908"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tc>
        <w:tc>
          <w:tcPr>
            <w:tcW w:w="1480" w:type="dxa"/>
            <w:tcBorders>
              <w:top w:val="nil"/>
              <w:left w:val="nil"/>
              <w:bottom w:val="nil"/>
              <w:right w:val="single" w:sz="4" w:space="0" w:color="000000"/>
            </w:tcBorders>
            <w:shd w:val="clear" w:color="000000" w:fill="FFFFFF"/>
            <w:hideMark/>
          </w:tcPr>
          <w:p w14:paraId="58B1EB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CE1469D"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65DECC3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varias</w:t>
            </w:r>
          </w:p>
        </w:tc>
        <w:tc>
          <w:tcPr>
            <w:tcW w:w="3798" w:type="dxa"/>
            <w:tcBorders>
              <w:top w:val="nil"/>
              <w:left w:val="nil"/>
              <w:bottom w:val="single" w:sz="4" w:space="0" w:color="000000"/>
              <w:right w:val="single" w:sz="4" w:space="0" w:color="000000"/>
            </w:tcBorders>
            <w:shd w:val="clear" w:color="000000" w:fill="FFFFFF"/>
            <w:hideMark/>
          </w:tcPr>
          <w:p w14:paraId="2F4E3AE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varias</w:t>
            </w:r>
          </w:p>
        </w:tc>
        <w:tc>
          <w:tcPr>
            <w:tcW w:w="3798" w:type="dxa"/>
            <w:tcBorders>
              <w:top w:val="nil"/>
              <w:left w:val="nil"/>
              <w:bottom w:val="single" w:sz="4" w:space="0" w:color="000000"/>
              <w:right w:val="single" w:sz="4" w:space="0" w:color="000000"/>
            </w:tcBorders>
            <w:shd w:val="clear" w:color="000000" w:fill="FFFFFF"/>
            <w:hideMark/>
          </w:tcPr>
          <w:p w14:paraId="67362AE5"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varias</w:t>
            </w:r>
          </w:p>
        </w:tc>
        <w:tc>
          <w:tcPr>
            <w:tcW w:w="1480" w:type="dxa"/>
            <w:tcBorders>
              <w:top w:val="nil"/>
              <w:left w:val="nil"/>
              <w:bottom w:val="single" w:sz="4" w:space="0" w:color="000000"/>
              <w:right w:val="single" w:sz="4" w:space="0" w:color="000000"/>
            </w:tcBorders>
            <w:shd w:val="clear" w:color="000000" w:fill="FFFFFF"/>
            <w:hideMark/>
          </w:tcPr>
          <w:p w14:paraId="24188C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5672FAB" w14:textId="77777777" w:rsidTr="00222F34">
        <w:trPr>
          <w:trHeight w:val="3000"/>
        </w:trPr>
        <w:tc>
          <w:tcPr>
            <w:tcW w:w="3798" w:type="dxa"/>
            <w:tcBorders>
              <w:top w:val="nil"/>
              <w:left w:val="single" w:sz="4" w:space="0" w:color="000000"/>
              <w:bottom w:val="nil"/>
              <w:right w:val="single" w:sz="4" w:space="0" w:color="000000"/>
            </w:tcBorders>
            <w:shd w:val="clear" w:color="000000" w:fill="FFFFFF"/>
            <w:hideMark/>
          </w:tcPr>
          <w:p w14:paraId="495EDBB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248. Reserva legal de la información de la Registraduría Nacional del Estado Civil.</w:t>
            </w:r>
            <w:r w:rsidRPr="00222F34">
              <w:rPr>
                <w:rFonts w:ascii="Calibri" w:eastAsia="Times New Roman" w:hAnsi="Calibri" w:cs="Calibri"/>
                <w:color w:val="000000"/>
                <w:lang w:val="es-CO" w:eastAsia="es-CO" w:bidi="ar-SA"/>
              </w:rPr>
              <w:t xml:space="preserve"> Toda persona tiene derecho a que la Registraduría le informe sobre el número, lugar y fecha de expedición de documentos de identidad pertenecientes a terceros. </w:t>
            </w:r>
          </w:p>
        </w:tc>
        <w:tc>
          <w:tcPr>
            <w:tcW w:w="3798" w:type="dxa"/>
            <w:tcBorders>
              <w:top w:val="nil"/>
              <w:left w:val="nil"/>
              <w:bottom w:val="nil"/>
              <w:right w:val="single" w:sz="4" w:space="0" w:color="000000"/>
            </w:tcBorders>
            <w:shd w:val="clear" w:color="000000" w:fill="FFFFFF"/>
            <w:hideMark/>
          </w:tcPr>
          <w:p w14:paraId="571EC2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252. Reserva legal de la información de la Registraduría Nacional del Estado Civil.</w:t>
            </w:r>
            <w:r w:rsidRPr="00222F34">
              <w:rPr>
                <w:rFonts w:ascii="Calibri" w:eastAsia="Times New Roman" w:hAnsi="Calibri" w:cs="Calibri"/>
                <w:color w:val="000000"/>
                <w:lang w:val="es-CO" w:eastAsia="es-CO" w:bidi="ar-SA"/>
              </w:rPr>
              <w:t xml:space="preserve"> Toda persona tiene derecho a que la Registraduría le informe sobre el número, lugar y fecha de expedición de documentos de identidad pertenecientes a terceros previo cumplimiento de la política de tratamiento y protección de datos personales de los titulares.</w:t>
            </w:r>
          </w:p>
        </w:tc>
        <w:tc>
          <w:tcPr>
            <w:tcW w:w="3798" w:type="dxa"/>
            <w:tcBorders>
              <w:top w:val="nil"/>
              <w:left w:val="nil"/>
              <w:bottom w:val="nil"/>
              <w:right w:val="single" w:sz="4" w:space="0" w:color="000000"/>
            </w:tcBorders>
            <w:shd w:val="clear" w:color="000000" w:fill="FFFFFF"/>
            <w:hideMark/>
          </w:tcPr>
          <w:p w14:paraId="522916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252. Reserva legal de la información de la Registraduría Nacional del Estado Civil.</w:t>
            </w:r>
            <w:r w:rsidRPr="00222F34">
              <w:rPr>
                <w:rFonts w:ascii="Calibri" w:eastAsia="Times New Roman" w:hAnsi="Calibri" w:cs="Calibri"/>
                <w:color w:val="000000"/>
                <w:lang w:val="es-CO" w:eastAsia="es-CO" w:bidi="ar-SA"/>
              </w:rPr>
              <w:t xml:space="preserve"> Toda persona tiene derecho a que la Registraduría le informe sobre el número, lugar y fecha de expedición de documentos de identidad pertenecientes a terceros</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previo cumplimiento de la política de tratamiento y protección de datos personales de los titulares.</w:t>
            </w:r>
          </w:p>
        </w:tc>
        <w:tc>
          <w:tcPr>
            <w:tcW w:w="1480" w:type="dxa"/>
            <w:tcBorders>
              <w:top w:val="nil"/>
              <w:left w:val="nil"/>
              <w:bottom w:val="nil"/>
              <w:right w:val="single" w:sz="4" w:space="0" w:color="000000"/>
            </w:tcBorders>
            <w:shd w:val="clear" w:color="000000" w:fill="FFFFFF"/>
            <w:hideMark/>
          </w:tcPr>
          <w:p w14:paraId="0D3FD8A7" w14:textId="1C00919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salvo el inciso segundo en el que se acoge el texto de Senado. Se ajusta la redacción en el primer inciso.</w:t>
            </w:r>
          </w:p>
        </w:tc>
      </w:tr>
      <w:tr w:rsidR="00CD4925" w:rsidRPr="00222F34" w14:paraId="2BAFED5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29CAB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Tienen carácter reservado las informaciones que reposen en las bases de datos de la Registraduría referentes a la identidad de las personas, como son sus datos biográficos, biométricos, morfológicos y su filiación, así como, los datos que conforman el censo electoral. </w:t>
            </w:r>
          </w:p>
        </w:tc>
        <w:tc>
          <w:tcPr>
            <w:tcW w:w="3798" w:type="dxa"/>
            <w:tcBorders>
              <w:top w:val="nil"/>
              <w:left w:val="nil"/>
              <w:bottom w:val="nil"/>
              <w:right w:val="single" w:sz="4" w:space="0" w:color="000000"/>
            </w:tcBorders>
            <w:shd w:val="clear" w:color="000000" w:fill="FFFFFF"/>
            <w:hideMark/>
          </w:tcPr>
          <w:p w14:paraId="0F6796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Tienen carácter reservado las informaciones que reposen en las bases de datos de la Registraduría referentes a la identidad de las personas, como son sus datos biográficos, biométricos, morfológicos y su filiación de consanguinidad, así como, los datos que conforman el censo electoral.</w:t>
            </w:r>
          </w:p>
        </w:tc>
        <w:tc>
          <w:tcPr>
            <w:tcW w:w="3798" w:type="dxa"/>
            <w:tcBorders>
              <w:top w:val="nil"/>
              <w:left w:val="nil"/>
              <w:bottom w:val="nil"/>
              <w:right w:val="single" w:sz="4" w:space="0" w:color="000000"/>
            </w:tcBorders>
            <w:shd w:val="clear" w:color="000000" w:fill="FFFFFF"/>
            <w:hideMark/>
          </w:tcPr>
          <w:p w14:paraId="1406C7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Tienen carácter reservado las informaciones que reposen en las bases de datos de la Registraduría referentes a la identidad de las personas, como son sus datos biográficos, biométricos, morfológicos y su filiación, así como, los datos que conforman el censo electoral. </w:t>
            </w:r>
          </w:p>
        </w:tc>
        <w:tc>
          <w:tcPr>
            <w:tcW w:w="1480" w:type="dxa"/>
            <w:tcBorders>
              <w:top w:val="nil"/>
              <w:left w:val="nil"/>
              <w:bottom w:val="nil"/>
              <w:right w:val="single" w:sz="4" w:space="0" w:color="000000"/>
            </w:tcBorders>
            <w:shd w:val="clear" w:color="000000" w:fill="FFFFFF"/>
            <w:hideMark/>
          </w:tcPr>
          <w:p w14:paraId="63255EB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3E981D0"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73138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 la información reservada sólo podrá hacerse uso por orden judicial en ejercicio de su función de acuerdo con los estándares establecidos por la Registraduría que aseguren la integridad, disponibilidad y confidencialidad de los datos.  </w:t>
            </w:r>
          </w:p>
        </w:tc>
        <w:tc>
          <w:tcPr>
            <w:tcW w:w="3798" w:type="dxa"/>
            <w:tcBorders>
              <w:top w:val="nil"/>
              <w:left w:val="nil"/>
              <w:bottom w:val="nil"/>
              <w:right w:val="single" w:sz="4" w:space="0" w:color="000000"/>
            </w:tcBorders>
            <w:shd w:val="clear" w:color="000000" w:fill="FFFFFF"/>
            <w:hideMark/>
          </w:tcPr>
          <w:p w14:paraId="565B6A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 información reservada sólo podrá hacerse uso por orden judicial en ejercicio de su función de acuerdo con los estándares establecidos por la Registraduría que aseguren la integridad, disponibilidad y confidencialidad de los datos.</w:t>
            </w:r>
          </w:p>
        </w:tc>
        <w:tc>
          <w:tcPr>
            <w:tcW w:w="3798" w:type="dxa"/>
            <w:tcBorders>
              <w:top w:val="nil"/>
              <w:left w:val="nil"/>
              <w:bottom w:val="nil"/>
              <w:right w:val="single" w:sz="4" w:space="0" w:color="000000"/>
            </w:tcBorders>
            <w:shd w:val="clear" w:color="000000" w:fill="FFFFFF"/>
            <w:hideMark/>
          </w:tcPr>
          <w:p w14:paraId="0C23E65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 información reservada sólo podrá hacerse uso por orden judicial en ejercicio de su función de acuerdo con los estándares establecidos por la Registraduría que aseguren la integridad, disponibilidad y confidencialidad de los datos.</w:t>
            </w:r>
          </w:p>
        </w:tc>
        <w:tc>
          <w:tcPr>
            <w:tcW w:w="1480" w:type="dxa"/>
            <w:tcBorders>
              <w:top w:val="nil"/>
              <w:left w:val="nil"/>
              <w:bottom w:val="nil"/>
              <w:right w:val="single" w:sz="4" w:space="0" w:color="000000"/>
            </w:tcBorders>
            <w:shd w:val="clear" w:color="000000" w:fill="FFFFFF"/>
            <w:hideMark/>
          </w:tcPr>
          <w:p w14:paraId="58496D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BA52A36" w14:textId="77777777" w:rsidTr="00222F34">
        <w:trPr>
          <w:trHeight w:val="645"/>
        </w:trPr>
        <w:tc>
          <w:tcPr>
            <w:tcW w:w="3798" w:type="dxa"/>
            <w:tcBorders>
              <w:top w:val="nil"/>
              <w:left w:val="single" w:sz="4" w:space="0" w:color="000000"/>
              <w:bottom w:val="nil"/>
              <w:right w:val="single" w:sz="4" w:space="0" w:color="000000"/>
            </w:tcBorders>
            <w:shd w:val="clear" w:color="000000" w:fill="FFFFFF"/>
            <w:hideMark/>
          </w:tcPr>
          <w:p w14:paraId="0025C6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administrativas podrán hacer uso de la información reservada previa orden judicial impartida por el Consejo de Estado.</w:t>
            </w:r>
          </w:p>
        </w:tc>
        <w:tc>
          <w:tcPr>
            <w:tcW w:w="3798" w:type="dxa"/>
            <w:tcBorders>
              <w:top w:val="nil"/>
              <w:left w:val="nil"/>
              <w:bottom w:val="nil"/>
              <w:right w:val="single" w:sz="4" w:space="0" w:color="000000"/>
            </w:tcBorders>
            <w:shd w:val="clear" w:color="000000" w:fill="FFFFFF"/>
            <w:hideMark/>
          </w:tcPr>
          <w:p w14:paraId="44328B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administrativas podrán hacer uso de la información reservada previa orden judicial.</w:t>
            </w:r>
          </w:p>
        </w:tc>
        <w:tc>
          <w:tcPr>
            <w:tcW w:w="3798" w:type="dxa"/>
            <w:tcBorders>
              <w:top w:val="nil"/>
              <w:left w:val="nil"/>
              <w:bottom w:val="nil"/>
              <w:right w:val="single" w:sz="4" w:space="0" w:color="000000"/>
            </w:tcBorders>
            <w:shd w:val="clear" w:color="000000" w:fill="FFFFFF"/>
            <w:hideMark/>
          </w:tcPr>
          <w:p w14:paraId="6226D3D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administrativas podrán hacer uso de la información reservada previa orden judicial.</w:t>
            </w:r>
          </w:p>
        </w:tc>
        <w:tc>
          <w:tcPr>
            <w:tcW w:w="1480" w:type="dxa"/>
            <w:tcBorders>
              <w:top w:val="nil"/>
              <w:left w:val="nil"/>
              <w:bottom w:val="nil"/>
              <w:right w:val="single" w:sz="4" w:space="0" w:color="000000"/>
            </w:tcBorders>
            <w:shd w:val="clear" w:color="000000" w:fill="FFFFFF"/>
            <w:hideMark/>
          </w:tcPr>
          <w:p w14:paraId="069A61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10C745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A51588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Los autorizados por la ley, podrán consultar las bases de datos, previo cumplimiento de las condiciones jurídico técnicas establecidas por la Registraduría Nacional del Estado Civil que permitan garantizar la integridad, disponibilidad y confidencialidad de los datos. </w:t>
            </w:r>
          </w:p>
        </w:tc>
        <w:tc>
          <w:tcPr>
            <w:tcW w:w="3798" w:type="dxa"/>
            <w:tcBorders>
              <w:top w:val="nil"/>
              <w:left w:val="nil"/>
              <w:bottom w:val="nil"/>
              <w:right w:val="single" w:sz="4" w:space="0" w:color="000000"/>
            </w:tcBorders>
            <w:shd w:val="clear" w:color="000000" w:fill="FFFFFF"/>
            <w:hideMark/>
          </w:tcPr>
          <w:p w14:paraId="5DBEC1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autorizados por la ley, podrán consultar las bases de datos, previo cumplimiento de las condiciones jurídico técnicas establecidas por la Registraduría Nacional del Estado Civil que permitan garantizar la integridad, disponibilidad y confidencialidad de los datos.</w:t>
            </w:r>
          </w:p>
        </w:tc>
        <w:tc>
          <w:tcPr>
            <w:tcW w:w="3798" w:type="dxa"/>
            <w:tcBorders>
              <w:top w:val="nil"/>
              <w:left w:val="nil"/>
              <w:bottom w:val="nil"/>
              <w:right w:val="single" w:sz="4" w:space="0" w:color="000000"/>
            </w:tcBorders>
            <w:shd w:val="clear" w:color="000000" w:fill="FFFFFF"/>
            <w:hideMark/>
          </w:tcPr>
          <w:p w14:paraId="7A0AD4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autorizados por la ley, podrán consultar las bases de datos, previo cumplimiento de las condiciones jurídico técnicas establecidas por la Registraduría Nacional del Estado Civil que permitan garantizar la integridad, disponibilidad y confidencialidad de los datos.</w:t>
            </w:r>
          </w:p>
        </w:tc>
        <w:tc>
          <w:tcPr>
            <w:tcW w:w="1480" w:type="dxa"/>
            <w:tcBorders>
              <w:top w:val="nil"/>
              <w:left w:val="nil"/>
              <w:bottom w:val="nil"/>
              <w:right w:val="single" w:sz="4" w:space="0" w:color="000000"/>
            </w:tcBorders>
            <w:shd w:val="clear" w:color="000000" w:fill="FFFFFF"/>
            <w:hideMark/>
          </w:tcPr>
          <w:p w14:paraId="0C818D0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8395AA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5D8719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Cualquier persona podrá inspeccionar en todo tiempo los censos electorales, pero la expedición de copia procederá sólo en los casos que la ley permita, cumpliendo previamente con las condiciones de integridad, disponibilidad y confidencialidad de la información. </w:t>
            </w:r>
          </w:p>
        </w:tc>
        <w:tc>
          <w:tcPr>
            <w:tcW w:w="3798" w:type="dxa"/>
            <w:tcBorders>
              <w:top w:val="nil"/>
              <w:left w:val="nil"/>
              <w:bottom w:val="nil"/>
              <w:right w:val="single" w:sz="4" w:space="0" w:color="000000"/>
            </w:tcBorders>
            <w:shd w:val="clear" w:color="000000" w:fill="FFFFFF"/>
            <w:hideMark/>
          </w:tcPr>
          <w:p w14:paraId="4B8B9A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Cualquier persona podrá inspeccionar en todo tiempo los censos electorales, pero la expedición de copia procederá sólo en los casos que la ley permita, cumpliendo previamente con las condiciones de integridad, disponibilidad y confidencialidad de la información.</w:t>
            </w:r>
          </w:p>
        </w:tc>
        <w:tc>
          <w:tcPr>
            <w:tcW w:w="3798" w:type="dxa"/>
            <w:tcBorders>
              <w:top w:val="nil"/>
              <w:left w:val="nil"/>
              <w:bottom w:val="nil"/>
              <w:right w:val="single" w:sz="4" w:space="0" w:color="000000"/>
            </w:tcBorders>
            <w:shd w:val="clear" w:color="000000" w:fill="FFFFFF"/>
            <w:hideMark/>
          </w:tcPr>
          <w:p w14:paraId="45BFAE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Cualquier persona podrá inspeccionar en todo tiempo los censos electorales, pero la expedición de copia procederá sólo en los casos que la ley permita, cumpliendo previamente con las condiciones de integridad, disponibilidad y confidencialidad de la información.</w:t>
            </w:r>
          </w:p>
        </w:tc>
        <w:tc>
          <w:tcPr>
            <w:tcW w:w="1480" w:type="dxa"/>
            <w:tcBorders>
              <w:top w:val="nil"/>
              <w:left w:val="nil"/>
              <w:bottom w:val="nil"/>
              <w:right w:val="single" w:sz="4" w:space="0" w:color="000000"/>
            </w:tcBorders>
            <w:shd w:val="clear" w:color="000000" w:fill="FFFFFF"/>
            <w:hideMark/>
          </w:tcPr>
          <w:p w14:paraId="659460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0D54DF"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B56E7F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Las entidades públicas y privadas deberán permitir a la Registraduría Nacional del Estado Civil la consulta sin costo de sus datos a través de mecanismos de interoperabilidad con miras a asegurar la depuración permanente del censo electoral. </w:t>
            </w:r>
          </w:p>
        </w:tc>
        <w:tc>
          <w:tcPr>
            <w:tcW w:w="3798" w:type="dxa"/>
            <w:tcBorders>
              <w:top w:val="nil"/>
              <w:left w:val="nil"/>
              <w:bottom w:val="single" w:sz="4" w:space="0" w:color="000000"/>
              <w:right w:val="single" w:sz="4" w:space="0" w:color="000000"/>
            </w:tcBorders>
            <w:shd w:val="clear" w:color="000000" w:fill="FFFFFF"/>
            <w:hideMark/>
          </w:tcPr>
          <w:p w14:paraId="700DFD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Las entidades públicas y privadas deberán permitir a la Registraduría Nacional del Estado Civil la consulta sin costo de sus datos a través de mecanismos de interoperabilidad con miras a asegurar la depuración permanente del censo electoral.</w:t>
            </w:r>
          </w:p>
        </w:tc>
        <w:tc>
          <w:tcPr>
            <w:tcW w:w="3798" w:type="dxa"/>
            <w:tcBorders>
              <w:top w:val="nil"/>
              <w:left w:val="nil"/>
              <w:bottom w:val="single" w:sz="4" w:space="0" w:color="000000"/>
              <w:right w:val="single" w:sz="4" w:space="0" w:color="000000"/>
            </w:tcBorders>
            <w:shd w:val="clear" w:color="000000" w:fill="FFFFFF"/>
            <w:hideMark/>
          </w:tcPr>
          <w:p w14:paraId="63B91F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Las entidades públicas y privadas deberán permitir a la Registraduría Nacional del Estado Civil la consulta sin costo de sus datos a través de mecanismos de interoperabilidad con miras a asegurar la depuración permanente del censo electoral.</w:t>
            </w:r>
          </w:p>
        </w:tc>
        <w:tc>
          <w:tcPr>
            <w:tcW w:w="1480" w:type="dxa"/>
            <w:tcBorders>
              <w:top w:val="nil"/>
              <w:left w:val="nil"/>
              <w:bottom w:val="single" w:sz="4" w:space="0" w:color="000000"/>
              <w:right w:val="single" w:sz="4" w:space="0" w:color="000000"/>
            </w:tcBorders>
            <w:shd w:val="clear" w:color="000000" w:fill="FFFFFF"/>
            <w:hideMark/>
          </w:tcPr>
          <w:p w14:paraId="50059A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153E0B6" w14:textId="77777777" w:rsidTr="00222F34">
        <w:trPr>
          <w:trHeight w:val="3060"/>
        </w:trPr>
        <w:tc>
          <w:tcPr>
            <w:tcW w:w="3798" w:type="dxa"/>
            <w:tcBorders>
              <w:top w:val="nil"/>
              <w:left w:val="single" w:sz="4" w:space="0" w:color="000000"/>
              <w:bottom w:val="nil"/>
              <w:right w:val="single" w:sz="4" w:space="0" w:color="000000"/>
            </w:tcBorders>
            <w:shd w:val="clear" w:color="000000" w:fill="FFFFFF"/>
            <w:hideMark/>
          </w:tcPr>
          <w:p w14:paraId="547DA23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249.- Definición de violencia contra las mujeres en la vida política.</w:t>
            </w:r>
            <w:r w:rsidRPr="00222F34">
              <w:rPr>
                <w:rFonts w:ascii="Calibri" w:eastAsia="Times New Roman" w:hAnsi="Calibri" w:cs="Calibri"/>
                <w:color w:val="000000"/>
                <w:lang w:val="es-CO" w:eastAsia="es-CO" w:bidi="ar-SA"/>
              </w:rPr>
              <w:t xml:space="preserve"> Se entiende por violencia contra las mujeres en ejercicio de su derecho a la participación política, toda acción, conducta u omisión, realizada de forma directa o a través de terceros en el ámbito público o privado que, basada en su género, cause daño o sufrimiento a una o varias mujeres o a sus familias, sin distinción de su afinidad política o ideológica.  Así mismo, que tengan por objeto o resultado menoscabar, impedir, desestimular y dificultar o anular el reconocimiento, goce o ejercicio de sus derechos políticos, en el marco de los procesos electorales y el ejercicio del cargo, de participación ciudadana y representación democrática y el ejercicio de la función pública. </w:t>
            </w:r>
          </w:p>
        </w:tc>
        <w:tc>
          <w:tcPr>
            <w:tcW w:w="3798" w:type="dxa"/>
            <w:tcBorders>
              <w:top w:val="nil"/>
              <w:left w:val="nil"/>
              <w:bottom w:val="nil"/>
              <w:right w:val="single" w:sz="4" w:space="0" w:color="000000"/>
            </w:tcBorders>
            <w:shd w:val="clear" w:color="000000" w:fill="FFFFFF"/>
            <w:hideMark/>
          </w:tcPr>
          <w:p w14:paraId="72C3E79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253.- Definición de violencia contra las mujeres y personas trans y no binarias en la vida política.</w:t>
            </w:r>
            <w:r w:rsidRPr="00222F34">
              <w:rPr>
                <w:rFonts w:ascii="Calibri" w:eastAsia="Times New Roman" w:hAnsi="Calibri" w:cs="Calibri"/>
                <w:color w:val="000000"/>
                <w:lang w:val="es-CO" w:eastAsia="es-CO" w:bidi="ar-SA"/>
              </w:rPr>
              <w:t xml:space="preserve"> Se entiende por violencia contra las mujeres y personas trans y no binarias en ejercicio de su derecho a la participación política, toda acción, conducta u omisión, realizada de forma directa o a través de terceros en el ámbito público o privado que, basada en su género, cause daño o sufrimiento a una o varias mujeres y personas trans y no binarias o a sus familias, sin distinción de su afinidad política o ideológica. Así mismo, que tengan por objeto o resultado menoscabar, impedir, desestimular y dificultar o anular el reconocimiento, goce o ejercicio de sus derechos políticos, en el marco de los procesos electorales y el ejercicio del cargo, de participación ciudadana y representación democrática y el ejercicio de la función pública.</w:t>
            </w:r>
          </w:p>
        </w:tc>
        <w:tc>
          <w:tcPr>
            <w:tcW w:w="3798" w:type="dxa"/>
            <w:tcBorders>
              <w:top w:val="nil"/>
              <w:left w:val="nil"/>
              <w:bottom w:val="nil"/>
              <w:right w:val="single" w:sz="4" w:space="0" w:color="000000"/>
            </w:tcBorders>
            <w:shd w:val="clear" w:color="000000" w:fill="FFFFFF"/>
            <w:hideMark/>
          </w:tcPr>
          <w:p w14:paraId="6098D97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253.- Definición de violencia contra las mujeres y personas trans y no binarias en la vida política.</w:t>
            </w:r>
            <w:r w:rsidRPr="00222F34">
              <w:rPr>
                <w:rFonts w:ascii="Calibri" w:eastAsia="Times New Roman" w:hAnsi="Calibri" w:cs="Calibri"/>
                <w:color w:val="000000"/>
                <w:lang w:val="es-CO" w:eastAsia="es-CO" w:bidi="ar-SA"/>
              </w:rPr>
              <w:t xml:space="preserve"> Se entiende por violencia contra las mujeres y personas trans y no binarias en ejercicio de su derecho a la participación política, toda acción, conducta u omisión, realizada de forma directa o a través de terceros en el ámbito público o privado que, basada en su género, cause daño o sufrimiento a una o varias mujeres y personas trans y no binarias o a sus familias, sin distinción de su afinidad política o ideológica. Así mismo, que tengan por objeto o resultado menoscabar, impedir, desestimular y dificultar o anular el reconocimiento, goce o ejercicio de sus derechos políticos, en el marco de los procesos electorales y el ejercicio del cargo, de participación ciudadana y representación democrática y el ejercicio de la función pública.</w:t>
            </w:r>
          </w:p>
        </w:tc>
        <w:tc>
          <w:tcPr>
            <w:tcW w:w="1480" w:type="dxa"/>
            <w:tcBorders>
              <w:top w:val="nil"/>
              <w:left w:val="nil"/>
              <w:bottom w:val="nil"/>
              <w:right w:val="single" w:sz="4" w:space="0" w:color="000000"/>
            </w:tcBorders>
            <w:shd w:val="clear" w:color="000000" w:fill="FFFFFF"/>
            <w:hideMark/>
          </w:tcPr>
          <w:p w14:paraId="62DB4787" w14:textId="33AE16F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2A6D115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9E051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violencia contra las mujeres en la vida política puede incluir, entre otras, violencia física, sexual, psicológica, moral, económica o patrimonial, digital y simbólica. </w:t>
            </w:r>
          </w:p>
        </w:tc>
        <w:tc>
          <w:tcPr>
            <w:tcW w:w="3798" w:type="dxa"/>
            <w:tcBorders>
              <w:top w:val="nil"/>
              <w:left w:val="nil"/>
              <w:bottom w:val="nil"/>
              <w:right w:val="single" w:sz="4" w:space="0" w:color="000000"/>
            </w:tcBorders>
            <w:shd w:val="clear" w:color="000000" w:fill="FFFFFF"/>
            <w:hideMark/>
          </w:tcPr>
          <w:p w14:paraId="0D9DBC1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violencia contra las mujeres y personas trans y no binarias en la vida política puede incluir, entre otras, violencia física, sexual, psicológica, moral, económica o patrimonial, digital y simbólica.</w:t>
            </w:r>
          </w:p>
        </w:tc>
        <w:tc>
          <w:tcPr>
            <w:tcW w:w="3798" w:type="dxa"/>
            <w:tcBorders>
              <w:top w:val="nil"/>
              <w:left w:val="nil"/>
              <w:bottom w:val="nil"/>
              <w:right w:val="single" w:sz="4" w:space="0" w:color="000000"/>
            </w:tcBorders>
            <w:shd w:val="clear" w:color="000000" w:fill="FFFFFF"/>
            <w:hideMark/>
          </w:tcPr>
          <w:p w14:paraId="77469D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violencia contra las mujeres y personas trans y no binarias en la vida política puede incluir, entre otras, violencia física, sexual, psicológica, moral, económica o patrimonial, digital y simbólica.</w:t>
            </w:r>
          </w:p>
        </w:tc>
        <w:tc>
          <w:tcPr>
            <w:tcW w:w="1480" w:type="dxa"/>
            <w:tcBorders>
              <w:top w:val="nil"/>
              <w:left w:val="nil"/>
              <w:bottom w:val="nil"/>
              <w:right w:val="single" w:sz="4" w:space="0" w:color="000000"/>
            </w:tcBorders>
            <w:shd w:val="clear" w:color="000000" w:fill="FFFFFF"/>
            <w:hideMark/>
          </w:tcPr>
          <w:p w14:paraId="6B0B45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5FD4C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53F86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Se configuran como violencia política contra las mujeres, aquellas acciones, conductas u omisiones en contra de las mujeres que, basadas en su género: </w:t>
            </w:r>
          </w:p>
        </w:tc>
        <w:tc>
          <w:tcPr>
            <w:tcW w:w="3798" w:type="dxa"/>
            <w:tcBorders>
              <w:top w:val="nil"/>
              <w:left w:val="nil"/>
              <w:bottom w:val="nil"/>
              <w:right w:val="single" w:sz="4" w:space="0" w:color="000000"/>
            </w:tcBorders>
            <w:shd w:val="clear" w:color="000000" w:fill="FFFFFF"/>
            <w:hideMark/>
          </w:tcPr>
          <w:p w14:paraId="61246A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configuran como violencia política contra las mujeres y personas trans y no binarias, aquellas acciones, conductas u omisiones en contra de las mujeres y personas trans y no binarias que, basadas en su género:</w:t>
            </w:r>
          </w:p>
        </w:tc>
        <w:tc>
          <w:tcPr>
            <w:tcW w:w="3798" w:type="dxa"/>
            <w:tcBorders>
              <w:top w:val="nil"/>
              <w:left w:val="nil"/>
              <w:bottom w:val="nil"/>
              <w:right w:val="single" w:sz="4" w:space="0" w:color="000000"/>
            </w:tcBorders>
            <w:shd w:val="clear" w:color="000000" w:fill="FFFFFF"/>
            <w:hideMark/>
          </w:tcPr>
          <w:p w14:paraId="4D202B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configuran como violencia política contra las mujeres y personas trans y no binarias, aquellas acciones, conductas u omisiones en contra de las mujeres y personas trans y no binarias que, basadas en su género:</w:t>
            </w:r>
          </w:p>
        </w:tc>
        <w:tc>
          <w:tcPr>
            <w:tcW w:w="1480" w:type="dxa"/>
            <w:tcBorders>
              <w:top w:val="nil"/>
              <w:left w:val="nil"/>
              <w:bottom w:val="nil"/>
              <w:right w:val="single" w:sz="4" w:space="0" w:color="000000"/>
            </w:tcBorders>
            <w:shd w:val="clear" w:color="000000" w:fill="FFFFFF"/>
            <w:hideMark/>
          </w:tcPr>
          <w:p w14:paraId="66369E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AEB756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F72D6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Aquellas conductas que atenten contra la vida e integridad personal de las mujeres con el objeto de limitar, anular a restringir sus derechos políticos o electorales, tales como: las agresiones físicas, el homicidio, el secuestro, el feminicidio, actos discriminatorios, hostigamiento, extorsión, constreñimiento ilegal entre otras.</w:t>
            </w:r>
          </w:p>
        </w:tc>
        <w:tc>
          <w:tcPr>
            <w:tcW w:w="3798" w:type="dxa"/>
            <w:tcBorders>
              <w:top w:val="nil"/>
              <w:left w:val="nil"/>
              <w:bottom w:val="nil"/>
              <w:right w:val="single" w:sz="4" w:space="0" w:color="000000"/>
            </w:tcBorders>
            <w:shd w:val="clear" w:color="000000" w:fill="FFFFFF"/>
            <w:hideMark/>
          </w:tcPr>
          <w:p w14:paraId="23A437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Aquellas conductas que atenten contra la vida e integridad personal de las mujeres y personas trans y no binarias con el objeto de limitar, anular a restringir sus derechos políticos o electorales, tales como: las agresiones físicas, el homicidio, el secuestro, el feminicidio, actos discriminatorios, hostigamiento, extorsión, constreñimiento ilegal entre otras.</w:t>
            </w:r>
          </w:p>
        </w:tc>
        <w:tc>
          <w:tcPr>
            <w:tcW w:w="3798" w:type="dxa"/>
            <w:tcBorders>
              <w:top w:val="nil"/>
              <w:left w:val="nil"/>
              <w:bottom w:val="nil"/>
              <w:right w:val="single" w:sz="4" w:space="0" w:color="000000"/>
            </w:tcBorders>
            <w:shd w:val="clear" w:color="000000" w:fill="FFFFFF"/>
            <w:hideMark/>
          </w:tcPr>
          <w:p w14:paraId="6DEEF7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Aquellas conductas que atenten contra la vida e integridad personal de las mujeres y personas trans y no binarias con el objeto de limitar, anular a restringir sus derechos políticos o electorales, tales como: las agresiones físicas, el homicidio, el secuestro, el feminicidio, actos discriminatorios, hostigamiento, extorsión, constreñimiento ilegal entre otras.</w:t>
            </w:r>
          </w:p>
        </w:tc>
        <w:tc>
          <w:tcPr>
            <w:tcW w:w="1480" w:type="dxa"/>
            <w:tcBorders>
              <w:top w:val="nil"/>
              <w:left w:val="nil"/>
              <w:bottom w:val="nil"/>
              <w:right w:val="single" w:sz="4" w:space="0" w:color="000000"/>
            </w:tcBorders>
            <w:shd w:val="clear" w:color="000000" w:fill="FFFFFF"/>
            <w:hideMark/>
          </w:tcPr>
          <w:p w14:paraId="039374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CE48B09"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602E5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Aquellas conductas que atenten contra la libertad, integridad y formación sexual con el objeto de limitar, anular o restringir sus derechos políticos o electorales, tales como: acoso, proposiciones, tocamientos, agresiones, o invitaciones sexuales que influyan en sus aspiraciones políticas o las condiciones de su actividad política, entre otras.</w:t>
            </w:r>
          </w:p>
        </w:tc>
        <w:tc>
          <w:tcPr>
            <w:tcW w:w="3798" w:type="dxa"/>
            <w:tcBorders>
              <w:top w:val="nil"/>
              <w:left w:val="nil"/>
              <w:bottom w:val="nil"/>
              <w:right w:val="single" w:sz="4" w:space="0" w:color="000000"/>
            </w:tcBorders>
            <w:shd w:val="clear" w:color="000000" w:fill="FFFFFF"/>
            <w:hideMark/>
          </w:tcPr>
          <w:p w14:paraId="782B42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Aquellas conductas que atenten contra la libertad, integridad y formación sexual con el objeto de limitar, anular o restringir sus derechos políticos o electorales, tales como: acoso, proposiciones, tocamientos, agresiones, o invitaciones sexuales que influyan en sus aspiraciones políticas o las condiciones de su actividad política, entre otras.</w:t>
            </w:r>
          </w:p>
        </w:tc>
        <w:tc>
          <w:tcPr>
            <w:tcW w:w="3798" w:type="dxa"/>
            <w:tcBorders>
              <w:top w:val="nil"/>
              <w:left w:val="nil"/>
              <w:bottom w:val="nil"/>
              <w:right w:val="single" w:sz="4" w:space="0" w:color="000000"/>
            </w:tcBorders>
            <w:shd w:val="clear" w:color="000000" w:fill="FFFFFF"/>
            <w:hideMark/>
          </w:tcPr>
          <w:p w14:paraId="2EA2408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Aquellas conductas que atenten contra la libertad, integridad y formación sexual con el objeto de limitar, anular o restringir sus derechos políticos o electorales, tales como: acoso, proposiciones, tocamientos, agresiones, o invitaciones sexuales que influyan en sus aspiraciones políticas o las condiciones de su actividad política, entre otras.</w:t>
            </w:r>
          </w:p>
        </w:tc>
        <w:tc>
          <w:tcPr>
            <w:tcW w:w="1480" w:type="dxa"/>
            <w:tcBorders>
              <w:top w:val="nil"/>
              <w:left w:val="nil"/>
              <w:bottom w:val="nil"/>
              <w:right w:val="single" w:sz="4" w:space="0" w:color="000000"/>
            </w:tcBorders>
            <w:shd w:val="clear" w:color="000000" w:fill="FFFFFF"/>
            <w:hideMark/>
          </w:tcPr>
          <w:p w14:paraId="219143D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E229F59"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6B6C2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w:t>
            </w:r>
          </w:p>
        </w:tc>
        <w:tc>
          <w:tcPr>
            <w:tcW w:w="3798" w:type="dxa"/>
            <w:tcBorders>
              <w:top w:val="nil"/>
              <w:left w:val="nil"/>
              <w:bottom w:val="nil"/>
              <w:right w:val="single" w:sz="4" w:space="0" w:color="000000"/>
            </w:tcBorders>
            <w:shd w:val="clear" w:color="000000" w:fill="FFFFFF"/>
            <w:hideMark/>
          </w:tcPr>
          <w:p w14:paraId="6C59D1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w:t>
            </w:r>
          </w:p>
        </w:tc>
        <w:tc>
          <w:tcPr>
            <w:tcW w:w="3798" w:type="dxa"/>
            <w:tcBorders>
              <w:top w:val="nil"/>
              <w:left w:val="nil"/>
              <w:bottom w:val="nil"/>
              <w:right w:val="single" w:sz="4" w:space="0" w:color="000000"/>
            </w:tcBorders>
            <w:shd w:val="clear" w:color="000000" w:fill="FFFFFF"/>
            <w:hideMark/>
          </w:tcPr>
          <w:p w14:paraId="4CB8E4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w:t>
            </w:r>
          </w:p>
        </w:tc>
        <w:tc>
          <w:tcPr>
            <w:tcW w:w="1480" w:type="dxa"/>
            <w:tcBorders>
              <w:top w:val="nil"/>
              <w:left w:val="nil"/>
              <w:bottom w:val="nil"/>
              <w:right w:val="single" w:sz="4" w:space="0" w:color="000000"/>
            </w:tcBorders>
            <w:shd w:val="clear" w:color="000000" w:fill="FFFFFF"/>
            <w:hideMark/>
          </w:tcPr>
          <w:p w14:paraId="6C2623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839ACC8"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6147D83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Aquellas conductas que atenten contra los Derechos políticos, mecanismos de participación democrática o aquellas que atenten la Seguridad Pública, las cuales se encuentran consagradas en el Capítulo 1 del Título XII del Código Penal, que se lleven a cabo con el objeto de limitar, anular o restringir sus derechos político o electorales, tales como: restringir o anular el derecho al voto libre y secreto, proporcionar intencionalmente a las mujeres, a las autoridades administrativas, electorales información falsa, errónea o incompleta, obstaculizar en razón del género, los derechos de asociación y afiliación a todo tipo de organizaciones políticas y civiles, entre otras; </w:t>
            </w:r>
          </w:p>
        </w:tc>
        <w:tc>
          <w:tcPr>
            <w:tcW w:w="3798" w:type="dxa"/>
            <w:tcBorders>
              <w:top w:val="nil"/>
              <w:left w:val="nil"/>
              <w:bottom w:val="nil"/>
              <w:right w:val="single" w:sz="4" w:space="0" w:color="000000"/>
            </w:tcBorders>
            <w:shd w:val="clear" w:color="000000" w:fill="FFFFFF"/>
            <w:hideMark/>
          </w:tcPr>
          <w:p w14:paraId="1C3DDF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Aquellas conductas que atenten contra los Derechos políticos, mecanismos de participación democrática o aquellas que atenten la Seguridad Pública, las cuales se encuentran consagradas en el Capítulo 1 del Título XII del Código Penal, que se lleven a cabo con el objeto de limitar, anular o restringir sus derechos político o electorales, tales como: restringir o anular el derecho al voto libre y secreto, proporcionar intencionalmente a las mujeres y personas trans y no binarias, a las autoridades administrativas, electorales información falsa, errónea o incompleta, obstaculizar en razón del género, los derechos de asociación y afiliación a todo tipo de organizaciones políticas y civiles, entre otras.</w:t>
            </w:r>
          </w:p>
        </w:tc>
        <w:tc>
          <w:tcPr>
            <w:tcW w:w="3798" w:type="dxa"/>
            <w:tcBorders>
              <w:top w:val="nil"/>
              <w:left w:val="nil"/>
              <w:bottom w:val="nil"/>
              <w:right w:val="single" w:sz="4" w:space="0" w:color="000000"/>
            </w:tcBorders>
            <w:shd w:val="clear" w:color="000000" w:fill="FFFFFF"/>
            <w:hideMark/>
          </w:tcPr>
          <w:p w14:paraId="0CA90DC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Aquellas conductas que atenten contra los Derechos políticos, mecanismos de participación democrática o aquellas que atenten la Seguridad Pública, las cuales se encuentran consagradas en el Capítulo 1 del Título XII del Código Penal, que se lleven a cabo con el objeto de limitar, anular o restringir sus derechos político o electorales, tales como: restringir o anular el derecho al voto libre y secreto, proporcionar intencionalmente a las mujeres y personas trans y no binarias, a las autoridades administrativas, electorales información falsa, errónea o incompleta, obstaculizar en razón del género, los derechos de asociación y afiliación a todo tipo de organizaciones políticas y civiles, entre otras.</w:t>
            </w:r>
          </w:p>
        </w:tc>
        <w:tc>
          <w:tcPr>
            <w:tcW w:w="1480" w:type="dxa"/>
            <w:tcBorders>
              <w:top w:val="nil"/>
              <w:left w:val="nil"/>
              <w:bottom w:val="nil"/>
              <w:right w:val="single" w:sz="4" w:space="0" w:color="000000"/>
            </w:tcBorders>
            <w:shd w:val="clear" w:color="000000" w:fill="FFFFFF"/>
            <w:hideMark/>
          </w:tcPr>
          <w:p w14:paraId="4C8292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96EA604"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67A64E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5. Aquellas conductas que atenten contra la debida administración de justicia de las mujeres con el objeto de limitar, anular o restringir sus derechos políticos o electorales, tales como: usar indebida o temerariamente usar las acciones judiciales de forma temeraria o de mala fe en un proceso administrativo o judicial, obstaculizar o impedir el acceso a la justicia para proteger sus derechos políticos, electorales o desconocer las decisiones adoptadas, imponer sanciones injustificadas o abusivas, entre otras.</w:t>
            </w:r>
          </w:p>
        </w:tc>
        <w:tc>
          <w:tcPr>
            <w:tcW w:w="3798" w:type="dxa"/>
            <w:tcBorders>
              <w:top w:val="nil"/>
              <w:left w:val="nil"/>
              <w:bottom w:val="nil"/>
              <w:right w:val="single" w:sz="4" w:space="0" w:color="000000"/>
            </w:tcBorders>
            <w:shd w:val="clear" w:color="000000" w:fill="FFFFFF"/>
            <w:hideMark/>
          </w:tcPr>
          <w:p w14:paraId="721B4F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Aquellas conductas que atenten contra la debida administración de justicia de las mujeres y personas trans y no binarias con el objeto de limitar, anular o restringir sus derechos políticos o electorales, tales como: usar indebida o temerariamente usar las acciones judiciales de forma temeraria o de mala fe en un proceso administrativo o judicial, obstaculizar o impedir el acceso a la justicia para proteger sus derechos políticos, electorales o desconocer las decisiones adoptadas, imponer sanciones injustificadas o abusivas, entre otras.</w:t>
            </w:r>
          </w:p>
        </w:tc>
        <w:tc>
          <w:tcPr>
            <w:tcW w:w="3798" w:type="dxa"/>
            <w:tcBorders>
              <w:top w:val="nil"/>
              <w:left w:val="nil"/>
              <w:bottom w:val="nil"/>
              <w:right w:val="single" w:sz="4" w:space="0" w:color="000000"/>
            </w:tcBorders>
            <w:shd w:val="clear" w:color="000000" w:fill="FFFFFF"/>
            <w:hideMark/>
          </w:tcPr>
          <w:p w14:paraId="1CD687B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Aquellas conductas que atenten contra la debida administración de justicia de las mujeres y personas trans y no binarias con el objeto de limitar, anular o restringir sus derechos políticos o electorales, tales como: usar indebida o temerariamente usar las acciones judiciales de forma temeraria o de mala fe en un proceso administrativo o judicial, obstaculizar o impedir el acceso a la justicia para proteger sus derechos políticos, electorales o desconocer las decisiones adoptadas, imponer sanciones injustificadas o abusivas, entre otras.</w:t>
            </w:r>
          </w:p>
        </w:tc>
        <w:tc>
          <w:tcPr>
            <w:tcW w:w="1480" w:type="dxa"/>
            <w:tcBorders>
              <w:top w:val="nil"/>
              <w:left w:val="nil"/>
              <w:bottom w:val="nil"/>
              <w:right w:val="single" w:sz="4" w:space="0" w:color="000000"/>
            </w:tcBorders>
            <w:shd w:val="clear" w:color="000000" w:fill="FFFFFF"/>
            <w:hideMark/>
          </w:tcPr>
          <w:p w14:paraId="6D20ABE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80BD2D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4E3A1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Aquellas conductas que atenten contra la libertad de expresión con el objeto de limitar, anular o restringir sus derechos políticos o electorales, tales como: restringir o anular su libertad de expresión en los canales de comunicación, entre otras.</w:t>
            </w:r>
          </w:p>
        </w:tc>
        <w:tc>
          <w:tcPr>
            <w:tcW w:w="3798" w:type="dxa"/>
            <w:tcBorders>
              <w:top w:val="nil"/>
              <w:left w:val="nil"/>
              <w:bottom w:val="nil"/>
              <w:right w:val="single" w:sz="4" w:space="0" w:color="000000"/>
            </w:tcBorders>
            <w:shd w:val="clear" w:color="000000" w:fill="FFFFFF"/>
            <w:hideMark/>
          </w:tcPr>
          <w:p w14:paraId="6BC3E2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Aquellas conductas que atenten contra la libertad de expresión con el objeto de limitar, anular o restringir sus derechos políticos o electorales, tales como: restringir o anular su libertad de expresión en los canales de comunicación, entre otras.</w:t>
            </w:r>
          </w:p>
        </w:tc>
        <w:tc>
          <w:tcPr>
            <w:tcW w:w="3798" w:type="dxa"/>
            <w:tcBorders>
              <w:top w:val="nil"/>
              <w:left w:val="nil"/>
              <w:bottom w:val="nil"/>
              <w:right w:val="single" w:sz="4" w:space="0" w:color="000000"/>
            </w:tcBorders>
            <w:shd w:val="clear" w:color="000000" w:fill="FFFFFF"/>
            <w:hideMark/>
          </w:tcPr>
          <w:p w14:paraId="54CAF5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Aquellas conductas que atenten contra la libertad de expresión con el objeto de limitar, anular o restringir sus derechos políticos o electorales, tales como: restringir o anular su libertad de expresión en los canales de comunicación, entre otras.</w:t>
            </w:r>
          </w:p>
        </w:tc>
        <w:tc>
          <w:tcPr>
            <w:tcW w:w="1480" w:type="dxa"/>
            <w:tcBorders>
              <w:top w:val="nil"/>
              <w:left w:val="nil"/>
              <w:bottom w:val="nil"/>
              <w:right w:val="single" w:sz="4" w:space="0" w:color="000000"/>
            </w:tcBorders>
            <w:shd w:val="clear" w:color="000000" w:fill="FFFFFF"/>
            <w:hideMark/>
          </w:tcPr>
          <w:p w14:paraId="094004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9D40E0"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8A3A0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Suministrar intencionalmente a las mujeres que aspiran u ocupan un cargo de elección popular o en el ejercicio de sus derechos políticos, información falsa, errada, incompleta o imprecisa u omitir información a la mujer, que impida o induzca al incorrecto ejercicio de sus atribuciones o de sus derechos políticos o electorales en condiciones de </w:t>
            </w:r>
            <w:r w:rsidRPr="00222F34">
              <w:rPr>
                <w:rFonts w:ascii="Calibri" w:eastAsia="Times New Roman" w:hAnsi="Calibri" w:cs="Calibri"/>
                <w:color w:val="000000"/>
                <w:lang w:val="es-CO" w:eastAsia="es-CO" w:bidi="ar-SA"/>
              </w:rPr>
              <w:lastRenderedPageBreak/>
              <w:t>igualdad e impedir que asistan a cualquier actividad que implique toma de decisiones.</w:t>
            </w:r>
          </w:p>
        </w:tc>
        <w:tc>
          <w:tcPr>
            <w:tcW w:w="3798" w:type="dxa"/>
            <w:tcBorders>
              <w:top w:val="nil"/>
              <w:left w:val="nil"/>
              <w:bottom w:val="nil"/>
              <w:right w:val="single" w:sz="4" w:space="0" w:color="000000"/>
            </w:tcBorders>
            <w:shd w:val="clear" w:color="000000" w:fill="FFFFFF"/>
            <w:hideMark/>
          </w:tcPr>
          <w:p w14:paraId="3855E7F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Suministrar intencionalmente a las mujeres y personas trans y no binarias que aspiran u ocupan un cargo de elección popular o en el ejercicio de sus derechos políticos, información falsa, errada, incompleta o imprecisa u omitir información a la mujer, que impida o induzca al incorrecto ejercicio de sus atribuciones o de sus derechos políticos </w:t>
            </w:r>
            <w:r w:rsidRPr="00222F34">
              <w:rPr>
                <w:rFonts w:ascii="Calibri" w:eastAsia="Times New Roman" w:hAnsi="Calibri" w:cs="Calibri"/>
                <w:color w:val="000000"/>
                <w:lang w:val="es-CO" w:eastAsia="es-CO" w:bidi="ar-SA"/>
              </w:rPr>
              <w:lastRenderedPageBreak/>
              <w:t>o electorales en condiciones de igualdad e impedir que asistan a cualquier actividad que implique toma de decisiones.</w:t>
            </w:r>
          </w:p>
        </w:tc>
        <w:tc>
          <w:tcPr>
            <w:tcW w:w="3798" w:type="dxa"/>
            <w:tcBorders>
              <w:top w:val="nil"/>
              <w:left w:val="nil"/>
              <w:bottom w:val="nil"/>
              <w:right w:val="single" w:sz="4" w:space="0" w:color="000000"/>
            </w:tcBorders>
            <w:shd w:val="clear" w:color="000000" w:fill="FFFFFF"/>
            <w:hideMark/>
          </w:tcPr>
          <w:p w14:paraId="52B131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7. Suministrar intencionalmente a las mujeres y personas trans y no binarias que aspiran u ocupan un cargo de elección popular o en el ejercicio de sus derechos políticos, información falsa, errada, incompleta o imprecisa u omitir información a la mujer, que impida o induzca al incorrecto ejercicio de sus atribuciones o de sus derechos políticos </w:t>
            </w:r>
            <w:r w:rsidRPr="00222F34">
              <w:rPr>
                <w:rFonts w:ascii="Calibri" w:eastAsia="Times New Roman" w:hAnsi="Calibri" w:cs="Calibri"/>
                <w:color w:val="000000"/>
                <w:lang w:val="es-CO" w:eastAsia="es-CO" w:bidi="ar-SA"/>
              </w:rPr>
              <w:lastRenderedPageBreak/>
              <w:t>o electorales en condiciones de igualdad e impedir que asistan a cualquier actividad que implique toma de decisiones.</w:t>
            </w:r>
          </w:p>
        </w:tc>
        <w:tc>
          <w:tcPr>
            <w:tcW w:w="1480" w:type="dxa"/>
            <w:tcBorders>
              <w:top w:val="nil"/>
              <w:left w:val="nil"/>
              <w:bottom w:val="nil"/>
              <w:right w:val="single" w:sz="4" w:space="0" w:color="000000"/>
            </w:tcBorders>
            <w:shd w:val="clear" w:color="000000" w:fill="FFFFFF"/>
            <w:hideMark/>
          </w:tcPr>
          <w:p w14:paraId="72B826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33745F4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4CE91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8. Limitar o negar arbitrariamente el uso de cualquier recurso y/o atribución inherente al cargo político que ocupa la mujer, incluido el pago de salarios y de prestaciones asociadas al ejercicio del cargo en condiciones de igualdad; </w:t>
            </w:r>
          </w:p>
        </w:tc>
        <w:tc>
          <w:tcPr>
            <w:tcW w:w="3798" w:type="dxa"/>
            <w:tcBorders>
              <w:top w:val="nil"/>
              <w:left w:val="nil"/>
              <w:bottom w:val="nil"/>
              <w:right w:val="single" w:sz="4" w:space="0" w:color="000000"/>
            </w:tcBorders>
            <w:shd w:val="clear" w:color="000000" w:fill="FFFFFF"/>
            <w:hideMark/>
          </w:tcPr>
          <w:p w14:paraId="73B41AE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Limitar o negar arbitrariamente el uso de cualquier recurso y/o atribución inherente al cargo político que ocupa la mujer y personas trans y no binarias, incluido el pago de salarios y de prestaciones asociadas al ejercicio del cargo en condiciones de igualdad;</w:t>
            </w:r>
          </w:p>
        </w:tc>
        <w:tc>
          <w:tcPr>
            <w:tcW w:w="3798" w:type="dxa"/>
            <w:tcBorders>
              <w:top w:val="nil"/>
              <w:left w:val="nil"/>
              <w:bottom w:val="nil"/>
              <w:right w:val="single" w:sz="4" w:space="0" w:color="000000"/>
            </w:tcBorders>
            <w:shd w:val="clear" w:color="000000" w:fill="FFFFFF"/>
            <w:hideMark/>
          </w:tcPr>
          <w:p w14:paraId="5F781F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Limitar o negar arbitrariamente el uso de cualquier recurso y/o atribución inherente al cargo político que ocupa la mujer y personas trans y no binarias, incluido el pago de salarios y de prestaciones asociadas al ejercicio del cargo en condiciones de igualdad;</w:t>
            </w:r>
          </w:p>
        </w:tc>
        <w:tc>
          <w:tcPr>
            <w:tcW w:w="1480" w:type="dxa"/>
            <w:tcBorders>
              <w:top w:val="nil"/>
              <w:left w:val="nil"/>
              <w:bottom w:val="nil"/>
              <w:right w:val="single" w:sz="4" w:space="0" w:color="000000"/>
            </w:tcBorders>
            <w:shd w:val="clear" w:color="000000" w:fill="FFFFFF"/>
            <w:hideMark/>
          </w:tcPr>
          <w:p w14:paraId="1E5B666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3BF2C18"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277E2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Restringir el uso de la palabra de las mujeres en ejercicio de sus derechos políticos o electorales, impidiendo el derecho a voz de acuerdo a la normativa aplicable y en condiciones de igualdad;</w:t>
            </w:r>
          </w:p>
        </w:tc>
        <w:tc>
          <w:tcPr>
            <w:tcW w:w="3798" w:type="dxa"/>
            <w:tcBorders>
              <w:top w:val="nil"/>
              <w:left w:val="nil"/>
              <w:bottom w:val="nil"/>
              <w:right w:val="single" w:sz="4" w:space="0" w:color="000000"/>
            </w:tcBorders>
            <w:shd w:val="clear" w:color="000000" w:fill="FFFFFF"/>
            <w:hideMark/>
          </w:tcPr>
          <w:p w14:paraId="1C450BF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Restringir el uso de la palabra de las mujeres y personas trans y no binarias en ejercicio de sus derechos políticos o electorales, impidiendo el derecho a voz de acuerdo a la normativa aplicable y en condiciones de igualdad;</w:t>
            </w:r>
          </w:p>
        </w:tc>
        <w:tc>
          <w:tcPr>
            <w:tcW w:w="3798" w:type="dxa"/>
            <w:tcBorders>
              <w:top w:val="nil"/>
              <w:left w:val="nil"/>
              <w:bottom w:val="nil"/>
              <w:right w:val="single" w:sz="4" w:space="0" w:color="000000"/>
            </w:tcBorders>
            <w:shd w:val="clear" w:color="000000" w:fill="FFFFFF"/>
            <w:hideMark/>
          </w:tcPr>
          <w:p w14:paraId="1FEA05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Restringir el uso de la palabra de las mujeres y personas trans y no binarias en ejercicio de sus derechos políticos o electorales, impidiendo el derecho a voz de acuerdo a la normativa aplicable y en condiciones de igualdad;</w:t>
            </w:r>
          </w:p>
        </w:tc>
        <w:tc>
          <w:tcPr>
            <w:tcW w:w="1480" w:type="dxa"/>
            <w:tcBorders>
              <w:top w:val="nil"/>
              <w:left w:val="nil"/>
              <w:bottom w:val="nil"/>
              <w:right w:val="single" w:sz="4" w:space="0" w:color="000000"/>
            </w:tcBorders>
            <w:shd w:val="clear" w:color="000000" w:fill="FFFFFF"/>
            <w:hideMark/>
          </w:tcPr>
          <w:p w14:paraId="6FE51E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C75C5E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80B7E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Discriminar a las mujeres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p>
        </w:tc>
        <w:tc>
          <w:tcPr>
            <w:tcW w:w="3798" w:type="dxa"/>
            <w:tcBorders>
              <w:top w:val="nil"/>
              <w:left w:val="nil"/>
              <w:bottom w:val="nil"/>
              <w:right w:val="single" w:sz="4" w:space="0" w:color="000000"/>
            </w:tcBorders>
            <w:shd w:val="clear" w:color="000000" w:fill="FFFFFF"/>
            <w:hideMark/>
          </w:tcPr>
          <w:p w14:paraId="0BF8DA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Discriminar a las mujeres y personas trans y no binarias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p>
        </w:tc>
        <w:tc>
          <w:tcPr>
            <w:tcW w:w="3798" w:type="dxa"/>
            <w:tcBorders>
              <w:top w:val="nil"/>
              <w:left w:val="nil"/>
              <w:bottom w:val="nil"/>
              <w:right w:val="single" w:sz="4" w:space="0" w:color="000000"/>
            </w:tcBorders>
            <w:shd w:val="clear" w:color="000000" w:fill="FFFFFF"/>
            <w:hideMark/>
          </w:tcPr>
          <w:p w14:paraId="64E1CB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Discriminar a las mujeres y personas trans y no binarias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p>
        </w:tc>
        <w:tc>
          <w:tcPr>
            <w:tcW w:w="1480" w:type="dxa"/>
            <w:tcBorders>
              <w:top w:val="nil"/>
              <w:left w:val="nil"/>
              <w:bottom w:val="nil"/>
              <w:right w:val="single" w:sz="4" w:space="0" w:color="000000"/>
            </w:tcBorders>
            <w:shd w:val="clear" w:color="000000" w:fill="FFFFFF"/>
            <w:hideMark/>
          </w:tcPr>
          <w:p w14:paraId="453CE6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0AF45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D3735B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11. Imponer con base en estereotipos de género la realización de actividades y tareas ajenas a las funciones y atribuciones de su cargo o posición, o que tengan como resultado la limitación del ejercicio de la función política;</w:t>
            </w:r>
          </w:p>
        </w:tc>
        <w:tc>
          <w:tcPr>
            <w:tcW w:w="3798" w:type="dxa"/>
            <w:tcBorders>
              <w:top w:val="nil"/>
              <w:left w:val="nil"/>
              <w:bottom w:val="nil"/>
              <w:right w:val="single" w:sz="4" w:space="0" w:color="000000"/>
            </w:tcBorders>
            <w:shd w:val="clear" w:color="000000" w:fill="FFFFFF"/>
            <w:hideMark/>
          </w:tcPr>
          <w:p w14:paraId="2A15A4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Imponer con base en estereotipos de género la realización de actividades y tareas ajenas a las funciones y atribuciones de su cargo o posición, o que tengan como resultado la limitación del ejercicio de la función política;</w:t>
            </w:r>
          </w:p>
        </w:tc>
        <w:tc>
          <w:tcPr>
            <w:tcW w:w="3798" w:type="dxa"/>
            <w:tcBorders>
              <w:top w:val="nil"/>
              <w:left w:val="nil"/>
              <w:bottom w:val="nil"/>
              <w:right w:val="single" w:sz="4" w:space="0" w:color="000000"/>
            </w:tcBorders>
            <w:shd w:val="clear" w:color="000000" w:fill="FFFFFF"/>
            <w:hideMark/>
          </w:tcPr>
          <w:p w14:paraId="1B5A39F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Imponer con base en estereotipos de género la realización de actividades y tareas ajenas a las funciones y atribuciones de su cargo o posición, o que tengan como resultado la limitación del ejercicio de la función política;</w:t>
            </w:r>
          </w:p>
        </w:tc>
        <w:tc>
          <w:tcPr>
            <w:tcW w:w="1480" w:type="dxa"/>
            <w:tcBorders>
              <w:top w:val="nil"/>
              <w:left w:val="nil"/>
              <w:bottom w:val="nil"/>
              <w:right w:val="single" w:sz="4" w:space="0" w:color="000000"/>
            </w:tcBorders>
            <w:shd w:val="clear" w:color="000000" w:fill="FFFFFF"/>
            <w:hideMark/>
          </w:tcPr>
          <w:p w14:paraId="6F6F75E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67D4D21"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94C63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Instrumentalizar a la mujer a permanecer dentro del proceso electoral en contra de su voluntad, incluyendo la continuación de trámites sin su consentimiento y que comprometan sus derechos políticos;</w:t>
            </w:r>
          </w:p>
        </w:tc>
        <w:tc>
          <w:tcPr>
            <w:tcW w:w="3798" w:type="dxa"/>
            <w:tcBorders>
              <w:top w:val="nil"/>
              <w:left w:val="nil"/>
              <w:bottom w:val="nil"/>
              <w:right w:val="single" w:sz="4" w:space="0" w:color="000000"/>
            </w:tcBorders>
            <w:shd w:val="clear" w:color="000000" w:fill="FFFFFF"/>
            <w:hideMark/>
          </w:tcPr>
          <w:p w14:paraId="229CAF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lnstrumentalizar a la mujer y personas trans y no binarias a permanecer dentro del proceso electoral en contra de su voluntad, incluyendo la continuación de trámites sin su consentimiento y que comprometan sus derechos políticos;</w:t>
            </w:r>
          </w:p>
        </w:tc>
        <w:tc>
          <w:tcPr>
            <w:tcW w:w="3798" w:type="dxa"/>
            <w:tcBorders>
              <w:top w:val="nil"/>
              <w:left w:val="nil"/>
              <w:bottom w:val="nil"/>
              <w:right w:val="single" w:sz="4" w:space="0" w:color="000000"/>
            </w:tcBorders>
            <w:shd w:val="clear" w:color="000000" w:fill="FFFFFF"/>
            <w:hideMark/>
          </w:tcPr>
          <w:p w14:paraId="700B2B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lnstrumentalizar a la mujer y personas trans y no binarias a permanecer dentro del proceso electoral en contra de su voluntad, incluyendo la continuación de trámites sin su consentimiento y que comprometan sus derechos políticos;</w:t>
            </w:r>
          </w:p>
        </w:tc>
        <w:tc>
          <w:tcPr>
            <w:tcW w:w="1480" w:type="dxa"/>
            <w:tcBorders>
              <w:top w:val="nil"/>
              <w:left w:val="nil"/>
              <w:bottom w:val="nil"/>
              <w:right w:val="single" w:sz="4" w:space="0" w:color="000000"/>
            </w:tcBorders>
            <w:shd w:val="clear" w:color="000000" w:fill="FFFFFF"/>
            <w:hideMark/>
          </w:tcPr>
          <w:p w14:paraId="778DD04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C3ECC6A"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6004AA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Obstaculizar en razón del género, los derechos de asociación y afiliación a todo tipo de organizaciones políticas y civiles; </w:t>
            </w:r>
          </w:p>
        </w:tc>
        <w:tc>
          <w:tcPr>
            <w:tcW w:w="3798" w:type="dxa"/>
            <w:tcBorders>
              <w:top w:val="nil"/>
              <w:left w:val="nil"/>
              <w:bottom w:val="nil"/>
              <w:right w:val="single" w:sz="4" w:space="0" w:color="000000"/>
            </w:tcBorders>
            <w:shd w:val="clear" w:color="000000" w:fill="FFFFFF"/>
            <w:hideMark/>
          </w:tcPr>
          <w:p w14:paraId="2E0078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Obstaculizar en razón del género, los derechos de asociación y afiliación a todo tipo de organizaciones políticas y civiles;</w:t>
            </w:r>
          </w:p>
        </w:tc>
        <w:tc>
          <w:tcPr>
            <w:tcW w:w="3798" w:type="dxa"/>
            <w:tcBorders>
              <w:top w:val="nil"/>
              <w:left w:val="nil"/>
              <w:bottom w:val="nil"/>
              <w:right w:val="single" w:sz="4" w:space="0" w:color="000000"/>
            </w:tcBorders>
            <w:shd w:val="clear" w:color="000000" w:fill="FFFFFF"/>
            <w:hideMark/>
          </w:tcPr>
          <w:p w14:paraId="63245A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Obstaculizar en razón del género, los derechos de asociación y afiliación a todo tipo de organizaciones políticas y civiles;</w:t>
            </w:r>
          </w:p>
        </w:tc>
        <w:tc>
          <w:tcPr>
            <w:tcW w:w="1480" w:type="dxa"/>
            <w:tcBorders>
              <w:top w:val="nil"/>
              <w:left w:val="nil"/>
              <w:bottom w:val="nil"/>
              <w:right w:val="single" w:sz="4" w:space="0" w:color="000000"/>
            </w:tcBorders>
            <w:shd w:val="clear" w:color="000000" w:fill="FFFFFF"/>
            <w:hideMark/>
          </w:tcPr>
          <w:p w14:paraId="04A72B8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C3F6F2"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034D2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Suplantar la identidad de una mujer por cualquier medio incluyendo entornos digitales con el objetivo o el resultado de menoscabar o afectar negativamente su candidatura, imagen pública y/o limitar o anular sus derechos políticos o electorales como parte de su función política. </w:t>
            </w:r>
          </w:p>
        </w:tc>
        <w:tc>
          <w:tcPr>
            <w:tcW w:w="3798" w:type="dxa"/>
            <w:tcBorders>
              <w:top w:val="nil"/>
              <w:left w:val="nil"/>
              <w:bottom w:val="nil"/>
              <w:right w:val="single" w:sz="4" w:space="0" w:color="000000"/>
            </w:tcBorders>
            <w:shd w:val="clear" w:color="000000" w:fill="FFFFFF"/>
            <w:hideMark/>
          </w:tcPr>
          <w:p w14:paraId="757F49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Suplantar la identidad de una mujer y personas trans y no binarias por cualquier medio incluyendo entornos digitales con el objetivo o el resultado de menoscabar o afectar negativamente su candidatura, imagen pública y/o limitar o anular sus derechos políticos o electorales como parte de su función política.</w:t>
            </w:r>
          </w:p>
        </w:tc>
        <w:tc>
          <w:tcPr>
            <w:tcW w:w="3798" w:type="dxa"/>
            <w:tcBorders>
              <w:top w:val="nil"/>
              <w:left w:val="nil"/>
              <w:bottom w:val="nil"/>
              <w:right w:val="single" w:sz="4" w:space="0" w:color="000000"/>
            </w:tcBorders>
            <w:shd w:val="clear" w:color="000000" w:fill="FFFFFF"/>
            <w:hideMark/>
          </w:tcPr>
          <w:p w14:paraId="2F45462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Suplantar la identidad de una mujer y personas trans y no binarias por cualquier medio incluyendo entornos digitales con el objetivo o el resultado de menoscabar o afectar negativamente su candidatura, imagen pública y/o limitar o anular sus derechos políticos o electorales como parte de su función política.</w:t>
            </w:r>
          </w:p>
        </w:tc>
        <w:tc>
          <w:tcPr>
            <w:tcW w:w="1480" w:type="dxa"/>
            <w:tcBorders>
              <w:top w:val="nil"/>
              <w:left w:val="nil"/>
              <w:bottom w:val="nil"/>
              <w:right w:val="single" w:sz="4" w:space="0" w:color="000000"/>
            </w:tcBorders>
            <w:shd w:val="clear" w:color="000000" w:fill="FFFFFF"/>
            <w:hideMark/>
          </w:tcPr>
          <w:p w14:paraId="0FA1DDB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ED74FAD"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2BE57B9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1. </w:t>
            </w:r>
            <w:r w:rsidRPr="00222F34">
              <w:rPr>
                <w:rFonts w:ascii="Calibri" w:eastAsia="Times New Roman" w:hAnsi="Calibri" w:cs="Calibri"/>
                <w:color w:val="000000"/>
                <w:lang w:val="es-CO" w:eastAsia="es-CO" w:bidi="ar-SA"/>
              </w:rPr>
              <w:t xml:space="preserve">El incumplimiento de las reglas sobre violencia contra las mujeres en política será investigado y sancionado por el Consejo Nacional Electoral de conformidad con lo previsto en el artículo 10 numeral 7 y el artículo 12 de la Ley 1475 de 2011 y en el artículo 39 de la Ley 130 de 1994 o normas que los modifiquen, adicionen o sustituyan, sin perjuicio de las investigaciones penales y disciplinarias a que tengan lugar. </w:t>
            </w:r>
          </w:p>
        </w:tc>
        <w:tc>
          <w:tcPr>
            <w:tcW w:w="3798" w:type="dxa"/>
            <w:tcBorders>
              <w:top w:val="nil"/>
              <w:left w:val="nil"/>
              <w:bottom w:val="nil"/>
              <w:right w:val="single" w:sz="4" w:space="0" w:color="000000"/>
            </w:tcBorders>
            <w:shd w:val="clear" w:color="000000" w:fill="FFFFFF"/>
            <w:hideMark/>
          </w:tcPr>
          <w:p w14:paraId="1DC3AD0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incumplimiento de las reglas sobre violencia contra las mujeres y personas trans y no binarias en política será investigado y sancionado por el Consejo Nacional Electoral de conformidad con lo previsto en el artículo 1O numeral 7 y el artículo 12 de la Ley 1475 de 2011 y en el artículo 39 de la Ley 130 de 1994 o normas que los modifiquen, adicionen o sustituyan, sin perjuicio de las investigaciones penales y disciplinarias a que tengan lugar.</w:t>
            </w:r>
          </w:p>
        </w:tc>
        <w:tc>
          <w:tcPr>
            <w:tcW w:w="3798" w:type="dxa"/>
            <w:tcBorders>
              <w:top w:val="nil"/>
              <w:left w:val="nil"/>
              <w:bottom w:val="nil"/>
              <w:right w:val="single" w:sz="4" w:space="0" w:color="000000"/>
            </w:tcBorders>
            <w:shd w:val="clear" w:color="000000" w:fill="FFFFFF"/>
            <w:hideMark/>
          </w:tcPr>
          <w:p w14:paraId="76D260A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incumplimiento de las reglas sobre violencia contra las mujeres y personas trans y no binarias en política será investigado y sancionado por el Consejo Nacional Electoral de conformidad con lo previsto en el artículo 1O numeral 7 y el artículo 12 de la Ley 1475 de 2011 y en el artículo 39 de la Ley 130 de 1994 o normas que los modifiquen, adicionen o sustituyan, sin perjuicio de las investigaciones penales y disciplinarias a que tengan lugar.</w:t>
            </w:r>
          </w:p>
        </w:tc>
        <w:tc>
          <w:tcPr>
            <w:tcW w:w="1480" w:type="dxa"/>
            <w:tcBorders>
              <w:top w:val="nil"/>
              <w:left w:val="nil"/>
              <w:bottom w:val="nil"/>
              <w:right w:val="single" w:sz="4" w:space="0" w:color="000000"/>
            </w:tcBorders>
            <w:shd w:val="clear" w:color="000000" w:fill="FFFFFF"/>
            <w:hideMark/>
          </w:tcPr>
          <w:p w14:paraId="7FD1CD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671E25"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15187CB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Consejo Nacional Electoral podrá solicitar a las autoridades competentes el otorgamiento de las medidas preventivas y de protección a que haya lugar en los casos de violencia contra mujeres en política. También podrá ordenar el desmonte de información extemporánea, de apología al delito o por desinformación.</w:t>
            </w:r>
          </w:p>
        </w:tc>
        <w:tc>
          <w:tcPr>
            <w:tcW w:w="3798" w:type="dxa"/>
            <w:tcBorders>
              <w:top w:val="nil"/>
              <w:left w:val="nil"/>
              <w:bottom w:val="nil"/>
              <w:right w:val="single" w:sz="4" w:space="0" w:color="000000"/>
            </w:tcBorders>
            <w:shd w:val="clear" w:color="000000" w:fill="FFFFFF"/>
            <w:hideMark/>
          </w:tcPr>
          <w:p w14:paraId="677421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Consejo Nacional Electoral podrá solicitar a las autoridades competentes el otorgamiento de las medidas preventivas y de protección a que haya lugar en los casos de violencia contra mujeres y personas trans y no binarias en política. También podrá ordenar el desmonte de información extemporánea, de apología al delito o por desinformación.</w:t>
            </w:r>
          </w:p>
        </w:tc>
        <w:tc>
          <w:tcPr>
            <w:tcW w:w="3798" w:type="dxa"/>
            <w:tcBorders>
              <w:top w:val="nil"/>
              <w:left w:val="nil"/>
              <w:bottom w:val="nil"/>
              <w:right w:val="single" w:sz="4" w:space="0" w:color="000000"/>
            </w:tcBorders>
            <w:shd w:val="clear" w:color="000000" w:fill="FFFFFF"/>
            <w:hideMark/>
          </w:tcPr>
          <w:p w14:paraId="6D3393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Consejo Nacional Electoral podrá solicitar a las autoridades competentes el otorgamiento de las medidas preventivas y de protección a que haya lugar en los casos de violencia contra mujeres y personas trans y no binarias en política. También podrá ordenar el desmonte de información extemporánea, de apología al delito o por desinformación.</w:t>
            </w:r>
          </w:p>
        </w:tc>
        <w:tc>
          <w:tcPr>
            <w:tcW w:w="1480" w:type="dxa"/>
            <w:tcBorders>
              <w:top w:val="nil"/>
              <w:left w:val="nil"/>
              <w:bottom w:val="nil"/>
              <w:right w:val="single" w:sz="4" w:space="0" w:color="000000"/>
            </w:tcBorders>
            <w:shd w:val="clear" w:color="000000" w:fill="FFFFFF"/>
            <w:hideMark/>
          </w:tcPr>
          <w:p w14:paraId="6EB5A42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2DB09F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3FC514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Los partidos y movimientos políticos deberán adoptar disposiciones en sus estatutos para prevenir, sancionar y eliminar la violencia política contra las mujeres. </w:t>
            </w:r>
          </w:p>
        </w:tc>
        <w:tc>
          <w:tcPr>
            <w:tcW w:w="3798" w:type="dxa"/>
            <w:tcBorders>
              <w:top w:val="nil"/>
              <w:left w:val="nil"/>
              <w:bottom w:val="nil"/>
              <w:right w:val="single" w:sz="4" w:space="0" w:color="000000"/>
            </w:tcBorders>
            <w:shd w:val="clear" w:color="000000" w:fill="FFFFFF"/>
            <w:hideMark/>
          </w:tcPr>
          <w:p w14:paraId="51C6D07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Los partidos y movimientos políticos deberán adoptar disposiciones en sus estatutos para prevenir, sancionar y eliminar la violencia política contra las mujeres y personas trans y no binarias.</w:t>
            </w:r>
          </w:p>
        </w:tc>
        <w:tc>
          <w:tcPr>
            <w:tcW w:w="3798" w:type="dxa"/>
            <w:tcBorders>
              <w:top w:val="nil"/>
              <w:left w:val="nil"/>
              <w:bottom w:val="nil"/>
              <w:right w:val="single" w:sz="4" w:space="0" w:color="000000"/>
            </w:tcBorders>
            <w:shd w:val="clear" w:color="000000" w:fill="FFFFFF"/>
            <w:hideMark/>
          </w:tcPr>
          <w:p w14:paraId="5338E7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Los partidos y movimientos políticos deberán adoptar disposiciones en sus estatutos para prevenir, sancionar y eliminar la violencia política contra las mujeres y personas trans y no binarias.</w:t>
            </w:r>
          </w:p>
        </w:tc>
        <w:tc>
          <w:tcPr>
            <w:tcW w:w="1480" w:type="dxa"/>
            <w:tcBorders>
              <w:top w:val="nil"/>
              <w:left w:val="nil"/>
              <w:bottom w:val="nil"/>
              <w:right w:val="single" w:sz="4" w:space="0" w:color="000000"/>
            </w:tcBorders>
            <w:shd w:val="clear" w:color="000000" w:fill="FFFFFF"/>
            <w:hideMark/>
          </w:tcPr>
          <w:p w14:paraId="491C043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C9BCF1"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381B6F2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4.</w:t>
            </w:r>
            <w:r w:rsidRPr="00222F34">
              <w:rPr>
                <w:rFonts w:ascii="Calibri" w:eastAsia="Times New Roman" w:hAnsi="Calibri" w:cs="Calibri"/>
                <w:color w:val="000000"/>
                <w:lang w:val="es-CO" w:eastAsia="es-CO" w:bidi="ar-SA"/>
              </w:rPr>
              <w:t xml:space="preserve"> La atribución sancionatoria aquí establecida y atribuida al Consejo Nacional Electoral no excluye la competencia de la justicia penal o de los demás jueces. </w:t>
            </w:r>
          </w:p>
        </w:tc>
        <w:tc>
          <w:tcPr>
            <w:tcW w:w="3798" w:type="dxa"/>
            <w:tcBorders>
              <w:top w:val="nil"/>
              <w:left w:val="nil"/>
              <w:bottom w:val="single" w:sz="4" w:space="0" w:color="000000"/>
              <w:right w:val="single" w:sz="4" w:space="0" w:color="000000"/>
            </w:tcBorders>
            <w:shd w:val="clear" w:color="000000" w:fill="FFFFFF"/>
            <w:hideMark/>
          </w:tcPr>
          <w:p w14:paraId="0F84EEA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atribución sancionatoria aquí establecida y atribuida al Consejo Nacional Electoral no excluye la competencia de la justicia penal o de los demás Jueces.</w:t>
            </w:r>
          </w:p>
        </w:tc>
        <w:tc>
          <w:tcPr>
            <w:tcW w:w="3798" w:type="dxa"/>
            <w:tcBorders>
              <w:top w:val="nil"/>
              <w:left w:val="nil"/>
              <w:bottom w:val="single" w:sz="4" w:space="0" w:color="000000"/>
              <w:right w:val="single" w:sz="4" w:space="0" w:color="000000"/>
            </w:tcBorders>
            <w:shd w:val="clear" w:color="000000" w:fill="FFFFFF"/>
            <w:hideMark/>
          </w:tcPr>
          <w:p w14:paraId="79C39C2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atribución sancionatoria aquí establecida y atribuida al Consejo Nacional Electoral no excluye la competencia de la justicia penal o de los demás Jueces.</w:t>
            </w:r>
          </w:p>
        </w:tc>
        <w:tc>
          <w:tcPr>
            <w:tcW w:w="1480" w:type="dxa"/>
            <w:tcBorders>
              <w:top w:val="nil"/>
              <w:left w:val="nil"/>
              <w:bottom w:val="nil"/>
              <w:right w:val="single" w:sz="4" w:space="0" w:color="000000"/>
            </w:tcBorders>
            <w:shd w:val="clear" w:color="000000" w:fill="FFFFFF"/>
            <w:hideMark/>
          </w:tcPr>
          <w:p w14:paraId="604AAC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221251D"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756233B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250.- Horario de cierre de actuaciones electorales.</w:t>
            </w:r>
            <w:r w:rsidRPr="00222F34">
              <w:rPr>
                <w:rFonts w:ascii="Calibri" w:eastAsia="Times New Roman" w:hAnsi="Calibri" w:cs="Calibri"/>
                <w:color w:val="000000"/>
                <w:lang w:val="es-CO" w:eastAsia="es-CO" w:bidi="ar-SA"/>
              </w:rPr>
              <w:t xml:space="preserve"> 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 </w:t>
            </w:r>
          </w:p>
        </w:tc>
        <w:tc>
          <w:tcPr>
            <w:tcW w:w="3798" w:type="dxa"/>
            <w:tcBorders>
              <w:top w:val="nil"/>
              <w:left w:val="nil"/>
              <w:bottom w:val="single" w:sz="4" w:space="0" w:color="000000"/>
              <w:right w:val="single" w:sz="4" w:space="0" w:color="000000"/>
            </w:tcBorders>
            <w:shd w:val="clear" w:color="000000" w:fill="FFFFFF"/>
            <w:hideMark/>
          </w:tcPr>
          <w:p w14:paraId="536760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254.- Horario de cierre de actuaciones electorales.</w:t>
            </w:r>
            <w:r w:rsidRPr="00222F34">
              <w:rPr>
                <w:rFonts w:ascii="Calibri" w:eastAsia="Times New Roman" w:hAnsi="Calibri" w:cs="Calibri"/>
                <w:color w:val="000000"/>
                <w:lang w:val="es-CO" w:eastAsia="es-CO" w:bidi="ar-SA"/>
              </w:rPr>
              <w:t xml:space="preserve"> 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p>
        </w:tc>
        <w:tc>
          <w:tcPr>
            <w:tcW w:w="3798" w:type="dxa"/>
            <w:tcBorders>
              <w:top w:val="nil"/>
              <w:left w:val="nil"/>
              <w:bottom w:val="single" w:sz="4" w:space="0" w:color="000000"/>
              <w:right w:val="single" w:sz="4" w:space="0" w:color="000000"/>
            </w:tcBorders>
            <w:shd w:val="clear" w:color="000000" w:fill="FFFFFF"/>
            <w:hideMark/>
          </w:tcPr>
          <w:p w14:paraId="3FDBD75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254.- Horario de cierre de actuaciones electorales.</w:t>
            </w:r>
            <w:r w:rsidRPr="00222F34">
              <w:rPr>
                <w:rFonts w:ascii="Calibri" w:eastAsia="Times New Roman" w:hAnsi="Calibri" w:cs="Calibri"/>
                <w:color w:val="000000"/>
                <w:lang w:val="es-CO" w:eastAsia="es-CO" w:bidi="ar-SA"/>
              </w:rPr>
              <w:t xml:space="preserve"> 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p>
        </w:tc>
        <w:tc>
          <w:tcPr>
            <w:tcW w:w="1480" w:type="dxa"/>
            <w:tcBorders>
              <w:top w:val="single" w:sz="4" w:space="0" w:color="000000"/>
              <w:left w:val="nil"/>
              <w:bottom w:val="single" w:sz="4" w:space="0" w:color="000000"/>
              <w:right w:val="single" w:sz="4" w:space="0" w:color="000000"/>
            </w:tcBorders>
            <w:shd w:val="clear" w:color="000000" w:fill="FFFFFF"/>
            <w:hideMark/>
          </w:tcPr>
          <w:p w14:paraId="6FE0120B" w14:textId="4F820E4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55182DF1"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C99796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251.- Sedes para actividades electorales.</w:t>
            </w:r>
            <w:r w:rsidRPr="00222F34">
              <w:rPr>
                <w:rFonts w:ascii="Calibri" w:eastAsia="Times New Roman" w:hAnsi="Calibri" w:cs="Calibri"/>
                <w:color w:val="000000"/>
                <w:lang w:val="es-CO" w:eastAsia="es-CO" w:bidi="ar-SA"/>
              </w:rPr>
              <w:t xml:space="preserve"> 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 </w:t>
            </w:r>
          </w:p>
        </w:tc>
        <w:tc>
          <w:tcPr>
            <w:tcW w:w="3798" w:type="dxa"/>
            <w:tcBorders>
              <w:top w:val="nil"/>
              <w:left w:val="nil"/>
              <w:bottom w:val="nil"/>
              <w:right w:val="single" w:sz="4" w:space="0" w:color="000000"/>
            </w:tcBorders>
            <w:shd w:val="clear" w:color="000000" w:fill="FFFFFF"/>
            <w:hideMark/>
          </w:tcPr>
          <w:p w14:paraId="36D3B3F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255.- Sedes para actividades electorales. </w:t>
            </w:r>
            <w:r w:rsidRPr="00222F34">
              <w:rPr>
                <w:rFonts w:ascii="Calibri" w:eastAsia="Times New Roman" w:hAnsi="Calibri" w:cs="Calibri"/>
                <w:color w:val="000000"/>
                <w:lang w:val="es-CO" w:eastAsia="es-CO" w:bidi="ar-SA"/>
              </w:rPr>
              <w:t>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w:t>
            </w:r>
          </w:p>
        </w:tc>
        <w:tc>
          <w:tcPr>
            <w:tcW w:w="3798" w:type="dxa"/>
            <w:tcBorders>
              <w:top w:val="nil"/>
              <w:left w:val="nil"/>
              <w:bottom w:val="nil"/>
              <w:right w:val="single" w:sz="4" w:space="0" w:color="000000"/>
            </w:tcBorders>
            <w:shd w:val="clear" w:color="000000" w:fill="FFFFFF"/>
            <w:hideMark/>
          </w:tcPr>
          <w:p w14:paraId="72AC27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255.- Sedes para actividades electorales. </w:t>
            </w:r>
            <w:r w:rsidRPr="00222F34">
              <w:rPr>
                <w:rFonts w:ascii="Calibri" w:eastAsia="Times New Roman" w:hAnsi="Calibri" w:cs="Calibri"/>
                <w:color w:val="000000"/>
                <w:lang w:val="es-CO" w:eastAsia="es-CO" w:bidi="ar-SA"/>
              </w:rPr>
              <w:t>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w:t>
            </w:r>
          </w:p>
        </w:tc>
        <w:tc>
          <w:tcPr>
            <w:tcW w:w="1480" w:type="dxa"/>
            <w:tcBorders>
              <w:top w:val="nil"/>
              <w:left w:val="nil"/>
              <w:bottom w:val="nil"/>
              <w:right w:val="single" w:sz="4" w:space="0" w:color="000000"/>
            </w:tcBorders>
            <w:shd w:val="clear" w:color="000000" w:fill="FFFFFF"/>
            <w:hideMark/>
          </w:tcPr>
          <w:p w14:paraId="51737339" w14:textId="302BA82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16A78102"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BA7676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En todo caso la Registraduría Nacional del Estado Civil podrá implementar el uso de mecanismos tecnológicos para adelantar las actividades que trata el presente artículo.  </w:t>
            </w:r>
          </w:p>
        </w:tc>
        <w:tc>
          <w:tcPr>
            <w:tcW w:w="3798" w:type="dxa"/>
            <w:tcBorders>
              <w:top w:val="nil"/>
              <w:left w:val="nil"/>
              <w:bottom w:val="single" w:sz="4" w:space="0" w:color="000000"/>
              <w:right w:val="single" w:sz="4" w:space="0" w:color="000000"/>
            </w:tcBorders>
            <w:shd w:val="clear" w:color="000000" w:fill="FFFFFF"/>
            <w:hideMark/>
          </w:tcPr>
          <w:p w14:paraId="0036564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En todo caso la Registraduría Nacional del Estado Civil podrá implementar el uso de mecanismos tecnológicos para adelantar las actividades que trata el presente artículo.</w:t>
            </w:r>
          </w:p>
        </w:tc>
        <w:tc>
          <w:tcPr>
            <w:tcW w:w="3798" w:type="dxa"/>
            <w:tcBorders>
              <w:top w:val="nil"/>
              <w:left w:val="nil"/>
              <w:bottom w:val="single" w:sz="4" w:space="0" w:color="000000"/>
              <w:right w:val="single" w:sz="4" w:space="0" w:color="000000"/>
            </w:tcBorders>
            <w:shd w:val="clear" w:color="000000" w:fill="FFFFFF"/>
            <w:hideMark/>
          </w:tcPr>
          <w:p w14:paraId="3F997BD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En todo caso la Registraduría Nacional del Estado Civil podrá implementar el uso de mecanismos tecnológicos para adelantar las actividades que trata el presente artículo.</w:t>
            </w:r>
          </w:p>
        </w:tc>
        <w:tc>
          <w:tcPr>
            <w:tcW w:w="1480" w:type="dxa"/>
            <w:tcBorders>
              <w:top w:val="nil"/>
              <w:left w:val="nil"/>
              <w:bottom w:val="single" w:sz="4" w:space="0" w:color="000000"/>
              <w:right w:val="single" w:sz="4" w:space="0" w:color="000000"/>
            </w:tcBorders>
            <w:shd w:val="clear" w:color="000000" w:fill="FFFFFF"/>
            <w:hideMark/>
          </w:tcPr>
          <w:p w14:paraId="7E301B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462083A" w14:textId="77777777" w:rsidTr="00222F34">
        <w:trPr>
          <w:trHeight w:val="2400"/>
        </w:trPr>
        <w:tc>
          <w:tcPr>
            <w:tcW w:w="3798" w:type="dxa"/>
            <w:tcBorders>
              <w:top w:val="nil"/>
              <w:left w:val="single" w:sz="4" w:space="0" w:color="000000"/>
              <w:bottom w:val="nil"/>
              <w:right w:val="single" w:sz="4" w:space="0" w:color="000000"/>
            </w:tcBorders>
            <w:shd w:val="clear" w:color="000000" w:fill="FFFFFF"/>
            <w:hideMark/>
          </w:tcPr>
          <w:p w14:paraId="330CF52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252.- Requisitos para convocatoria y votación de revocatorias del mandato.</w:t>
            </w:r>
            <w:r w:rsidRPr="00222F34">
              <w:rPr>
                <w:rFonts w:ascii="Calibri" w:eastAsia="Times New Roman" w:hAnsi="Calibri" w:cs="Calibri"/>
                <w:color w:val="000000"/>
                <w:lang w:val="es-CO" w:eastAsia="es-CO" w:bidi="ar-SA"/>
              </w:rPr>
              <w:t xml:space="preserve"> 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  </w:t>
            </w:r>
          </w:p>
        </w:tc>
        <w:tc>
          <w:tcPr>
            <w:tcW w:w="3798" w:type="dxa"/>
            <w:tcBorders>
              <w:top w:val="nil"/>
              <w:left w:val="nil"/>
              <w:bottom w:val="nil"/>
              <w:right w:val="single" w:sz="4" w:space="0" w:color="000000"/>
            </w:tcBorders>
            <w:shd w:val="clear" w:color="000000" w:fill="FFFFFF"/>
            <w:hideMark/>
          </w:tcPr>
          <w:p w14:paraId="1326BC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256.- Requisitos para convocatoria y votación de revocatorias del mandato.</w:t>
            </w:r>
            <w:r w:rsidRPr="00222F34">
              <w:rPr>
                <w:rFonts w:ascii="Calibri" w:eastAsia="Times New Roman" w:hAnsi="Calibri" w:cs="Calibri"/>
                <w:color w:val="000000"/>
                <w:lang w:val="es-CO" w:eastAsia="es-CO" w:bidi="ar-SA"/>
              </w:rPr>
              <w:t xml:space="preserve"> 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w:t>
            </w:r>
          </w:p>
        </w:tc>
        <w:tc>
          <w:tcPr>
            <w:tcW w:w="3798" w:type="dxa"/>
            <w:tcBorders>
              <w:top w:val="nil"/>
              <w:left w:val="nil"/>
              <w:bottom w:val="nil"/>
              <w:right w:val="single" w:sz="4" w:space="0" w:color="000000"/>
            </w:tcBorders>
            <w:shd w:val="clear" w:color="000000" w:fill="FFFFFF"/>
            <w:hideMark/>
          </w:tcPr>
          <w:p w14:paraId="500DFB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256.- Requisitos para convocatoria y votación de revocatorias del mandato.</w:t>
            </w:r>
            <w:r w:rsidRPr="00222F34">
              <w:rPr>
                <w:rFonts w:ascii="Calibri" w:eastAsia="Times New Roman" w:hAnsi="Calibri" w:cs="Calibri"/>
                <w:color w:val="000000"/>
                <w:lang w:val="es-CO" w:eastAsia="es-CO" w:bidi="ar-SA"/>
              </w:rPr>
              <w:t xml:space="preserve"> 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w:t>
            </w:r>
          </w:p>
        </w:tc>
        <w:tc>
          <w:tcPr>
            <w:tcW w:w="1480" w:type="dxa"/>
            <w:tcBorders>
              <w:top w:val="nil"/>
              <w:left w:val="nil"/>
              <w:bottom w:val="nil"/>
              <w:right w:val="single" w:sz="4" w:space="0" w:color="000000"/>
            </w:tcBorders>
            <w:shd w:val="clear" w:color="000000" w:fill="FFFFFF"/>
            <w:hideMark/>
          </w:tcPr>
          <w:p w14:paraId="437E6E80" w14:textId="1435B8C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0DB8CF3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1FE290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w:t>
            </w:r>
            <w:r w:rsidRPr="00222F34">
              <w:rPr>
                <w:rFonts w:ascii="Calibri" w:eastAsia="Times New Roman" w:hAnsi="Calibri" w:cs="Calibri"/>
                <w:color w:val="000000"/>
                <w:lang w:val="es-CO" w:eastAsia="es-CO" w:bidi="ar-SA"/>
              </w:rPr>
              <w:lastRenderedPageBreak/>
              <w:t xml:space="preserve">audiencia pública sobre el cumplimiento del programa de gobierno. </w:t>
            </w:r>
          </w:p>
        </w:tc>
        <w:tc>
          <w:tcPr>
            <w:tcW w:w="3798" w:type="dxa"/>
            <w:tcBorders>
              <w:top w:val="nil"/>
              <w:left w:val="nil"/>
              <w:bottom w:val="nil"/>
              <w:right w:val="single" w:sz="4" w:space="0" w:color="000000"/>
            </w:tcBorders>
            <w:shd w:val="clear" w:color="000000" w:fill="FFFFFF"/>
            <w:hideMark/>
          </w:tcPr>
          <w:p w14:paraId="51C313C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w:t>
            </w:r>
            <w:r w:rsidRPr="00222F34">
              <w:rPr>
                <w:rFonts w:ascii="Calibri" w:eastAsia="Times New Roman" w:hAnsi="Calibri" w:cs="Calibri"/>
                <w:color w:val="000000"/>
                <w:lang w:val="es-CO" w:eastAsia="es-CO" w:bidi="ar-SA"/>
              </w:rPr>
              <w:lastRenderedPageBreak/>
              <w:t>audiencia pública sobre el cumplimiento del programa de gobierno.</w:t>
            </w:r>
          </w:p>
        </w:tc>
        <w:tc>
          <w:tcPr>
            <w:tcW w:w="3798" w:type="dxa"/>
            <w:tcBorders>
              <w:top w:val="nil"/>
              <w:left w:val="nil"/>
              <w:bottom w:val="nil"/>
              <w:right w:val="single" w:sz="4" w:space="0" w:color="000000"/>
            </w:tcBorders>
            <w:shd w:val="clear" w:color="000000" w:fill="FFFFFF"/>
            <w:hideMark/>
          </w:tcPr>
          <w:p w14:paraId="43D986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w:t>
            </w:r>
            <w:r w:rsidRPr="00222F34">
              <w:rPr>
                <w:rFonts w:ascii="Calibri" w:eastAsia="Times New Roman" w:hAnsi="Calibri" w:cs="Calibri"/>
                <w:color w:val="000000"/>
                <w:lang w:val="es-CO" w:eastAsia="es-CO" w:bidi="ar-SA"/>
              </w:rPr>
              <w:lastRenderedPageBreak/>
              <w:t>audiencia pública sobre el cumplimiento del programa de gobierno.</w:t>
            </w:r>
          </w:p>
        </w:tc>
        <w:tc>
          <w:tcPr>
            <w:tcW w:w="1480" w:type="dxa"/>
            <w:tcBorders>
              <w:top w:val="nil"/>
              <w:left w:val="nil"/>
              <w:bottom w:val="nil"/>
              <w:right w:val="single" w:sz="4" w:space="0" w:color="000000"/>
            </w:tcBorders>
            <w:shd w:val="clear" w:color="000000" w:fill="FFFFFF"/>
            <w:hideMark/>
          </w:tcPr>
          <w:p w14:paraId="0AF901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7863165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05F1A32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 </w:t>
            </w:r>
          </w:p>
        </w:tc>
        <w:tc>
          <w:tcPr>
            <w:tcW w:w="3798" w:type="dxa"/>
            <w:tcBorders>
              <w:top w:val="nil"/>
              <w:left w:val="nil"/>
              <w:bottom w:val="nil"/>
              <w:right w:val="single" w:sz="4" w:space="0" w:color="000000"/>
            </w:tcBorders>
            <w:shd w:val="clear" w:color="000000" w:fill="FFFFFF"/>
            <w:hideMark/>
          </w:tcPr>
          <w:p w14:paraId="220C0D6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w:t>
            </w:r>
          </w:p>
        </w:tc>
        <w:tc>
          <w:tcPr>
            <w:tcW w:w="3798" w:type="dxa"/>
            <w:tcBorders>
              <w:top w:val="nil"/>
              <w:left w:val="nil"/>
              <w:bottom w:val="nil"/>
              <w:right w:val="single" w:sz="4" w:space="0" w:color="000000"/>
            </w:tcBorders>
            <w:shd w:val="clear" w:color="000000" w:fill="FFFFFF"/>
            <w:hideMark/>
          </w:tcPr>
          <w:p w14:paraId="436A9E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w:t>
            </w:r>
          </w:p>
        </w:tc>
        <w:tc>
          <w:tcPr>
            <w:tcW w:w="1480" w:type="dxa"/>
            <w:tcBorders>
              <w:top w:val="nil"/>
              <w:left w:val="nil"/>
              <w:bottom w:val="nil"/>
              <w:right w:val="single" w:sz="4" w:space="0" w:color="000000"/>
            </w:tcBorders>
            <w:shd w:val="clear" w:color="000000" w:fill="FFFFFF"/>
            <w:hideMark/>
          </w:tcPr>
          <w:p w14:paraId="6C4D9B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6C724D2"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0C5C88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votación será obligatoria cuando esta sea aprobada por la mitad más uno de los votos ciudadanos que participen en la respectiva convocatoria, siempre que el número de sufragios no sea inferior al cincuenta y cinco (55%) de la votación total válida registrada el día en que se eligió al respectivo mandatario. Si como resultado de la votación no se revoca el mandato del gobernador o del alcalde, no podrá volver a intentarse en lo que resta de su período. </w:t>
            </w:r>
          </w:p>
        </w:tc>
        <w:tc>
          <w:tcPr>
            <w:tcW w:w="3798" w:type="dxa"/>
            <w:tcBorders>
              <w:top w:val="nil"/>
              <w:left w:val="nil"/>
              <w:bottom w:val="single" w:sz="4" w:space="0" w:color="000000"/>
              <w:right w:val="single" w:sz="4" w:space="0" w:color="000000"/>
            </w:tcBorders>
            <w:shd w:val="clear" w:color="000000" w:fill="FFFFFF"/>
            <w:hideMark/>
          </w:tcPr>
          <w:p w14:paraId="54FBFD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votación será obligatoria cuando esta sea aprobada por la mitad más uno de los votos ciudadanos que participen en la respectiva convocatoria, siempre que el número de sufragios no sea inferior al cincuenta y uno (51%) de la votación total válida registrada el día en que se eligió al respectivo mandatario. Si como resultado de la votación no se revoca el mandato del gobernador o del alcalde, no podrá volver a intentarse en lo que resta de su período.</w:t>
            </w:r>
          </w:p>
        </w:tc>
        <w:tc>
          <w:tcPr>
            <w:tcW w:w="3798" w:type="dxa"/>
            <w:tcBorders>
              <w:top w:val="nil"/>
              <w:left w:val="nil"/>
              <w:bottom w:val="single" w:sz="4" w:space="0" w:color="000000"/>
              <w:right w:val="single" w:sz="4" w:space="0" w:color="000000"/>
            </w:tcBorders>
            <w:shd w:val="clear" w:color="000000" w:fill="FFFFFF"/>
            <w:hideMark/>
          </w:tcPr>
          <w:p w14:paraId="6226AE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votación será obligatoria cuando esta sea aprobada por la mitad más uno de los votos ciudadanos que participen en la respectiva convocatoria, siempre que el número de sufragios no sea inferior al cincuenta y uno (51%) de la votación total válida registrada el día en que se eligió al respectivo mandatario. Si como resultado de la votación no se revoca el mandato del gobernador o del alcalde, no podrá volver a intentarse en lo que resta de su período.</w:t>
            </w:r>
          </w:p>
        </w:tc>
        <w:tc>
          <w:tcPr>
            <w:tcW w:w="1480" w:type="dxa"/>
            <w:tcBorders>
              <w:top w:val="nil"/>
              <w:left w:val="nil"/>
              <w:bottom w:val="single" w:sz="4" w:space="0" w:color="000000"/>
              <w:right w:val="single" w:sz="4" w:space="0" w:color="000000"/>
            </w:tcBorders>
            <w:shd w:val="clear" w:color="000000" w:fill="FFFFFF"/>
            <w:hideMark/>
          </w:tcPr>
          <w:p w14:paraId="0100CD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DA2316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70DC4F8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ARTICULO 253.- Audiencia pública de revocatoria del mandato.</w:t>
            </w:r>
            <w:r w:rsidRPr="00222F34">
              <w:rPr>
                <w:rFonts w:ascii="Calibri" w:eastAsia="Times New Roman" w:hAnsi="Calibri" w:cs="Calibri"/>
                <w:color w:val="000000"/>
                <w:lang w:val="es-CO" w:eastAsia="es-CO" w:bidi="ar-SA"/>
              </w:rPr>
              <w:t xml:space="preserve"> A solicitud de los promotores de la Revocatoria del Mandato la Registraduria Nacional del Estado Civil informara al Consejo Nacional Electoral para que convoque a Audiencia Pública de Revocatoria del Mandato y, por intermedio de la registraduría respectiva, causará las comunicaciones al alcalde o gobernador, comité promotor, jefe de planeación del ente territorial, concejales o diputados, e interesados. </w:t>
            </w:r>
          </w:p>
        </w:tc>
        <w:tc>
          <w:tcPr>
            <w:tcW w:w="3798" w:type="dxa"/>
            <w:tcBorders>
              <w:top w:val="nil"/>
              <w:left w:val="nil"/>
              <w:bottom w:val="nil"/>
              <w:right w:val="single" w:sz="4" w:space="0" w:color="000000"/>
            </w:tcBorders>
            <w:shd w:val="clear" w:color="000000" w:fill="FFFFFF"/>
            <w:hideMark/>
          </w:tcPr>
          <w:p w14:paraId="4EE2C4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257.- Audiencia pública de revocatoria del mandato</w:t>
            </w:r>
            <w:r w:rsidRPr="00222F34">
              <w:rPr>
                <w:rFonts w:ascii="Calibri" w:eastAsia="Times New Roman" w:hAnsi="Calibri" w:cs="Calibri"/>
                <w:color w:val="000000"/>
                <w:lang w:val="es-CO" w:eastAsia="es-CO" w:bidi="ar-SA"/>
              </w:rPr>
              <w:t>. A solicitud de los promotores de la Revocatoria del Mandato la Registraduría Nacional del Estado Civil informará al Consejo Nacional Electoral para que convoque a Audiencia Pública de Revocatoria del Mandato y, por intermedio de la registraduría respectiva, causará las comunicaciones al alcalde o gobernador, comité promotor, jefe de planeación del ente territorial, concejales o diputados, e interesados.</w:t>
            </w:r>
          </w:p>
        </w:tc>
        <w:tc>
          <w:tcPr>
            <w:tcW w:w="3798" w:type="dxa"/>
            <w:tcBorders>
              <w:top w:val="nil"/>
              <w:left w:val="nil"/>
              <w:bottom w:val="nil"/>
              <w:right w:val="single" w:sz="4" w:space="0" w:color="000000"/>
            </w:tcBorders>
            <w:shd w:val="clear" w:color="000000" w:fill="FFFFFF"/>
            <w:hideMark/>
          </w:tcPr>
          <w:p w14:paraId="6C8E6AF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257.- Audiencia pública de revocatoria del mandato</w:t>
            </w:r>
            <w:r w:rsidRPr="00222F34">
              <w:rPr>
                <w:rFonts w:ascii="Calibri" w:eastAsia="Times New Roman" w:hAnsi="Calibri" w:cs="Calibri"/>
                <w:color w:val="000000"/>
                <w:lang w:val="es-CO" w:eastAsia="es-CO" w:bidi="ar-SA"/>
              </w:rPr>
              <w:t>. A solicitud de los promotores de la Revocatoria del Mandato la Registraduría Nacional del Estado Civil informará al Consejo Nacional Electoral para que convoque a Audiencia Pública de Revocatoria del Mandato y, por intermedio de la registraduría respectiva, causará las comunicaciones al alcalde o gobernador, comité promotor, jefe de planeación del ente territorial, concejales o diputados, e interesados.</w:t>
            </w:r>
          </w:p>
        </w:tc>
        <w:tc>
          <w:tcPr>
            <w:tcW w:w="1480" w:type="dxa"/>
            <w:tcBorders>
              <w:top w:val="nil"/>
              <w:left w:val="nil"/>
              <w:bottom w:val="nil"/>
              <w:right w:val="single" w:sz="4" w:space="0" w:color="000000"/>
            </w:tcBorders>
            <w:shd w:val="clear" w:color="000000" w:fill="FFFFFF"/>
            <w:hideMark/>
          </w:tcPr>
          <w:p w14:paraId="2EAB532A" w14:textId="2B4E863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46E059DD"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24EDA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presidirá la audiencia pública, destinara hasta treinta minutos al promotor y el alcalde para que hagan su intervención, y garantizara el cumplimiento del derecho al debido proceso. Los demás intervinientes podrán participar hasta por quince minutos en la audiencia. </w:t>
            </w:r>
          </w:p>
        </w:tc>
        <w:tc>
          <w:tcPr>
            <w:tcW w:w="3798" w:type="dxa"/>
            <w:tcBorders>
              <w:top w:val="nil"/>
              <w:left w:val="nil"/>
              <w:bottom w:val="nil"/>
              <w:right w:val="single" w:sz="4" w:space="0" w:color="000000"/>
            </w:tcBorders>
            <w:shd w:val="clear" w:color="000000" w:fill="FFFFFF"/>
            <w:hideMark/>
          </w:tcPr>
          <w:p w14:paraId="362C80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presidirá la audiencia pública, destinará hasta treinta minutos al promotor y al alcalde o gobernador para que hagan su intervención, y garantizará el cumplimiento del derecho al debido proceso. Los demás intervinientes podrán participar hasta por quince minutos en la audiencia.</w:t>
            </w:r>
          </w:p>
        </w:tc>
        <w:tc>
          <w:tcPr>
            <w:tcW w:w="3798" w:type="dxa"/>
            <w:tcBorders>
              <w:top w:val="nil"/>
              <w:left w:val="nil"/>
              <w:bottom w:val="nil"/>
              <w:right w:val="single" w:sz="4" w:space="0" w:color="000000"/>
            </w:tcBorders>
            <w:shd w:val="clear" w:color="000000" w:fill="FFFFFF"/>
            <w:hideMark/>
          </w:tcPr>
          <w:p w14:paraId="644D77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presidirá la audiencia pública, destinará hasta treinta minutos al promotor y al alcalde o gobernador para que hagan su intervención, y garantizará el cumplimiento del derecho al debido proceso. Los demás intervinientes podrán participar hasta por quince minutos en la audiencia.</w:t>
            </w:r>
          </w:p>
        </w:tc>
        <w:tc>
          <w:tcPr>
            <w:tcW w:w="1480" w:type="dxa"/>
            <w:tcBorders>
              <w:top w:val="nil"/>
              <w:left w:val="nil"/>
              <w:bottom w:val="nil"/>
              <w:right w:val="single" w:sz="4" w:space="0" w:color="000000"/>
            </w:tcBorders>
            <w:shd w:val="clear" w:color="000000" w:fill="FFFFFF"/>
            <w:hideMark/>
          </w:tcPr>
          <w:p w14:paraId="0AF3D2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D9D2172" w14:textId="77777777" w:rsidTr="00222F34">
        <w:trPr>
          <w:trHeight w:val="1200"/>
        </w:trPr>
        <w:tc>
          <w:tcPr>
            <w:tcW w:w="3798" w:type="dxa"/>
            <w:tcBorders>
              <w:top w:val="nil"/>
              <w:left w:val="single" w:sz="4" w:space="0" w:color="000000"/>
              <w:bottom w:val="nil"/>
              <w:right w:val="single" w:sz="4" w:space="0" w:color="000000"/>
            </w:tcBorders>
            <w:shd w:val="clear" w:color="FF9900" w:fill="FFFFFF"/>
            <w:hideMark/>
          </w:tcPr>
          <w:p w14:paraId="27E43E7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7A3C2F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que el alcalde o gobernador no pueda asistir personalmente, mediando excusa debidamente justificada, la audiencia se aplazará por una única vez y se fijará una fecha dentro de los 15 días siguientes para su realización. La asistencia del Alcalde o Gobernador será indelegable.</w:t>
            </w:r>
          </w:p>
        </w:tc>
        <w:tc>
          <w:tcPr>
            <w:tcW w:w="3798" w:type="dxa"/>
            <w:tcBorders>
              <w:top w:val="nil"/>
              <w:left w:val="nil"/>
              <w:bottom w:val="nil"/>
              <w:right w:val="single" w:sz="4" w:space="0" w:color="000000"/>
            </w:tcBorders>
            <w:shd w:val="clear" w:color="000000" w:fill="FFFFFF"/>
            <w:hideMark/>
          </w:tcPr>
          <w:p w14:paraId="71FCA86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que el alcalde o gobernador no pueda asistir personalmente, mediando excusa debidamente justificada, la audiencia se aplazará por una única vez y se fijará una fecha dentro de los 15 días siguientes para su realización. La asistencia del Alcalde o Gobernador será indelegable.</w:t>
            </w:r>
          </w:p>
        </w:tc>
        <w:tc>
          <w:tcPr>
            <w:tcW w:w="1480" w:type="dxa"/>
            <w:tcBorders>
              <w:top w:val="nil"/>
              <w:left w:val="nil"/>
              <w:bottom w:val="nil"/>
              <w:right w:val="single" w:sz="4" w:space="0" w:color="000000"/>
            </w:tcBorders>
            <w:shd w:val="clear" w:color="000000" w:fill="FFFFFF"/>
            <w:hideMark/>
          </w:tcPr>
          <w:p w14:paraId="04D6559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0009BA5" w14:textId="77777777" w:rsidTr="00222F34">
        <w:trPr>
          <w:trHeight w:val="3600"/>
        </w:trPr>
        <w:tc>
          <w:tcPr>
            <w:tcW w:w="3798" w:type="dxa"/>
            <w:tcBorders>
              <w:top w:val="nil"/>
              <w:left w:val="single" w:sz="4" w:space="0" w:color="000000"/>
              <w:bottom w:val="nil"/>
              <w:right w:val="single" w:sz="4" w:space="0" w:color="000000"/>
            </w:tcBorders>
            <w:shd w:val="clear" w:color="000000" w:fill="FFFFFF"/>
            <w:hideMark/>
          </w:tcPr>
          <w:p w14:paraId="0018EBB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 </w:t>
            </w:r>
          </w:p>
        </w:tc>
        <w:tc>
          <w:tcPr>
            <w:tcW w:w="3798" w:type="dxa"/>
            <w:tcBorders>
              <w:top w:val="nil"/>
              <w:left w:val="nil"/>
              <w:bottom w:val="nil"/>
              <w:right w:val="single" w:sz="4" w:space="0" w:color="000000"/>
            </w:tcBorders>
            <w:shd w:val="clear" w:color="000000" w:fill="FFFFFF"/>
            <w:hideMark/>
          </w:tcPr>
          <w:p w14:paraId="57182C3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w:t>
            </w:r>
          </w:p>
        </w:tc>
        <w:tc>
          <w:tcPr>
            <w:tcW w:w="3798" w:type="dxa"/>
            <w:tcBorders>
              <w:top w:val="nil"/>
              <w:left w:val="nil"/>
              <w:bottom w:val="nil"/>
              <w:right w:val="single" w:sz="4" w:space="0" w:color="000000"/>
            </w:tcBorders>
            <w:shd w:val="clear" w:color="000000" w:fill="FFFFFF"/>
            <w:hideMark/>
          </w:tcPr>
          <w:p w14:paraId="556423A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w:t>
            </w:r>
          </w:p>
        </w:tc>
        <w:tc>
          <w:tcPr>
            <w:tcW w:w="1480" w:type="dxa"/>
            <w:tcBorders>
              <w:top w:val="nil"/>
              <w:left w:val="nil"/>
              <w:bottom w:val="nil"/>
              <w:right w:val="single" w:sz="4" w:space="0" w:color="000000"/>
            </w:tcBorders>
            <w:shd w:val="clear" w:color="000000" w:fill="FFFFFF"/>
            <w:hideMark/>
          </w:tcPr>
          <w:p w14:paraId="7DB97D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A1DDBCE"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425FDD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Consejo Nacional Electoral decidirá si se cumplen los requisitos formales que debe satisfacer el promotor de la revocatoria del mandato. En ningún caso, la autoridad electoral valorara las pruebas presentadas por el promotor. En caso de hallar incumplidos los requisitos, el promotor no podrá solicitar los formularios de recolección de apoyo ante la Registraduria del Estado Civil respectiva. Sobre la decisión que niega la satisfacción de los requisitos, procederá el recurso de reposición. </w:t>
            </w:r>
          </w:p>
        </w:tc>
        <w:tc>
          <w:tcPr>
            <w:tcW w:w="3798" w:type="dxa"/>
            <w:tcBorders>
              <w:top w:val="nil"/>
              <w:left w:val="nil"/>
              <w:bottom w:val="nil"/>
              <w:right w:val="single" w:sz="4" w:space="0" w:color="000000"/>
            </w:tcBorders>
            <w:shd w:val="clear" w:color="000000" w:fill="FFFFFF"/>
            <w:hideMark/>
          </w:tcPr>
          <w:p w14:paraId="72B16E2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decidirá si se cumplen los requisitos formales que debe satisfacer el promotor de la revocatoria del mandato. En ningún caso, la autoridad electoral valorará las pruebas presentadas por el promotor. En caso de hallar incumplidos los requisitos, el promotor no podrá solicitar los formularios de recolección de apoyo ante la Registraduría del Estado Civil respectiva. Sobre la decisión que niega la satisfacción de los requisitos, procederá el recurso de reposición.</w:t>
            </w:r>
          </w:p>
        </w:tc>
        <w:tc>
          <w:tcPr>
            <w:tcW w:w="3798" w:type="dxa"/>
            <w:tcBorders>
              <w:top w:val="nil"/>
              <w:left w:val="nil"/>
              <w:bottom w:val="nil"/>
              <w:right w:val="single" w:sz="4" w:space="0" w:color="000000"/>
            </w:tcBorders>
            <w:shd w:val="clear" w:color="000000" w:fill="FFFFFF"/>
            <w:hideMark/>
          </w:tcPr>
          <w:p w14:paraId="1BDBD4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decidirá si se cumplen los requisitos formales que debe satisfacer el promotor de la revocatoria del mandato. En ningún caso, la autoridad electoral valorará las pruebas presentadas por el promotor. En caso de hallar incumplidos los requisitos, el promotor no podrá solicitar los formularios de recolección de apoyo ante la Registraduría del Estado Civil respectiva. Sobre la decisión que niega la satisfacción de los requisitos, procederá el recurso de reposición.</w:t>
            </w:r>
          </w:p>
        </w:tc>
        <w:tc>
          <w:tcPr>
            <w:tcW w:w="1480" w:type="dxa"/>
            <w:tcBorders>
              <w:top w:val="nil"/>
              <w:left w:val="nil"/>
              <w:bottom w:val="nil"/>
              <w:right w:val="single" w:sz="4" w:space="0" w:color="000000"/>
            </w:tcBorders>
            <w:shd w:val="clear" w:color="000000" w:fill="FFFFFF"/>
            <w:hideMark/>
          </w:tcPr>
          <w:p w14:paraId="5B691A2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802DC5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686552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 la audiencia se levantará un acta donde se dejará constancia de las comunicaciones de la convocatoria, de su realización, de quienes participaron en ella y de cada una de las intervenciones. </w:t>
            </w:r>
          </w:p>
        </w:tc>
        <w:tc>
          <w:tcPr>
            <w:tcW w:w="3798" w:type="dxa"/>
            <w:tcBorders>
              <w:top w:val="nil"/>
              <w:left w:val="nil"/>
              <w:bottom w:val="nil"/>
              <w:right w:val="single" w:sz="4" w:space="0" w:color="000000"/>
            </w:tcBorders>
            <w:shd w:val="clear" w:color="000000" w:fill="FFFFFF"/>
            <w:hideMark/>
          </w:tcPr>
          <w:p w14:paraId="3A7DF2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 audiencia se levantará un acta donde se dejará constancia de las comunicaciones de la convocatoria, de su realización, de quienes participaron en ella y de cada una de las intervenciones.</w:t>
            </w:r>
          </w:p>
        </w:tc>
        <w:tc>
          <w:tcPr>
            <w:tcW w:w="3798" w:type="dxa"/>
            <w:tcBorders>
              <w:top w:val="nil"/>
              <w:left w:val="nil"/>
              <w:bottom w:val="nil"/>
              <w:right w:val="single" w:sz="4" w:space="0" w:color="000000"/>
            </w:tcBorders>
            <w:shd w:val="clear" w:color="000000" w:fill="FFFFFF"/>
            <w:hideMark/>
          </w:tcPr>
          <w:p w14:paraId="0CC301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 audiencia se levantará un acta donde se dejará constancia de las comunicaciones de la convocatoria, de su realización, de quienes participaron en ella y de cada una de las intervenciones.</w:t>
            </w:r>
          </w:p>
        </w:tc>
        <w:tc>
          <w:tcPr>
            <w:tcW w:w="1480" w:type="dxa"/>
            <w:tcBorders>
              <w:top w:val="nil"/>
              <w:left w:val="nil"/>
              <w:bottom w:val="nil"/>
              <w:right w:val="single" w:sz="4" w:space="0" w:color="000000"/>
            </w:tcBorders>
            <w:shd w:val="clear" w:color="000000" w:fill="FFFFFF"/>
            <w:hideMark/>
          </w:tcPr>
          <w:p w14:paraId="300B2E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9F8D1CB"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60CC67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w:t>
            </w:r>
            <w:r w:rsidRPr="00222F34">
              <w:rPr>
                <w:rFonts w:ascii="Calibri" w:eastAsia="Times New Roman" w:hAnsi="Calibri" w:cs="Calibri"/>
                <w:color w:val="000000"/>
                <w:lang w:val="es-CO" w:eastAsia="es-CO" w:bidi="ar-SA"/>
              </w:rPr>
              <w:lastRenderedPageBreak/>
              <w:t xml:space="preserve">siguiente a la votación de la revocatoria del mandato.  </w:t>
            </w:r>
          </w:p>
        </w:tc>
        <w:tc>
          <w:tcPr>
            <w:tcW w:w="3798" w:type="dxa"/>
            <w:tcBorders>
              <w:top w:val="nil"/>
              <w:left w:val="nil"/>
              <w:bottom w:val="nil"/>
              <w:right w:val="single" w:sz="4" w:space="0" w:color="000000"/>
            </w:tcBorders>
            <w:shd w:val="clear" w:color="000000" w:fill="FFFFFF"/>
            <w:hideMark/>
          </w:tcPr>
          <w:p w14:paraId="1CA4B3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w:t>
            </w:r>
            <w:r w:rsidRPr="00222F34">
              <w:rPr>
                <w:rFonts w:ascii="Calibri" w:eastAsia="Times New Roman" w:hAnsi="Calibri" w:cs="Calibri"/>
                <w:color w:val="000000"/>
                <w:lang w:val="es-CO" w:eastAsia="es-CO" w:bidi="ar-SA"/>
              </w:rPr>
              <w:lastRenderedPageBreak/>
              <w:t>siguiente a la votación de la revocatoria del mandato.</w:t>
            </w:r>
          </w:p>
        </w:tc>
        <w:tc>
          <w:tcPr>
            <w:tcW w:w="3798" w:type="dxa"/>
            <w:tcBorders>
              <w:top w:val="nil"/>
              <w:left w:val="nil"/>
              <w:bottom w:val="nil"/>
              <w:right w:val="single" w:sz="4" w:space="0" w:color="000000"/>
            </w:tcBorders>
            <w:shd w:val="clear" w:color="000000" w:fill="FFFFFF"/>
            <w:hideMark/>
          </w:tcPr>
          <w:p w14:paraId="759807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w:t>
            </w:r>
            <w:r w:rsidRPr="00222F34">
              <w:rPr>
                <w:rFonts w:ascii="Calibri" w:eastAsia="Times New Roman" w:hAnsi="Calibri" w:cs="Calibri"/>
                <w:color w:val="000000"/>
                <w:lang w:val="es-CO" w:eastAsia="es-CO" w:bidi="ar-SA"/>
              </w:rPr>
              <w:lastRenderedPageBreak/>
              <w:t>siguiente a la votación de la revocatoria del mandato.</w:t>
            </w:r>
          </w:p>
        </w:tc>
        <w:tc>
          <w:tcPr>
            <w:tcW w:w="1480" w:type="dxa"/>
            <w:tcBorders>
              <w:top w:val="nil"/>
              <w:left w:val="nil"/>
              <w:bottom w:val="nil"/>
              <w:right w:val="single" w:sz="4" w:space="0" w:color="000000"/>
            </w:tcBorders>
            <w:shd w:val="clear" w:color="000000" w:fill="FFFFFF"/>
            <w:hideMark/>
          </w:tcPr>
          <w:p w14:paraId="646E63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28F3A50"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59955CC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  </w:t>
            </w:r>
          </w:p>
        </w:tc>
        <w:tc>
          <w:tcPr>
            <w:tcW w:w="3798" w:type="dxa"/>
            <w:tcBorders>
              <w:top w:val="nil"/>
              <w:left w:val="nil"/>
              <w:bottom w:val="nil"/>
              <w:right w:val="single" w:sz="4" w:space="0" w:color="000000"/>
            </w:tcBorders>
            <w:shd w:val="clear" w:color="000000" w:fill="FFFFFF"/>
            <w:hideMark/>
          </w:tcPr>
          <w:p w14:paraId="5214CD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w:t>
            </w:r>
          </w:p>
        </w:tc>
        <w:tc>
          <w:tcPr>
            <w:tcW w:w="3798" w:type="dxa"/>
            <w:tcBorders>
              <w:top w:val="nil"/>
              <w:left w:val="nil"/>
              <w:bottom w:val="nil"/>
              <w:right w:val="single" w:sz="4" w:space="0" w:color="000000"/>
            </w:tcBorders>
            <w:shd w:val="clear" w:color="000000" w:fill="FFFFFF"/>
            <w:hideMark/>
          </w:tcPr>
          <w:p w14:paraId="031CA2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w:t>
            </w:r>
          </w:p>
        </w:tc>
        <w:tc>
          <w:tcPr>
            <w:tcW w:w="1480" w:type="dxa"/>
            <w:tcBorders>
              <w:top w:val="nil"/>
              <w:left w:val="nil"/>
              <w:bottom w:val="nil"/>
              <w:right w:val="single" w:sz="4" w:space="0" w:color="000000"/>
            </w:tcBorders>
            <w:shd w:val="clear" w:color="000000" w:fill="FFFFFF"/>
            <w:hideMark/>
          </w:tcPr>
          <w:p w14:paraId="7C9F9E7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B92B0D3"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1BBCDC0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De ninguna manera se considerarán razones objetivas y expresas aquellas que se encargan de reabrir el debate electoral concluido con la designación del mandatario local. </w:t>
            </w:r>
          </w:p>
        </w:tc>
        <w:tc>
          <w:tcPr>
            <w:tcW w:w="3798" w:type="dxa"/>
            <w:tcBorders>
              <w:top w:val="nil"/>
              <w:left w:val="nil"/>
              <w:bottom w:val="single" w:sz="4" w:space="0" w:color="000000"/>
              <w:right w:val="single" w:sz="4" w:space="0" w:color="000000"/>
            </w:tcBorders>
            <w:shd w:val="clear" w:color="000000" w:fill="FFFFFF"/>
            <w:hideMark/>
          </w:tcPr>
          <w:p w14:paraId="37514D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De ninguna manera se considerarán razones objetivas y expresas aquellas que se encargan de reabrir el debate electoral concluido con la designación del mandatario local.</w:t>
            </w:r>
          </w:p>
        </w:tc>
        <w:tc>
          <w:tcPr>
            <w:tcW w:w="3798" w:type="dxa"/>
            <w:tcBorders>
              <w:top w:val="nil"/>
              <w:left w:val="nil"/>
              <w:bottom w:val="single" w:sz="4" w:space="0" w:color="000000"/>
              <w:right w:val="single" w:sz="4" w:space="0" w:color="000000"/>
            </w:tcBorders>
            <w:shd w:val="clear" w:color="000000" w:fill="FFFFFF"/>
            <w:hideMark/>
          </w:tcPr>
          <w:p w14:paraId="4523D0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De ninguna manera se considerarán razones objetivas y expresas aquellas que se encargan de reabrir el debate electoral concluido con la designación del mandatario local.</w:t>
            </w:r>
          </w:p>
        </w:tc>
        <w:tc>
          <w:tcPr>
            <w:tcW w:w="1480" w:type="dxa"/>
            <w:tcBorders>
              <w:top w:val="nil"/>
              <w:left w:val="nil"/>
              <w:bottom w:val="single" w:sz="4" w:space="0" w:color="000000"/>
              <w:right w:val="single" w:sz="4" w:space="0" w:color="000000"/>
            </w:tcBorders>
            <w:shd w:val="clear" w:color="000000" w:fill="FFFFFF"/>
            <w:hideMark/>
          </w:tcPr>
          <w:p w14:paraId="09F15D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A24D3C5"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159642F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254.- Respeto del medio ambiente dentro de los procesos electorales.</w:t>
            </w:r>
            <w:r w:rsidRPr="00222F34">
              <w:rPr>
                <w:rFonts w:ascii="Calibri" w:eastAsia="Times New Roman" w:hAnsi="Calibri" w:cs="Calibri"/>
                <w:color w:val="000000"/>
                <w:lang w:val="es-CO" w:eastAsia="es-CO" w:bidi="ar-SA"/>
              </w:rPr>
              <w:t xml:space="preserve"> La Organización Electoral implementará las acciones, mecanismos y métodos para generar el menor impacto negativo en el medio ambiente en cuanto a los procesos electorales; promoverá entre todos los actores del proceso electoral el respeto ambiental en el desarrollo de sus campañas y en las jornadas electorales, de conformidad </w:t>
            </w:r>
            <w:r w:rsidRPr="00222F34">
              <w:rPr>
                <w:rFonts w:ascii="Calibri" w:eastAsia="Times New Roman" w:hAnsi="Calibri" w:cs="Calibri"/>
                <w:color w:val="000000"/>
                <w:lang w:val="es-CO" w:eastAsia="es-CO" w:bidi="ar-SA"/>
              </w:rPr>
              <w:lastRenderedPageBreak/>
              <w:t xml:space="preserve">con la reglamentación que para el efecto expida con anterioridad a cada proceso electoral. Para ello procurará utilizar tecnologías limpias y seguras y reutilizar materiales. </w:t>
            </w:r>
          </w:p>
        </w:tc>
        <w:tc>
          <w:tcPr>
            <w:tcW w:w="3798" w:type="dxa"/>
            <w:tcBorders>
              <w:top w:val="nil"/>
              <w:left w:val="nil"/>
              <w:bottom w:val="nil"/>
              <w:right w:val="single" w:sz="4" w:space="0" w:color="000000"/>
            </w:tcBorders>
            <w:shd w:val="clear" w:color="000000" w:fill="FFFFFF"/>
            <w:hideMark/>
          </w:tcPr>
          <w:p w14:paraId="40935C3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258.- Respeto del medio ambiente dentro de los procesos electorales.</w:t>
            </w:r>
            <w:r w:rsidRPr="00222F34">
              <w:rPr>
                <w:rFonts w:ascii="Calibri" w:eastAsia="Times New Roman" w:hAnsi="Calibri" w:cs="Calibri"/>
                <w:color w:val="000000"/>
                <w:lang w:val="es-CO" w:eastAsia="es-CO" w:bidi="ar-SA"/>
              </w:rPr>
              <w:t xml:space="preserve"> La Organización Electoral implementará las acciones, mecanismos y métodos para generar el menor impacto negativo en el medio ambiente en cuanto a los procesos electorales; promoverá entre todos los actores del proceso electoral el respeto ambiental en el desarrollo de sus campañas y en las jornadas electorales, de conformidad </w:t>
            </w:r>
            <w:r w:rsidRPr="00222F34">
              <w:rPr>
                <w:rFonts w:ascii="Calibri" w:eastAsia="Times New Roman" w:hAnsi="Calibri" w:cs="Calibri"/>
                <w:color w:val="000000"/>
                <w:lang w:val="es-CO" w:eastAsia="es-CO" w:bidi="ar-SA"/>
              </w:rPr>
              <w:lastRenderedPageBreak/>
              <w:t>con la reglamentación que para el efecto expida con anterioridad a cada proceso electoral. Para ello procurará utilizar tecnologías limpias y seguras y reutilizar materiales.</w:t>
            </w:r>
          </w:p>
        </w:tc>
        <w:tc>
          <w:tcPr>
            <w:tcW w:w="3798" w:type="dxa"/>
            <w:tcBorders>
              <w:top w:val="nil"/>
              <w:left w:val="nil"/>
              <w:bottom w:val="nil"/>
              <w:right w:val="single" w:sz="4" w:space="0" w:color="000000"/>
            </w:tcBorders>
            <w:shd w:val="clear" w:color="000000" w:fill="FFFFFF"/>
            <w:hideMark/>
          </w:tcPr>
          <w:p w14:paraId="7046629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258.- Respeto del medio ambiente dentro de los procesos electorales.</w:t>
            </w:r>
            <w:r w:rsidRPr="00222F34">
              <w:rPr>
                <w:rFonts w:ascii="Calibri" w:eastAsia="Times New Roman" w:hAnsi="Calibri" w:cs="Calibri"/>
                <w:color w:val="000000"/>
                <w:lang w:val="es-CO" w:eastAsia="es-CO" w:bidi="ar-SA"/>
              </w:rPr>
              <w:t xml:space="preserve"> La Organización Electoral implementará las acciones, mecanismos y métodos para generar el menor impacto negativo en el medio ambiente en cuanto a los procesos electorales; promoverá entre todos los actores del proceso electoral el respeto ambiental en el desarrollo de sus campañas y en las jornadas electorales, de conformidad </w:t>
            </w:r>
            <w:r w:rsidRPr="00222F34">
              <w:rPr>
                <w:rFonts w:ascii="Calibri" w:eastAsia="Times New Roman" w:hAnsi="Calibri" w:cs="Calibri"/>
                <w:color w:val="000000"/>
                <w:lang w:val="es-CO" w:eastAsia="es-CO" w:bidi="ar-SA"/>
              </w:rPr>
              <w:lastRenderedPageBreak/>
              <w:t>con la reglamentación que para el efecto expida con anterioridad a cada proceso electoral. Para ello procurará utilizar tecnologías limpias y seguras y reutilizar materiales.</w:t>
            </w:r>
          </w:p>
        </w:tc>
        <w:tc>
          <w:tcPr>
            <w:tcW w:w="1480" w:type="dxa"/>
            <w:tcBorders>
              <w:top w:val="nil"/>
              <w:left w:val="nil"/>
              <w:bottom w:val="nil"/>
              <w:right w:val="single" w:sz="4" w:space="0" w:color="000000"/>
            </w:tcBorders>
            <w:shd w:val="clear" w:color="000000" w:fill="FFFFFF"/>
            <w:hideMark/>
          </w:tcPr>
          <w:p w14:paraId="5740C079" w14:textId="3FD17C3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0BC342E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21DD2966"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Para las fijaciones de decisiones de las autoridades electorales que ordena este código, los funcionarios procurarán el menor uso de papel y el apoyo de medios tecnológicos amigables con el medio ambiente. </w:t>
            </w:r>
          </w:p>
        </w:tc>
        <w:tc>
          <w:tcPr>
            <w:tcW w:w="3798" w:type="dxa"/>
            <w:tcBorders>
              <w:top w:val="nil"/>
              <w:left w:val="nil"/>
              <w:bottom w:val="nil"/>
              <w:right w:val="single" w:sz="4" w:space="0" w:color="000000"/>
            </w:tcBorders>
            <w:shd w:val="clear" w:color="000000" w:fill="FFFFFF"/>
            <w:hideMark/>
          </w:tcPr>
          <w:p w14:paraId="3C89F9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las fijaciones de decisiones de las autoridades electorales que ordena este código, los funcionarios procurarán el menor uso de papel y el apoyo de medios tecnológicos amigables con el medio ambiente.</w:t>
            </w:r>
          </w:p>
        </w:tc>
        <w:tc>
          <w:tcPr>
            <w:tcW w:w="3798" w:type="dxa"/>
            <w:tcBorders>
              <w:top w:val="nil"/>
              <w:left w:val="nil"/>
              <w:bottom w:val="nil"/>
              <w:right w:val="single" w:sz="4" w:space="0" w:color="000000"/>
            </w:tcBorders>
            <w:shd w:val="clear" w:color="000000" w:fill="FFFFFF"/>
            <w:hideMark/>
          </w:tcPr>
          <w:p w14:paraId="1424877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las fijaciones de decisiones de las autoridades electorales que ordena este código, los funcionarios procurarán el menor uso de papel y el apoyo de medios tecnológicos amigables con el medio ambiente.</w:t>
            </w:r>
          </w:p>
        </w:tc>
        <w:tc>
          <w:tcPr>
            <w:tcW w:w="1480" w:type="dxa"/>
            <w:tcBorders>
              <w:top w:val="nil"/>
              <w:left w:val="nil"/>
              <w:bottom w:val="nil"/>
              <w:right w:val="single" w:sz="4" w:space="0" w:color="000000"/>
            </w:tcBorders>
            <w:shd w:val="clear" w:color="000000" w:fill="FFFFFF"/>
            <w:hideMark/>
          </w:tcPr>
          <w:p w14:paraId="586DEA5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946377A"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5CEB50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Una vez se concluya cada elección, la Registraduría Nacional del Estado Civil por intermedio de los delegados para asuntos electorales adelantará un plan de manejo ambiental sobre el material electoral sobrante, distinto a las tarjetas electorales, reutilizando el que se conserve en buen estado y procurando el manejo adecuado de residuos sólidos y procesos de reciclaje del restante. </w:t>
            </w:r>
          </w:p>
        </w:tc>
        <w:tc>
          <w:tcPr>
            <w:tcW w:w="3798" w:type="dxa"/>
            <w:tcBorders>
              <w:top w:val="nil"/>
              <w:left w:val="nil"/>
              <w:bottom w:val="nil"/>
              <w:right w:val="single" w:sz="4" w:space="0" w:color="000000"/>
            </w:tcBorders>
            <w:shd w:val="clear" w:color="000000" w:fill="FFFFFF"/>
            <w:hideMark/>
          </w:tcPr>
          <w:p w14:paraId="4A7FB08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se concluya cada elección, la Registraduría Nacional del Estado Civil por intermedio de los delegados departamentales adelantará un plan de manejo ambiental sobre el material electoral sobrante, distinto a las tarjetas electorales, reutilizando el que se conserve en buen estado y procurando el manejo adecuado de residuos sólidos y procesos de reciclaje del restante.</w:t>
            </w:r>
          </w:p>
        </w:tc>
        <w:tc>
          <w:tcPr>
            <w:tcW w:w="3798" w:type="dxa"/>
            <w:tcBorders>
              <w:top w:val="nil"/>
              <w:left w:val="nil"/>
              <w:bottom w:val="nil"/>
              <w:right w:val="single" w:sz="4" w:space="0" w:color="000000"/>
            </w:tcBorders>
            <w:shd w:val="clear" w:color="000000" w:fill="FFFFFF"/>
            <w:hideMark/>
          </w:tcPr>
          <w:p w14:paraId="1FA43F0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se concluya cada elección, la Registraduría Nacional del Estado Civil por intermedio de los delegados departamentales adelantará un plan de manejo ambiental sobre el material electoral sobrante, distinto a las tarjetas electorales, reutilizando el que se conserve en buen estado y procurando el manejo adecuado de residuos sólidos y procesos de reciclaje del restante.</w:t>
            </w:r>
          </w:p>
        </w:tc>
        <w:tc>
          <w:tcPr>
            <w:tcW w:w="1480" w:type="dxa"/>
            <w:tcBorders>
              <w:top w:val="nil"/>
              <w:left w:val="nil"/>
              <w:bottom w:val="nil"/>
              <w:right w:val="single" w:sz="4" w:space="0" w:color="000000"/>
            </w:tcBorders>
            <w:shd w:val="clear" w:color="000000" w:fill="FFFFFF"/>
            <w:hideMark/>
          </w:tcPr>
          <w:p w14:paraId="7B12BF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10B55A4"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35CB017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Concluidos los escrutinios y transcurridos dos meses después de declarada la elección, la Registraduría Nacional del Estado Civil podrá destruir los votos excluyendo los que se encuentren vinculados a procesos judiciales. Así mismo, solo conservará las </w:t>
            </w:r>
            <w:r w:rsidRPr="00222F34">
              <w:rPr>
                <w:rFonts w:ascii="Calibri" w:eastAsia="Times New Roman" w:hAnsi="Calibri" w:cs="Calibri"/>
                <w:color w:val="000000"/>
                <w:lang w:val="es-CO" w:eastAsia="es-CO" w:bidi="ar-SA"/>
              </w:rPr>
              <w:lastRenderedPageBreak/>
              <w:t xml:space="preserve">actas y demás documentos diligenciados por los jurados de votación, las comisiones escrutadoras y el Consejo Nacional Electoral de manera física o en archivo digital. Una vez destruidos los votos, dicho material también deberá ser reciclado. </w:t>
            </w:r>
          </w:p>
        </w:tc>
        <w:tc>
          <w:tcPr>
            <w:tcW w:w="3798" w:type="dxa"/>
            <w:tcBorders>
              <w:top w:val="nil"/>
              <w:left w:val="nil"/>
              <w:bottom w:val="single" w:sz="4" w:space="0" w:color="000000"/>
              <w:right w:val="single" w:sz="4" w:space="0" w:color="000000"/>
            </w:tcBorders>
            <w:shd w:val="clear" w:color="000000" w:fill="FFFFFF"/>
            <w:hideMark/>
          </w:tcPr>
          <w:p w14:paraId="4802EF6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Concluidos los escrutinios y transcurridos dos meses después de declarada la elección, la Registraduría Nacional del Estado Civil podrá destruir los votos excluyendo los que se encuentren vinculados a procesos judiciales. Así mismo, sólo conservará las </w:t>
            </w:r>
            <w:r w:rsidRPr="00222F34">
              <w:rPr>
                <w:rFonts w:ascii="Calibri" w:eastAsia="Times New Roman" w:hAnsi="Calibri" w:cs="Calibri"/>
                <w:color w:val="000000"/>
                <w:lang w:val="es-CO" w:eastAsia="es-CO" w:bidi="ar-SA"/>
              </w:rPr>
              <w:lastRenderedPageBreak/>
              <w:t>actas y demás documentos diligenciados por los jurados de votación, las comisiones escrutadoras y el Consejo Nacional Electoral de manera física o en archivo digital. Una vez destruidos los votos, dicho material también deberá ser reciclado.</w:t>
            </w:r>
          </w:p>
        </w:tc>
        <w:tc>
          <w:tcPr>
            <w:tcW w:w="3798" w:type="dxa"/>
            <w:tcBorders>
              <w:top w:val="nil"/>
              <w:left w:val="nil"/>
              <w:bottom w:val="single" w:sz="4" w:space="0" w:color="000000"/>
              <w:right w:val="single" w:sz="4" w:space="0" w:color="000000"/>
            </w:tcBorders>
            <w:shd w:val="clear" w:color="000000" w:fill="FFFFFF"/>
            <w:hideMark/>
          </w:tcPr>
          <w:p w14:paraId="33A7AB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Concluidos los escrutinios y transcurridos dos meses después de declarada la elección, la Registraduría Nacional del Estado Civil podrá destruir los votos excluyendo los que se encuentren vinculados a procesos judiciales. Así mismo, sólo conservará las </w:t>
            </w:r>
            <w:r w:rsidRPr="00222F34">
              <w:rPr>
                <w:rFonts w:ascii="Calibri" w:eastAsia="Times New Roman" w:hAnsi="Calibri" w:cs="Calibri"/>
                <w:color w:val="000000"/>
                <w:lang w:val="es-CO" w:eastAsia="es-CO" w:bidi="ar-SA"/>
              </w:rPr>
              <w:lastRenderedPageBreak/>
              <w:t>actas y demás documentos diligenciados por los jurados de votación, las comisiones escrutadoras y el Consejo Nacional Electoral de manera física o en archivo digital. Una vez destruidos los votos, dicho material también deberá ser reciclado.</w:t>
            </w:r>
          </w:p>
        </w:tc>
        <w:tc>
          <w:tcPr>
            <w:tcW w:w="1480" w:type="dxa"/>
            <w:tcBorders>
              <w:top w:val="nil"/>
              <w:left w:val="nil"/>
              <w:bottom w:val="single" w:sz="4" w:space="0" w:color="000000"/>
              <w:right w:val="single" w:sz="4" w:space="0" w:color="000000"/>
            </w:tcBorders>
            <w:shd w:val="clear" w:color="000000" w:fill="FFFFFF"/>
            <w:hideMark/>
          </w:tcPr>
          <w:p w14:paraId="426BEA6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66B7CBAF"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AE15C9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255.- Procesos de colaboración con terceros.</w:t>
            </w:r>
            <w:r w:rsidRPr="00222F34">
              <w:rPr>
                <w:rFonts w:ascii="Calibri" w:eastAsia="Times New Roman" w:hAnsi="Calibri" w:cs="Calibri"/>
                <w:color w:val="000000"/>
                <w:lang w:val="es-CO" w:eastAsia="es-CO" w:bidi="ar-SA"/>
              </w:rPr>
              <w:t xml:space="preserve"> 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 </w:t>
            </w:r>
          </w:p>
        </w:tc>
        <w:tc>
          <w:tcPr>
            <w:tcW w:w="3798" w:type="dxa"/>
            <w:tcBorders>
              <w:top w:val="nil"/>
              <w:left w:val="nil"/>
              <w:bottom w:val="nil"/>
              <w:right w:val="single" w:sz="4" w:space="0" w:color="000000"/>
            </w:tcBorders>
            <w:shd w:val="clear" w:color="000000" w:fill="FFFFFF"/>
            <w:hideMark/>
          </w:tcPr>
          <w:p w14:paraId="62A9781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259.- Procesos de colaboración con terceros.</w:t>
            </w:r>
            <w:r w:rsidRPr="00222F34">
              <w:rPr>
                <w:rFonts w:ascii="Calibri" w:eastAsia="Times New Roman" w:hAnsi="Calibri" w:cs="Calibri"/>
                <w:color w:val="000000"/>
                <w:lang w:val="es-CO" w:eastAsia="es-CO" w:bidi="ar-SA"/>
              </w:rPr>
              <w:t xml:space="preserve"> 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p>
        </w:tc>
        <w:tc>
          <w:tcPr>
            <w:tcW w:w="3798" w:type="dxa"/>
            <w:tcBorders>
              <w:top w:val="nil"/>
              <w:left w:val="nil"/>
              <w:bottom w:val="nil"/>
              <w:right w:val="single" w:sz="4" w:space="0" w:color="000000"/>
            </w:tcBorders>
            <w:shd w:val="clear" w:color="000000" w:fill="FFFFFF"/>
            <w:hideMark/>
          </w:tcPr>
          <w:p w14:paraId="1A714B4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259.- Procesos de colaboración con terceros.</w:t>
            </w:r>
            <w:r w:rsidRPr="00222F34">
              <w:rPr>
                <w:rFonts w:ascii="Calibri" w:eastAsia="Times New Roman" w:hAnsi="Calibri" w:cs="Calibri"/>
                <w:color w:val="000000"/>
                <w:lang w:val="es-CO" w:eastAsia="es-CO" w:bidi="ar-SA"/>
              </w:rPr>
              <w:t xml:space="preserve"> 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p>
        </w:tc>
        <w:tc>
          <w:tcPr>
            <w:tcW w:w="1480" w:type="dxa"/>
            <w:tcBorders>
              <w:top w:val="nil"/>
              <w:left w:val="nil"/>
              <w:bottom w:val="nil"/>
              <w:right w:val="single" w:sz="4" w:space="0" w:color="000000"/>
            </w:tcBorders>
            <w:shd w:val="clear" w:color="000000" w:fill="FFFFFF"/>
            <w:hideMark/>
          </w:tcPr>
          <w:p w14:paraId="076271E3" w14:textId="695E2E4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6ADFC9B2"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340DD7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Organización Electoral podrá celebrar contratos y convenios de cooperación con otros organismos electorales e instituciones internacionales para fortalecer sus áreas misionales. </w:t>
            </w:r>
          </w:p>
        </w:tc>
        <w:tc>
          <w:tcPr>
            <w:tcW w:w="3798" w:type="dxa"/>
            <w:tcBorders>
              <w:top w:val="nil"/>
              <w:left w:val="nil"/>
              <w:bottom w:val="nil"/>
              <w:right w:val="single" w:sz="4" w:space="0" w:color="000000"/>
            </w:tcBorders>
            <w:shd w:val="clear" w:color="000000" w:fill="FFFFFF"/>
            <w:hideMark/>
          </w:tcPr>
          <w:p w14:paraId="1214554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podrá celebrar contratos y convenios de cooperación con otros organismos electorales e instituciones internacionales para fortalecer sus áreas misionales.</w:t>
            </w:r>
          </w:p>
        </w:tc>
        <w:tc>
          <w:tcPr>
            <w:tcW w:w="3798" w:type="dxa"/>
            <w:tcBorders>
              <w:top w:val="nil"/>
              <w:left w:val="nil"/>
              <w:bottom w:val="nil"/>
              <w:right w:val="single" w:sz="4" w:space="0" w:color="000000"/>
            </w:tcBorders>
            <w:shd w:val="clear" w:color="000000" w:fill="FFFFFF"/>
            <w:hideMark/>
          </w:tcPr>
          <w:p w14:paraId="31178E8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podrá celebrar contratos y convenios de cooperación con otros organismos electorales e instituciones internacionales para fortalecer sus áreas misionales.</w:t>
            </w:r>
          </w:p>
        </w:tc>
        <w:tc>
          <w:tcPr>
            <w:tcW w:w="1480" w:type="dxa"/>
            <w:tcBorders>
              <w:top w:val="nil"/>
              <w:left w:val="nil"/>
              <w:bottom w:val="nil"/>
              <w:right w:val="single" w:sz="4" w:space="0" w:color="000000"/>
            </w:tcBorders>
            <w:shd w:val="clear" w:color="000000" w:fill="FFFFFF"/>
            <w:hideMark/>
          </w:tcPr>
          <w:p w14:paraId="6FC4C5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F6B2F2E"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649A1A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órganos de control deberán establecer rutas de seguimiento para la veeduría y el control de los contratos y convenios interadministrativos señalados en el presente artículo.</w:t>
            </w:r>
          </w:p>
        </w:tc>
        <w:tc>
          <w:tcPr>
            <w:tcW w:w="3798" w:type="dxa"/>
            <w:tcBorders>
              <w:top w:val="nil"/>
              <w:left w:val="nil"/>
              <w:bottom w:val="single" w:sz="4" w:space="0" w:color="000000"/>
              <w:right w:val="single" w:sz="4" w:space="0" w:color="000000"/>
            </w:tcBorders>
            <w:shd w:val="clear" w:color="000000" w:fill="FFFFFF"/>
            <w:hideMark/>
          </w:tcPr>
          <w:p w14:paraId="71CC7F5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órganos de control deberán establecer rutas de permanente seguimiento para la veeduría y control durante la selección y ejecución de los contratos y convenios interadministrativos señalados en el presente artículo.</w:t>
            </w:r>
          </w:p>
        </w:tc>
        <w:tc>
          <w:tcPr>
            <w:tcW w:w="3798" w:type="dxa"/>
            <w:tcBorders>
              <w:top w:val="nil"/>
              <w:left w:val="nil"/>
              <w:bottom w:val="single" w:sz="4" w:space="0" w:color="000000"/>
              <w:right w:val="single" w:sz="4" w:space="0" w:color="000000"/>
            </w:tcBorders>
            <w:shd w:val="clear" w:color="000000" w:fill="FFFFFF"/>
            <w:hideMark/>
          </w:tcPr>
          <w:p w14:paraId="4D3DA1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órganos de control deberán establecer rutas de permanente seguimiento para la veeduría y control durante la selección y ejecución de los contratos y convenios interadministrativos señalados en el presente artículo.</w:t>
            </w:r>
          </w:p>
        </w:tc>
        <w:tc>
          <w:tcPr>
            <w:tcW w:w="1480" w:type="dxa"/>
            <w:tcBorders>
              <w:top w:val="nil"/>
              <w:left w:val="nil"/>
              <w:bottom w:val="single" w:sz="4" w:space="0" w:color="000000"/>
              <w:right w:val="single" w:sz="4" w:space="0" w:color="000000"/>
            </w:tcBorders>
            <w:shd w:val="clear" w:color="000000" w:fill="FFFFFF"/>
            <w:hideMark/>
          </w:tcPr>
          <w:p w14:paraId="506FE3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964979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DFDDEE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256.- Software de escrutinios.</w:t>
            </w:r>
            <w:r w:rsidRPr="00222F34">
              <w:rPr>
                <w:rFonts w:ascii="Calibri" w:eastAsia="Times New Roman" w:hAnsi="Calibri" w:cs="Calibri"/>
                <w:color w:val="000000"/>
                <w:lang w:val="es-CO" w:eastAsia="es-CO" w:bidi="ar-SA"/>
              </w:rPr>
              <w:t xml:space="preserve"> El software dispuesto para la consolidación nacional del escrutinio será de propiedad de la Registraduría Nacional del Estado Civil y administrado por el Consejo Nacional Electoral. El software podrá ser auditado por las delegaciones de auditoría, partidos, movimientos políticos, grupos significativos de ciudadanos y demás organizaciones debidamente acreditadas. </w:t>
            </w:r>
          </w:p>
        </w:tc>
        <w:tc>
          <w:tcPr>
            <w:tcW w:w="3798" w:type="dxa"/>
            <w:tcBorders>
              <w:top w:val="nil"/>
              <w:left w:val="nil"/>
              <w:bottom w:val="nil"/>
              <w:right w:val="single" w:sz="4" w:space="0" w:color="000000"/>
            </w:tcBorders>
            <w:shd w:val="clear" w:color="00FF00" w:fill="FFFFFF"/>
            <w:hideMark/>
          </w:tcPr>
          <w:p w14:paraId="0F5C88F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260.- Software de escrutinios.</w:t>
            </w:r>
            <w:r w:rsidRPr="00222F34">
              <w:rPr>
                <w:rFonts w:ascii="Calibri" w:eastAsia="Times New Roman" w:hAnsi="Calibri" w:cs="Calibri"/>
                <w:color w:val="000000"/>
                <w:lang w:val="es-CO" w:eastAsia="es-CO" w:bidi="ar-SA"/>
              </w:rPr>
              <w:t xml:space="preserve"> El software dispuesto para la consolidación nacional del escrutinio será de propiedad de la Nación, a través de la Registraduría Nacional del Estado Civil y administrado por el Consejo Nacional Electoral.</w:t>
            </w:r>
          </w:p>
        </w:tc>
        <w:tc>
          <w:tcPr>
            <w:tcW w:w="3798" w:type="dxa"/>
            <w:tcBorders>
              <w:top w:val="nil"/>
              <w:left w:val="nil"/>
              <w:bottom w:val="nil"/>
              <w:right w:val="single" w:sz="4" w:space="0" w:color="000000"/>
            </w:tcBorders>
            <w:shd w:val="clear" w:color="000000" w:fill="FFFFFF"/>
            <w:hideMark/>
          </w:tcPr>
          <w:p w14:paraId="6BFEAE1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260.- Software de escrutinios.</w:t>
            </w:r>
            <w:r w:rsidRPr="00222F34">
              <w:rPr>
                <w:rFonts w:ascii="Calibri" w:eastAsia="Times New Roman" w:hAnsi="Calibri" w:cs="Calibri"/>
                <w:color w:val="000000"/>
                <w:lang w:val="es-CO" w:eastAsia="es-CO" w:bidi="ar-SA"/>
              </w:rPr>
              <w:t xml:space="preserve"> El software dispuesto para la consolidación nacional del escrutinio será de propiedad de la Registraduría Nacional del Estado Civil y administrado por el Consejo Nacional Electoral. El software podrá ser auditado por las delegaciones de auditoría, partidos, movimientos políticos, grupos significativos de ciudadanos y demás organizaciones debidamente acreditadas. </w:t>
            </w:r>
          </w:p>
        </w:tc>
        <w:tc>
          <w:tcPr>
            <w:tcW w:w="1480" w:type="dxa"/>
            <w:tcBorders>
              <w:top w:val="nil"/>
              <w:left w:val="nil"/>
              <w:bottom w:val="nil"/>
              <w:right w:val="single" w:sz="4" w:space="0" w:color="000000"/>
            </w:tcBorders>
            <w:shd w:val="clear" w:color="000000" w:fill="FFFFFF"/>
            <w:hideMark/>
          </w:tcPr>
          <w:p w14:paraId="24688936" w14:textId="096725A5"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CFB962A"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03182D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código fuente del software de escrutinios debe ser de conocimiento del Consejo Nacional Electoral, promoviendo el uso de herramientas de software de código abierto.</w:t>
            </w:r>
          </w:p>
        </w:tc>
        <w:tc>
          <w:tcPr>
            <w:tcW w:w="3798" w:type="dxa"/>
            <w:tcBorders>
              <w:top w:val="nil"/>
              <w:left w:val="nil"/>
              <w:bottom w:val="nil"/>
              <w:right w:val="single" w:sz="4" w:space="0" w:color="000000"/>
            </w:tcBorders>
            <w:shd w:val="clear" w:color="00FF00" w:fill="FFFFFF"/>
            <w:hideMark/>
          </w:tcPr>
          <w:p w14:paraId="5194C4C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software deberá ser auditado por las delegaciones de auditoría, partidos, movimientos políticos, grupos significativos de ciudadanos y demás organizaciones debidamente acreditadas. El código fuente del software de escrutinios debe ser de conocimiento del Consejo Nacional Electoral. Se debe cerrar cualquier desarrollo del software de escrutinios con un (1) mes de anticipación a la fecha de las elecciones. Después de esta fecha, el software de escrutinios solo podrá modificarse con aprobación del Comité de seguimiento y vigilancia electrónica del proceso electoral.</w:t>
            </w:r>
          </w:p>
        </w:tc>
        <w:tc>
          <w:tcPr>
            <w:tcW w:w="3798" w:type="dxa"/>
            <w:tcBorders>
              <w:top w:val="nil"/>
              <w:left w:val="nil"/>
              <w:bottom w:val="nil"/>
              <w:right w:val="single" w:sz="4" w:space="0" w:color="000000"/>
            </w:tcBorders>
            <w:shd w:val="clear" w:color="000000" w:fill="FFFFFF"/>
            <w:hideMark/>
          </w:tcPr>
          <w:p w14:paraId="534E20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código fuente del software de escrutinios debe ser de conocimiento del Consejo Nacional Electoral, promoviendo el uso de herramientas de software de código abierto.</w:t>
            </w:r>
          </w:p>
        </w:tc>
        <w:tc>
          <w:tcPr>
            <w:tcW w:w="1480" w:type="dxa"/>
            <w:tcBorders>
              <w:top w:val="nil"/>
              <w:left w:val="nil"/>
              <w:bottom w:val="nil"/>
              <w:right w:val="single" w:sz="4" w:space="0" w:color="000000"/>
            </w:tcBorders>
            <w:shd w:val="clear" w:color="000000" w:fill="FFFFFF"/>
            <w:hideMark/>
          </w:tcPr>
          <w:p w14:paraId="773BD2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7B381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6ABCA68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Parágrafo.  </w:t>
            </w:r>
            <w:r w:rsidRPr="00222F34">
              <w:rPr>
                <w:rFonts w:ascii="Calibri" w:eastAsia="Times New Roman" w:hAnsi="Calibri" w:cs="Calibri"/>
                <w:color w:val="000000"/>
                <w:lang w:val="es-CO" w:eastAsia="es-CO" w:bidi="ar-SA"/>
              </w:rPr>
              <w:t>Previo a cada jornada electoral se deberán realizar simulacros y/o pruebas al software de escrutinio para de esta forma certificar el adecuado, oportuno y rápido funcionamiento del sistema.</w:t>
            </w:r>
          </w:p>
        </w:tc>
        <w:tc>
          <w:tcPr>
            <w:tcW w:w="3798" w:type="dxa"/>
            <w:tcBorders>
              <w:top w:val="nil"/>
              <w:left w:val="nil"/>
              <w:bottom w:val="single" w:sz="4" w:space="0" w:color="000000"/>
              <w:right w:val="single" w:sz="4" w:space="0" w:color="000000"/>
            </w:tcBorders>
            <w:shd w:val="clear" w:color="00FF00" w:fill="FFFFFF"/>
            <w:hideMark/>
          </w:tcPr>
          <w:p w14:paraId="624E01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Previo a cada jornada electoral se deberán realizar simulacros y/o pruebas al software de escrutinio para de esta forma certificar el adecuado, oportuno y rápido funcionamiento del sistema.</w:t>
            </w:r>
          </w:p>
        </w:tc>
        <w:tc>
          <w:tcPr>
            <w:tcW w:w="3798" w:type="dxa"/>
            <w:tcBorders>
              <w:top w:val="nil"/>
              <w:left w:val="nil"/>
              <w:bottom w:val="single" w:sz="4" w:space="0" w:color="000000"/>
              <w:right w:val="single" w:sz="4" w:space="0" w:color="000000"/>
            </w:tcBorders>
            <w:shd w:val="clear" w:color="000000" w:fill="FFFFFF"/>
            <w:hideMark/>
          </w:tcPr>
          <w:p w14:paraId="65A8177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w:t>
            </w:r>
            <w:r w:rsidRPr="00222F34">
              <w:rPr>
                <w:rFonts w:ascii="Calibri" w:eastAsia="Times New Roman" w:hAnsi="Calibri" w:cs="Calibri"/>
                <w:color w:val="000000"/>
                <w:lang w:val="es-CO" w:eastAsia="es-CO" w:bidi="ar-SA"/>
              </w:rPr>
              <w:t>Previo a cada jornada electoral se deberán realizar simulacros y/o pruebas al software de escrutinio para de esta forma certificar el adecuado, oportuno y rápido funcionamiento del sistema.</w:t>
            </w:r>
          </w:p>
        </w:tc>
        <w:tc>
          <w:tcPr>
            <w:tcW w:w="1480" w:type="dxa"/>
            <w:tcBorders>
              <w:top w:val="nil"/>
              <w:left w:val="nil"/>
              <w:bottom w:val="single" w:sz="4" w:space="0" w:color="000000"/>
              <w:right w:val="single" w:sz="4" w:space="0" w:color="000000"/>
            </w:tcBorders>
            <w:shd w:val="clear" w:color="000000" w:fill="FFFFFF"/>
            <w:hideMark/>
          </w:tcPr>
          <w:p w14:paraId="7C995C6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B03651F" w14:textId="77777777" w:rsidTr="00222F34">
        <w:trPr>
          <w:trHeight w:val="2700"/>
        </w:trPr>
        <w:tc>
          <w:tcPr>
            <w:tcW w:w="3798" w:type="dxa"/>
            <w:tcBorders>
              <w:top w:val="nil"/>
              <w:left w:val="single" w:sz="4" w:space="0" w:color="000000"/>
              <w:bottom w:val="nil"/>
              <w:right w:val="single" w:sz="4" w:space="0" w:color="000000"/>
            </w:tcBorders>
            <w:shd w:val="clear" w:color="000000" w:fill="FFFFFF"/>
            <w:hideMark/>
          </w:tcPr>
          <w:p w14:paraId="6C2354E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257.- Acceso al software de consolidación de escrutinios.</w:t>
            </w:r>
            <w:r w:rsidRPr="00222F34">
              <w:rPr>
                <w:rFonts w:ascii="Calibri" w:eastAsia="Times New Roman" w:hAnsi="Calibri" w:cs="Calibri"/>
                <w:color w:val="000000"/>
                <w:lang w:val="es-CO" w:eastAsia="es-CO" w:bidi="ar-SA"/>
              </w:rPr>
              <w:t xml:space="preserve"> 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y el registrador Nacional del Estado Civil o su delegado, deberán realizar los cambios correspondientes. Para ello, ingresarán con identificación biométrica y claves simultáneas que, deberán estar conforme a los estándares de seguridad digital vigentes.  </w:t>
            </w:r>
          </w:p>
        </w:tc>
        <w:tc>
          <w:tcPr>
            <w:tcW w:w="3798" w:type="dxa"/>
            <w:tcBorders>
              <w:top w:val="nil"/>
              <w:left w:val="nil"/>
              <w:bottom w:val="nil"/>
              <w:right w:val="single" w:sz="4" w:space="0" w:color="000000"/>
            </w:tcBorders>
            <w:shd w:val="clear" w:color="00FFFF" w:fill="FFFFFF"/>
            <w:hideMark/>
          </w:tcPr>
          <w:p w14:paraId="227DAC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261.- Acceso y seguridad del software de consolidación de escrutinios. </w:t>
            </w:r>
            <w:r w:rsidRPr="00222F34">
              <w:rPr>
                <w:rFonts w:ascii="Calibri" w:eastAsia="Times New Roman" w:hAnsi="Calibri" w:cs="Calibri"/>
                <w:color w:val="000000"/>
                <w:lang w:val="es-CO" w:eastAsia="es-CO" w:bidi="ar-SA"/>
              </w:rPr>
              <w:t xml:space="preserve">Para garantizar la integridad del proceso electoral y prevenir manipulaciones, se establecen las siguientes medidas de seguridad para el software de consolidación de escrutinios: </w:t>
            </w:r>
            <w:r w:rsidRPr="00222F34">
              <w:rPr>
                <w:rFonts w:ascii="Calibri" w:eastAsia="Times New Roman" w:hAnsi="Calibri" w:cs="Calibri"/>
                <w:color w:val="000000"/>
                <w:lang w:val="es-CO" w:eastAsia="es-CO" w:bidi="ar-SA"/>
              </w:rPr>
              <w:br/>
              <w:t>a) El software deberá ser auditado previa, durante y posteriormente al certamen electoral por las delegaciones de auditoría de los partidos, movimientos políticos, grupos significativos de ciudadanos y demás organizaciones debidamente acreditadas.</w:t>
            </w:r>
            <w:r w:rsidRPr="00222F34">
              <w:rPr>
                <w:rFonts w:ascii="Calibri" w:eastAsia="Times New Roman" w:hAnsi="Calibri" w:cs="Calibri"/>
                <w:color w:val="000000"/>
                <w:lang w:val="es-CO" w:eastAsia="es-CO" w:bidi="ar-SA"/>
              </w:rPr>
              <w:br/>
              <w:t>Una vez aceptadas o aprobadas las correcciones, reclamaciones y saneamientos de nulidad sobre el escrutinio, los magistrados del Consejo Nacional Electoral realizarán los cambios correspondientes en el sistema.</w:t>
            </w:r>
          </w:p>
        </w:tc>
        <w:tc>
          <w:tcPr>
            <w:tcW w:w="3798" w:type="dxa"/>
            <w:tcBorders>
              <w:top w:val="nil"/>
              <w:left w:val="nil"/>
              <w:bottom w:val="nil"/>
              <w:right w:val="single" w:sz="4" w:space="0" w:color="000000"/>
            </w:tcBorders>
            <w:shd w:val="clear" w:color="00FFFF" w:fill="FFFFFF"/>
            <w:hideMark/>
          </w:tcPr>
          <w:p w14:paraId="4A55C1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261.- Acceso al software de consolidación de escrutinios. </w:t>
            </w:r>
            <w:r w:rsidRPr="00222F34">
              <w:rPr>
                <w:rFonts w:ascii="Calibri" w:eastAsia="Times New Roman" w:hAnsi="Calibri" w:cs="Calibri"/>
                <w:color w:val="000000"/>
                <w:lang w:val="es-CO" w:eastAsia="es-CO" w:bidi="ar-SA"/>
              </w:rPr>
              <w:t>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el Registrador Nacional del Estado Civil o su delegado, deberán realizar los cambios correspondientes. Para ello, ingresarán con identificación biométrica y claves simultáneas que</w:t>
            </w:r>
            <w:r w:rsidRPr="00222F34">
              <w:rPr>
                <w:rFonts w:ascii="Calibri" w:eastAsia="Times New Roman" w:hAnsi="Calibri" w:cs="Calibri"/>
                <w:b/>
                <w:bCs/>
                <w:strike/>
                <w:color w:val="000000"/>
                <w:lang w:val="es-CO" w:eastAsia="es-CO" w:bidi="ar-SA"/>
              </w:rPr>
              <w:t>,</w:t>
            </w:r>
            <w:r w:rsidRPr="00222F34">
              <w:rPr>
                <w:rFonts w:ascii="Calibri" w:eastAsia="Times New Roman" w:hAnsi="Calibri" w:cs="Calibri"/>
                <w:color w:val="000000"/>
                <w:lang w:val="es-CO" w:eastAsia="es-CO" w:bidi="ar-SA"/>
              </w:rPr>
              <w:t xml:space="preserve"> deberán estar conforme a los estándares de seguridad digital vigentes.</w:t>
            </w:r>
          </w:p>
        </w:tc>
        <w:tc>
          <w:tcPr>
            <w:tcW w:w="1480" w:type="dxa"/>
            <w:tcBorders>
              <w:top w:val="nil"/>
              <w:left w:val="nil"/>
              <w:bottom w:val="nil"/>
              <w:right w:val="single" w:sz="4" w:space="0" w:color="000000"/>
            </w:tcBorders>
            <w:shd w:val="clear" w:color="000000" w:fill="FFFFFF"/>
            <w:hideMark/>
          </w:tcPr>
          <w:p w14:paraId="56F90A0C" w14:textId="270B793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r w:rsidRPr="00222F34">
              <w:rPr>
                <w:rFonts w:ascii="Calibri" w:eastAsia="Times New Roman" w:hAnsi="Calibri" w:cs="Calibri"/>
                <w:color w:val="000000"/>
                <w:lang w:val="es-CO" w:eastAsia="es-CO" w:bidi="ar-SA"/>
              </w:rPr>
              <w:t xml:space="preserve"> con ajuste de redacción en el primer inciso y se acoge el parágrafo 2 de la Cámara.</w:t>
            </w:r>
          </w:p>
        </w:tc>
      </w:tr>
      <w:tr w:rsidR="00CD4925" w:rsidRPr="00222F34" w14:paraId="4846221B" w14:textId="77777777" w:rsidTr="00222F34">
        <w:trPr>
          <w:trHeight w:val="3600"/>
        </w:trPr>
        <w:tc>
          <w:tcPr>
            <w:tcW w:w="3798" w:type="dxa"/>
            <w:tcBorders>
              <w:top w:val="nil"/>
              <w:left w:val="single" w:sz="4" w:space="0" w:color="000000"/>
              <w:bottom w:val="nil"/>
              <w:right w:val="single" w:sz="4" w:space="0" w:color="000000"/>
            </w:tcBorders>
            <w:shd w:val="clear" w:color="000000" w:fill="FFFFFF"/>
            <w:hideMark/>
          </w:tcPr>
          <w:p w14:paraId="3C4B2C4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Una vez adelantado cualquier tipo de cambio en el software de escrutinio; esta deberá ser aceptada por cada uno de los usuarios anteriormente señalados dentro de la plataforma. </w:t>
            </w:r>
          </w:p>
        </w:tc>
        <w:tc>
          <w:tcPr>
            <w:tcW w:w="3798" w:type="dxa"/>
            <w:tcBorders>
              <w:top w:val="nil"/>
              <w:left w:val="nil"/>
              <w:bottom w:val="nil"/>
              <w:right w:val="single" w:sz="4" w:space="0" w:color="000000"/>
            </w:tcBorders>
            <w:shd w:val="clear" w:color="00FFFF" w:fill="FFFFFF"/>
            <w:hideMark/>
          </w:tcPr>
          <w:p w14:paraId="2AEE8D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Cualquier cambio realizado en el software de escrutinio; deberá ser registrado en un log que cumpla con las siguientes caracteristícas técnicas:</w:t>
            </w:r>
            <w:r w:rsidRPr="00222F34">
              <w:rPr>
                <w:rFonts w:ascii="Calibri" w:eastAsia="Times New Roman" w:hAnsi="Calibri" w:cs="Calibri"/>
                <w:color w:val="000000"/>
                <w:lang w:val="es-CO" w:eastAsia="es-CO" w:bidi="ar-SA"/>
              </w:rPr>
              <w:br/>
              <w:t>a) El log deberá contener información detallada sobre la modificación realizada, incluyendo la fecha, hora y descripción de la acción ejecutada.</w:t>
            </w:r>
            <w:r w:rsidRPr="00222F34">
              <w:rPr>
                <w:rFonts w:ascii="Calibri" w:eastAsia="Times New Roman" w:hAnsi="Calibri" w:cs="Calibri"/>
                <w:color w:val="000000"/>
                <w:lang w:val="es-CO" w:eastAsia="es-CO" w:bidi="ar-SA"/>
              </w:rPr>
              <w:br/>
              <w:t>b) El log deberá registrar el usuario o entidad responsable de la modificación, identificando de manera única a cada usuario o entidad.</w:t>
            </w:r>
            <w:r w:rsidRPr="00222F34">
              <w:rPr>
                <w:rFonts w:ascii="Calibri" w:eastAsia="Times New Roman" w:hAnsi="Calibri" w:cs="Calibri"/>
                <w:color w:val="000000"/>
                <w:lang w:val="es-CO" w:eastAsia="es-CO" w:bidi="ar-SA"/>
              </w:rPr>
              <w:br/>
              <w:t>c) El log deberá almacenarse de forma segura y estar protegido contra manipulaciones o borrados no autorizados.</w:t>
            </w:r>
            <w:r w:rsidRPr="00222F34">
              <w:rPr>
                <w:rFonts w:ascii="Calibri" w:eastAsia="Times New Roman" w:hAnsi="Calibri" w:cs="Calibri"/>
                <w:color w:val="000000"/>
                <w:lang w:val="es-CO" w:eastAsia="es-CO" w:bidi="ar-SA"/>
              </w:rPr>
              <w:br/>
              <w:t>d) El log deberá estar disponible para su revisión por parte de los auditores designados, los partidos políticos, movimientos políticos, grupos significativos de ciudadanos y otras organizaciones acreditadas durante y despúes del proceso electoral.</w:t>
            </w:r>
          </w:p>
        </w:tc>
        <w:tc>
          <w:tcPr>
            <w:tcW w:w="3798" w:type="dxa"/>
            <w:tcBorders>
              <w:top w:val="nil"/>
              <w:left w:val="nil"/>
              <w:bottom w:val="nil"/>
              <w:right w:val="single" w:sz="4" w:space="0" w:color="000000"/>
            </w:tcBorders>
            <w:shd w:val="clear" w:color="00FFFF" w:fill="FFFFFF"/>
            <w:hideMark/>
          </w:tcPr>
          <w:p w14:paraId="1CBF6A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adelantado cualquier tipo de cambio en el software de escrutinio; esta deberá ser aceptada por cada uno de los usuarios anteriormente señalados dentro de la plataforma.</w:t>
            </w:r>
          </w:p>
        </w:tc>
        <w:tc>
          <w:tcPr>
            <w:tcW w:w="1480" w:type="dxa"/>
            <w:tcBorders>
              <w:top w:val="nil"/>
              <w:left w:val="nil"/>
              <w:bottom w:val="nil"/>
              <w:right w:val="single" w:sz="4" w:space="0" w:color="000000"/>
            </w:tcBorders>
            <w:shd w:val="clear" w:color="000000" w:fill="FFFFFF"/>
            <w:hideMark/>
          </w:tcPr>
          <w:p w14:paraId="767381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D388521" w14:textId="77777777" w:rsidTr="00222F34">
        <w:trPr>
          <w:trHeight w:val="660"/>
        </w:trPr>
        <w:tc>
          <w:tcPr>
            <w:tcW w:w="3798" w:type="dxa"/>
            <w:tcBorders>
              <w:top w:val="nil"/>
              <w:left w:val="single" w:sz="4" w:space="0" w:color="000000"/>
              <w:bottom w:val="nil"/>
              <w:right w:val="single" w:sz="4" w:space="0" w:color="000000"/>
            </w:tcBorders>
            <w:shd w:val="clear" w:color="000000" w:fill="FFFFFF"/>
            <w:hideMark/>
          </w:tcPr>
          <w:p w14:paraId="459740D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todas las modificaciones u operaciones deberá existir un log que identifique usuario, acción, operación y ubicación. </w:t>
            </w:r>
          </w:p>
        </w:tc>
        <w:tc>
          <w:tcPr>
            <w:tcW w:w="3798" w:type="dxa"/>
            <w:tcBorders>
              <w:top w:val="nil"/>
              <w:left w:val="nil"/>
              <w:bottom w:val="nil"/>
              <w:right w:val="single" w:sz="4" w:space="0" w:color="000000"/>
            </w:tcBorders>
            <w:shd w:val="clear" w:color="00FFFF" w:fill="FFFFFF"/>
            <w:hideMark/>
          </w:tcPr>
          <w:p w14:paraId="569F92E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Todas las modificaciones u operaciones realizadas en el software deberán ser registradas en el log de acuerdo con las características técnicas mencionadas anteriormente.</w:t>
            </w:r>
          </w:p>
        </w:tc>
        <w:tc>
          <w:tcPr>
            <w:tcW w:w="3798" w:type="dxa"/>
            <w:tcBorders>
              <w:top w:val="nil"/>
              <w:left w:val="nil"/>
              <w:bottom w:val="nil"/>
              <w:right w:val="single" w:sz="4" w:space="0" w:color="000000"/>
            </w:tcBorders>
            <w:shd w:val="clear" w:color="00FFFF" w:fill="FFFFFF"/>
            <w:hideMark/>
          </w:tcPr>
          <w:p w14:paraId="42D3B2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todas las modificaciones u operaciones deberá existir un log que identifique usuario, acción, operación y ubicación.</w:t>
            </w:r>
          </w:p>
        </w:tc>
        <w:tc>
          <w:tcPr>
            <w:tcW w:w="1480" w:type="dxa"/>
            <w:tcBorders>
              <w:top w:val="nil"/>
              <w:left w:val="nil"/>
              <w:bottom w:val="nil"/>
              <w:right w:val="single" w:sz="4" w:space="0" w:color="000000"/>
            </w:tcBorders>
            <w:shd w:val="clear" w:color="000000" w:fill="FFFFFF"/>
            <w:hideMark/>
          </w:tcPr>
          <w:p w14:paraId="4E722D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321C057"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FFC000" w:fill="FFFFFF"/>
            <w:hideMark/>
          </w:tcPr>
          <w:p w14:paraId="4C57F83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w:t>
            </w:r>
          </w:p>
        </w:tc>
        <w:tc>
          <w:tcPr>
            <w:tcW w:w="3798" w:type="dxa"/>
            <w:tcBorders>
              <w:top w:val="nil"/>
              <w:left w:val="nil"/>
              <w:bottom w:val="single" w:sz="4" w:space="0" w:color="000000"/>
              <w:right w:val="single" w:sz="4" w:space="0" w:color="000000"/>
            </w:tcBorders>
            <w:shd w:val="clear" w:color="00FFFF" w:fill="FFFFFF"/>
            <w:hideMark/>
          </w:tcPr>
          <w:p w14:paraId="65D921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Una vez realizada la modificación de que trata este artículo, por parte de los Magistrados del Consejo Nacional Electoral en el software de consolidación de escrutinios, se emitirán las copias físicas a que hubiere lugar con el fin, de que el Registrador Nacional del Estado Civil como Secretario Técnico de la Comisión Escrutadora de fe pública de su modificación.</w:t>
            </w:r>
          </w:p>
        </w:tc>
        <w:tc>
          <w:tcPr>
            <w:tcW w:w="3798" w:type="dxa"/>
            <w:tcBorders>
              <w:top w:val="nil"/>
              <w:left w:val="nil"/>
              <w:bottom w:val="single" w:sz="4" w:space="0" w:color="000000"/>
              <w:right w:val="single" w:sz="4" w:space="0" w:color="000000"/>
            </w:tcBorders>
            <w:shd w:val="clear" w:color="00FFFF" w:fill="FFFFFF"/>
            <w:hideMark/>
          </w:tcPr>
          <w:p w14:paraId="55F76E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Una vez realizada la modificación de que trata este artículo, por parte de los Magistrados del Consejo Nacional Electoral en el software de consolidación de escrutinios, se emitirán las copias físicas a que hubiere lugar con el fin, de que el Registrador Nacional del Estado Civil como Secretario Técnico de la Comisión Escrutadora de fe pública de su modificación.</w:t>
            </w:r>
          </w:p>
        </w:tc>
        <w:tc>
          <w:tcPr>
            <w:tcW w:w="1480" w:type="dxa"/>
            <w:tcBorders>
              <w:top w:val="nil"/>
              <w:left w:val="nil"/>
              <w:bottom w:val="single" w:sz="4" w:space="0" w:color="000000"/>
              <w:right w:val="single" w:sz="4" w:space="0" w:color="000000"/>
            </w:tcBorders>
            <w:shd w:val="clear" w:color="000000" w:fill="FFFFFF"/>
            <w:hideMark/>
          </w:tcPr>
          <w:p w14:paraId="106238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784B3B7"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0DC8805"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258.- Uso de medios tecnológicos por parte de las organizaciones políticas.</w:t>
            </w:r>
            <w:r w:rsidRPr="00222F34">
              <w:rPr>
                <w:rFonts w:ascii="Calibri" w:eastAsia="Times New Roman" w:hAnsi="Calibri" w:cs="Calibri"/>
                <w:color w:val="000000"/>
                <w:lang w:val="es-CO" w:eastAsia="es-CO" w:bidi="ar-SA"/>
              </w:rPr>
              <w:t xml:space="preserve"> 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 </w:t>
            </w:r>
          </w:p>
        </w:tc>
        <w:tc>
          <w:tcPr>
            <w:tcW w:w="3798" w:type="dxa"/>
            <w:tcBorders>
              <w:top w:val="nil"/>
              <w:left w:val="nil"/>
              <w:bottom w:val="single" w:sz="4" w:space="0" w:color="000000"/>
              <w:right w:val="single" w:sz="4" w:space="0" w:color="000000"/>
            </w:tcBorders>
            <w:shd w:val="clear" w:color="000000" w:fill="FFFFFF"/>
            <w:hideMark/>
          </w:tcPr>
          <w:p w14:paraId="075B0D6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262.- Uso de medios tecnológicos por parte de las organizaciones políticas. </w:t>
            </w:r>
            <w:r w:rsidRPr="00222F34">
              <w:rPr>
                <w:rFonts w:ascii="Calibri" w:eastAsia="Times New Roman" w:hAnsi="Calibri" w:cs="Calibri"/>
                <w:color w:val="000000"/>
                <w:lang w:val="es-CO" w:eastAsia="es-CO" w:bidi="ar-SA"/>
              </w:rPr>
              <w:t>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p>
        </w:tc>
        <w:tc>
          <w:tcPr>
            <w:tcW w:w="3798" w:type="dxa"/>
            <w:tcBorders>
              <w:top w:val="nil"/>
              <w:left w:val="nil"/>
              <w:bottom w:val="single" w:sz="4" w:space="0" w:color="000000"/>
              <w:right w:val="single" w:sz="4" w:space="0" w:color="000000"/>
            </w:tcBorders>
            <w:shd w:val="clear" w:color="000000" w:fill="FFFFFF"/>
            <w:hideMark/>
          </w:tcPr>
          <w:p w14:paraId="4B1EA76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262.- Uso de medios tecnológicos por parte de las organizaciones políticas. </w:t>
            </w:r>
            <w:r w:rsidRPr="00222F34">
              <w:rPr>
                <w:rFonts w:ascii="Calibri" w:eastAsia="Times New Roman" w:hAnsi="Calibri" w:cs="Calibri"/>
                <w:color w:val="000000"/>
                <w:lang w:val="es-CO" w:eastAsia="es-CO" w:bidi="ar-SA"/>
              </w:rPr>
              <w:t>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p>
        </w:tc>
        <w:tc>
          <w:tcPr>
            <w:tcW w:w="1480" w:type="dxa"/>
            <w:tcBorders>
              <w:top w:val="nil"/>
              <w:left w:val="nil"/>
              <w:bottom w:val="single" w:sz="4" w:space="0" w:color="000000"/>
              <w:right w:val="single" w:sz="4" w:space="0" w:color="000000"/>
            </w:tcBorders>
            <w:shd w:val="clear" w:color="000000" w:fill="FFFFFF"/>
            <w:hideMark/>
          </w:tcPr>
          <w:p w14:paraId="7208D29D" w14:textId="25BD54F7"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AAE54DC"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18EF55D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259.- Implementación.</w:t>
            </w:r>
            <w:r w:rsidRPr="00222F34">
              <w:rPr>
                <w:rFonts w:ascii="Calibri" w:eastAsia="Times New Roman" w:hAnsi="Calibri" w:cs="Calibri"/>
                <w:color w:val="000000"/>
                <w:lang w:val="es-CO" w:eastAsia="es-CO" w:bidi="ar-SA"/>
              </w:rPr>
              <w:t xml:space="preserve"> Cada Proyecto de ley anual de Presupuesto General de la Nación que se presente al Congreso de la República podrá contener apropiaciones para el cumplimiento de esta Ley, las cuales estarán sujetas a las disponibilidades </w:t>
            </w:r>
            <w:r w:rsidRPr="00222F34">
              <w:rPr>
                <w:rFonts w:ascii="Calibri" w:eastAsia="Times New Roman" w:hAnsi="Calibri" w:cs="Calibri"/>
                <w:color w:val="000000"/>
                <w:lang w:val="es-CO" w:eastAsia="es-CO" w:bidi="ar-SA"/>
              </w:rPr>
              <w:lastRenderedPageBreak/>
              <w:t xml:space="preserve">fiscales y al Marco de Gasto de Mediano Plazo.  </w:t>
            </w:r>
          </w:p>
        </w:tc>
        <w:tc>
          <w:tcPr>
            <w:tcW w:w="3798" w:type="dxa"/>
            <w:tcBorders>
              <w:top w:val="nil"/>
              <w:left w:val="nil"/>
              <w:bottom w:val="single" w:sz="4" w:space="0" w:color="000000"/>
              <w:right w:val="single" w:sz="4" w:space="0" w:color="000000"/>
            </w:tcBorders>
            <w:shd w:val="clear" w:color="00FF00" w:fill="FFFFFF"/>
            <w:hideMark/>
          </w:tcPr>
          <w:p w14:paraId="30BDC5B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263.- Implementación.</w:t>
            </w:r>
            <w:r w:rsidRPr="00222F34">
              <w:rPr>
                <w:rFonts w:ascii="Calibri" w:eastAsia="Times New Roman" w:hAnsi="Calibri" w:cs="Calibri"/>
                <w:color w:val="000000"/>
                <w:lang w:val="es-CO" w:eastAsia="es-CO" w:bidi="ar-SA"/>
              </w:rPr>
              <w:t xml:space="preserve"> Cada Proyecto de ley anual de Presupuesto General de la Nación que se presente al Congreso de la República podrá contener apropiaciones para el cumplimiento de esta Ley, las cuales estarán sujetas a las disponibilidades </w:t>
            </w:r>
            <w:r w:rsidRPr="00222F34">
              <w:rPr>
                <w:rFonts w:ascii="Calibri" w:eastAsia="Times New Roman" w:hAnsi="Calibri" w:cs="Calibri"/>
                <w:color w:val="000000"/>
                <w:lang w:val="es-CO" w:eastAsia="es-CO" w:bidi="ar-SA"/>
              </w:rPr>
              <w:lastRenderedPageBreak/>
              <w:t>fiscales y al Marco de Gasto de Mediano Plazo y se incorporarán progresivamente conforme a las restricciones en las proyecciones de gasto del sector Registraduría Nacional del Estado Civil.</w:t>
            </w:r>
          </w:p>
        </w:tc>
        <w:tc>
          <w:tcPr>
            <w:tcW w:w="3798" w:type="dxa"/>
            <w:tcBorders>
              <w:top w:val="nil"/>
              <w:left w:val="nil"/>
              <w:bottom w:val="single" w:sz="4" w:space="0" w:color="000000"/>
              <w:right w:val="single" w:sz="4" w:space="0" w:color="000000"/>
            </w:tcBorders>
            <w:shd w:val="clear" w:color="00FF00" w:fill="FFFFFF"/>
            <w:hideMark/>
          </w:tcPr>
          <w:p w14:paraId="7B56F3C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263.- Implementación.</w:t>
            </w:r>
            <w:r w:rsidRPr="00222F34">
              <w:rPr>
                <w:rFonts w:ascii="Calibri" w:eastAsia="Times New Roman" w:hAnsi="Calibri" w:cs="Calibri"/>
                <w:color w:val="000000"/>
                <w:lang w:val="es-CO" w:eastAsia="es-CO" w:bidi="ar-SA"/>
              </w:rPr>
              <w:t xml:space="preserve"> Cada Proyecto de ley anual de Presupuesto General de la Nación que se presente al Congreso de la República podrá contener apropiaciones para el cumplimiento de esta Ley, las cuales estarán sujetas a las disponibilidades </w:t>
            </w:r>
            <w:r w:rsidRPr="00222F34">
              <w:rPr>
                <w:rFonts w:ascii="Calibri" w:eastAsia="Times New Roman" w:hAnsi="Calibri" w:cs="Calibri"/>
                <w:color w:val="000000"/>
                <w:lang w:val="es-CO" w:eastAsia="es-CO" w:bidi="ar-SA"/>
              </w:rPr>
              <w:lastRenderedPageBreak/>
              <w:t>fiscales y al Marco de Gasto de Mediano Plazo y se incorporarán progresivamente conforme a las restricciones en las proyecciones de gasto del sector Registraduría Nacional del Estado Civil.</w:t>
            </w:r>
          </w:p>
        </w:tc>
        <w:tc>
          <w:tcPr>
            <w:tcW w:w="1480" w:type="dxa"/>
            <w:tcBorders>
              <w:top w:val="nil"/>
              <w:left w:val="nil"/>
              <w:bottom w:val="single" w:sz="4" w:space="0" w:color="000000"/>
              <w:right w:val="single" w:sz="4" w:space="0" w:color="000000"/>
            </w:tcBorders>
            <w:shd w:val="clear" w:color="000000" w:fill="FFFFFF"/>
            <w:hideMark/>
          </w:tcPr>
          <w:p w14:paraId="51D38551" w14:textId="371DD463"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p>
        </w:tc>
      </w:tr>
      <w:tr w:rsidR="00CD4925" w:rsidRPr="00222F34" w14:paraId="0B9359CE"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4CFA4CFE"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260. Comité de seguimiento y vigilancia electrónica del proceso electoral.</w:t>
            </w:r>
            <w:r w:rsidRPr="00222F34">
              <w:rPr>
                <w:rFonts w:ascii="Calibri" w:eastAsia="Times New Roman" w:hAnsi="Calibri" w:cs="Calibri"/>
                <w:color w:val="000000"/>
                <w:lang w:val="es-CO" w:eastAsia="es-CO" w:bidi="ar-SA"/>
              </w:rPr>
              <w:t xml:space="preserve"> Créese el Comité de Seguimiento y Vigilancia Electrónica del Proceso Electoral para que realice el seguimiento y vigilancia electrónica del software establecido para el proceso electoral que estará conformado por: </w:t>
            </w:r>
          </w:p>
        </w:tc>
        <w:tc>
          <w:tcPr>
            <w:tcW w:w="3798" w:type="dxa"/>
            <w:tcBorders>
              <w:top w:val="nil"/>
              <w:left w:val="nil"/>
              <w:bottom w:val="nil"/>
              <w:right w:val="single" w:sz="4" w:space="0" w:color="000000"/>
            </w:tcBorders>
            <w:shd w:val="clear" w:color="000000" w:fill="FFFFFF"/>
            <w:hideMark/>
          </w:tcPr>
          <w:p w14:paraId="39689AA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264. Comité de seguimiento y vigilancia electrónica del proceso electoral. </w:t>
            </w:r>
            <w:r w:rsidRPr="00222F34">
              <w:rPr>
                <w:rFonts w:ascii="Calibri" w:eastAsia="Times New Roman" w:hAnsi="Calibri" w:cs="Calibri"/>
                <w:color w:val="000000"/>
                <w:lang w:val="es-CO" w:eastAsia="es-CO" w:bidi="ar-SA"/>
              </w:rPr>
              <w:t>Créese el Comité de Seguimiento y Vigilancia Electrónica del Proceso Electoral para que realice el seguimiento y vigilancia electrónica del software establecido para el proceso electoral que estará conformado por:</w:t>
            </w:r>
          </w:p>
        </w:tc>
        <w:tc>
          <w:tcPr>
            <w:tcW w:w="3798" w:type="dxa"/>
            <w:tcBorders>
              <w:top w:val="nil"/>
              <w:left w:val="nil"/>
              <w:bottom w:val="nil"/>
              <w:right w:val="single" w:sz="4" w:space="0" w:color="000000"/>
            </w:tcBorders>
            <w:shd w:val="clear" w:color="000000" w:fill="FFFFFF"/>
            <w:hideMark/>
          </w:tcPr>
          <w:p w14:paraId="7D0174C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264. Comité de seguimiento y vigilancia electrónica del proceso electoral. </w:t>
            </w:r>
            <w:r w:rsidRPr="00222F34">
              <w:rPr>
                <w:rFonts w:ascii="Calibri" w:eastAsia="Times New Roman" w:hAnsi="Calibri" w:cs="Calibri"/>
                <w:color w:val="000000"/>
                <w:lang w:val="es-CO" w:eastAsia="es-CO" w:bidi="ar-SA"/>
              </w:rPr>
              <w:t>Créese el Comité de Seguimiento y Vigilancia Electrónica del Proceso Electoral para que realice el seguimiento y vigilancia electrónica del software establecido para el proceso electoral que estará conformado por:</w:t>
            </w:r>
          </w:p>
        </w:tc>
        <w:tc>
          <w:tcPr>
            <w:tcW w:w="1480" w:type="dxa"/>
            <w:tcBorders>
              <w:top w:val="nil"/>
              <w:left w:val="nil"/>
              <w:bottom w:val="nil"/>
              <w:right w:val="single" w:sz="4" w:space="0" w:color="000000"/>
            </w:tcBorders>
            <w:shd w:val="clear" w:color="000000" w:fill="FFFFFF"/>
            <w:hideMark/>
          </w:tcPr>
          <w:p w14:paraId="3BE998B0" w14:textId="72F066CD"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8D8CC2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EE8DA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Un (1) delegado de cada uno de los Partidos o Movimientos Políticos con personería jurídica. </w:t>
            </w:r>
          </w:p>
        </w:tc>
        <w:tc>
          <w:tcPr>
            <w:tcW w:w="3798" w:type="dxa"/>
            <w:tcBorders>
              <w:top w:val="nil"/>
              <w:left w:val="nil"/>
              <w:bottom w:val="nil"/>
              <w:right w:val="single" w:sz="4" w:space="0" w:color="000000"/>
            </w:tcBorders>
            <w:shd w:val="clear" w:color="000000" w:fill="FFFFFF"/>
            <w:hideMark/>
          </w:tcPr>
          <w:p w14:paraId="360D701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Un (1) delegado de cada uno de los Partidos o Movimientos Políticos con personería jurídica.</w:t>
            </w:r>
          </w:p>
        </w:tc>
        <w:tc>
          <w:tcPr>
            <w:tcW w:w="3798" w:type="dxa"/>
            <w:tcBorders>
              <w:top w:val="nil"/>
              <w:left w:val="nil"/>
              <w:bottom w:val="nil"/>
              <w:right w:val="single" w:sz="4" w:space="0" w:color="000000"/>
            </w:tcBorders>
            <w:shd w:val="clear" w:color="000000" w:fill="FFFFFF"/>
            <w:hideMark/>
          </w:tcPr>
          <w:p w14:paraId="3C92AB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Un (1) delegado de cada uno de los Partidos o Movimientos Políticos con personería jurídica.</w:t>
            </w:r>
          </w:p>
        </w:tc>
        <w:tc>
          <w:tcPr>
            <w:tcW w:w="1480" w:type="dxa"/>
            <w:tcBorders>
              <w:top w:val="nil"/>
              <w:left w:val="nil"/>
              <w:bottom w:val="nil"/>
              <w:right w:val="single" w:sz="4" w:space="0" w:color="000000"/>
            </w:tcBorders>
            <w:shd w:val="clear" w:color="000000" w:fill="FFFFFF"/>
            <w:hideMark/>
          </w:tcPr>
          <w:p w14:paraId="61CE0D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015987E"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701DA34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Un (1) miembro de Asociaciones Civiles que manejen temas de Seguridad Informática; escogido entre ellas.  </w:t>
            </w:r>
          </w:p>
        </w:tc>
        <w:tc>
          <w:tcPr>
            <w:tcW w:w="3798" w:type="dxa"/>
            <w:tcBorders>
              <w:top w:val="nil"/>
              <w:left w:val="nil"/>
              <w:bottom w:val="nil"/>
              <w:right w:val="single" w:sz="4" w:space="0" w:color="000000"/>
            </w:tcBorders>
            <w:shd w:val="clear" w:color="000000" w:fill="FFFFFF"/>
            <w:hideMark/>
          </w:tcPr>
          <w:p w14:paraId="3C0CC45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Un (1) miembro de Asociaciones Civiles que manejen temas de Seguridad Informática; escogido entre ellas.</w:t>
            </w:r>
          </w:p>
        </w:tc>
        <w:tc>
          <w:tcPr>
            <w:tcW w:w="3798" w:type="dxa"/>
            <w:tcBorders>
              <w:top w:val="nil"/>
              <w:left w:val="nil"/>
              <w:bottom w:val="nil"/>
              <w:right w:val="single" w:sz="4" w:space="0" w:color="000000"/>
            </w:tcBorders>
            <w:shd w:val="clear" w:color="000000" w:fill="FFFFFF"/>
            <w:hideMark/>
          </w:tcPr>
          <w:p w14:paraId="50D4FB4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Un (1) miembro de Asociaciones Civiles que manejen temas de Seguridad Informática; escogido entre ellas.</w:t>
            </w:r>
          </w:p>
        </w:tc>
        <w:tc>
          <w:tcPr>
            <w:tcW w:w="1480" w:type="dxa"/>
            <w:tcBorders>
              <w:top w:val="nil"/>
              <w:left w:val="nil"/>
              <w:bottom w:val="nil"/>
              <w:right w:val="single" w:sz="4" w:space="0" w:color="000000"/>
            </w:tcBorders>
            <w:shd w:val="clear" w:color="000000" w:fill="FFFFFF"/>
            <w:hideMark/>
          </w:tcPr>
          <w:p w14:paraId="15B872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9A70C69"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787F4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Un (1) representante de las Universidades que cuente con programas acreditados de Ingeniería de Sistemas y de especializaciones en seguridad informática.  </w:t>
            </w:r>
          </w:p>
        </w:tc>
        <w:tc>
          <w:tcPr>
            <w:tcW w:w="3798" w:type="dxa"/>
            <w:tcBorders>
              <w:top w:val="nil"/>
              <w:left w:val="nil"/>
              <w:bottom w:val="nil"/>
              <w:right w:val="single" w:sz="4" w:space="0" w:color="000000"/>
            </w:tcBorders>
            <w:shd w:val="clear" w:color="000000" w:fill="FFFFFF"/>
            <w:hideMark/>
          </w:tcPr>
          <w:p w14:paraId="75BEFE0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Un (1) representante de las Universidades que cuente con programas acreditados de Ingeniería de Sistemas y de especializaciones en seguridad informática.</w:t>
            </w:r>
          </w:p>
        </w:tc>
        <w:tc>
          <w:tcPr>
            <w:tcW w:w="3798" w:type="dxa"/>
            <w:tcBorders>
              <w:top w:val="nil"/>
              <w:left w:val="nil"/>
              <w:bottom w:val="nil"/>
              <w:right w:val="single" w:sz="4" w:space="0" w:color="000000"/>
            </w:tcBorders>
            <w:shd w:val="clear" w:color="000000" w:fill="FFFFFF"/>
            <w:hideMark/>
          </w:tcPr>
          <w:p w14:paraId="3B241CB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Un (1) representante de las Universidades que cuente con programas acreditados de Ingeniería de Sistemas y de especializaciones en seguridad informática.</w:t>
            </w:r>
          </w:p>
        </w:tc>
        <w:tc>
          <w:tcPr>
            <w:tcW w:w="1480" w:type="dxa"/>
            <w:tcBorders>
              <w:top w:val="nil"/>
              <w:left w:val="nil"/>
              <w:bottom w:val="nil"/>
              <w:right w:val="single" w:sz="4" w:space="0" w:color="000000"/>
            </w:tcBorders>
            <w:shd w:val="clear" w:color="000000" w:fill="FFFFFF"/>
            <w:hideMark/>
          </w:tcPr>
          <w:p w14:paraId="736EB8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F856D44"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18940312"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delegados que determinen los partidos deberán ser Ingenieros de Sistemas con formación en seguridad informática. </w:t>
            </w:r>
          </w:p>
        </w:tc>
        <w:tc>
          <w:tcPr>
            <w:tcW w:w="3798" w:type="dxa"/>
            <w:tcBorders>
              <w:top w:val="nil"/>
              <w:left w:val="nil"/>
              <w:bottom w:val="nil"/>
              <w:right w:val="single" w:sz="4" w:space="0" w:color="000000"/>
            </w:tcBorders>
            <w:shd w:val="clear" w:color="000000" w:fill="FFFFFF"/>
            <w:hideMark/>
          </w:tcPr>
          <w:p w14:paraId="014684D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delegados que determinen los partidos deberán ser Ingenieros de Sistemas con formación en seguridad informática.</w:t>
            </w:r>
          </w:p>
        </w:tc>
        <w:tc>
          <w:tcPr>
            <w:tcW w:w="3798" w:type="dxa"/>
            <w:tcBorders>
              <w:top w:val="nil"/>
              <w:left w:val="nil"/>
              <w:bottom w:val="nil"/>
              <w:right w:val="single" w:sz="4" w:space="0" w:color="000000"/>
            </w:tcBorders>
            <w:shd w:val="clear" w:color="000000" w:fill="FFFFFF"/>
            <w:hideMark/>
          </w:tcPr>
          <w:p w14:paraId="0961C6A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delegados que determinen los partidos deberán ser Ingenieros de Sistemas con formación en seguridad informática.</w:t>
            </w:r>
          </w:p>
        </w:tc>
        <w:tc>
          <w:tcPr>
            <w:tcW w:w="1480" w:type="dxa"/>
            <w:tcBorders>
              <w:top w:val="nil"/>
              <w:left w:val="nil"/>
              <w:bottom w:val="nil"/>
              <w:right w:val="single" w:sz="4" w:space="0" w:color="000000"/>
            </w:tcBorders>
            <w:shd w:val="clear" w:color="000000" w:fill="FFFFFF"/>
            <w:hideMark/>
          </w:tcPr>
          <w:p w14:paraId="070FADA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B3FB56F"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3CBDB5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desarrollo, implementación y administración del software será responsabilidad del Consejo Nacional Electoral. </w:t>
            </w:r>
          </w:p>
        </w:tc>
        <w:tc>
          <w:tcPr>
            <w:tcW w:w="3798" w:type="dxa"/>
            <w:tcBorders>
              <w:top w:val="nil"/>
              <w:left w:val="nil"/>
              <w:bottom w:val="nil"/>
              <w:right w:val="single" w:sz="4" w:space="0" w:color="000000"/>
            </w:tcBorders>
            <w:shd w:val="clear" w:color="000000" w:fill="FFFFFF"/>
            <w:hideMark/>
          </w:tcPr>
          <w:p w14:paraId="54E84E4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desarrollo, implementación y administración del software será responsabilidad del Consejo Nacional Electoral.</w:t>
            </w:r>
          </w:p>
        </w:tc>
        <w:tc>
          <w:tcPr>
            <w:tcW w:w="3798" w:type="dxa"/>
            <w:tcBorders>
              <w:top w:val="nil"/>
              <w:left w:val="nil"/>
              <w:bottom w:val="nil"/>
              <w:right w:val="single" w:sz="4" w:space="0" w:color="000000"/>
            </w:tcBorders>
            <w:shd w:val="clear" w:color="000000" w:fill="FFFFFF"/>
            <w:hideMark/>
          </w:tcPr>
          <w:p w14:paraId="6F10F4A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desarrollo, implementación y administración del software será responsabilidad del Consejo Nacional Electoral.</w:t>
            </w:r>
          </w:p>
        </w:tc>
        <w:tc>
          <w:tcPr>
            <w:tcW w:w="1480" w:type="dxa"/>
            <w:tcBorders>
              <w:top w:val="nil"/>
              <w:left w:val="nil"/>
              <w:bottom w:val="nil"/>
              <w:right w:val="single" w:sz="4" w:space="0" w:color="000000"/>
            </w:tcBorders>
            <w:shd w:val="clear" w:color="000000" w:fill="FFFFFF"/>
            <w:hideMark/>
          </w:tcPr>
          <w:p w14:paraId="7885ACB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1C1D640" w14:textId="77777777" w:rsidTr="00222F34">
        <w:trPr>
          <w:trHeight w:val="1500"/>
        </w:trPr>
        <w:tc>
          <w:tcPr>
            <w:tcW w:w="3798" w:type="dxa"/>
            <w:tcBorders>
              <w:top w:val="nil"/>
              <w:left w:val="single" w:sz="4" w:space="0" w:color="000000"/>
              <w:bottom w:val="single" w:sz="4" w:space="0" w:color="000000"/>
              <w:right w:val="single" w:sz="4" w:space="0" w:color="000000"/>
            </w:tcBorders>
            <w:shd w:val="clear" w:color="000000" w:fill="FFFFFF"/>
            <w:hideMark/>
          </w:tcPr>
          <w:p w14:paraId="16202BC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 xml:space="preserve">El Comité de Seguimiento y Vigilancia del Software deberá exigir que se hagan las pruebas pertinentes de funcionamiento de este, previo a la jornada electoral, realizando un informe de las fallas o sucesos extraordinarios que se presenten en la prueba, dejando una serie de recomendaciones y sugerencias de cambio y asegurándose que éstas se realicen antes de la jornada.   </w:t>
            </w:r>
          </w:p>
        </w:tc>
        <w:tc>
          <w:tcPr>
            <w:tcW w:w="3798" w:type="dxa"/>
            <w:tcBorders>
              <w:top w:val="nil"/>
              <w:left w:val="nil"/>
              <w:bottom w:val="single" w:sz="4" w:space="0" w:color="000000"/>
              <w:right w:val="single" w:sz="4" w:space="0" w:color="000000"/>
            </w:tcBorders>
            <w:shd w:val="clear" w:color="000000" w:fill="FFFFFF"/>
            <w:hideMark/>
          </w:tcPr>
          <w:p w14:paraId="6B3C63E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Comité de Seguimiento y Vigilancia del Software deberá exigir que se hagan las pruebas pertinentes de funcionamiento de este, previo a la jornada electoral, realizando un informe de las fallas o sucesos extraordinarios que se presenten en la prueba, dejando una serie de recomendaciones y sugerencias de cambio y asegurándose que éstas se realicen antes de la jornada.</w:t>
            </w:r>
          </w:p>
        </w:tc>
        <w:tc>
          <w:tcPr>
            <w:tcW w:w="3798" w:type="dxa"/>
            <w:tcBorders>
              <w:top w:val="nil"/>
              <w:left w:val="nil"/>
              <w:bottom w:val="single" w:sz="4" w:space="0" w:color="000000"/>
              <w:right w:val="single" w:sz="4" w:space="0" w:color="000000"/>
            </w:tcBorders>
            <w:shd w:val="clear" w:color="000000" w:fill="FFFFFF"/>
            <w:hideMark/>
          </w:tcPr>
          <w:p w14:paraId="06D29E3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Comité de Seguimiento y Vigilancia del Software deberá exigir que se hagan las pruebas pertinentes de funcionamiento de este, previo a la jornada electoral, realizando un informe de las fallas o sucesos extraordinarios que se presenten en la prueba, dejando una serie de recomendaciones y sugerencias de cambio y asegurándose que éstas se realicen antes de la jornada.</w:t>
            </w:r>
          </w:p>
        </w:tc>
        <w:tc>
          <w:tcPr>
            <w:tcW w:w="1480" w:type="dxa"/>
            <w:tcBorders>
              <w:top w:val="nil"/>
              <w:left w:val="nil"/>
              <w:bottom w:val="single" w:sz="4" w:space="0" w:color="000000"/>
              <w:right w:val="single" w:sz="4" w:space="0" w:color="000000"/>
            </w:tcBorders>
            <w:shd w:val="clear" w:color="000000" w:fill="FFFFFF"/>
            <w:hideMark/>
          </w:tcPr>
          <w:p w14:paraId="590C8E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765E940A"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1445347D"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261.- Implementación.</w:t>
            </w:r>
            <w:r w:rsidRPr="00222F34">
              <w:rPr>
                <w:rFonts w:ascii="Calibri" w:eastAsia="Times New Roman" w:hAnsi="Calibri" w:cs="Calibri"/>
                <w:color w:val="000000"/>
                <w:lang w:val="es-CO" w:eastAsia="es-CO" w:bidi="ar-SA"/>
              </w:rPr>
              <w:t xml:space="preserve"> La implementación de las disposiciones contenidas en el presente código, no podrán implicar la realización de despidos masivos, ni violaciones a derechos laborales de los trabajadores actuales de la Registraduría Nacional del Estado Civil. </w:t>
            </w:r>
          </w:p>
        </w:tc>
        <w:tc>
          <w:tcPr>
            <w:tcW w:w="3798" w:type="dxa"/>
            <w:tcBorders>
              <w:top w:val="nil"/>
              <w:left w:val="nil"/>
              <w:bottom w:val="single" w:sz="4" w:space="0" w:color="000000"/>
              <w:right w:val="single" w:sz="4" w:space="0" w:color="000000"/>
            </w:tcBorders>
            <w:shd w:val="clear" w:color="000000" w:fill="FFFFFF"/>
            <w:hideMark/>
          </w:tcPr>
          <w:p w14:paraId="3DFB4D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265.- Implementación</w:t>
            </w:r>
            <w:r w:rsidRPr="00222F34">
              <w:rPr>
                <w:rFonts w:ascii="Calibri" w:eastAsia="Times New Roman" w:hAnsi="Calibri" w:cs="Calibri"/>
                <w:color w:val="000000"/>
                <w:lang w:val="es-CO" w:eastAsia="es-CO" w:bidi="ar-SA"/>
              </w:rPr>
              <w:t>. La implementación de las disposiciones contenidas en el presente código, no podrán implicar la realización de despidos masivos, ni violaciones a derechos laborales de los trabajadores actuales de la Registraduría Nacional del Estado Civil.</w:t>
            </w:r>
          </w:p>
        </w:tc>
        <w:tc>
          <w:tcPr>
            <w:tcW w:w="3798" w:type="dxa"/>
            <w:tcBorders>
              <w:top w:val="nil"/>
              <w:left w:val="nil"/>
              <w:bottom w:val="single" w:sz="4" w:space="0" w:color="000000"/>
              <w:right w:val="single" w:sz="4" w:space="0" w:color="000000"/>
            </w:tcBorders>
            <w:shd w:val="clear" w:color="000000" w:fill="FFFFFF"/>
            <w:hideMark/>
          </w:tcPr>
          <w:p w14:paraId="6CE149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265.- Implementación</w:t>
            </w:r>
            <w:r w:rsidRPr="00222F34">
              <w:rPr>
                <w:rFonts w:ascii="Calibri" w:eastAsia="Times New Roman" w:hAnsi="Calibri" w:cs="Calibri"/>
                <w:color w:val="000000"/>
                <w:lang w:val="es-CO" w:eastAsia="es-CO" w:bidi="ar-SA"/>
              </w:rPr>
              <w:t>. La implementación de las disposiciones contenidas en el presente código, no podrán implicar la realización de despidos masivos, ni violaciones a derechos laborales de los trabajadores actuales de la Registraduría Nacional del Estado Civil.</w:t>
            </w:r>
          </w:p>
        </w:tc>
        <w:tc>
          <w:tcPr>
            <w:tcW w:w="1480" w:type="dxa"/>
            <w:tcBorders>
              <w:top w:val="nil"/>
              <w:left w:val="nil"/>
              <w:bottom w:val="single" w:sz="4" w:space="0" w:color="000000"/>
              <w:right w:val="single" w:sz="4" w:space="0" w:color="000000"/>
            </w:tcBorders>
            <w:shd w:val="clear" w:color="000000" w:fill="FFFFFF"/>
            <w:hideMark/>
          </w:tcPr>
          <w:p w14:paraId="19BCADA7" w14:textId="08CF940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3A831D8B"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562429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262.- Financiación participativa de las campañas políticas.</w:t>
            </w:r>
            <w:r w:rsidRPr="00222F34">
              <w:rPr>
                <w:rFonts w:ascii="Calibri" w:eastAsia="Times New Roman" w:hAnsi="Calibri" w:cs="Calibri"/>
                <w:color w:val="000000"/>
                <w:lang w:val="es-CO" w:eastAsia="es-CO" w:bidi="ar-SA"/>
              </w:rPr>
              <w:t xml:space="preserve"> Las campañas políticas, podrán ser financiadas por personas naturales residentes en el país a través de plataformas de recolección de donaciones. La financiación participativa se sujetará a las siguientes reglas:</w:t>
            </w:r>
          </w:p>
        </w:tc>
        <w:tc>
          <w:tcPr>
            <w:tcW w:w="3798" w:type="dxa"/>
            <w:tcBorders>
              <w:top w:val="nil"/>
              <w:left w:val="nil"/>
              <w:bottom w:val="nil"/>
              <w:right w:val="single" w:sz="4" w:space="0" w:color="000000"/>
            </w:tcBorders>
            <w:shd w:val="clear" w:color="000000" w:fill="FFFFFF"/>
            <w:hideMark/>
          </w:tcPr>
          <w:p w14:paraId="45A05C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266.- Financiación participativa de las campañas políticas. </w:t>
            </w:r>
            <w:r w:rsidRPr="00222F34">
              <w:rPr>
                <w:rFonts w:ascii="Calibri" w:eastAsia="Times New Roman" w:hAnsi="Calibri" w:cs="Calibri"/>
                <w:color w:val="000000"/>
                <w:lang w:val="es-CO" w:eastAsia="es-CO" w:bidi="ar-SA"/>
              </w:rPr>
              <w:t xml:space="preserve">Las campañas políticas, podrán ser financiadas por personas naturales residentes en el país a través de plataformas de recolección de donaciones, autorizadas por la Superintendencia Financiera de </w:t>
            </w:r>
            <w:r w:rsidRPr="00222F34">
              <w:rPr>
                <w:rFonts w:ascii="Calibri" w:eastAsia="Times New Roman" w:hAnsi="Calibri" w:cs="Calibri"/>
                <w:color w:val="000000"/>
                <w:lang w:val="es-CO" w:eastAsia="es-CO" w:bidi="ar-SA"/>
              </w:rPr>
              <w:lastRenderedPageBreak/>
              <w:t>Colombia, de acuerdo con la normatividad vigente. La financiación participativa se sujetará a las siguientes reglas:</w:t>
            </w:r>
          </w:p>
        </w:tc>
        <w:tc>
          <w:tcPr>
            <w:tcW w:w="3798" w:type="dxa"/>
            <w:tcBorders>
              <w:top w:val="nil"/>
              <w:left w:val="nil"/>
              <w:bottom w:val="nil"/>
              <w:right w:val="single" w:sz="4" w:space="0" w:color="000000"/>
            </w:tcBorders>
            <w:shd w:val="clear" w:color="000000" w:fill="FFFFFF"/>
            <w:hideMark/>
          </w:tcPr>
          <w:p w14:paraId="34138580"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266.- Financiación participativa de las campañas políticas.</w:t>
            </w:r>
            <w:r w:rsidRPr="00222F34">
              <w:rPr>
                <w:rFonts w:ascii="Calibri" w:eastAsia="Times New Roman" w:hAnsi="Calibri" w:cs="Calibri"/>
                <w:color w:val="000000"/>
                <w:lang w:val="es-CO" w:eastAsia="es-CO" w:bidi="ar-SA"/>
              </w:rPr>
              <w:t xml:space="preserve"> Las campañas políticas, podrán ser financiadas por personas naturales residentes en el país a través de plataformas de recolección de donaciones. La financiación participativa se sujetará a las siguientes reglas:</w:t>
            </w:r>
          </w:p>
        </w:tc>
        <w:tc>
          <w:tcPr>
            <w:tcW w:w="1480" w:type="dxa"/>
            <w:tcBorders>
              <w:top w:val="nil"/>
              <w:left w:val="nil"/>
              <w:bottom w:val="nil"/>
              <w:right w:val="single" w:sz="4" w:space="0" w:color="000000"/>
            </w:tcBorders>
            <w:shd w:val="clear" w:color="000000" w:fill="FFFFFF"/>
            <w:hideMark/>
          </w:tcPr>
          <w:p w14:paraId="6BF53F1D" w14:textId="49F6BD26"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0733BBAF"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5311277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 Se garantizará la identificación del aportante y el registro de una certificación electrónica del aporte, con el fin de ser incluido en la información financiera de la respectiva campaña. </w:t>
            </w:r>
          </w:p>
        </w:tc>
        <w:tc>
          <w:tcPr>
            <w:tcW w:w="3798" w:type="dxa"/>
            <w:tcBorders>
              <w:top w:val="nil"/>
              <w:left w:val="nil"/>
              <w:bottom w:val="nil"/>
              <w:right w:val="single" w:sz="4" w:space="0" w:color="000000"/>
            </w:tcBorders>
            <w:shd w:val="clear" w:color="000000" w:fill="FFFFFF"/>
            <w:hideMark/>
          </w:tcPr>
          <w:p w14:paraId="54234B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Se garantizará la identificación del aportante y el registro de una certificación electrónica del aporte, con el fin de ser incluido en la información financiera de la respectiva campaña.</w:t>
            </w:r>
          </w:p>
        </w:tc>
        <w:tc>
          <w:tcPr>
            <w:tcW w:w="3798" w:type="dxa"/>
            <w:tcBorders>
              <w:top w:val="nil"/>
              <w:left w:val="nil"/>
              <w:bottom w:val="nil"/>
              <w:right w:val="single" w:sz="4" w:space="0" w:color="000000"/>
            </w:tcBorders>
            <w:shd w:val="clear" w:color="000000" w:fill="FFFFFF"/>
            <w:hideMark/>
          </w:tcPr>
          <w:p w14:paraId="690DCC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Se garantizará la identificación del aportante y el registro de una certificación electrónica del aporte, con el fin de ser incluido en la información financiera de la respectiva campaña. </w:t>
            </w:r>
          </w:p>
        </w:tc>
        <w:tc>
          <w:tcPr>
            <w:tcW w:w="1480" w:type="dxa"/>
            <w:tcBorders>
              <w:top w:val="nil"/>
              <w:left w:val="nil"/>
              <w:bottom w:val="nil"/>
              <w:right w:val="single" w:sz="4" w:space="0" w:color="000000"/>
            </w:tcBorders>
            <w:shd w:val="clear" w:color="000000" w:fill="FFFFFF"/>
            <w:hideMark/>
          </w:tcPr>
          <w:p w14:paraId="516E154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B8E14E1"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66B3EF7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Los aportantes deberán declarar bajo la gravedad de juramento que no están inmersos en las prohibiciones legales o constitucionales para la financiación de campañas políticas. En caso de que el aportante se encuentre inmerso en una prohibición legal o constitucional y este no lo haya manifestado, se eximirá de responsabilidad al candidato. </w:t>
            </w:r>
          </w:p>
        </w:tc>
        <w:tc>
          <w:tcPr>
            <w:tcW w:w="3798" w:type="dxa"/>
            <w:tcBorders>
              <w:top w:val="nil"/>
              <w:left w:val="nil"/>
              <w:bottom w:val="nil"/>
              <w:right w:val="single" w:sz="4" w:space="0" w:color="000000"/>
            </w:tcBorders>
            <w:shd w:val="clear" w:color="000000" w:fill="FFFFFF"/>
            <w:hideMark/>
          </w:tcPr>
          <w:p w14:paraId="1FF62E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Los aportantes deberán declarar bajo la gravedad de juramento que no están inmersos en las prohibiciones legales o constitucionales para la financiación de campañas políticas. En caso de que el aportante se encuentre inmerso en una prohibición legal o constitucional y este no lo haya manifestado, se eximirá de responsabilidad al candidato.</w:t>
            </w:r>
          </w:p>
        </w:tc>
        <w:tc>
          <w:tcPr>
            <w:tcW w:w="3798" w:type="dxa"/>
            <w:tcBorders>
              <w:top w:val="nil"/>
              <w:left w:val="nil"/>
              <w:bottom w:val="nil"/>
              <w:right w:val="single" w:sz="4" w:space="0" w:color="000000"/>
            </w:tcBorders>
            <w:shd w:val="clear" w:color="000000" w:fill="FFFFFF"/>
            <w:hideMark/>
          </w:tcPr>
          <w:p w14:paraId="42720D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Los aportantes deberán declarar bajo la gravedad de juramento que no están inmersos en las prohibiciones legales o constitucionales para la financiación de campañas políticas. En caso de que el aportante se encuentre inmerso en una prohibición legal o constitucional y este no lo haya manifestado, se eximirá de responsabilidad al candidato. </w:t>
            </w:r>
          </w:p>
        </w:tc>
        <w:tc>
          <w:tcPr>
            <w:tcW w:w="1480" w:type="dxa"/>
            <w:tcBorders>
              <w:top w:val="nil"/>
              <w:left w:val="nil"/>
              <w:bottom w:val="nil"/>
              <w:right w:val="single" w:sz="4" w:space="0" w:color="000000"/>
            </w:tcBorders>
            <w:shd w:val="clear" w:color="000000" w:fill="FFFFFF"/>
            <w:hideMark/>
          </w:tcPr>
          <w:p w14:paraId="2C86D4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9475E28"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24C3E9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Los aportes individualmente considerados no podrán exceder el 0,1% del tope de gastos de la respectiva campaña, ni exceder el valor correspondiente a 30 unidades de valor tributarios (UVT). </w:t>
            </w:r>
          </w:p>
        </w:tc>
        <w:tc>
          <w:tcPr>
            <w:tcW w:w="3798" w:type="dxa"/>
            <w:tcBorders>
              <w:top w:val="nil"/>
              <w:left w:val="nil"/>
              <w:bottom w:val="single" w:sz="4" w:space="0" w:color="000000"/>
              <w:right w:val="single" w:sz="4" w:space="0" w:color="000000"/>
            </w:tcBorders>
            <w:shd w:val="clear" w:color="000000" w:fill="FFFFFF"/>
            <w:hideMark/>
          </w:tcPr>
          <w:p w14:paraId="0AED7D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Los aportes individualmente considerados no podrán exceder el 0,1% del tope de gastos de la respectiva campaña, ni exceder el valor correspondiente a 30 unidades de valor tributarios (UVT).</w:t>
            </w:r>
          </w:p>
        </w:tc>
        <w:tc>
          <w:tcPr>
            <w:tcW w:w="3798" w:type="dxa"/>
            <w:tcBorders>
              <w:top w:val="nil"/>
              <w:left w:val="nil"/>
              <w:bottom w:val="single" w:sz="4" w:space="0" w:color="000000"/>
              <w:right w:val="single" w:sz="4" w:space="0" w:color="000000"/>
            </w:tcBorders>
            <w:shd w:val="clear" w:color="000000" w:fill="FFFFFF"/>
            <w:hideMark/>
          </w:tcPr>
          <w:p w14:paraId="53F530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Los aportes individualmente considerados no podrán exceder el 0,1% del tope de gastos de la respectiva campaña, ni exceder el valor correspondiente a 30 unidades de valor tributarios (UVT). </w:t>
            </w:r>
          </w:p>
        </w:tc>
        <w:tc>
          <w:tcPr>
            <w:tcW w:w="1480" w:type="dxa"/>
            <w:tcBorders>
              <w:top w:val="nil"/>
              <w:left w:val="nil"/>
              <w:bottom w:val="single" w:sz="4" w:space="0" w:color="000000"/>
              <w:right w:val="single" w:sz="4" w:space="0" w:color="000000"/>
            </w:tcBorders>
            <w:shd w:val="clear" w:color="000000" w:fill="FFFFFF"/>
            <w:hideMark/>
          </w:tcPr>
          <w:p w14:paraId="00549E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3F74D50"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51F3EFC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263.</w:t>
            </w:r>
            <w:r w:rsidRPr="00222F34">
              <w:rPr>
                <w:rFonts w:ascii="Calibri" w:eastAsia="Times New Roman" w:hAnsi="Calibri" w:cs="Calibri"/>
                <w:color w:val="000000"/>
                <w:lang w:val="es-CO" w:eastAsia="es-CO" w:bidi="ar-SA"/>
              </w:rPr>
              <w:t xml:space="preserve">-  Modifíquese el parágrafo del artículo 18 de la Ley 130 de 1994, el cual quedará así:  </w:t>
            </w:r>
          </w:p>
        </w:tc>
        <w:tc>
          <w:tcPr>
            <w:tcW w:w="3798" w:type="dxa"/>
            <w:tcBorders>
              <w:top w:val="nil"/>
              <w:left w:val="nil"/>
              <w:bottom w:val="nil"/>
              <w:right w:val="single" w:sz="4" w:space="0" w:color="000000"/>
            </w:tcBorders>
            <w:shd w:val="clear" w:color="000000" w:fill="FFFFFF"/>
            <w:hideMark/>
          </w:tcPr>
          <w:p w14:paraId="1641DB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267-</w:t>
            </w:r>
            <w:r w:rsidRPr="00222F34">
              <w:rPr>
                <w:rFonts w:ascii="Calibri" w:eastAsia="Times New Roman" w:hAnsi="Calibri" w:cs="Calibri"/>
                <w:color w:val="000000"/>
                <w:lang w:val="es-CO" w:eastAsia="es-CO" w:bidi="ar-SA"/>
              </w:rPr>
              <w:t xml:space="preserve"> Modifíquese el parágrafo del artículo 18 de la Ley 130 de 1994, el cual quedará así:</w:t>
            </w:r>
          </w:p>
        </w:tc>
        <w:tc>
          <w:tcPr>
            <w:tcW w:w="3798" w:type="dxa"/>
            <w:tcBorders>
              <w:top w:val="nil"/>
              <w:left w:val="nil"/>
              <w:bottom w:val="nil"/>
              <w:right w:val="single" w:sz="4" w:space="0" w:color="000000"/>
            </w:tcBorders>
            <w:shd w:val="clear" w:color="000000" w:fill="FFFFFF"/>
            <w:hideMark/>
          </w:tcPr>
          <w:p w14:paraId="7799A6F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267-</w:t>
            </w:r>
            <w:r w:rsidRPr="00222F34">
              <w:rPr>
                <w:rFonts w:ascii="Calibri" w:eastAsia="Times New Roman" w:hAnsi="Calibri" w:cs="Calibri"/>
                <w:color w:val="000000"/>
                <w:lang w:val="es-CO" w:eastAsia="es-CO" w:bidi="ar-SA"/>
              </w:rPr>
              <w:t xml:space="preserve"> Modifíquese el parágrafo del artículo 18 de la Ley 130 de 1994, el cual quedará así:</w:t>
            </w:r>
          </w:p>
        </w:tc>
        <w:tc>
          <w:tcPr>
            <w:tcW w:w="1480" w:type="dxa"/>
            <w:tcBorders>
              <w:top w:val="nil"/>
              <w:left w:val="nil"/>
              <w:bottom w:val="nil"/>
              <w:right w:val="single" w:sz="4" w:space="0" w:color="000000"/>
            </w:tcBorders>
            <w:shd w:val="clear" w:color="000000" w:fill="FFFFFF"/>
            <w:hideMark/>
          </w:tcPr>
          <w:p w14:paraId="5CA6BEEC" w14:textId="0EF916C8" w:rsidR="00CD4925" w:rsidRPr="00222F34" w:rsidRDefault="00CD4925" w:rsidP="00917B5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w:t>
            </w:r>
            <w:r>
              <w:rPr>
                <w:rFonts w:ascii="Calibri" w:eastAsia="Times New Roman" w:hAnsi="Calibri" w:cs="Calibri"/>
                <w:color w:val="000000"/>
                <w:lang w:val="es-CO" w:eastAsia="es-CO" w:bidi="ar-SA"/>
              </w:rPr>
              <w:t>acoge texto de Senado.</w:t>
            </w:r>
          </w:p>
        </w:tc>
      </w:tr>
      <w:tr w:rsidR="00CD4925" w:rsidRPr="00222F34" w14:paraId="2B44CC8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15DA6EA"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Todos los informes serán publicados después de haber sido certificados por la autoridad competente en su página web y en el sitio web de la organización política, por un término de quince (15) días contados a partir de su aprobación. </w:t>
            </w:r>
          </w:p>
        </w:tc>
        <w:tc>
          <w:tcPr>
            <w:tcW w:w="3798" w:type="dxa"/>
            <w:tcBorders>
              <w:top w:val="nil"/>
              <w:left w:val="nil"/>
              <w:bottom w:val="nil"/>
              <w:right w:val="single" w:sz="4" w:space="0" w:color="000000"/>
            </w:tcBorders>
            <w:shd w:val="clear" w:color="000000" w:fill="FFFFFF"/>
            <w:hideMark/>
          </w:tcPr>
          <w:p w14:paraId="40D949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Todos los informes serán publicados después de haber sido certificados por la autoridad competente en su página web y en el sitio web de la organización política, por un término de quince (15) días contados a partir de su aprobación.</w:t>
            </w:r>
          </w:p>
        </w:tc>
        <w:tc>
          <w:tcPr>
            <w:tcW w:w="3798" w:type="dxa"/>
            <w:tcBorders>
              <w:top w:val="nil"/>
              <w:left w:val="nil"/>
              <w:bottom w:val="nil"/>
              <w:right w:val="single" w:sz="4" w:space="0" w:color="000000"/>
            </w:tcBorders>
            <w:shd w:val="clear" w:color="000000" w:fill="FFFFFF"/>
            <w:hideMark/>
          </w:tcPr>
          <w:p w14:paraId="6ADF120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Todos los informes serán publicados después de haber sido certificados por la autoridad competente en su página web y en el sitio web de la organización política, por un término de quince (15) días contados a partir de su aprobación.</w:t>
            </w:r>
          </w:p>
        </w:tc>
        <w:tc>
          <w:tcPr>
            <w:tcW w:w="1480" w:type="dxa"/>
            <w:tcBorders>
              <w:top w:val="nil"/>
              <w:left w:val="nil"/>
              <w:bottom w:val="nil"/>
              <w:right w:val="single" w:sz="4" w:space="0" w:color="000000"/>
            </w:tcBorders>
            <w:shd w:val="clear" w:color="000000" w:fill="FFFFFF"/>
            <w:hideMark/>
          </w:tcPr>
          <w:p w14:paraId="0AC4643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14B5B53"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0966FBE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caso de los grupos significativos de ciudadanos, los informes serán publicados en la página web de la autoridad electoral.</w:t>
            </w:r>
          </w:p>
        </w:tc>
        <w:tc>
          <w:tcPr>
            <w:tcW w:w="3798" w:type="dxa"/>
            <w:tcBorders>
              <w:top w:val="nil"/>
              <w:left w:val="nil"/>
              <w:bottom w:val="nil"/>
              <w:right w:val="single" w:sz="4" w:space="0" w:color="000000"/>
            </w:tcBorders>
            <w:shd w:val="clear" w:color="000000" w:fill="FFFFFF"/>
            <w:hideMark/>
          </w:tcPr>
          <w:p w14:paraId="4EDADB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caso de los grupos significativos de ciudadanos, los informes serán publicados en la página web de la autoridad electoral.</w:t>
            </w:r>
          </w:p>
        </w:tc>
        <w:tc>
          <w:tcPr>
            <w:tcW w:w="3798" w:type="dxa"/>
            <w:tcBorders>
              <w:top w:val="nil"/>
              <w:left w:val="nil"/>
              <w:bottom w:val="nil"/>
              <w:right w:val="single" w:sz="4" w:space="0" w:color="000000"/>
            </w:tcBorders>
            <w:shd w:val="clear" w:color="000000" w:fill="FFFFFF"/>
            <w:hideMark/>
          </w:tcPr>
          <w:p w14:paraId="3D18579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caso de los grupos significativos de ciudadanos, los informes serán publicados en la página web de la autoridad electoral.</w:t>
            </w:r>
          </w:p>
        </w:tc>
        <w:tc>
          <w:tcPr>
            <w:tcW w:w="1480" w:type="dxa"/>
            <w:tcBorders>
              <w:top w:val="nil"/>
              <w:left w:val="nil"/>
              <w:bottom w:val="nil"/>
              <w:right w:val="single" w:sz="4" w:space="0" w:color="000000"/>
            </w:tcBorders>
            <w:shd w:val="clear" w:color="000000" w:fill="FFFFFF"/>
            <w:hideMark/>
          </w:tcPr>
          <w:p w14:paraId="69E640A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B29F935" w14:textId="77777777" w:rsidTr="00222F34">
        <w:trPr>
          <w:trHeight w:val="900"/>
        </w:trPr>
        <w:tc>
          <w:tcPr>
            <w:tcW w:w="3798" w:type="dxa"/>
            <w:tcBorders>
              <w:top w:val="nil"/>
              <w:left w:val="single" w:sz="4" w:space="0" w:color="000000"/>
              <w:bottom w:val="single" w:sz="4" w:space="0" w:color="000000"/>
              <w:right w:val="single" w:sz="4" w:space="0" w:color="000000"/>
            </w:tcBorders>
            <w:shd w:val="clear" w:color="000000" w:fill="FFFFFF"/>
            <w:hideMark/>
          </w:tcPr>
          <w:p w14:paraId="02FB676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presentación de los informes de ingresos y gastos de las campañas el aplicativo cuentas claras o quien haga sus veces deberá permitir la migración masiva de datos de los aplicativos que usen las organizaciones políticas para rendición de cuentas.</w:t>
            </w:r>
          </w:p>
        </w:tc>
        <w:tc>
          <w:tcPr>
            <w:tcW w:w="3798" w:type="dxa"/>
            <w:tcBorders>
              <w:top w:val="nil"/>
              <w:left w:val="nil"/>
              <w:bottom w:val="single" w:sz="4" w:space="0" w:color="000000"/>
              <w:right w:val="single" w:sz="4" w:space="0" w:color="000000"/>
            </w:tcBorders>
            <w:shd w:val="clear" w:color="000000" w:fill="FFFFFF"/>
            <w:hideMark/>
          </w:tcPr>
          <w:p w14:paraId="01B9C11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presentación de los informes de ingresos y gastos de las campañas el aplicativo cuentas claras o quien haga sus veces deberá permitir la migración masiva de datos de los aplicativos que usen las organizaciones políticas para rendición de cuentas.</w:t>
            </w:r>
          </w:p>
        </w:tc>
        <w:tc>
          <w:tcPr>
            <w:tcW w:w="3798" w:type="dxa"/>
            <w:tcBorders>
              <w:top w:val="nil"/>
              <w:left w:val="nil"/>
              <w:bottom w:val="single" w:sz="4" w:space="0" w:color="000000"/>
              <w:right w:val="single" w:sz="4" w:space="0" w:color="000000"/>
            </w:tcBorders>
            <w:shd w:val="clear" w:color="000000" w:fill="FFFFFF"/>
            <w:hideMark/>
          </w:tcPr>
          <w:p w14:paraId="4E325D5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presentación de los informes de ingresos y gastos de las campañas el aplicativo cuentas claras o quien haga sus veces deberá permitir la migración masiva de datos de los aplicativos que usen las organizaciones políticas para rendición de cuentas.</w:t>
            </w:r>
          </w:p>
        </w:tc>
        <w:tc>
          <w:tcPr>
            <w:tcW w:w="1480" w:type="dxa"/>
            <w:tcBorders>
              <w:top w:val="nil"/>
              <w:left w:val="nil"/>
              <w:bottom w:val="single" w:sz="4" w:space="0" w:color="000000"/>
              <w:right w:val="single" w:sz="4" w:space="0" w:color="000000"/>
            </w:tcBorders>
            <w:shd w:val="clear" w:color="000000" w:fill="FFFFFF"/>
            <w:hideMark/>
          </w:tcPr>
          <w:p w14:paraId="7D32A6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890EAD7" w14:textId="77777777" w:rsidTr="00222F34">
        <w:trPr>
          <w:trHeight w:val="1200"/>
        </w:trPr>
        <w:tc>
          <w:tcPr>
            <w:tcW w:w="3798" w:type="dxa"/>
            <w:tcBorders>
              <w:top w:val="nil"/>
              <w:left w:val="single" w:sz="4" w:space="0" w:color="000000"/>
              <w:bottom w:val="single" w:sz="4" w:space="0" w:color="000000"/>
              <w:right w:val="single" w:sz="4" w:space="0" w:color="000000"/>
            </w:tcBorders>
            <w:shd w:val="clear" w:color="000000" w:fill="FFFFFF"/>
            <w:hideMark/>
          </w:tcPr>
          <w:p w14:paraId="344A1A0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ARTICULO 264.-</w:t>
            </w:r>
            <w:r w:rsidRPr="00222F34">
              <w:rPr>
                <w:rFonts w:ascii="Calibri" w:eastAsia="Times New Roman" w:hAnsi="Calibri" w:cs="Calibri"/>
                <w:color w:val="000000"/>
                <w:lang w:val="es-CO" w:eastAsia="es-CO" w:bidi="ar-SA"/>
              </w:rPr>
              <w:t xml:space="preserve"> Los partidos políticos podrán auditar el software utilizado para la escogencia de jurados de votación, el software de preconteo, el software de escrutinio, el software de consolidación de escrutinios y todos los softwares que llegase a usar en el desarrollo de todo el proceso electoral.  </w:t>
            </w:r>
          </w:p>
        </w:tc>
        <w:tc>
          <w:tcPr>
            <w:tcW w:w="3798" w:type="dxa"/>
            <w:tcBorders>
              <w:top w:val="nil"/>
              <w:left w:val="nil"/>
              <w:bottom w:val="single" w:sz="4" w:space="0" w:color="000000"/>
              <w:right w:val="single" w:sz="4" w:space="0" w:color="000000"/>
            </w:tcBorders>
            <w:shd w:val="clear" w:color="000000" w:fill="FFFFFF"/>
            <w:hideMark/>
          </w:tcPr>
          <w:p w14:paraId="19D56C1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268.-</w:t>
            </w:r>
            <w:r w:rsidRPr="00222F34">
              <w:rPr>
                <w:rFonts w:ascii="Calibri" w:eastAsia="Times New Roman" w:hAnsi="Calibri" w:cs="Calibri"/>
                <w:color w:val="000000"/>
                <w:lang w:val="es-CO" w:eastAsia="es-CO" w:bidi="ar-SA"/>
              </w:rPr>
              <w:t xml:space="preserve"> Los partidos políticos a través de un delegado podrá auditar el software utilizado para la escogencia de jurados de votación, el software de preconteo, el software de escrutinio, el software de consolidación de escrutinios y todos los softwares que llegase a usar en el desarrollo de todo el proceso electoral.</w:t>
            </w:r>
          </w:p>
        </w:tc>
        <w:tc>
          <w:tcPr>
            <w:tcW w:w="3798" w:type="dxa"/>
            <w:tcBorders>
              <w:top w:val="nil"/>
              <w:left w:val="nil"/>
              <w:bottom w:val="single" w:sz="4" w:space="0" w:color="000000"/>
              <w:right w:val="single" w:sz="4" w:space="0" w:color="000000"/>
            </w:tcBorders>
            <w:shd w:val="clear" w:color="000000" w:fill="FFFFFF"/>
            <w:hideMark/>
          </w:tcPr>
          <w:p w14:paraId="2BA0774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ARTICULO 268.-</w:t>
            </w:r>
            <w:r w:rsidRPr="00222F34">
              <w:rPr>
                <w:rFonts w:ascii="Calibri" w:eastAsia="Times New Roman" w:hAnsi="Calibri" w:cs="Calibri"/>
                <w:color w:val="000000"/>
                <w:lang w:val="es-CO" w:eastAsia="es-CO" w:bidi="ar-SA"/>
              </w:rPr>
              <w:t xml:space="preserve"> Los partidos políticos podrán auditar el software utilizado para la escogencia de jurados de votación, el software de preconteo, el software de escrutinio, el software de consolidación de escrutinios y todos los softwares que llegase a usar en el desarrollo de todo el proceso electoral.  </w:t>
            </w:r>
          </w:p>
        </w:tc>
        <w:tc>
          <w:tcPr>
            <w:tcW w:w="1480" w:type="dxa"/>
            <w:tcBorders>
              <w:top w:val="nil"/>
              <w:left w:val="nil"/>
              <w:bottom w:val="single" w:sz="4" w:space="0" w:color="000000"/>
              <w:right w:val="single" w:sz="4" w:space="0" w:color="000000"/>
            </w:tcBorders>
            <w:shd w:val="clear" w:color="000000" w:fill="FFFFFF"/>
            <w:hideMark/>
          </w:tcPr>
          <w:p w14:paraId="460C1510" w14:textId="705194EA"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4F4C1EF6"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A8E26C0"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XI</w:t>
            </w:r>
          </w:p>
        </w:tc>
        <w:tc>
          <w:tcPr>
            <w:tcW w:w="3798" w:type="dxa"/>
            <w:tcBorders>
              <w:top w:val="nil"/>
              <w:left w:val="nil"/>
              <w:bottom w:val="nil"/>
              <w:right w:val="single" w:sz="4" w:space="0" w:color="000000"/>
            </w:tcBorders>
            <w:shd w:val="clear" w:color="000000" w:fill="FFFFFF"/>
            <w:hideMark/>
          </w:tcPr>
          <w:p w14:paraId="4A717C20" w14:textId="2BD11883" w:rsidR="00CD4925" w:rsidRPr="00222F34" w:rsidRDefault="00CD4925" w:rsidP="00917B55">
            <w:pPr>
              <w:widowControl/>
              <w:autoSpaceDE/>
              <w:autoSpaceDN/>
              <w:jc w:val="left"/>
              <w:rPr>
                <w:rFonts w:ascii="Calibri" w:eastAsia="Times New Roman" w:hAnsi="Calibri" w:cs="Calibri"/>
                <w:i/>
                <w:iCs/>
                <w:color w:val="000000"/>
                <w:lang w:val="es-CO" w:eastAsia="es-CO" w:bidi="ar-SA"/>
              </w:rPr>
            </w:pPr>
            <w:r w:rsidRPr="00222F34">
              <w:rPr>
                <w:rFonts w:ascii="Calibri" w:eastAsia="Times New Roman" w:hAnsi="Calibri" w:cs="Calibri"/>
                <w:i/>
                <w:iCs/>
                <w:color w:val="000000"/>
                <w:lang w:val="es-CO" w:eastAsia="es-CO" w:bidi="ar-SA"/>
              </w:rPr>
              <w:t xml:space="preserve">Título </w:t>
            </w:r>
            <w:r w:rsidR="00917B55">
              <w:rPr>
                <w:rFonts w:ascii="Calibri" w:eastAsia="Times New Roman" w:hAnsi="Calibri" w:cs="Calibri"/>
                <w:i/>
                <w:iCs/>
                <w:color w:val="000000"/>
                <w:lang w:val="es-CO" w:eastAsia="es-CO" w:bidi="ar-SA"/>
              </w:rPr>
              <w:t>r</w:t>
            </w:r>
            <w:r w:rsidRPr="00222F34">
              <w:rPr>
                <w:rFonts w:ascii="Calibri" w:eastAsia="Times New Roman" w:hAnsi="Calibri" w:cs="Calibri"/>
                <w:i/>
                <w:iCs/>
                <w:color w:val="000000"/>
                <w:lang w:val="es-CO" w:eastAsia="es-CO" w:bidi="ar-SA"/>
              </w:rPr>
              <w:t>eubicado antes del artículo 273</w:t>
            </w:r>
          </w:p>
        </w:tc>
        <w:tc>
          <w:tcPr>
            <w:tcW w:w="3798" w:type="dxa"/>
            <w:tcBorders>
              <w:top w:val="nil"/>
              <w:left w:val="nil"/>
              <w:bottom w:val="nil"/>
              <w:right w:val="single" w:sz="4" w:space="0" w:color="000000"/>
            </w:tcBorders>
            <w:shd w:val="clear" w:color="000000" w:fill="FFFFFF"/>
            <w:hideMark/>
          </w:tcPr>
          <w:p w14:paraId="7EB3B26F"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4ED15238" w14:textId="23728526" w:rsidR="00CD4925" w:rsidRPr="00222F34" w:rsidRDefault="00CD4925" w:rsidP="00917B5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w:t>
            </w:r>
            <w:r>
              <w:rPr>
                <w:rFonts w:ascii="Calibri" w:eastAsia="Times New Roman" w:hAnsi="Calibri" w:cs="Calibri"/>
                <w:color w:val="000000"/>
                <w:lang w:val="es-CO" w:eastAsia="es-CO" w:bidi="ar-SA"/>
              </w:rPr>
              <w:t>acoge texto de Cámara</w:t>
            </w:r>
          </w:p>
        </w:tc>
      </w:tr>
      <w:tr w:rsidR="00CD4925" w:rsidRPr="00222F34" w14:paraId="15238014" w14:textId="77777777" w:rsidTr="00222F34">
        <w:trPr>
          <w:trHeight w:val="300"/>
        </w:trPr>
        <w:tc>
          <w:tcPr>
            <w:tcW w:w="3798" w:type="dxa"/>
            <w:tcBorders>
              <w:top w:val="nil"/>
              <w:left w:val="single" w:sz="4" w:space="0" w:color="000000"/>
              <w:bottom w:val="single" w:sz="4" w:space="0" w:color="000000"/>
              <w:right w:val="single" w:sz="4" w:space="0" w:color="000000"/>
            </w:tcBorders>
            <w:shd w:val="clear" w:color="000000" w:fill="FFFFFF"/>
            <w:hideMark/>
          </w:tcPr>
          <w:p w14:paraId="364C9D6F"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REMISIÓN NORMATIVA, DEROGATORIA Y VIGENCIA</w:t>
            </w:r>
          </w:p>
        </w:tc>
        <w:tc>
          <w:tcPr>
            <w:tcW w:w="3798" w:type="dxa"/>
            <w:tcBorders>
              <w:top w:val="nil"/>
              <w:left w:val="nil"/>
              <w:bottom w:val="single" w:sz="4" w:space="0" w:color="000000"/>
              <w:right w:val="single" w:sz="4" w:space="0" w:color="000000"/>
            </w:tcBorders>
            <w:shd w:val="clear" w:color="000000" w:fill="FFFFFF"/>
            <w:hideMark/>
          </w:tcPr>
          <w:p w14:paraId="34406B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266A5A2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5911A6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078F522"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0DF533CB"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267 (NUEVO). Cuota de género en propaganda electoral.  </w:t>
            </w:r>
            <w:r w:rsidRPr="00222F34">
              <w:rPr>
                <w:rFonts w:ascii="Calibri" w:eastAsia="Times New Roman" w:hAnsi="Calibri" w:cs="Calibri"/>
                <w:color w:val="000000"/>
                <w:lang w:val="es-CO" w:eastAsia="es-CO" w:bidi="ar-SA"/>
              </w:rPr>
              <w:t>Los partidos, movimientos políticos y grupos significativos de ciudadanos en las campañas para elección de corporaciones públicas asignarán como mínimo el cincuenta por ciento 50% de los espacios de propaganda electoral habilitados por el Consejo Nacional Electoral a las mujeres que conforman la lista de inscritos.</w:t>
            </w:r>
          </w:p>
        </w:tc>
        <w:tc>
          <w:tcPr>
            <w:tcW w:w="3798" w:type="dxa"/>
            <w:tcBorders>
              <w:top w:val="nil"/>
              <w:left w:val="nil"/>
              <w:bottom w:val="nil"/>
              <w:right w:val="single" w:sz="4" w:space="0" w:color="000000"/>
            </w:tcBorders>
            <w:shd w:val="clear" w:color="000000" w:fill="FFFFFF"/>
            <w:hideMark/>
          </w:tcPr>
          <w:p w14:paraId="12D0B2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269. Cuota de género en propaganda electoral.</w:t>
            </w:r>
            <w:r w:rsidRPr="00222F34">
              <w:rPr>
                <w:rFonts w:ascii="Calibri" w:eastAsia="Times New Roman" w:hAnsi="Calibri" w:cs="Calibri"/>
                <w:color w:val="000000"/>
                <w:lang w:val="es-CO" w:eastAsia="es-CO" w:bidi="ar-SA"/>
              </w:rPr>
              <w:t xml:space="preserve"> Salvo en los municipios categoría 4, 5 y 6 los partidos, movimientos políticos y grupos significativos de ciudadanos en las campañas para elección de corporaciones públicas propenderán a asignar los espacios de propaganda electoral habilitados por el Consejo Nacional Electoral de forma proporcional e incluyente de hombres, mujeres, trans y no binarios; garantizando una asignación paritaria a las mujeres que conforman la lista de inscritos.</w:t>
            </w:r>
          </w:p>
        </w:tc>
        <w:tc>
          <w:tcPr>
            <w:tcW w:w="3798" w:type="dxa"/>
            <w:tcBorders>
              <w:top w:val="nil"/>
              <w:left w:val="nil"/>
              <w:bottom w:val="nil"/>
              <w:right w:val="single" w:sz="4" w:space="0" w:color="000000"/>
            </w:tcBorders>
            <w:shd w:val="clear" w:color="000000" w:fill="FFFFFF"/>
            <w:hideMark/>
          </w:tcPr>
          <w:p w14:paraId="6B6B748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269. Cuota de género en propaganda electoral.</w:t>
            </w:r>
            <w:r w:rsidRPr="00222F34">
              <w:rPr>
                <w:rFonts w:ascii="Calibri" w:eastAsia="Times New Roman" w:hAnsi="Calibri" w:cs="Calibri"/>
                <w:color w:val="000000"/>
                <w:lang w:val="es-CO" w:eastAsia="es-CO" w:bidi="ar-SA"/>
              </w:rPr>
              <w:t xml:space="preserve"> Salvo en los municipios categoría 4, 5 y 6 los partidos, movimientos políticos y grupos significativos de ciudadanos en las campañas para elección de corporaciones públicas propenderán a asignar los espacios de propaganda electoral habilitados por el Consejo Nacional Electoral de forma proporcional e incluyente de hombres, mujeres, trans y no binarios; garantizando una asignación paritaria a las mujeres que conforman la lista de inscritos.</w:t>
            </w:r>
          </w:p>
        </w:tc>
        <w:tc>
          <w:tcPr>
            <w:tcW w:w="1480" w:type="dxa"/>
            <w:tcBorders>
              <w:top w:val="nil"/>
              <w:left w:val="nil"/>
              <w:bottom w:val="nil"/>
              <w:right w:val="single" w:sz="4" w:space="0" w:color="000000"/>
            </w:tcBorders>
            <w:shd w:val="clear" w:color="000000" w:fill="FFFFFF"/>
            <w:hideMark/>
          </w:tcPr>
          <w:p w14:paraId="14620C27" w14:textId="04132654"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p>
        </w:tc>
      </w:tr>
      <w:tr w:rsidR="00CD4925" w:rsidRPr="00222F34" w14:paraId="26749FEB" w14:textId="77777777" w:rsidTr="00222F34">
        <w:trPr>
          <w:trHeight w:val="600"/>
        </w:trPr>
        <w:tc>
          <w:tcPr>
            <w:tcW w:w="3798" w:type="dxa"/>
            <w:tcBorders>
              <w:top w:val="nil"/>
              <w:left w:val="single" w:sz="4" w:space="0" w:color="000000"/>
              <w:bottom w:val="single" w:sz="4" w:space="0" w:color="000000"/>
              <w:right w:val="single" w:sz="4" w:space="0" w:color="000000"/>
            </w:tcBorders>
            <w:shd w:val="clear" w:color="000000" w:fill="FFFFFF"/>
            <w:hideMark/>
          </w:tcPr>
          <w:p w14:paraId="0B60DF57"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1E64B2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no contar con personas trans y no binarias, el porcentaje de participación será paritario entre hombres y mujeres.</w:t>
            </w:r>
          </w:p>
        </w:tc>
        <w:tc>
          <w:tcPr>
            <w:tcW w:w="3798" w:type="dxa"/>
            <w:tcBorders>
              <w:top w:val="nil"/>
              <w:left w:val="nil"/>
              <w:bottom w:val="single" w:sz="4" w:space="0" w:color="000000"/>
              <w:right w:val="single" w:sz="4" w:space="0" w:color="000000"/>
            </w:tcBorders>
            <w:shd w:val="clear" w:color="000000" w:fill="FFFFFF"/>
            <w:hideMark/>
          </w:tcPr>
          <w:p w14:paraId="182A0E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no contar con personas trans y no binarias, el porcentaje de participación será paritario entre hombres y mujeres.</w:t>
            </w:r>
          </w:p>
        </w:tc>
        <w:tc>
          <w:tcPr>
            <w:tcW w:w="1480" w:type="dxa"/>
            <w:tcBorders>
              <w:top w:val="nil"/>
              <w:left w:val="nil"/>
              <w:bottom w:val="single" w:sz="4" w:space="0" w:color="000000"/>
              <w:right w:val="single" w:sz="4" w:space="0" w:color="000000"/>
            </w:tcBorders>
            <w:shd w:val="clear" w:color="000000" w:fill="FFFFFF"/>
            <w:hideMark/>
          </w:tcPr>
          <w:p w14:paraId="20743DD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F2E81C4" w14:textId="77777777" w:rsidTr="00222F34">
        <w:trPr>
          <w:trHeight w:val="1800"/>
        </w:trPr>
        <w:tc>
          <w:tcPr>
            <w:tcW w:w="3798" w:type="dxa"/>
            <w:tcBorders>
              <w:top w:val="nil"/>
              <w:left w:val="single" w:sz="4" w:space="0" w:color="000000"/>
              <w:bottom w:val="single" w:sz="4" w:space="0" w:color="000000"/>
              <w:right w:val="single" w:sz="4" w:space="0" w:color="000000"/>
            </w:tcBorders>
            <w:shd w:val="clear" w:color="000000" w:fill="FFFFFF"/>
            <w:hideMark/>
          </w:tcPr>
          <w:p w14:paraId="6327D329"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268 (NUEVO). Garantías de acceso a la información en materia electoral.  </w:t>
            </w:r>
            <w:r w:rsidRPr="00222F34">
              <w:rPr>
                <w:rFonts w:ascii="Calibri" w:eastAsia="Times New Roman" w:hAnsi="Calibri" w:cs="Calibri"/>
                <w:color w:val="000000"/>
                <w:lang w:val="es-CO" w:eastAsia="es-CO" w:bidi="ar-SA"/>
              </w:rPr>
              <w:t xml:space="preserve">La Organización Electoral garantizará el derecho de acceso a la información pública relacionada con la gestión en cada una de las etapas del proceso electoral, incluida aquella producida y administrada por privados y que no sean objeto de reserva, lo anterior de acuerdo con los parámetros </w:t>
            </w:r>
            <w:r w:rsidRPr="00222F34">
              <w:rPr>
                <w:rFonts w:ascii="Calibri" w:eastAsia="Times New Roman" w:hAnsi="Calibri" w:cs="Calibri"/>
                <w:color w:val="000000"/>
                <w:lang w:val="es-CO" w:eastAsia="es-CO" w:bidi="ar-SA"/>
              </w:rPr>
              <w:lastRenderedPageBreak/>
              <w:t>generales establecidos en la Ley 1712 de 2014 y lo contemplado en el presente capítulo.</w:t>
            </w:r>
          </w:p>
        </w:tc>
        <w:tc>
          <w:tcPr>
            <w:tcW w:w="3798" w:type="dxa"/>
            <w:tcBorders>
              <w:top w:val="nil"/>
              <w:left w:val="nil"/>
              <w:bottom w:val="single" w:sz="4" w:space="0" w:color="000000"/>
              <w:right w:val="single" w:sz="4" w:space="0" w:color="000000"/>
            </w:tcBorders>
            <w:shd w:val="clear" w:color="000000" w:fill="FFFFFF"/>
            <w:hideMark/>
          </w:tcPr>
          <w:p w14:paraId="09DCAF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270. Garantías de acceso a la información en materia electoral. </w:t>
            </w:r>
            <w:r w:rsidRPr="00222F34">
              <w:rPr>
                <w:rFonts w:ascii="Calibri" w:eastAsia="Times New Roman" w:hAnsi="Calibri" w:cs="Calibri"/>
                <w:color w:val="000000"/>
                <w:lang w:val="es-CO" w:eastAsia="es-CO" w:bidi="ar-SA"/>
              </w:rPr>
              <w:t xml:space="preserve">La Organización Electoral garantizará el derecho de acceso a la información pública relacionada con la gestión en cada una de las etapas del proceso electoral, incluida aquella producida y administrada por privados y que no sean objeto de reserva, lo anterior de acuerdo con los parámetros generales </w:t>
            </w:r>
            <w:r w:rsidRPr="00222F34">
              <w:rPr>
                <w:rFonts w:ascii="Calibri" w:eastAsia="Times New Roman" w:hAnsi="Calibri" w:cs="Calibri"/>
                <w:color w:val="000000"/>
                <w:lang w:val="es-CO" w:eastAsia="es-CO" w:bidi="ar-SA"/>
              </w:rPr>
              <w:lastRenderedPageBreak/>
              <w:t>establecidos en la Ley 1712 de 2014 y lo contemplado en el presente capítulo.</w:t>
            </w:r>
          </w:p>
        </w:tc>
        <w:tc>
          <w:tcPr>
            <w:tcW w:w="3798" w:type="dxa"/>
            <w:tcBorders>
              <w:top w:val="nil"/>
              <w:left w:val="nil"/>
              <w:bottom w:val="single" w:sz="4" w:space="0" w:color="000000"/>
              <w:right w:val="single" w:sz="4" w:space="0" w:color="000000"/>
            </w:tcBorders>
            <w:shd w:val="clear" w:color="000000" w:fill="FFFFFF"/>
            <w:hideMark/>
          </w:tcPr>
          <w:p w14:paraId="72363E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270. Garantías de acceso a la información en materia electoral. </w:t>
            </w:r>
            <w:r w:rsidRPr="00222F34">
              <w:rPr>
                <w:rFonts w:ascii="Calibri" w:eastAsia="Times New Roman" w:hAnsi="Calibri" w:cs="Calibri"/>
                <w:color w:val="000000"/>
                <w:lang w:val="es-CO" w:eastAsia="es-CO" w:bidi="ar-SA"/>
              </w:rPr>
              <w:t xml:space="preserve">La Organización Electoral garantizará el derecho de acceso a la información pública relacionada con la gestión en cada una de las etapas del proceso electoral, incluida aquella producida y administrada por privados y que no sean objeto de reserva, lo anterior de acuerdo con los parámetros generales </w:t>
            </w:r>
            <w:r w:rsidRPr="00222F34">
              <w:rPr>
                <w:rFonts w:ascii="Calibri" w:eastAsia="Times New Roman" w:hAnsi="Calibri" w:cs="Calibri"/>
                <w:color w:val="000000"/>
                <w:lang w:val="es-CO" w:eastAsia="es-CO" w:bidi="ar-SA"/>
              </w:rPr>
              <w:lastRenderedPageBreak/>
              <w:t>establecidos en la Ley 1712 de 2014 y lo contemplado en el presente capítulo.</w:t>
            </w:r>
          </w:p>
        </w:tc>
        <w:tc>
          <w:tcPr>
            <w:tcW w:w="1480" w:type="dxa"/>
            <w:tcBorders>
              <w:top w:val="nil"/>
              <w:left w:val="nil"/>
              <w:bottom w:val="single" w:sz="4" w:space="0" w:color="000000"/>
              <w:right w:val="single" w:sz="4" w:space="0" w:color="000000"/>
            </w:tcBorders>
            <w:shd w:val="clear" w:color="000000" w:fill="FFFFFF"/>
            <w:hideMark/>
          </w:tcPr>
          <w:p w14:paraId="26142DD1" w14:textId="70E45282"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Senado.</w:t>
            </w:r>
          </w:p>
        </w:tc>
      </w:tr>
      <w:tr w:rsidR="00CD4925" w:rsidRPr="00222F34" w14:paraId="2CC2FAAF" w14:textId="77777777" w:rsidTr="00222F34">
        <w:trPr>
          <w:trHeight w:val="3000"/>
        </w:trPr>
        <w:tc>
          <w:tcPr>
            <w:tcW w:w="3798" w:type="dxa"/>
            <w:tcBorders>
              <w:top w:val="nil"/>
              <w:left w:val="single" w:sz="4" w:space="0" w:color="000000"/>
              <w:bottom w:val="single" w:sz="4" w:space="0" w:color="000000"/>
              <w:right w:val="single" w:sz="4" w:space="0" w:color="000000"/>
            </w:tcBorders>
            <w:shd w:val="clear" w:color="000000" w:fill="FFFFFF"/>
            <w:hideMark/>
          </w:tcPr>
          <w:p w14:paraId="66352A0C"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269 (NUEVO). Mecanismos de articulación interinstitucional para el seguimiento y vigilancia de las donaciones: </w:t>
            </w:r>
            <w:r w:rsidRPr="00222F34">
              <w:rPr>
                <w:rFonts w:ascii="Calibri" w:eastAsia="Times New Roman" w:hAnsi="Calibri" w:cs="Calibri"/>
                <w:color w:val="000000"/>
                <w:lang w:val="es-CO" w:eastAsia="es-CO" w:bidi="ar-SA"/>
              </w:rPr>
              <w:t>la DIAN en coordinación con Fiscalía General de la Nación, la Unidad de Información y Análisis Financiero (UIAF), la Superintendencia Financiera y las entidades bancarias del país, en un plazo no mayor a seis (6) meses definirán una hoja de ruta para el intercambio de información pertinente entre estas, para que de esta forma se recopilen los datos necesarios para poder investigar y ejercer control sobre el uso de los recursos, verificar el patrimonio de las personas naturales que hacen aportes a las campañas y que de la misma forma les permita a las autoridades financieras y electorales tener información suficiente para completar los procesos de seguridad.</w:t>
            </w:r>
          </w:p>
        </w:tc>
        <w:tc>
          <w:tcPr>
            <w:tcW w:w="3798" w:type="dxa"/>
            <w:tcBorders>
              <w:top w:val="nil"/>
              <w:left w:val="nil"/>
              <w:bottom w:val="single" w:sz="4" w:space="0" w:color="000000"/>
              <w:right w:val="single" w:sz="4" w:space="0" w:color="000000"/>
            </w:tcBorders>
            <w:shd w:val="clear" w:color="000000" w:fill="FFFFFF"/>
            <w:hideMark/>
          </w:tcPr>
          <w:p w14:paraId="209AF3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271. Mecanismos de articulación interinstitucional para el seguimiento y vigilancia de las donaciones: </w:t>
            </w:r>
            <w:r w:rsidRPr="00222F34">
              <w:rPr>
                <w:rFonts w:ascii="Calibri" w:eastAsia="Times New Roman" w:hAnsi="Calibri" w:cs="Calibri"/>
                <w:color w:val="000000"/>
                <w:lang w:val="es-CO" w:eastAsia="es-CO" w:bidi="ar-SA"/>
              </w:rPr>
              <w:t>la DIAN en coordinación con Fiscalía General de la Nación, la Unidad de Información y Análisis Financiero (UIAF), la Superintendencia Financiera y las entidades bancarias del país, en un plazo no mayor a seis (6) meses definirán una hoja de ruta para el intercambio de información pertinente entre estas, para que de esta forma se recopilen los datos necesarios para poder investigar y ejercer control sobre el uso de los recursos, verificar el patrimonio de las personas naturales que hacen aportes a las campañas y que de la misma forma les permita a las autoridades financieras y electorales tener información suficiente para completar los procesos de seguridad.</w:t>
            </w:r>
          </w:p>
        </w:tc>
        <w:tc>
          <w:tcPr>
            <w:tcW w:w="3798" w:type="dxa"/>
            <w:tcBorders>
              <w:top w:val="nil"/>
              <w:left w:val="nil"/>
              <w:bottom w:val="single" w:sz="4" w:space="0" w:color="000000"/>
              <w:right w:val="single" w:sz="4" w:space="0" w:color="000000"/>
            </w:tcBorders>
            <w:shd w:val="clear" w:color="000000" w:fill="FFFFFF"/>
            <w:hideMark/>
          </w:tcPr>
          <w:p w14:paraId="73742B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271. Mecanismos de articulación interinstitucional para el seguimiento y vigilancia de las donaciones: l</w:t>
            </w:r>
            <w:r w:rsidRPr="00222F34">
              <w:rPr>
                <w:rFonts w:ascii="Calibri" w:eastAsia="Times New Roman" w:hAnsi="Calibri" w:cs="Calibri"/>
                <w:color w:val="000000"/>
                <w:lang w:val="es-CO" w:eastAsia="es-CO" w:bidi="ar-SA"/>
              </w:rPr>
              <w:t>a DIAN en coordinación con Fiscalía General de la Nación, la Unidad de Información y Análisis Financiero (UIAF), la Superintendencia Financiera y las entidades bancarias del país, en un plazo no mayor a seis (6) meses definirán una hoja de ruta para el intercambio de información pertinente entre estas, para que de esta forma se recopilen los datos necesarios para poder investigar y ejercer control sobre el uso de los recursos, verificar el patrimonio de las personas naturales que hacen aportes a las campañas y que de la misma forma les permita a las autoridades financieras y electorales tener información suficiente para completar los procesos de seguridad.</w:t>
            </w:r>
          </w:p>
        </w:tc>
        <w:tc>
          <w:tcPr>
            <w:tcW w:w="1480" w:type="dxa"/>
            <w:tcBorders>
              <w:top w:val="nil"/>
              <w:left w:val="nil"/>
              <w:bottom w:val="single" w:sz="4" w:space="0" w:color="000000"/>
              <w:right w:val="single" w:sz="4" w:space="0" w:color="000000"/>
            </w:tcBorders>
            <w:shd w:val="clear" w:color="000000" w:fill="FFFFFF"/>
            <w:hideMark/>
          </w:tcPr>
          <w:p w14:paraId="4AA4BBBC" w14:textId="268226BF"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p>
        </w:tc>
      </w:tr>
      <w:tr w:rsidR="00CD4925" w:rsidRPr="00222F34" w14:paraId="6837F17B" w14:textId="77777777" w:rsidTr="00222F34">
        <w:trPr>
          <w:trHeight w:val="3300"/>
        </w:trPr>
        <w:tc>
          <w:tcPr>
            <w:tcW w:w="3798" w:type="dxa"/>
            <w:tcBorders>
              <w:top w:val="nil"/>
              <w:left w:val="single" w:sz="4" w:space="0" w:color="000000"/>
              <w:bottom w:val="nil"/>
              <w:right w:val="single" w:sz="4" w:space="0" w:color="000000"/>
            </w:tcBorders>
            <w:shd w:val="clear" w:color="000000" w:fill="FFFFFF"/>
            <w:hideMark/>
          </w:tcPr>
          <w:p w14:paraId="4F17C7D1"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270. (NUEVO). </w:t>
            </w:r>
            <w:r w:rsidRPr="00222F34">
              <w:rPr>
                <w:rFonts w:ascii="Calibri" w:eastAsia="Times New Roman" w:hAnsi="Calibri" w:cs="Calibri"/>
                <w:color w:val="000000"/>
                <w:lang w:val="es-CO" w:eastAsia="es-CO" w:bidi="ar-SA"/>
              </w:rPr>
              <w:t>Modifíquese el artículo 18 de la Ley 1475 de 2011, el cual quedará así:</w:t>
            </w:r>
          </w:p>
        </w:tc>
        <w:tc>
          <w:tcPr>
            <w:tcW w:w="3798" w:type="dxa"/>
            <w:tcBorders>
              <w:top w:val="nil"/>
              <w:left w:val="nil"/>
              <w:bottom w:val="nil"/>
              <w:right w:val="single" w:sz="4" w:space="0" w:color="000000"/>
            </w:tcBorders>
            <w:shd w:val="clear" w:color="000000" w:fill="FFFFFF"/>
            <w:hideMark/>
          </w:tcPr>
          <w:p w14:paraId="5E59784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272</w:t>
            </w:r>
            <w:r w:rsidRPr="00222F34">
              <w:rPr>
                <w:rFonts w:ascii="Calibri" w:eastAsia="Times New Roman" w:hAnsi="Calibri" w:cs="Calibri"/>
                <w:color w:val="000000"/>
                <w:lang w:val="es-CO" w:eastAsia="es-CO" w:bidi="ar-SA"/>
              </w:rPr>
              <w:t>. Modifíquese el artículo 18 de la Ley 1475 de 2011, el cual quedará así:</w:t>
            </w:r>
          </w:p>
        </w:tc>
        <w:tc>
          <w:tcPr>
            <w:tcW w:w="3798" w:type="dxa"/>
            <w:tcBorders>
              <w:top w:val="nil"/>
              <w:left w:val="nil"/>
              <w:bottom w:val="nil"/>
              <w:right w:val="single" w:sz="4" w:space="0" w:color="000000"/>
            </w:tcBorders>
            <w:shd w:val="clear" w:color="000000" w:fill="FFFFFF"/>
            <w:hideMark/>
          </w:tcPr>
          <w:p w14:paraId="29678C4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272</w:t>
            </w:r>
            <w:r w:rsidRPr="00222F34">
              <w:rPr>
                <w:rFonts w:ascii="Calibri" w:eastAsia="Times New Roman" w:hAnsi="Calibri" w:cs="Calibri"/>
                <w:color w:val="000000"/>
                <w:lang w:val="es-CO" w:eastAsia="es-CO" w:bidi="ar-SA"/>
              </w:rPr>
              <w:t>. Modifíquese el artículo 18 de la Ley 1475 de 2011, el cual quedará así:</w:t>
            </w:r>
          </w:p>
        </w:tc>
        <w:tc>
          <w:tcPr>
            <w:tcW w:w="1480" w:type="dxa"/>
            <w:tcBorders>
              <w:top w:val="nil"/>
              <w:left w:val="nil"/>
              <w:bottom w:val="nil"/>
              <w:right w:val="single" w:sz="4" w:space="0" w:color="000000"/>
            </w:tcBorders>
            <w:shd w:val="clear" w:color="000000" w:fill="FFFFFF"/>
            <w:hideMark/>
          </w:tcPr>
          <w:p w14:paraId="047DC695" w14:textId="4ABCA2E1"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Senado.</w:t>
            </w:r>
            <w:r w:rsidRPr="00222F34">
              <w:rPr>
                <w:rFonts w:ascii="Calibri" w:eastAsia="Times New Roman" w:hAnsi="Calibri" w:cs="Calibri"/>
                <w:color w:val="000000"/>
                <w:lang w:val="es-CO" w:eastAsia="es-CO" w:bidi="ar-SA"/>
              </w:rPr>
              <w:t>, salvo el primer inciso, el numeral 5 del artículo modificado en el que se acoge el texto aprobado en Cámara</w:t>
            </w:r>
          </w:p>
        </w:tc>
      </w:tr>
      <w:tr w:rsidR="00CD4925" w:rsidRPr="00222F34" w14:paraId="2DE9C9A6"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4537F418"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18.  DESTINACIÓN DE LOS RECURSOS. </w:t>
            </w:r>
            <w:r w:rsidRPr="00222F34">
              <w:rPr>
                <w:rFonts w:ascii="Calibri" w:eastAsia="Times New Roman" w:hAnsi="Calibri" w:cs="Calibri"/>
                <w:color w:val="000000"/>
                <w:lang w:val="es-CO" w:eastAsia="es-CO" w:bidi="ar-SA"/>
              </w:rPr>
              <w:t xml:space="preserve">Los recursos provenientes de la financiación estatal se destinarán a financiar las actividades que realicen para el cumplimiento de sus fines y el logro de sus propósitos y, en particular, para las siguientes finalidades, de conformidad con sus planes, programas y proyectos: </w:t>
            </w:r>
          </w:p>
        </w:tc>
        <w:tc>
          <w:tcPr>
            <w:tcW w:w="3798" w:type="dxa"/>
            <w:tcBorders>
              <w:top w:val="nil"/>
              <w:left w:val="nil"/>
              <w:bottom w:val="nil"/>
              <w:right w:val="single" w:sz="4" w:space="0" w:color="000000"/>
            </w:tcBorders>
            <w:shd w:val="clear" w:color="000000" w:fill="FFFFFF"/>
            <w:hideMark/>
          </w:tcPr>
          <w:p w14:paraId="0E9C12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 DESTINACIÓN DE LOS RECURSOS. </w:t>
            </w:r>
            <w:r w:rsidRPr="00222F34">
              <w:rPr>
                <w:rFonts w:ascii="Calibri" w:eastAsia="Times New Roman" w:hAnsi="Calibri" w:cs="Calibri"/>
                <w:color w:val="000000"/>
                <w:lang w:val="es-CO" w:eastAsia="es-CO" w:bidi="ar-SA"/>
              </w:rPr>
              <w:t>Los recursos provenientes de la financiación estatal se destinarán a financiar las actividades que realicen para el cumplimiento de sus fines y el logro de sus propósitos y, en particular, para las siguientes finalidades, de conformidad con los estatutos, plataforma programática, planes, programas y proyectos:</w:t>
            </w:r>
          </w:p>
        </w:tc>
        <w:tc>
          <w:tcPr>
            <w:tcW w:w="3798" w:type="dxa"/>
            <w:tcBorders>
              <w:top w:val="nil"/>
              <w:left w:val="nil"/>
              <w:bottom w:val="nil"/>
              <w:right w:val="single" w:sz="4" w:space="0" w:color="000000"/>
            </w:tcBorders>
            <w:shd w:val="clear" w:color="000000" w:fill="FFFFFF"/>
            <w:hideMark/>
          </w:tcPr>
          <w:p w14:paraId="1481E47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 DESTINACIÓN DE LOS RECURSOS. </w:t>
            </w:r>
            <w:r w:rsidRPr="00222F34">
              <w:rPr>
                <w:rFonts w:ascii="Calibri" w:eastAsia="Times New Roman" w:hAnsi="Calibri" w:cs="Calibri"/>
                <w:color w:val="000000"/>
                <w:lang w:val="es-CO" w:eastAsia="es-CO" w:bidi="ar-SA"/>
              </w:rPr>
              <w:t>Los recursos provenientes de la financiación estatal se destinarán a financiar las actividades que realicen para el cumplimiento de sus fines y el logro de sus propósitos y, en particular, para las siguientes finalidades, de conformidad con los estatutos, plataforma programática, planes, programas y proyectos:</w:t>
            </w:r>
          </w:p>
        </w:tc>
        <w:tc>
          <w:tcPr>
            <w:tcW w:w="1480" w:type="dxa"/>
            <w:tcBorders>
              <w:top w:val="nil"/>
              <w:left w:val="nil"/>
              <w:bottom w:val="nil"/>
              <w:right w:val="single" w:sz="4" w:space="0" w:color="000000"/>
            </w:tcBorders>
            <w:shd w:val="clear" w:color="000000" w:fill="FFFFFF"/>
            <w:hideMark/>
          </w:tcPr>
          <w:p w14:paraId="5626E9F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CFF72F6"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CE9ABE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Para el funcionamiento de sus estructuras regionales, locales y sectoriales.</w:t>
            </w:r>
          </w:p>
        </w:tc>
        <w:tc>
          <w:tcPr>
            <w:tcW w:w="3798" w:type="dxa"/>
            <w:tcBorders>
              <w:top w:val="nil"/>
              <w:left w:val="nil"/>
              <w:bottom w:val="nil"/>
              <w:right w:val="single" w:sz="4" w:space="0" w:color="000000"/>
            </w:tcBorders>
            <w:shd w:val="clear" w:color="000000" w:fill="FFFFFF"/>
            <w:hideMark/>
          </w:tcPr>
          <w:p w14:paraId="2B7401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Para el funcionamiento de sus estructuras regionales, locales y sectoriales.</w:t>
            </w:r>
          </w:p>
        </w:tc>
        <w:tc>
          <w:tcPr>
            <w:tcW w:w="3798" w:type="dxa"/>
            <w:tcBorders>
              <w:top w:val="nil"/>
              <w:left w:val="nil"/>
              <w:bottom w:val="nil"/>
              <w:right w:val="single" w:sz="4" w:space="0" w:color="000000"/>
            </w:tcBorders>
            <w:shd w:val="clear" w:color="000000" w:fill="FFFFFF"/>
            <w:hideMark/>
          </w:tcPr>
          <w:p w14:paraId="1C64A41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Para el funcionamiento de sus estructuras regionales, locales y sectoriales.</w:t>
            </w:r>
          </w:p>
        </w:tc>
        <w:tc>
          <w:tcPr>
            <w:tcW w:w="1480" w:type="dxa"/>
            <w:tcBorders>
              <w:top w:val="nil"/>
              <w:left w:val="nil"/>
              <w:bottom w:val="nil"/>
              <w:right w:val="single" w:sz="4" w:space="0" w:color="000000"/>
            </w:tcBorders>
            <w:shd w:val="clear" w:color="000000" w:fill="FFFFFF"/>
            <w:hideMark/>
          </w:tcPr>
          <w:p w14:paraId="5BF83B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07D087D"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EEA3B8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la inclusión efectiva de mujeres, jóvenes y minorías étnicas en el proceso político.</w:t>
            </w:r>
          </w:p>
        </w:tc>
        <w:tc>
          <w:tcPr>
            <w:tcW w:w="3798" w:type="dxa"/>
            <w:tcBorders>
              <w:top w:val="nil"/>
              <w:left w:val="nil"/>
              <w:bottom w:val="nil"/>
              <w:right w:val="single" w:sz="4" w:space="0" w:color="000000"/>
            </w:tcBorders>
            <w:shd w:val="clear" w:color="000000" w:fill="FFFFFF"/>
            <w:hideMark/>
          </w:tcPr>
          <w:p w14:paraId="0AF9B28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la inclusión efectiva de mujeres, jóvenes, personas trans y no binarias y minorías étnicas en el proceso político.</w:t>
            </w:r>
          </w:p>
        </w:tc>
        <w:tc>
          <w:tcPr>
            <w:tcW w:w="3798" w:type="dxa"/>
            <w:tcBorders>
              <w:top w:val="nil"/>
              <w:left w:val="nil"/>
              <w:bottom w:val="nil"/>
              <w:right w:val="single" w:sz="4" w:space="0" w:color="000000"/>
            </w:tcBorders>
            <w:shd w:val="clear" w:color="000000" w:fill="FFFFFF"/>
            <w:hideMark/>
          </w:tcPr>
          <w:p w14:paraId="2842F01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la inclusión efectiva de mujeres, jóvenes y minorías étnicas en el proceso político.</w:t>
            </w:r>
          </w:p>
        </w:tc>
        <w:tc>
          <w:tcPr>
            <w:tcW w:w="1480" w:type="dxa"/>
            <w:tcBorders>
              <w:top w:val="nil"/>
              <w:left w:val="nil"/>
              <w:bottom w:val="nil"/>
              <w:right w:val="single" w:sz="4" w:space="0" w:color="000000"/>
            </w:tcBorders>
            <w:shd w:val="clear" w:color="000000" w:fill="FFFFFF"/>
            <w:hideMark/>
          </w:tcPr>
          <w:p w14:paraId="2B0240C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68C5E6D" w14:textId="77777777" w:rsidTr="00222F34">
        <w:trPr>
          <w:trHeight w:val="600"/>
        </w:trPr>
        <w:tc>
          <w:tcPr>
            <w:tcW w:w="3798" w:type="dxa"/>
            <w:tcBorders>
              <w:top w:val="nil"/>
              <w:left w:val="single" w:sz="4" w:space="0" w:color="000000"/>
              <w:bottom w:val="nil"/>
              <w:right w:val="single" w:sz="4" w:space="0" w:color="000000"/>
            </w:tcBorders>
            <w:shd w:val="clear" w:color="000000" w:fill="FFFFFF"/>
            <w:hideMark/>
          </w:tcPr>
          <w:p w14:paraId="27BB5B3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3. Para el funcionamiento de los centros y fundaciones de estudio, investigación y capacitación.</w:t>
            </w:r>
          </w:p>
        </w:tc>
        <w:tc>
          <w:tcPr>
            <w:tcW w:w="3798" w:type="dxa"/>
            <w:tcBorders>
              <w:top w:val="nil"/>
              <w:left w:val="nil"/>
              <w:bottom w:val="nil"/>
              <w:right w:val="single" w:sz="4" w:space="0" w:color="000000"/>
            </w:tcBorders>
            <w:shd w:val="clear" w:color="000000" w:fill="FFFFFF"/>
            <w:hideMark/>
          </w:tcPr>
          <w:p w14:paraId="59A7CCA2"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Para el funcionamiento de los centros y fundaciones de estudio, investigación y capacitación.</w:t>
            </w:r>
          </w:p>
        </w:tc>
        <w:tc>
          <w:tcPr>
            <w:tcW w:w="3798" w:type="dxa"/>
            <w:tcBorders>
              <w:top w:val="nil"/>
              <w:left w:val="nil"/>
              <w:bottom w:val="nil"/>
              <w:right w:val="single" w:sz="4" w:space="0" w:color="000000"/>
            </w:tcBorders>
            <w:shd w:val="clear" w:color="000000" w:fill="FFFFFF"/>
            <w:hideMark/>
          </w:tcPr>
          <w:p w14:paraId="156259C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Para el funcionamiento de los centros y fundaciones de estudio, investigación y capacitación.</w:t>
            </w:r>
          </w:p>
        </w:tc>
        <w:tc>
          <w:tcPr>
            <w:tcW w:w="1480" w:type="dxa"/>
            <w:tcBorders>
              <w:top w:val="nil"/>
              <w:left w:val="nil"/>
              <w:bottom w:val="nil"/>
              <w:right w:val="single" w:sz="4" w:space="0" w:color="000000"/>
            </w:tcBorders>
            <w:shd w:val="clear" w:color="000000" w:fill="FFFFFF"/>
            <w:hideMark/>
          </w:tcPr>
          <w:p w14:paraId="791A71C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79CB475"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520F41C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Para dar apoyo y asistencia a sus bancadas.</w:t>
            </w:r>
          </w:p>
        </w:tc>
        <w:tc>
          <w:tcPr>
            <w:tcW w:w="3798" w:type="dxa"/>
            <w:tcBorders>
              <w:top w:val="nil"/>
              <w:left w:val="nil"/>
              <w:bottom w:val="nil"/>
              <w:right w:val="single" w:sz="4" w:space="0" w:color="000000"/>
            </w:tcBorders>
            <w:shd w:val="clear" w:color="000000" w:fill="FFFFFF"/>
            <w:hideMark/>
          </w:tcPr>
          <w:p w14:paraId="2E5C5D3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Para dar apoyo y asistencia a sus bancadas.</w:t>
            </w:r>
          </w:p>
        </w:tc>
        <w:tc>
          <w:tcPr>
            <w:tcW w:w="3798" w:type="dxa"/>
            <w:tcBorders>
              <w:top w:val="nil"/>
              <w:left w:val="nil"/>
              <w:bottom w:val="nil"/>
              <w:right w:val="single" w:sz="4" w:space="0" w:color="000000"/>
            </w:tcBorders>
            <w:shd w:val="clear" w:color="000000" w:fill="FFFFFF"/>
            <w:hideMark/>
          </w:tcPr>
          <w:p w14:paraId="2871F27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Para dar apoyo y asistencia a sus bancadas.</w:t>
            </w:r>
          </w:p>
        </w:tc>
        <w:tc>
          <w:tcPr>
            <w:tcW w:w="1480" w:type="dxa"/>
            <w:tcBorders>
              <w:top w:val="nil"/>
              <w:left w:val="nil"/>
              <w:bottom w:val="nil"/>
              <w:right w:val="single" w:sz="4" w:space="0" w:color="000000"/>
            </w:tcBorders>
            <w:shd w:val="clear" w:color="000000" w:fill="FFFFFF"/>
            <w:hideMark/>
          </w:tcPr>
          <w:p w14:paraId="366F51A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5AA4C01A"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01C3D43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Para cursos de formación y capacitación política y electoral.</w:t>
            </w:r>
          </w:p>
        </w:tc>
        <w:tc>
          <w:tcPr>
            <w:tcW w:w="3798" w:type="dxa"/>
            <w:tcBorders>
              <w:top w:val="nil"/>
              <w:left w:val="nil"/>
              <w:bottom w:val="nil"/>
              <w:right w:val="single" w:sz="4" w:space="0" w:color="000000"/>
            </w:tcBorders>
            <w:shd w:val="clear" w:color="000000" w:fill="FFFFFF"/>
            <w:hideMark/>
          </w:tcPr>
          <w:p w14:paraId="50B0B7B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Para educación, formación y capacitación política y electoral.</w:t>
            </w:r>
          </w:p>
        </w:tc>
        <w:tc>
          <w:tcPr>
            <w:tcW w:w="3798" w:type="dxa"/>
            <w:tcBorders>
              <w:top w:val="nil"/>
              <w:left w:val="nil"/>
              <w:bottom w:val="nil"/>
              <w:right w:val="single" w:sz="4" w:space="0" w:color="000000"/>
            </w:tcBorders>
            <w:shd w:val="clear" w:color="000000" w:fill="FFFFFF"/>
            <w:hideMark/>
          </w:tcPr>
          <w:p w14:paraId="2684C5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Para educación, formación y capacitación política y electoral.</w:t>
            </w:r>
          </w:p>
        </w:tc>
        <w:tc>
          <w:tcPr>
            <w:tcW w:w="1480" w:type="dxa"/>
            <w:tcBorders>
              <w:top w:val="nil"/>
              <w:left w:val="nil"/>
              <w:bottom w:val="nil"/>
              <w:right w:val="single" w:sz="4" w:space="0" w:color="000000"/>
            </w:tcBorders>
            <w:shd w:val="clear" w:color="000000" w:fill="FFFFFF"/>
            <w:hideMark/>
          </w:tcPr>
          <w:p w14:paraId="4EA2E7D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A44EAC7"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7D6A8A9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Para la divulgación de sus programas y propuestas políticas.</w:t>
            </w:r>
          </w:p>
        </w:tc>
        <w:tc>
          <w:tcPr>
            <w:tcW w:w="3798" w:type="dxa"/>
            <w:tcBorders>
              <w:top w:val="nil"/>
              <w:left w:val="nil"/>
              <w:bottom w:val="nil"/>
              <w:right w:val="single" w:sz="4" w:space="0" w:color="000000"/>
            </w:tcBorders>
            <w:shd w:val="clear" w:color="000000" w:fill="FFFFFF"/>
            <w:hideMark/>
          </w:tcPr>
          <w:p w14:paraId="7B53F1A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Para la divulgación de sus programas y propuestas políticas.</w:t>
            </w:r>
          </w:p>
        </w:tc>
        <w:tc>
          <w:tcPr>
            <w:tcW w:w="3798" w:type="dxa"/>
            <w:tcBorders>
              <w:top w:val="nil"/>
              <w:left w:val="nil"/>
              <w:bottom w:val="nil"/>
              <w:right w:val="single" w:sz="4" w:space="0" w:color="000000"/>
            </w:tcBorders>
            <w:shd w:val="clear" w:color="000000" w:fill="FFFFFF"/>
            <w:hideMark/>
          </w:tcPr>
          <w:p w14:paraId="5E6AD7C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Para la divulgación de sus programas y propuestas políticas.</w:t>
            </w:r>
          </w:p>
        </w:tc>
        <w:tc>
          <w:tcPr>
            <w:tcW w:w="1480" w:type="dxa"/>
            <w:tcBorders>
              <w:top w:val="nil"/>
              <w:left w:val="nil"/>
              <w:bottom w:val="nil"/>
              <w:right w:val="single" w:sz="4" w:space="0" w:color="000000"/>
            </w:tcBorders>
            <w:shd w:val="clear" w:color="000000" w:fill="FFFFFF"/>
            <w:hideMark/>
          </w:tcPr>
          <w:p w14:paraId="43E3EE9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35EDC2F" w14:textId="77777777" w:rsidTr="00222F34">
        <w:trPr>
          <w:trHeight w:val="300"/>
        </w:trPr>
        <w:tc>
          <w:tcPr>
            <w:tcW w:w="3798" w:type="dxa"/>
            <w:tcBorders>
              <w:top w:val="nil"/>
              <w:left w:val="single" w:sz="4" w:space="0" w:color="000000"/>
              <w:bottom w:val="nil"/>
              <w:right w:val="single" w:sz="4" w:space="0" w:color="000000"/>
            </w:tcBorders>
            <w:shd w:val="clear" w:color="000000" w:fill="FFFFFF"/>
            <w:hideMark/>
          </w:tcPr>
          <w:p w14:paraId="60EF988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Para el ejercicio de mecanismos de democracia interna previstos en sus estatutos.</w:t>
            </w:r>
          </w:p>
        </w:tc>
        <w:tc>
          <w:tcPr>
            <w:tcW w:w="3798" w:type="dxa"/>
            <w:tcBorders>
              <w:top w:val="nil"/>
              <w:left w:val="nil"/>
              <w:bottom w:val="nil"/>
              <w:right w:val="single" w:sz="4" w:space="0" w:color="000000"/>
            </w:tcBorders>
            <w:shd w:val="clear" w:color="000000" w:fill="FFFFFF"/>
            <w:hideMark/>
          </w:tcPr>
          <w:p w14:paraId="62BC454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Para el ejercicio de mecanismos de democracia interna previstos en sus estatutos.</w:t>
            </w:r>
          </w:p>
        </w:tc>
        <w:tc>
          <w:tcPr>
            <w:tcW w:w="3798" w:type="dxa"/>
            <w:tcBorders>
              <w:top w:val="nil"/>
              <w:left w:val="nil"/>
              <w:bottom w:val="nil"/>
              <w:right w:val="single" w:sz="4" w:space="0" w:color="000000"/>
            </w:tcBorders>
            <w:shd w:val="clear" w:color="000000" w:fill="FFFFFF"/>
            <w:hideMark/>
          </w:tcPr>
          <w:p w14:paraId="6BBA3F0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Para el ejercicio de mecanismos de democracia interna previstos en sus estatutos.</w:t>
            </w:r>
          </w:p>
        </w:tc>
        <w:tc>
          <w:tcPr>
            <w:tcW w:w="1480" w:type="dxa"/>
            <w:tcBorders>
              <w:top w:val="nil"/>
              <w:left w:val="nil"/>
              <w:bottom w:val="nil"/>
              <w:right w:val="single" w:sz="4" w:space="0" w:color="000000"/>
            </w:tcBorders>
            <w:shd w:val="clear" w:color="000000" w:fill="FFFFFF"/>
            <w:hideMark/>
          </w:tcPr>
          <w:p w14:paraId="6311F7D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23A825C" w14:textId="77777777" w:rsidTr="00222F34">
        <w:trPr>
          <w:trHeight w:val="2100"/>
        </w:trPr>
        <w:tc>
          <w:tcPr>
            <w:tcW w:w="3798" w:type="dxa"/>
            <w:tcBorders>
              <w:top w:val="nil"/>
              <w:left w:val="single" w:sz="4" w:space="0" w:color="000000"/>
              <w:bottom w:val="nil"/>
              <w:right w:val="single" w:sz="4" w:space="0" w:color="000000"/>
            </w:tcBorders>
            <w:shd w:val="clear" w:color="000000" w:fill="FFFFFF"/>
            <w:hideMark/>
          </w:tcPr>
          <w:p w14:paraId="2931DD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para las actividades de sus centros de pensamiento, la realización de cursos de formación y capacitación política y electoral, y para la inclusión efectiva de jóvenes, mujeres y minorías étnicas en el proceso político, los partidos y movimientos destinarán en sus presupuestos anuales una suma no inferior al quince por ciento (15%) de los aportes estatales que le correspondieren.  En lo específico a la inclusión efectiva de mujeres en el proceso político, la destinación no podrá ser inferior al 3%.</w:t>
            </w:r>
          </w:p>
        </w:tc>
        <w:tc>
          <w:tcPr>
            <w:tcW w:w="3798" w:type="dxa"/>
            <w:tcBorders>
              <w:top w:val="nil"/>
              <w:left w:val="nil"/>
              <w:bottom w:val="nil"/>
              <w:right w:val="single" w:sz="4" w:space="0" w:color="000000"/>
            </w:tcBorders>
            <w:shd w:val="clear" w:color="000000" w:fill="FFFFFF"/>
            <w:hideMark/>
          </w:tcPr>
          <w:p w14:paraId="79087D1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para las actividades de sus centros de pensamiento, la formación y capacitación política y electoral, y para la inclusión efectiva de jóvenes, mujeres, personas trans, no binarias y minorías étnicas en el proceso político, los partidos y movimientos destinarán en sus presupuestos anuales una suma no inferior al quince por ciento (15%) de los aportes estatales que le correspondieren. En lo específico a la inclusión efectiva de mujeres en el proceso político, la destinación no podrá ser inferior al 3%.</w:t>
            </w:r>
          </w:p>
        </w:tc>
        <w:tc>
          <w:tcPr>
            <w:tcW w:w="3798" w:type="dxa"/>
            <w:tcBorders>
              <w:top w:val="nil"/>
              <w:left w:val="nil"/>
              <w:bottom w:val="nil"/>
              <w:right w:val="single" w:sz="4" w:space="0" w:color="000000"/>
            </w:tcBorders>
            <w:shd w:val="clear" w:color="000000" w:fill="FFFFFF"/>
            <w:hideMark/>
          </w:tcPr>
          <w:p w14:paraId="55B36A5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para las actividades de sus centros de pensamiento, la realización de cursos de formación y capacitación política y electoral, y para la inclusión efectiva de jóvenes, mujeres y minorías étnicas en el proceso político, los partidos y movimientos destinarán en sus presupuestos anuales una suma no inferior al quince por ciento (15%) de los aportes estatales que le correspondieren.  En lo específico a la inclusión efectiva de mujeres en el proceso político, la destinación no podrá ser inferior al 3%.</w:t>
            </w:r>
          </w:p>
        </w:tc>
        <w:tc>
          <w:tcPr>
            <w:tcW w:w="1480" w:type="dxa"/>
            <w:tcBorders>
              <w:top w:val="nil"/>
              <w:left w:val="nil"/>
              <w:bottom w:val="nil"/>
              <w:right w:val="single" w:sz="4" w:space="0" w:color="000000"/>
            </w:tcBorders>
            <w:shd w:val="clear" w:color="000000" w:fill="FFFFFF"/>
            <w:hideMark/>
          </w:tcPr>
          <w:p w14:paraId="5F037208"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76F8A34"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39A7DB0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tc>
        <w:tc>
          <w:tcPr>
            <w:tcW w:w="3798" w:type="dxa"/>
            <w:tcBorders>
              <w:top w:val="nil"/>
              <w:left w:val="nil"/>
              <w:bottom w:val="nil"/>
              <w:right w:val="single" w:sz="4" w:space="0" w:color="000000"/>
            </w:tcBorders>
            <w:shd w:val="clear" w:color="000000" w:fill="FFFFFF"/>
            <w:hideMark/>
          </w:tcPr>
          <w:p w14:paraId="7789E8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tc>
        <w:tc>
          <w:tcPr>
            <w:tcW w:w="3798" w:type="dxa"/>
            <w:tcBorders>
              <w:top w:val="nil"/>
              <w:left w:val="nil"/>
              <w:bottom w:val="nil"/>
              <w:right w:val="single" w:sz="4" w:space="0" w:color="000000"/>
            </w:tcBorders>
            <w:shd w:val="clear" w:color="000000" w:fill="FFFFFF"/>
            <w:hideMark/>
          </w:tcPr>
          <w:p w14:paraId="00B854C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tc>
        <w:tc>
          <w:tcPr>
            <w:tcW w:w="1480" w:type="dxa"/>
            <w:tcBorders>
              <w:top w:val="nil"/>
              <w:left w:val="nil"/>
              <w:bottom w:val="nil"/>
              <w:right w:val="single" w:sz="4" w:space="0" w:color="000000"/>
            </w:tcBorders>
            <w:shd w:val="clear" w:color="000000" w:fill="FFFFFF"/>
            <w:hideMark/>
          </w:tcPr>
          <w:p w14:paraId="3A987FE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1D09A7BE" w14:textId="77777777" w:rsidTr="00917B55">
        <w:trPr>
          <w:trHeight w:val="2617"/>
        </w:trPr>
        <w:tc>
          <w:tcPr>
            <w:tcW w:w="3798" w:type="dxa"/>
            <w:tcBorders>
              <w:top w:val="nil"/>
              <w:left w:val="single" w:sz="4" w:space="0" w:color="000000"/>
              <w:bottom w:val="single" w:sz="4" w:space="0" w:color="000000"/>
              <w:right w:val="single" w:sz="4" w:space="0" w:color="000000"/>
            </w:tcBorders>
            <w:shd w:val="clear" w:color="000000" w:fill="FFFFFF"/>
            <w:hideMark/>
          </w:tcPr>
          <w:p w14:paraId="5D159E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una de las actividades que se deben realizar para el cumplimiento de los fines y el logro de los propósitos de las colectividades, deberá adoptarse el principio de paridad como tema de formación.</w:t>
            </w:r>
          </w:p>
        </w:tc>
        <w:tc>
          <w:tcPr>
            <w:tcW w:w="3798" w:type="dxa"/>
            <w:tcBorders>
              <w:top w:val="nil"/>
              <w:left w:val="nil"/>
              <w:bottom w:val="single" w:sz="4" w:space="0" w:color="000000"/>
              <w:right w:val="single" w:sz="4" w:space="0" w:color="000000"/>
            </w:tcBorders>
            <w:shd w:val="clear" w:color="000000" w:fill="FFFFFF"/>
            <w:hideMark/>
          </w:tcPr>
          <w:p w14:paraId="2162AB9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una de las actividades que se deben realizar para el cumplimiento de los fines y el logro de los propósitos de las colectividades, deberá adoptarse el principio de paridad como tema de formación.</w:t>
            </w:r>
          </w:p>
        </w:tc>
        <w:tc>
          <w:tcPr>
            <w:tcW w:w="3798" w:type="dxa"/>
            <w:tcBorders>
              <w:top w:val="nil"/>
              <w:left w:val="nil"/>
              <w:bottom w:val="single" w:sz="4" w:space="0" w:color="000000"/>
              <w:right w:val="single" w:sz="4" w:space="0" w:color="000000"/>
            </w:tcBorders>
            <w:shd w:val="clear" w:color="000000" w:fill="FFFFFF"/>
            <w:hideMark/>
          </w:tcPr>
          <w:p w14:paraId="0F90759C" w14:textId="77777777" w:rsidR="00CD4925"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una de las actividades que se deben realizar para el cumplimiento de los fines y el logro de los propósitos de las colectividades, deberá adoptarse el principio de paridad como tema de formación.</w:t>
            </w:r>
          </w:p>
          <w:p w14:paraId="615CDDD9" w14:textId="5B741683" w:rsidR="00917B55" w:rsidRPr="00222F34" w:rsidRDefault="00917B55" w:rsidP="00CD4925">
            <w:pPr>
              <w:widowControl/>
              <w:autoSpaceDE/>
              <w:autoSpaceDN/>
              <w:jc w:val="left"/>
              <w:rPr>
                <w:rFonts w:ascii="Calibri" w:eastAsia="Times New Roman" w:hAnsi="Calibri" w:cs="Calibri"/>
                <w:color w:val="000000"/>
                <w:lang w:val="es-CO" w:eastAsia="es-CO" w:bidi="ar-SA"/>
              </w:rPr>
            </w:pPr>
          </w:p>
        </w:tc>
        <w:tc>
          <w:tcPr>
            <w:tcW w:w="1480" w:type="dxa"/>
            <w:tcBorders>
              <w:top w:val="nil"/>
              <w:left w:val="nil"/>
              <w:bottom w:val="single" w:sz="4" w:space="0" w:color="000000"/>
              <w:right w:val="single" w:sz="4" w:space="0" w:color="000000"/>
            </w:tcBorders>
            <w:shd w:val="clear" w:color="000000" w:fill="FFFFFF"/>
            <w:hideMark/>
          </w:tcPr>
          <w:p w14:paraId="42B7B78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18948CB"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1674DFB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70556A46" w14:textId="77777777" w:rsidR="00917B55" w:rsidRDefault="00917B55" w:rsidP="00CD4925">
            <w:pPr>
              <w:widowControl/>
              <w:autoSpaceDE/>
              <w:autoSpaceDN/>
              <w:jc w:val="center"/>
              <w:rPr>
                <w:rFonts w:ascii="Calibri" w:eastAsia="Times New Roman" w:hAnsi="Calibri" w:cs="Calibri"/>
                <w:b/>
                <w:bCs/>
                <w:color w:val="000000"/>
                <w:lang w:val="es-CO" w:eastAsia="es-CO" w:bidi="ar-SA"/>
              </w:rPr>
            </w:pPr>
          </w:p>
          <w:p w14:paraId="1CB84CF3" w14:textId="4BFE281B"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XI</w:t>
            </w:r>
          </w:p>
        </w:tc>
        <w:tc>
          <w:tcPr>
            <w:tcW w:w="3798" w:type="dxa"/>
            <w:tcBorders>
              <w:top w:val="nil"/>
              <w:left w:val="nil"/>
              <w:bottom w:val="nil"/>
              <w:right w:val="single" w:sz="4" w:space="0" w:color="000000"/>
            </w:tcBorders>
            <w:shd w:val="clear" w:color="000000" w:fill="FFFFFF"/>
            <w:hideMark/>
          </w:tcPr>
          <w:p w14:paraId="23BA7045" w14:textId="77777777" w:rsidR="00917B55" w:rsidRDefault="00917B55" w:rsidP="00CD4925">
            <w:pPr>
              <w:widowControl/>
              <w:autoSpaceDE/>
              <w:autoSpaceDN/>
              <w:jc w:val="center"/>
              <w:rPr>
                <w:rFonts w:ascii="Calibri" w:eastAsia="Times New Roman" w:hAnsi="Calibri" w:cs="Calibri"/>
                <w:b/>
                <w:bCs/>
                <w:color w:val="000000"/>
                <w:lang w:val="es-CO" w:eastAsia="es-CO" w:bidi="ar-SA"/>
              </w:rPr>
            </w:pPr>
          </w:p>
          <w:p w14:paraId="656CC058" w14:textId="0F5DFCDD"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XI</w:t>
            </w:r>
          </w:p>
        </w:tc>
        <w:tc>
          <w:tcPr>
            <w:tcW w:w="1480" w:type="dxa"/>
            <w:tcBorders>
              <w:top w:val="nil"/>
              <w:left w:val="nil"/>
              <w:bottom w:val="nil"/>
              <w:right w:val="single" w:sz="4" w:space="0" w:color="000000"/>
            </w:tcBorders>
            <w:shd w:val="clear" w:color="000000" w:fill="FFFFFF"/>
            <w:hideMark/>
          </w:tcPr>
          <w:p w14:paraId="181BE768" w14:textId="20D3BDDD" w:rsidR="00CD4925" w:rsidRPr="00222F34" w:rsidRDefault="00CD4925" w:rsidP="00917B5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w:t>
            </w:r>
            <w:r>
              <w:rPr>
                <w:rFonts w:ascii="Calibri" w:eastAsia="Times New Roman" w:hAnsi="Calibri" w:cs="Calibri"/>
                <w:color w:val="000000"/>
                <w:lang w:val="es-CO" w:eastAsia="es-CO" w:bidi="ar-SA"/>
              </w:rPr>
              <w:t>acoge texto de Cámara</w:t>
            </w:r>
          </w:p>
        </w:tc>
      </w:tr>
      <w:tr w:rsidR="00CD4925" w:rsidRPr="00222F34" w14:paraId="6F49E8B9" w14:textId="77777777" w:rsidTr="00917B55">
        <w:trPr>
          <w:trHeight w:val="1505"/>
        </w:trPr>
        <w:tc>
          <w:tcPr>
            <w:tcW w:w="3798" w:type="dxa"/>
            <w:tcBorders>
              <w:top w:val="nil"/>
              <w:left w:val="single" w:sz="4" w:space="0" w:color="000000"/>
              <w:bottom w:val="single" w:sz="4" w:space="0" w:color="000000"/>
              <w:right w:val="single" w:sz="4" w:space="0" w:color="000000"/>
            </w:tcBorders>
            <w:shd w:val="clear" w:color="000000" w:fill="FFFFFF"/>
            <w:hideMark/>
          </w:tcPr>
          <w:p w14:paraId="0ABA363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000000" w:fill="FFFFFF"/>
            <w:hideMark/>
          </w:tcPr>
          <w:p w14:paraId="24BEA4BD"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REMISIÓN NORMATIVA, DEROGATORIA Y VIGENCIA</w:t>
            </w:r>
          </w:p>
        </w:tc>
        <w:tc>
          <w:tcPr>
            <w:tcW w:w="3798" w:type="dxa"/>
            <w:tcBorders>
              <w:top w:val="nil"/>
              <w:left w:val="nil"/>
              <w:bottom w:val="single" w:sz="4" w:space="0" w:color="000000"/>
              <w:right w:val="single" w:sz="4" w:space="0" w:color="000000"/>
            </w:tcBorders>
            <w:shd w:val="clear" w:color="000000" w:fill="FFFFFF"/>
            <w:hideMark/>
          </w:tcPr>
          <w:p w14:paraId="40C2B3F3" w14:textId="77777777" w:rsidR="00CD4925" w:rsidRPr="00222F34" w:rsidRDefault="00CD4925" w:rsidP="00CD4925">
            <w:pPr>
              <w:widowControl/>
              <w:autoSpaceDE/>
              <w:autoSpaceDN/>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REMISIÓN NORMATIVA, DEROGATORIA Y VIGENCIA</w:t>
            </w:r>
          </w:p>
        </w:tc>
        <w:tc>
          <w:tcPr>
            <w:tcW w:w="1480" w:type="dxa"/>
            <w:tcBorders>
              <w:top w:val="nil"/>
              <w:left w:val="nil"/>
              <w:bottom w:val="single" w:sz="4" w:space="0" w:color="000000"/>
              <w:right w:val="single" w:sz="4" w:space="0" w:color="000000"/>
            </w:tcBorders>
            <w:shd w:val="clear" w:color="000000" w:fill="FFFFFF"/>
            <w:hideMark/>
          </w:tcPr>
          <w:p w14:paraId="087E45D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FC88117" w14:textId="77777777" w:rsidTr="00917B55">
        <w:trPr>
          <w:trHeight w:val="3497"/>
        </w:trPr>
        <w:tc>
          <w:tcPr>
            <w:tcW w:w="3798" w:type="dxa"/>
            <w:tcBorders>
              <w:top w:val="nil"/>
              <w:left w:val="single" w:sz="4" w:space="0" w:color="000000"/>
              <w:bottom w:val="single" w:sz="4" w:space="0" w:color="000000"/>
              <w:right w:val="single" w:sz="4" w:space="0" w:color="000000"/>
            </w:tcBorders>
            <w:shd w:val="clear" w:color="000000" w:fill="FFFFFF"/>
            <w:hideMark/>
          </w:tcPr>
          <w:p w14:paraId="0171F414"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265.- Remisión normativa.</w:t>
            </w:r>
            <w:r w:rsidRPr="00222F34">
              <w:rPr>
                <w:rFonts w:ascii="Calibri" w:eastAsia="Times New Roman" w:hAnsi="Calibri" w:cs="Calibri"/>
                <w:color w:val="000000"/>
                <w:lang w:val="es-CO" w:eastAsia="es-CO" w:bidi="ar-SA"/>
              </w:rPr>
              <w:t xml:space="preserve"> 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 </w:t>
            </w:r>
          </w:p>
        </w:tc>
        <w:tc>
          <w:tcPr>
            <w:tcW w:w="3798" w:type="dxa"/>
            <w:tcBorders>
              <w:top w:val="nil"/>
              <w:left w:val="nil"/>
              <w:bottom w:val="single" w:sz="4" w:space="0" w:color="000000"/>
              <w:right w:val="single" w:sz="4" w:space="0" w:color="000000"/>
            </w:tcBorders>
            <w:shd w:val="clear" w:color="000000" w:fill="FFFFFF"/>
            <w:hideMark/>
          </w:tcPr>
          <w:p w14:paraId="0BAD41E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273.- Remisión normativa.</w:t>
            </w:r>
            <w:r w:rsidRPr="00222F34">
              <w:rPr>
                <w:rFonts w:ascii="Calibri" w:eastAsia="Times New Roman" w:hAnsi="Calibri" w:cs="Calibri"/>
                <w:color w:val="000000"/>
                <w:lang w:val="es-CO" w:eastAsia="es-CO" w:bidi="ar-SA"/>
              </w:rPr>
              <w:t xml:space="preserve"> 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w:t>
            </w:r>
          </w:p>
        </w:tc>
        <w:tc>
          <w:tcPr>
            <w:tcW w:w="3798" w:type="dxa"/>
            <w:tcBorders>
              <w:top w:val="nil"/>
              <w:left w:val="nil"/>
              <w:bottom w:val="single" w:sz="4" w:space="0" w:color="000000"/>
              <w:right w:val="single" w:sz="4" w:space="0" w:color="000000"/>
            </w:tcBorders>
            <w:shd w:val="clear" w:color="000000" w:fill="FFFFFF"/>
            <w:hideMark/>
          </w:tcPr>
          <w:p w14:paraId="10C66CA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273.- Remisión normativa.</w:t>
            </w:r>
            <w:r w:rsidRPr="00222F34">
              <w:rPr>
                <w:rFonts w:ascii="Calibri" w:eastAsia="Times New Roman" w:hAnsi="Calibri" w:cs="Calibri"/>
                <w:color w:val="000000"/>
                <w:lang w:val="es-CO" w:eastAsia="es-CO" w:bidi="ar-SA"/>
              </w:rPr>
              <w:t xml:space="preserve"> 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w:t>
            </w:r>
          </w:p>
        </w:tc>
        <w:tc>
          <w:tcPr>
            <w:tcW w:w="1480" w:type="dxa"/>
            <w:tcBorders>
              <w:top w:val="nil"/>
              <w:left w:val="nil"/>
              <w:bottom w:val="single" w:sz="4" w:space="0" w:color="000000"/>
              <w:right w:val="single" w:sz="4" w:space="0" w:color="000000"/>
            </w:tcBorders>
            <w:shd w:val="clear" w:color="000000" w:fill="FFFFFF"/>
            <w:hideMark/>
          </w:tcPr>
          <w:p w14:paraId="2742FBF4" w14:textId="390A3182" w:rsidR="00CD4925" w:rsidRPr="00222F34" w:rsidRDefault="00CD4925" w:rsidP="00917B5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w:t>
            </w:r>
            <w:r>
              <w:rPr>
                <w:rFonts w:ascii="Calibri" w:eastAsia="Times New Roman" w:hAnsi="Calibri" w:cs="Calibri"/>
                <w:color w:val="000000"/>
                <w:lang w:val="es-CO" w:eastAsia="es-CO" w:bidi="ar-SA"/>
              </w:rPr>
              <w:t>acoge texto de Senado.</w:t>
            </w:r>
          </w:p>
        </w:tc>
      </w:tr>
      <w:tr w:rsidR="00CD4925" w:rsidRPr="00222F34" w14:paraId="4B027615" w14:textId="77777777" w:rsidTr="00D601B2">
        <w:trPr>
          <w:trHeight w:val="2683"/>
        </w:trPr>
        <w:tc>
          <w:tcPr>
            <w:tcW w:w="3798" w:type="dxa"/>
            <w:tcBorders>
              <w:top w:val="nil"/>
              <w:left w:val="single" w:sz="4" w:space="0" w:color="000000"/>
              <w:bottom w:val="single" w:sz="4" w:space="0" w:color="auto"/>
              <w:right w:val="single" w:sz="4" w:space="0" w:color="000000"/>
            </w:tcBorders>
            <w:shd w:val="clear" w:color="000000" w:fill="FFFFFF"/>
            <w:hideMark/>
          </w:tcPr>
          <w:p w14:paraId="5A0D2F73" w14:textId="77777777" w:rsidR="00CD4925" w:rsidRPr="00222F34" w:rsidRDefault="00CD4925" w:rsidP="00CD4925">
            <w:pPr>
              <w:widowControl/>
              <w:autoSpaceDE/>
              <w:autoSpaceDN/>
              <w:jc w:val="left"/>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266.- Régimen de transición.</w:t>
            </w:r>
            <w:r w:rsidRPr="00222F34">
              <w:rPr>
                <w:rFonts w:ascii="Calibri" w:eastAsia="Times New Roman" w:hAnsi="Calibri" w:cs="Calibri"/>
                <w:color w:val="000000"/>
                <w:lang w:val="es-CO" w:eastAsia="es-CO" w:bidi="ar-SA"/>
              </w:rPr>
              <w:t xml:space="preserve"> Los partidos y movimientos políticos con personería jurídica tendrán dos años a partir de la entrada en vigencia de la presente ley para ajustar sus estatutos y celebrar las respectivas convenciones y congresos. </w:t>
            </w:r>
          </w:p>
        </w:tc>
        <w:tc>
          <w:tcPr>
            <w:tcW w:w="3798" w:type="dxa"/>
            <w:tcBorders>
              <w:top w:val="nil"/>
              <w:left w:val="nil"/>
              <w:bottom w:val="single" w:sz="4" w:space="0" w:color="auto"/>
              <w:right w:val="single" w:sz="4" w:space="0" w:color="000000"/>
            </w:tcBorders>
            <w:shd w:val="clear" w:color="000000" w:fill="FFFFFF"/>
            <w:hideMark/>
          </w:tcPr>
          <w:p w14:paraId="46E23A1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274.- Régimen de transición.</w:t>
            </w:r>
            <w:r w:rsidRPr="00222F34">
              <w:rPr>
                <w:rFonts w:ascii="Calibri" w:eastAsia="Times New Roman" w:hAnsi="Calibri" w:cs="Calibri"/>
                <w:color w:val="000000"/>
                <w:lang w:val="es-CO" w:eastAsia="es-CO" w:bidi="ar-SA"/>
              </w:rPr>
              <w:t xml:space="preserve"> Los partidos y movimientos políticos con personería jurídica tendrán dos años a partir de la entrada en vigencia de la presente ley para ajustar sus estatutos y celebrar las respectivas convenciones y congresos.</w:t>
            </w:r>
          </w:p>
        </w:tc>
        <w:tc>
          <w:tcPr>
            <w:tcW w:w="3798" w:type="dxa"/>
            <w:tcBorders>
              <w:top w:val="nil"/>
              <w:left w:val="nil"/>
              <w:bottom w:val="single" w:sz="4" w:space="0" w:color="auto"/>
              <w:right w:val="single" w:sz="4" w:space="0" w:color="000000"/>
            </w:tcBorders>
            <w:shd w:val="clear" w:color="000000" w:fill="FFFFFF"/>
            <w:hideMark/>
          </w:tcPr>
          <w:p w14:paraId="6FDAC8E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274.- Régimen de transición.</w:t>
            </w:r>
            <w:r w:rsidRPr="00222F34">
              <w:rPr>
                <w:rFonts w:ascii="Calibri" w:eastAsia="Times New Roman" w:hAnsi="Calibri" w:cs="Calibri"/>
                <w:color w:val="000000"/>
                <w:lang w:val="es-CO" w:eastAsia="es-CO" w:bidi="ar-SA"/>
              </w:rPr>
              <w:t xml:space="preserve"> Los partidos y movimientos políticos con personería jurídica tendrán dos años a partir de la entrada en vigencia de la presente ley para ajustar sus estatutos y celebrar las respectivas convenciones y congresos.</w:t>
            </w:r>
          </w:p>
        </w:tc>
        <w:tc>
          <w:tcPr>
            <w:tcW w:w="1480" w:type="dxa"/>
            <w:tcBorders>
              <w:top w:val="nil"/>
              <w:left w:val="nil"/>
              <w:bottom w:val="single" w:sz="4" w:space="0" w:color="auto"/>
              <w:right w:val="single" w:sz="4" w:space="0" w:color="000000"/>
            </w:tcBorders>
            <w:shd w:val="clear" w:color="000000" w:fill="FFFFFF"/>
            <w:hideMark/>
          </w:tcPr>
          <w:p w14:paraId="375B7774" w14:textId="3020783F" w:rsidR="00CD4925" w:rsidRPr="00222F34" w:rsidRDefault="00CD4925" w:rsidP="00917B5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 </w:t>
            </w:r>
            <w:r>
              <w:rPr>
                <w:rFonts w:ascii="Calibri" w:eastAsia="Times New Roman" w:hAnsi="Calibri" w:cs="Calibri"/>
                <w:color w:val="000000"/>
                <w:lang w:val="es-CO" w:eastAsia="es-CO" w:bidi="ar-SA"/>
              </w:rPr>
              <w:t>acoge texto de Senado.</w:t>
            </w:r>
          </w:p>
        </w:tc>
      </w:tr>
      <w:tr w:rsidR="00CD4925" w:rsidRPr="00222F34" w14:paraId="407ABB52" w14:textId="77777777" w:rsidTr="00D601B2">
        <w:trPr>
          <w:trHeight w:val="128"/>
        </w:trPr>
        <w:tc>
          <w:tcPr>
            <w:tcW w:w="3798" w:type="dxa"/>
            <w:tcBorders>
              <w:top w:val="single" w:sz="4" w:space="0" w:color="auto"/>
              <w:left w:val="single" w:sz="4" w:space="0" w:color="000000"/>
              <w:bottom w:val="nil"/>
              <w:right w:val="single" w:sz="4" w:space="0" w:color="000000"/>
            </w:tcBorders>
            <w:shd w:val="clear" w:color="FFC000" w:fill="FFFFFF"/>
            <w:hideMark/>
          </w:tcPr>
          <w:p w14:paraId="0F2A950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single" w:sz="4" w:space="0" w:color="auto"/>
              <w:left w:val="nil"/>
              <w:bottom w:val="nil"/>
              <w:right w:val="single" w:sz="4" w:space="0" w:color="000000"/>
            </w:tcBorders>
            <w:shd w:val="clear" w:color="FF0000" w:fill="FFFFFF"/>
            <w:hideMark/>
          </w:tcPr>
          <w:p w14:paraId="6FA509A8" w14:textId="28E315D2"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r w:rsidR="00D601B2">
              <w:rPr>
                <w:rFonts w:ascii="Calibri" w:eastAsia="Times New Roman" w:hAnsi="Calibri" w:cs="Calibri"/>
                <w:b/>
                <w:bCs/>
                <w:color w:val="000000"/>
                <w:lang w:val="es-CO" w:eastAsia="es-CO" w:bidi="ar-SA"/>
              </w:rPr>
              <w:t>ARTÍCULO 275</w:t>
            </w:r>
            <w:r w:rsidR="00D601B2" w:rsidRPr="00222F34">
              <w:rPr>
                <w:rFonts w:ascii="Calibri" w:eastAsia="Times New Roman" w:hAnsi="Calibri" w:cs="Calibri"/>
                <w:b/>
                <w:bCs/>
                <w:color w:val="000000"/>
                <w:lang w:val="es-CO" w:eastAsia="es-CO" w:bidi="ar-SA"/>
              </w:rPr>
              <w:t>.-</w:t>
            </w:r>
            <w:r w:rsidR="00D601B2">
              <w:rPr>
                <w:rFonts w:ascii="Calibri" w:eastAsia="Times New Roman" w:hAnsi="Calibri" w:cs="Calibri"/>
                <w:b/>
                <w:bCs/>
                <w:color w:val="000000"/>
                <w:lang w:val="es-CO" w:eastAsia="es-CO" w:bidi="ar-SA"/>
              </w:rPr>
              <w:t xml:space="preserve"> Eliminado.</w:t>
            </w:r>
          </w:p>
        </w:tc>
        <w:tc>
          <w:tcPr>
            <w:tcW w:w="3798" w:type="dxa"/>
            <w:tcBorders>
              <w:top w:val="single" w:sz="4" w:space="0" w:color="auto"/>
              <w:left w:val="nil"/>
              <w:bottom w:val="nil"/>
              <w:right w:val="single" w:sz="4" w:space="0" w:color="000000"/>
            </w:tcBorders>
            <w:shd w:val="clear" w:color="FF0000" w:fill="FFFFFF"/>
            <w:hideMark/>
          </w:tcPr>
          <w:p w14:paraId="29706E7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single" w:sz="4" w:space="0" w:color="auto"/>
              <w:left w:val="nil"/>
              <w:bottom w:val="nil"/>
              <w:right w:val="single" w:sz="4" w:space="0" w:color="000000"/>
            </w:tcBorders>
            <w:shd w:val="clear" w:color="000000" w:fill="FFFFFF"/>
            <w:hideMark/>
          </w:tcPr>
          <w:p w14:paraId="594B8002" w14:textId="3779004F" w:rsidR="00CD4925" w:rsidRPr="00222F34" w:rsidRDefault="00CD4925" w:rsidP="00CD4925">
            <w:pPr>
              <w:widowControl/>
              <w:autoSpaceDE/>
              <w:autoSpaceDN/>
              <w:jc w:val="left"/>
              <w:rPr>
                <w:rFonts w:ascii="Calibri" w:eastAsia="Times New Roman" w:hAnsi="Calibri" w:cs="Calibri"/>
                <w:color w:val="000000"/>
                <w:lang w:val="es-CO" w:eastAsia="es-CO" w:bidi="ar-SA"/>
              </w:rPr>
            </w:pPr>
          </w:p>
        </w:tc>
      </w:tr>
      <w:tr w:rsidR="00CD4925" w:rsidRPr="00222F34" w14:paraId="7F71EA32" w14:textId="77777777" w:rsidTr="00917B55">
        <w:trPr>
          <w:trHeight w:val="119"/>
        </w:trPr>
        <w:tc>
          <w:tcPr>
            <w:tcW w:w="3798" w:type="dxa"/>
            <w:tcBorders>
              <w:top w:val="nil"/>
              <w:left w:val="single" w:sz="4" w:space="0" w:color="000000"/>
              <w:bottom w:val="single" w:sz="4" w:space="0" w:color="000000"/>
              <w:right w:val="single" w:sz="4" w:space="0" w:color="000000"/>
            </w:tcBorders>
            <w:shd w:val="clear" w:color="FFC000" w:fill="FFFFFF"/>
            <w:hideMark/>
          </w:tcPr>
          <w:p w14:paraId="3F71168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FF0000" w:fill="FFFFFF"/>
            <w:hideMark/>
          </w:tcPr>
          <w:p w14:paraId="7079F56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000000"/>
              <w:right w:val="single" w:sz="4" w:space="0" w:color="000000"/>
            </w:tcBorders>
            <w:shd w:val="clear" w:color="FF0000" w:fill="FFFFFF"/>
            <w:hideMark/>
          </w:tcPr>
          <w:p w14:paraId="11C98C9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000000"/>
              <w:right w:val="single" w:sz="4" w:space="0" w:color="000000"/>
            </w:tcBorders>
            <w:shd w:val="clear" w:color="000000" w:fill="FFFFFF"/>
            <w:hideMark/>
          </w:tcPr>
          <w:p w14:paraId="7C23AB5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1159E5E" w14:textId="77777777" w:rsidTr="00222F34">
        <w:trPr>
          <w:trHeight w:val="2100"/>
        </w:trPr>
        <w:tc>
          <w:tcPr>
            <w:tcW w:w="3798" w:type="dxa"/>
            <w:tcBorders>
              <w:top w:val="nil"/>
              <w:left w:val="single" w:sz="4" w:space="0" w:color="000000"/>
              <w:bottom w:val="nil"/>
              <w:right w:val="single" w:sz="4" w:space="0" w:color="000000"/>
            </w:tcBorders>
            <w:shd w:val="clear" w:color="FFC000" w:fill="FFFFFF"/>
            <w:hideMark/>
          </w:tcPr>
          <w:p w14:paraId="5032711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0000" w:fill="FFFFFF"/>
            <w:hideMark/>
          </w:tcPr>
          <w:p w14:paraId="3A29024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NUEVO 276. Inclusión de la comunidad diversa</w:t>
            </w:r>
            <w:r w:rsidRPr="00222F34">
              <w:rPr>
                <w:rFonts w:ascii="Calibri" w:eastAsia="Times New Roman" w:hAnsi="Calibri" w:cs="Calibri"/>
                <w:color w:val="000000"/>
                <w:lang w:val="es-CO" w:eastAsia="es-CO" w:bidi="ar-SA"/>
              </w:rPr>
              <w:t>. Con el fin de garantizar el derecho a la participación política libre de discriminación y en condiciones de igualdad, las organizaciones políticas, de conformidad con sus estatutos, podrán propiciar mecanismos de democracia interna que promuevan la inclusión de las personas con discapacidad, de la comunidad LGBTIQ+ y cualquier otra población que el partido político considere, en la selección de sus candidaturas, así como en sus órganos de gobierno, dirección, control y administración.</w:t>
            </w:r>
          </w:p>
        </w:tc>
        <w:tc>
          <w:tcPr>
            <w:tcW w:w="3798" w:type="dxa"/>
            <w:tcBorders>
              <w:top w:val="nil"/>
              <w:left w:val="nil"/>
              <w:bottom w:val="nil"/>
              <w:right w:val="single" w:sz="4" w:space="0" w:color="000000"/>
            </w:tcBorders>
            <w:shd w:val="clear" w:color="000000" w:fill="FFFFFF"/>
            <w:hideMark/>
          </w:tcPr>
          <w:p w14:paraId="52493ADA" w14:textId="5F4CD9D1" w:rsidR="00CD4925" w:rsidRPr="00222F34" w:rsidRDefault="00D601B2"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b/>
                <w:bCs/>
                <w:color w:val="000000"/>
                <w:lang w:val="es-CO" w:eastAsia="es-CO" w:bidi="ar-SA"/>
              </w:rPr>
              <w:t>ARTÍCULO NUEVO</w:t>
            </w:r>
            <w:r w:rsidR="00CD4925" w:rsidRPr="00222F34">
              <w:rPr>
                <w:rFonts w:ascii="Calibri" w:eastAsia="Times New Roman" w:hAnsi="Calibri" w:cs="Calibri"/>
                <w:b/>
                <w:bCs/>
                <w:color w:val="000000"/>
                <w:lang w:val="es-CO" w:eastAsia="es-CO" w:bidi="ar-SA"/>
              </w:rPr>
              <w:t>. Inclusión de la comunidad diversa</w:t>
            </w:r>
            <w:r w:rsidR="00CD4925" w:rsidRPr="00222F34">
              <w:rPr>
                <w:rFonts w:ascii="Calibri" w:eastAsia="Times New Roman" w:hAnsi="Calibri" w:cs="Calibri"/>
                <w:color w:val="000000"/>
                <w:lang w:val="es-CO" w:eastAsia="es-CO" w:bidi="ar-SA"/>
              </w:rPr>
              <w:t>. Con el fin de garantizar el derecho a la participación política libre de discriminación y en condiciones de igualdad, las organizaciones políticas, de conformidad con sus estatutos, podrán propiciar mecanismos de democracia interna que promuevan la inclusión de las personas con discapacidad, de la comunidad LGBTIQ+ y cualquier otra población que el partido político considere, en la selección de sus candidaturas, así como en sus órganos de gobierno, dirección, control y administración.</w:t>
            </w:r>
          </w:p>
        </w:tc>
        <w:tc>
          <w:tcPr>
            <w:tcW w:w="1480" w:type="dxa"/>
            <w:tcBorders>
              <w:top w:val="nil"/>
              <w:left w:val="nil"/>
              <w:bottom w:val="nil"/>
              <w:right w:val="single" w:sz="4" w:space="0" w:color="000000"/>
            </w:tcBorders>
            <w:shd w:val="clear" w:color="000000" w:fill="FFFFFF"/>
            <w:hideMark/>
          </w:tcPr>
          <w:p w14:paraId="5E63ADF6" w14:textId="719A9DC8" w:rsidR="00CD4925" w:rsidRPr="00222F34" w:rsidRDefault="00CD4925" w:rsidP="00CD4925">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007C3990">
              <w:rPr>
                <w:rFonts w:ascii="Calibri" w:eastAsia="Times New Roman" w:hAnsi="Calibri" w:cs="Calibri"/>
                <w:color w:val="000000"/>
                <w:lang w:val="es-CO" w:eastAsia="es-CO" w:bidi="ar-SA"/>
              </w:rPr>
              <w:t xml:space="preserve">. Se incluirá </w:t>
            </w:r>
            <w:r w:rsidR="007C3990" w:rsidRPr="007C3990">
              <w:rPr>
                <w:rFonts w:ascii="Calibri" w:eastAsia="Times New Roman" w:hAnsi="Calibri" w:cs="Calibri"/>
                <w:color w:val="000000"/>
                <w:lang w:val="es-CO" w:eastAsia="es-CO" w:bidi="ar-SA"/>
              </w:rPr>
              <w:t xml:space="preserve">antes del artículo 270 en </w:t>
            </w:r>
            <w:r w:rsidR="007C3990">
              <w:rPr>
                <w:rFonts w:ascii="Calibri" w:eastAsia="Times New Roman" w:hAnsi="Calibri" w:cs="Calibri"/>
                <w:color w:val="000000"/>
                <w:lang w:val="es-CO" w:eastAsia="es-CO" w:bidi="ar-SA"/>
              </w:rPr>
              <w:t xml:space="preserve">el capítulo de </w:t>
            </w:r>
            <w:r w:rsidR="007C3990" w:rsidRPr="007C3990">
              <w:rPr>
                <w:rFonts w:ascii="Calibri" w:eastAsia="Times New Roman" w:hAnsi="Calibri" w:cs="Calibri"/>
                <w:color w:val="000000"/>
                <w:lang w:val="es-CO" w:eastAsia="es-CO" w:bidi="ar-SA"/>
              </w:rPr>
              <w:t>disposiciones varias</w:t>
            </w:r>
            <w:r w:rsidR="007C3990">
              <w:rPr>
                <w:rFonts w:ascii="Calibri" w:eastAsia="Times New Roman" w:hAnsi="Calibri" w:cs="Calibri"/>
                <w:color w:val="000000"/>
                <w:lang w:val="es-CO" w:eastAsia="es-CO" w:bidi="ar-SA"/>
              </w:rPr>
              <w:t>.</w:t>
            </w:r>
          </w:p>
        </w:tc>
      </w:tr>
      <w:tr w:rsidR="00CD4925" w:rsidRPr="00222F34" w14:paraId="69944FFC" w14:textId="77777777" w:rsidTr="009F0A67">
        <w:trPr>
          <w:trHeight w:val="663"/>
        </w:trPr>
        <w:tc>
          <w:tcPr>
            <w:tcW w:w="3798" w:type="dxa"/>
            <w:tcBorders>
              <w:top w:val="single" w:sz="4" w:space="0" w:color="auto"/>
              <w:left w:val="single" w:sz="4" w:space="0" w:color="000000"/>
              <w:bottom w:val="nil"/>
              <w:right w:val="single" w:sz="4" w:space="0" w:color="000000"/>
            </w:tcBorders>
            <w:shd w:val="clear" w:color="000000" w:fill="FFFFFF"/>
            <w:hideMark/>
          </w:tcPr>
          <w:p w14:paraId="7B5FC22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single" w:sz="4" w:space="0" w:color="auto"/>
              <w:left w:val="nil"/>
              <w:bottom w:val="nil"/>
              <w:right w:val="single" w:sz="4" w:space="0" w:color="000000"/>
            </w:tcBorders>
            <w:shd w:val="clear" w:color="000000" w:fill="FFFFFF"/>
            <w:noWrap/>
            <w:vAlign w:val="center"/>
            <w:hideMark/>
          </w:tcPr>
          <w:p w14:paraId="23A9473D"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NUEVO. Auditorías técnicas</w:t>
            </w:r>
            <w:r w:rsidRPr="00222F34">
              <w:rPr>
                <w:rFonts w:ascii="Calibri" w:eastAsia="Times New Roman" w:hAnsi="Calibri" w:cs="Calibri"/>
                <w:color w:val="000000"/>
                <w:lang w:val="es-CO" w:eastAsia="es-CO" w:bidi="ar-SA"/>
              </w:rPr>
              <w:t xml:space="preserve">. Con el fin de garantizar la integridad y la transparencia de los procesos electorales, se establecerá un plan de auditoría técnica imparcial para las tecnologías utilizadas en cada elección. Este plan abarcará al menos, las auditorías de funcionalidad, seguridad digital y revisión del código fuente. Se promoverá una socialización activa y vinculante del plan con la participación de los partidos políticos, movimientos políticos, grupos significativos de ciudadanos, coaliciones y organizaciones de observación electoral. El plan deberá </w:t>
            </w:r>
            <w:r w:rsidRPr="00222F34">
              <w:rPr>
                <w:rFonts w:ascii="Calibri" w:eastAsia="Times New Roman" w:hAnsi="Calibri" w:cs="Calibri"/>
                <w:color w:val="000000"/>
                <w:lang w:val="es-CO" w:eastAsia="es-CO" w:bidi="ar-SA"/>
              </w:rPr>
              <w:lastRenderedPageBreak/>
              <w:t>implementarse a más tardar seis (6) meses antes de la respectiva elección.</w:t>
            </w:r>
          </w:p>
        </w:tc>
        <w:tc>
          <w:tcPr>
            <w:tcW w:w="3798" w:type="dxa"/>
            <w:tcBorders>
              <w:top w:val="single" w:sz="4" w:space="0" w:color="auto"/>
              <w:left w:val="nil"/>
              <w:bottom w:val="nil"/>
              <w:right w:val="single" w:sz="4" w:space="0" w:color="000000"/>
            </w:tcBorders>
            <w:shd w:val="clear" w:color="000000" w:fill="FFFFFF"/>
            <w:noWrap/>
            <w:vAlign w:val="center"/>
            <w:hideMark/>
          </w:tcPr>
          <w:p w14:paraId="301EB19F"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NUEVO. Auditorías técnicas</w:t>
            </w:r>
            <w:r w:rsidRPr="00222F34">
              <w:rPr>
                <w:rFonts w:ascii="Calibri" w:eastAsia="Times New Roman" w:hAnsi="Calibri" w:cs="Calibri"/>
                <w:color w:val="000000"/>
                <w:lang w:val="es-CO" w:eastAsia="es-CO" w:bidi="ar-SA"/>
              </w:rPr>
              <w:t xml:space="preserve">. Con el fin de garantizar la integridad y la transparencia de los procesos electorales, se establecerá un plan de auditoría técnica imparcial para las tecnologías utilizadas en cada elección. Este plan abarcará al menos, las auditorías de funcionalidad, seguridad digital y revisión del código fuente. Se promoverá una socialización activa y vinculante del plan con la participación de los partidos políticos, movimientos políticos, grupos significativos de ciudadanos, coaliciones y organizaciones de observación electoral. El plan deberá </w:t>
            </w:r>
            <w:r w:rsidRPr="00222F34">
              <w:rPr>
                <w:rFonts w:ascii="Calibri" w:eastAsia="Times New Roman" w:hAnsi="Calibri" w:cs="Calibri"/>
                <w:color w:val="000000"/>
                <w:lang w:val="es-CO" w:eastAsia="es-CO" w:bidi="ar-SA"/>
              </w:rPr>
              <w:lastRenderedPageBreak/>
              <w:t>implementarse a más tardar seis (6) meses antes de la respectiva elección.</w:t>
            </w:r>
          </w:p>
        </w:tc>
        <w:tc>
          <w:tcPr>
            <w:tcW w:w="1480" w:type="dxa"/>
            <w:tcBorders>
              <w:top w:val="single" w:sz="4" w:space="0" w:color="auto"/>
              <w:left w:val="nil"/>
              <w:bottom w:val="nil"/>
              <w:right w:val="single" w:sz="4" w:space="0" w:color="000000"/>
            </w:tcBorders>
            <w:shd w:val="clear" w:color="000000" w:fill="FFFFFF"/>
            <w:hideMark/>
          </w:tcPr>
          <w:p w14:paraId="2490FF06" w14:textId="6B5AFE1B" w:rsidR="00CD4925" w:rsidRPr="00222F34" w:rsidRDefault="00CD4925" w:rsidP="00FA7D22">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lastRenderedPageBreak/>
              <w:t>Se acoge texto de Cámara</w:t>
            </w:r>
            <w:r w:rsidR="00FA7D22">
              <w:rPr>
                <w:rFonts w:ascii="Calibri" w:eastAsia="Times New Roman" w:hAnsi="Calibri" w:cs="Calibri"/>
                <w:color w:val="000000"/>
                <w:lang w:val="es-CO" w:eastAsia="es-CO" w:bidi="ar-SA"/>
              </w:rPr>
              <w:t xml:space="preserve">. Se ubicará en el capítulo </w:t>
            </w:r>
            <w:r w:rsidR="00FA7D22" w:rsidRPr="00FA7D22">
              <w:rPr>
                <w:rFonts w:ascii="Calibri" w:eastAsia="Times New Roman" w:hAnsi="Calibri" w:cs="Calibri"/>
                <w:color w:val="000000"/>
                <w:lang w:val="es-CO" w:eastAsia="es-CO" w:bidi="ar-SA"/>
              </w:rPr>
              <w:t xml:space="preserve">II Auditoría informática electoral </w:t>
            </w:r>
            <w:r w:rsidR="00FA7D22">
              <w:rPr>
                <w:rFonts w:ascii="Calibri" w:eastAsia="Times New Roman" w:hAnsi="Calibri" w:cs="Calibri"/>
                <w:color w:val="000000"/>
                <w:lang w:val="es-CO" w:eastAsia="es-CO" w:bidi="ar-SA"/>
              </w:rPr>
              <w:t>antes del art. 248.</w:t>
            </w:r>
          </w:p>
        </w:tc>
      </w:tr>
      <w:tr w:rsidR="00CD4925" w:rsidRPr="00222F34" w14:paraId="3FA9544A"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79CD6955"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0000" w:fill="FFFFFF"/>
            <w:noWrap/>
            <w:vAlign w:val="center"/>
            <w:hideMark/>
          </w:tcPr>
          <w:p w14:paraId="584EEC92"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Durante la implementación del plan de auditoría informática electoral se fomentará la participación del Ministerio Público así como la intervención de auditores de los partidos políticos. movimientos políticos con personería jurídica, grupos significativos de ciudadanos y expertos nacionales o internacionales acreditados por la Organización Electoral.</w:t>
            </w:r>
          </w:p>
        </w:tc>
        <w:tc>
          <w:tcPr>
            <w:tcW w:w="3798" w:type="dxa"/>
            <w:tcBorders>
              <w:top w:val="nil"/>
              <w:left w:val="nil"/>
              <w:bottom w:val="nil"/>
              <w:right w:val="single" w:sz="4" w:space="0" w:color="000000"/>
            </w:tcBorders>
            <w:shd w:val="clear" w:color="000000" w:fill="FFFFFF"/>
            <w:noWrap/>
            <w:vAlign w:val="center"/>
            <w:hideMark/>
          </w:tcPr>
          <w:p w14:paraId="66D67F45"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Durante la implementación del plan de auditoría informática electoral se fomentará la participación del Ministerio Público así como la intervención de auditores de los partidos políticos. movimientos políticos con personería jurídica, grupos significativos de ciudadanos y expertos nacionales o internacionales acreditados por la Organización Electoral.</w:t>
            </w:r>
          </w:p>
        </w:tc>
        <w:tc>
          <w:tcPr>
            <w:tcW w:w="1480" w:type="dxa"/>
            <w:tcBorders>
              <w:top w:val="nil"/>
              <w:left w:val="nil"/>
              <w:bottom w:val="nil"/>
              <w:right w:val="single" w:sz="4" w:space="0" w:color="000000"/>
            </w:tcBorders>
            <w:shd w:val="clear" w:color="000000" w:fill="FFFFFF"/>
            <w:hideMark/>
          </w:tcPr>
          <w:p w14:paraId="4DDD58E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8930440" w14:textId="77777777" w:rsidTr="007C3990">
        <w:trPr>
          <w:trHeight w:val="672"/>
        </w:trPr>
        <w:tc>
          <w:tcPr>
            <w:tcW w:w="3798" w:type="dxa"/>
            <w:tcBorders>
              <w:top w:val="nil"/>
              <w:left w:val="single" w:sz="4" w:space="0" w:color="000000"/>
              <w:bottom w:val="nil"/>
              <w:right w:val="single" w:sz="4" w:space="0" w:color="000000"/>
            </w:tcBorders>
            <w:shd w:val="clear" w:color="000000" w:fill="FFFFFF"/>
            <w:hideMark/>
          </w:tcPr>
          <w:p w14:paraId="5E136CB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noWrap/>
            <w:vAlign w:val="center"/>
            <w:hideMark/>
          </w:tcPr>
          <w:p w14:paraId="2A3E1CB8"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y el Consejo Nacional Electoral elaborarán un compromiso de confidencialidad que deberán suscribir los expertos nacionales e internacionales y los auditores de sistemas que participen en estas auditorías. Este compromiso garantizará la seguridad y reserva de la información del proceso electoral. No obstante, se permitirá que los expertos y auditores informen sobre los hallazgos y realicen seguimiento a las respuestas implementadas, de acuerdo con lo establecido en esta ley.</w:t>
            </w:r>
          </w:p>
        </w:tc>
        <w:tc>
          <w:tcPr>
            <w:tcW w:w="3798" w:type="dxa"/>
            <w:tcBorders>
              <w:top w:val="nil"/>
              <w:left w:val="nil"/>
              <w:bottom w:val="nil"/>
              <w:right w:val="single" w:sz="4" w:space="0" w:color="000000"/>
            </w:tcBorders>
            <w:shd w:val="clear" w:color="000000" w:fill="FFFFFF"/>
            <w:noWrap/>
            <w:vAlign w:val="center"/>
            <w:hideMark/>
          </w:tcPr>
          <w:p w14:paraId="2BE084D4"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y el Consejo Nacional Electoral elaborarán un compromiso de confidencialidad que deberán suscribir los expertos nacionales e internacionales y los auditores de sistemas que participen en estas auditorías. Este compromiso garantizará la seguridad y reserva de la información del proceso electoral. No obstante, se permitirá que los expertos y auditores informen sobre los hallazgos y realicen seguimiento a las respuestas implementadas, de acuerdo con lo establecido en esta ley.</w:t>
            </w:r>
          </w:p>
        </w:tc>
        <w:tc>
          <w:tcPr>
            <w:tcW w:w="1480" w:type="dxa"/>
            <w:tcBorders>
              <w:top w:val="nil"/>
              <w:left w:val="nil"/>
              <w:bottom w:val="nil"/>
              <w:right w:val="single" w:sz="4" w:space="0" w:color="000000"/>
            </w:tcBorders>
            <w:shd w:val="clear" w:color="000000" w:fill="FFFFFF"/>
            <w:hideMark/>
          </w:tcPr>
          <w:p w14:paraId="5F5485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6DC0B423"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4B16E94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noWrap/>
            <w:vAlign w:val="center"/>
            <w:hideMark/>
          </w:tcPr>
          <w:p w14:paraId="49006DC9"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establecerá un mecanismo de acreditación para los expertos nacionales e internacionales y los auditores, el cual estará listo a más </w:t>
            </w:r>
            <w:r w:rsidRPr="00222F34">
              <w:rPr>
                <w:rFonts w:ascii="Calibri" w:eastAsia="Times New Roman" w:hAnsi="Calibri" w:cs="Calibri"/>
                <w:color w:val="000000"/>
                <w:lang w:val="es-CO" w:eastAsia="es-CO" w:bidi="ar-SA"/>
              </w:rPr>
              <w:lastRenderedPageBreak/>
              <w:t>tardar seis (6) meses antes de la implementación del plan.</w:t>
            </w:r>
          </w:p>
        </w:tc>
        <w:tc>
          <w:tcPr>
            <w:tcW w:w="3798" w:type="dxa"/>
            <w:tcBorders>
              <w:top w:val="nil"/>
              <w:left w:val="nil"/>
              <w:bottom w:val="nil"/>
              <w:right w:val="single" w:sz="4" w:space="0" w:color="000000"/>
            </w:tcBorders>
            <w:shd w:val="clear" w:color="000000" w:fill="FFFFFF"/>
            <w:noWrap/>
            <w:vAlign w:val="center"/>
            <w:hideMark/>
          </w:tcPr>
          <w:p w14:paraId="308090D0"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El Consejo Nacional Electoral establecerá un mecanismo de acreditación para los expertos nacionales e internacionales y los auditores, el cual estará listo a más </w:t>
            </w:r>
            <w:r w:rsidRPr="00222F34">
              <w:rPr>
                <w:rFonts w:ascii="Calibri" w:eastAsia="Times New Roman" w:hAnsi="Calibri" w:cs="Calibri"/>
                <w:color w:val="000000"/>
                <w:lang w:val="es-CO" w:eastAsia="es-CO" w:bidi="ar-SA"/>
              </w:rPr>
              <w:lastRenderedPageBreak/>
              <w:t>tardar seis (6) meses antes de la implementación del plan.</w:t>
            </w:r>
          </w:p>
        </w:tc>
        <w:tc>
          <w:tcPr>
            <w:tcW w:w="1480" w:type="dxa"/>
            <w:tcBorders>
              <w:top w:val="nil"/>
              <w:left w:val="nil"/>
              <w:bottom w:val="nil"/>
              <w:right w:val="single" w:sz="4" w:space="0" w:color="000000"/>
            </w:tcBorders>
            <w:shd w:val="clear" w:color="000000" w:fill="FFFFFF"/>
            <w:hideMark/>
          </w:tcPr>
          <w:p w14:paraId="4F40386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r>
      <w:tr w:rsidR="00CD4925" w:rsidRPr="00222F34" w14:paraId="173C33F0" w14:textId="77777777" w:rsidTr="00222F34">
        <w:trPr>
          <w:trHeight w:val="1800"/>
        </w:trPr>
        <w:tc>
          <w:tcPr>
            <w:tcW w:w="3798" w:type="dxa"/>
            <w:tcBorders>
              <w:top w:val="nil"/>
              <w:left w:val="single" w:sz="4" w:space="0" w:color="000000"/>
              <w:bottom w:val="nil"/>
              <w:right w:val="single" w:sz="4" w:space="0" w:color="000000"/>
            </w:tcBorders>
            <w:shd w:val="clear" w:color="000000" w:fill="FFFFFF"/>
            <w:hideMark/>
          </w:tcPr>
          <w:p w14:paraId="14CB921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0000" w:fill="FFFFFF"/>
            <w:noWrap/>
            <w:vAlign w:val="center"/>
            <w:hideMark/>
          </w:tcPr>
          <w:p w14:paraId="60AF204A"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expertos nacionales e internacionales acreditados, así como los auditores de los partidos políticos, movimientos políticos con personería jurídica y grupos significativos de ciudadanos, elaborarán un informe de auditoría siguiendo estándares internacionales. el cual se presentará ante la Organización Electoral. En caso de que el informe contenga hallazgos, la Organización Electoral deberá responderlos  y ejecutar los planes de acción correspondientes, de ser necesario.</w:t>
            </w:r>
          </w:p>
        </w:tc>
        <w:tc>
          <w:tcPr>
            <w:tcW w:w="3798" w:type="dxa"/>
            <w:tcBorders>
              <w:top w:val="nil"/>
              <w:left w:val="nil"/>
              <w:bottom w:val="nil"/>
              <w:right w:val="single" w:sz="4" w:space="0" w:color="000000"/>
            </w:tcBorders>
            <w:shd w:val="clear" w:color="000000" w:fill="FFFFFF"/>
            <w:noWrap/>
            <w:vAlign w:val="center"/>
            <w:hideMark/>
          </w:tcPr>
          <w:p w14:paraId="3976A4BA"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expertos nacionales e internacionales acreditados, así como los auditores de los partidos políticos, movimientos políticos con personería jurídica y grupos significativos de ciudadanos, elaborarán un informe de auditoría siguiendo estándares internacionales. el cual se presentará ante la Organización Electoral. En caso de que el informe contenga hallazgos, la Organización Electoral deberá responderlos  y ejecutar los planes de acción correspondientes, de ser necesario.</w:t>
            </w:r>
          </w:p>
        </w:tc>
        <w:tc>
          <w:tcPr>
            <w:tcW w:w="1480" w:type="dxa"/>
            <w:tcBorders>
              <w:top w:val="nil"/>
              <w:left w:val="nil"/>
              <w:bottom w:val="nil"/>
              <w:right w:val="single" w:sz="4" w:space="0" w:color="000000"/>
            </w:tcBorders>
            <w:shd w:val="clear" w:color="000000" w:fill="FFFFFF"/>
            <w:hideMark/>
          </w:tcPr>
          <w:p w14:paraId="179A585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4ABC31C7"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BA13D59"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noWrap/>
            <w:vAlign w:val="center"/>
            <w:hideMark/>
          </w:tcPr>
          <w:p w14:paraId="73BB8441"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emitirá y publicará en sus páginas web un informe final que especifique cómo se han abordado los hallazgos y las razones técnicas que respaldan las respuestas implementadas.</w:t>
            </w:r>
          </w:p>
        </w:tc>
        <w:tc>
          <w:tcPr>
            <w:tcW w:w="3798" w:type="dxa"/>
            <w:tcBorders>
              <w:top w:val="nil"/>
              <w:left w:val="nil"/>
              <w:bottom w:val="nil"/>
              <w:right w:val="single" w:sz="4" w:space="0" w:color="000000"/>
            </w:tcBorders>
            <w:shd w:val="clear" w:color="000000" w:fill="FFFFFF"/>
            <w:noWrap/>
            <w:vAlign w:val="center"/>
            <w:hideMark/>
          </w:tcPr>
          <w:p w14:paraId="7BCD9471"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emitirá y publicará en sus páginas web un informe final que especifique cómo se han abordado los hallazgos y las razones técnicas que respaldan las respuestas implementadas.</w:t>
            </w:r>
          </w:p>
        </w:tc>
        <w:tc>
          <w:tcPr>
            <w:tcW w:w="1480" w:type="dxa"/>
            <w:tcBorders>
              <w:top w:val="nil"/>
              <w:left w:val="nil"/>
              <w:bottom w:val="nil"/>
              <w:right w:val="single" w:sz="4" w:space="0" w:color="000000"/>
            </w:tcBorders>
            <w:shd w:val="clear" w:color="000000" w:fill="FFFFFF"/>
            <w:hideMark/>
          </w:tcPr>
          <w:p w14:paraId="18C4A35F"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0A97BC2" w14:textId="77777777" w:rsidTr="00222F34">
        <w:trPr>
          <w:trHeight w:val="900"/>
        </w:trPr>
        <w:tc>
          <w:tcPr>
            <w:tcW w:w="3798" w:type="dxa"/>
            <w:tcBorders>
              <w:top w:val="nil"/>
              <w:left w:val="single" w:sz="4" w:space="0" w:color="000000"/>
              <w:bottom w:val="single" w:sz="4" w:space="0" w:color="auto"/>
              <w:right w:val="single" w:sz="4" w:space="0" w:color="000000"/>
            </w:tcBorders>
            <w:shd w:val="clear" w:color="000000" w:fill="FFFFFF"/>
            <w:hideMark/>
          </w:tcPr>
          <w:p w14:paraId="30CE76F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auto"/>
              <w:right w:val="single" w:sz="4" w:space="0" w:color="000000"/>
            </w:tcBorders>
            <w:shd w:val="clear" w:color="000000" w:fill="FFFFFF"/>
            <w:noWrap/>
            <w:vAlign w:val="center"/>
            <w:hideMark/>
          </w:tcPr>
          <w:p w14:paraId="7BB682C5"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El Consejo Nacional Electoral designará un equipo de auditores internos y expertos en las áreas requeridas para monitorear el proceso electoral, quienes deberán presentar informes periódicos a la corporación</w:t>
            </w:r>
          </w:p>
        </w:tc>
        <w:tc>
          <w:tcPr>
            <w:tcW w:w="3798" w:type="dxa"/>
            <w:tcBorders>
              <w:top w:val="nil"/>
              <w:left w:val="nil"/>
              <w:bottom w:val="single" w:sz="4" w:space="0" w:color="auto"/>
              <w:right w:val="single" w:sz="4" w:space="0" w:color="000000"/>
            </w:tcBorders>
            <w:shd w:val="clear" w:color="000000" w:fill="FFFFFF"/>
            <w:noWrap/>
            <w:vAlign w:val="center"/>
            <w:hideMark/>
          </w:tcPr>
          <w:p w14:paraId="23C3C3BE" w14:textId="77777777" w:rsidR="00CD4925" w:rsidRPr="00222F34" w:rsidRDefault="00CD4925" w:rsidP="00CD4925">
            <w:pPr>
              <w:widowControl/>
              <w:autoSpaceDE/>
              <w:autoSpaceDN/>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auto"/>
              <w:right w:val="single" w:sz="4" w:space="0" w:color="000000"/>
            </w:tcBorders>
            <w:shd w:val="clear" w:color="000000" w:fill="FFFFFF"/>
            <w:hideMark/>
          </w:tcPr>
          <w:p w14:paraId="2839136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2AEB807E" w14:textId="77777777" w:rsidTr="00222F34">
        <w:trPr>
          <w:trHeight w:val="900"/>
        </w:trPr>
        <w:tc>
          <w:tcPr>
            <w:tcW w:w="3798" w:type="dxa"/>
            <w:tcBorders>
              <w:top w:val="nil"/>
              <w:left w:val="single" w:sz="4" w:space="0" w:color="000000"/>
              <w:bottom w:val="nil"/>
              <w:right w:val="single" w:sz="4" w:space="0" w:color="000000"/>
            </w:tcBorders>
            <w:shd w:val="clear" w:color="000000" w:fill="FFFFFF"/>
            <w:hideMark/>
          </w:tcPr>
          <w:p w14:paraId="70FD7D3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nil"/>
              <w:right w:val="single" w:sz="4" w:space="0" w:color="000000"/>
            </w:tcBorders>
            <w:shd w:val="clear" w:color="000000" w:fill="FFFFFF"/>
            <w:hideMark/>
          </w:tcPr>
          <w:p w14:paraId="47B8B81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NUEVO</w:t>
            </w:r>
            <w:r w:rsidRPr="00222F34">
              <w:rPr>
                <w:rFonts w:ascii="Calibri" w:eastAsia="Times New Roman" w:hAnsi="Calibri" w:cs="Calibri"/>
                <w:color w:val="000000"/>
                <w:lang w:val="es-CO" w:eastAsia="es-CO" w:bidi="ar-SA"/>
              </w:rPr>
              <w:t>. Modifíquese el artículo 24  de la Ley 1475 de 2011, el cual quedará así:</w:t>
            </w:r>
          </w:p>
        </w:tc>
        <w:tc>
          <w:tcPr>
            <w:tcW w:w="3798" w:type="dxa"/>
            <w:tcBorders>
              <w:top w:val="nil"/>
              <w:left w:val="nil"/>
              <w:bottom w:val="nil"/>
              <w:right w:val="single" w:sz="4" w:space="0" w:color="000000"/>
            </w:tcBorders>
            <w:shd w:val="clear" w:color="000000" w:fill="FFFFFF"/>
            <w:hideMark/>
          </w:tcPr>
          <w:p w14:paraId="147B046E"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4E659AAB" w14:textId="09AAED9B" w:rsidR="00CD4925" w:rsidRPr="00222F34" w:rsidRDefault="009F0A67" w:rsidP="009F0A67">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No se acoge.</w:t>
            </w:r>
          </w:p>
        </w:tc>
      </w:tr>
      <w:tr w:rsidR="00CD4925" w:rsidRPr="00222F34" w14:paraId="513F2C1C" w14:textId="77777777" w:rsidTr="00222F34">
        <w:trPr>
          <w:trHeight w:val="1500"/>
        </w:trPr>
        <w:tc>
          <w:tcPr>
            <w:tcW w:w="3798" w:type="dxa"/>
            <w:tcBorders>
              <w:top w:val="nil"/>
              <w:left w:val="single" w:sz="4" w:space="0" w:color="000000"/>
              <w:bottom w:val="nil"/>
              <w:right w:val="single" w:sz="4" w:space="0" w:color="000000"/>
            </w:tcBorders>
            <w:shd w:val="clear" w:color="000000" w:fill="FFFFFF"/>
            <w:hideMark/>
          </w:tcPr>
          <w:p w14:paraId="27AD2A9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3948451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ARTÍCULO 24. LÍMITES AL MONTO DE GASTOS DE CAMPAÑA. Los límites de gastos de las campañas electorales a los distintos cargos y corporaciones de elección popular serán fijados por el Consejo Nacional Electoral en el mes de enero de cada año, teniendo en cuenta los costos reales de las campañas, el correspondiente censo electoral y la apropiación presupuestal para la financiación estatal de las mismas.</w:t>
            </w:r>
          </w:p>
        </w:tc>
        <w:tc>
          <w:tcPr>
            <w:tcW w:w="3798" w:type="dxa"/>
            <w:tcBorders>
              <w:top w:val="nil"/>
              <w:left w:val="nil"/>
              <w:bottom w:val="nil"/>
              <w:right w:val="single" w:sz="4" w:space="0" w:color="000000"/>
            </w:tcBorders>
            <w:shd w:val="clear" w:color="000000" w:fill="FFFFFF"/>
            <w:hideMark/>
          </w:tcPr>
          <w:p w14:paraId="248E5EF7"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04DDEFA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43F2C5A" w14:textId="77777777" w:rsidTr="00222F34">
        <w:trPr>
          <w:trHeight w:val="1200"/>
        </w:trPr>
        <w:tc>
          <w:tcPr>
            <w:tcW w:w="3798" w:type="dxa"/>
            <w:tcBorders>
              <w:top w:val="nil"/>
              <w:left w:val="single" w:sz="4" w:space="0" w:color="000000"/>
              <w:bottom w:val="nil"/>
              <w:right w:val="single" w:sz="4" w:space="0" w:color="000000"/>
            </w:tcBorders>
            <w:shd w:val="clear" w:color="000000" w:fill="FFFFFF"/>
            <w:hideMark/>
          </w:tcPr>
          <w:p w14:paraId="7F8C1D9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nil"/>
              <w:right w:val="single" w:sz="4" w:space="0" w:color="000000"/>
            </w:tcBorders>
            <w:shd w:val="clear" w:color="000000" w:fill="FFFFFF"/>
            <w:hideMark/>
          </w:tcPr>
          <w:p w14:paraId="3D580784"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efectos del cumplimiento de esta disposición, el Consejo Nacional Electoral con el apoyo del Ministerio de Hacienda y Crédito Público, deberá realizar periódicamente los estudios que correspondan con el objeto de garantizar que los límites al monto de gastos fijados reflejen el valor real de las campañas electorales.</w:t>
            </w:r>
          </w:p>
        </w:tc>
        <w:tc>
          <w:tcPr>
            <w:tcW w:w="3798" w:type="dxa"/>
            <w:tcBorders>
              <w:top w:val="nil"/>
              <w:left w:val="nil"/>
              <w:bottom w:val="nil"/>
              <w:right w:val="single" w:sz="4" w:space="0" w:color="000000"/>
            </w:tcBorders>
            <w:shd w:val="clear" w:color="000000" w:fill="FFFFFF"/>
            <w:hideMark/>
          </w:tcPr>
          <w:p w14:paraId="75252EE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nil"/>
              <w:right w:val="single" w:sz="4" w:space="0" w:color="000000"/>
            </w:tcBorders>
            <w:shd w:val="clear" w:color="000000" w:fill="FFFFFF"/>
            <w:hideMark/>
          </w:tcPr>
          <w:p w14:paraId="2E84B5CC"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0C19589D" w14:textId="77777777" w:rsidTr="009F0A67">
        <w:trPr>
          <w:trHeight w:val="956"/>
        </w:trPr>
        <w:tc>
          <w:tcPr>
            <w:tcW w:w="3798" w:type="dxa"/>
            <w:tcBorders>
              <w:top w:val="nil"/>
              <w:left w:val="single" w:sz="4" w:space="0" w:color="000000"/>
              <w:bottom w:val="single" w:sz="4" w:space="0" w:color="auto"/>
              <w:right w:val="single" w:sz="4" w:space="0" w:color="000000"/>
            </w:tcBorders>
            <w:shd w:val="clear" w:color="000000" w:fill="FFFFFF"/>
            <w:hideMark/>
          </w:tcPr>
          <w:p w14:paraId="769538FB"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auto"/>
              <w:right w:val="single" w:sz="4" w:space="0" w:color="000000"/>
            </w:tcBorders>
            <w:shd w:val="clear" w:color="000000" w:fill="FFFFFF"/>
            <w:hideMark/>
          </w:tcPr>
          <w:p w14:paraId="55B7EF8A"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monto máximo de gastos se fijará por cada candidato a cargo uninominal y por cada uno de los candidatos inscritos en las listas a corporaciones de elección popular. El Consejo Nacional Electoral señalará, adicionalmente, el monto máximo que cada partido o movimiento </w:t>
            </w:r>
            <w:r w:rsidRPr="00222F34">
              <w:rPr>
                <w:rFonts w:ascii="Calibri" w:eastAsia="Times New Roman" w:hAnsi="Calibri" w:cs="Calibri"/>
                <w:color w:val="000000"/>
                <w:lang w:val="es-CO" w:eastAsia="es-CO" w:bidi="ar-SA"/>
              </w:rPr>
              <w:lastRenderedPageBreak/>
              <w:t>con personería jurídica puede invertir en la campaña electoral institucional a favor de sus candidatos o listas.</w:t>
            </w:r>
          </w:p>
        </w:tc>
        <w:tc>
          <w:tcPr>
            <w:tcW w:w="3798" w:type="dxa"/>
            <w:tcBorders>
              <w:top w:val="nil"/>
              <w:left w:val="nil"/>
              <w:bottom w:val="single" w:sz="4" w:space="0" w:color="auto"/>
              <w:right w:val="single" w:sz="4" w:space="0" w:color="000000"/>
            </w:tcBorders>
            <w:shd w:val="clear" w:color="000000" w:fill="FFFFFF"/>
            <w:hideMark/>
          </w:tcPr>
          <w:p w14:paraId="0C6D72CD"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1480" w:type="dxa"/>
            <w:tcBorders>
              <w:top w:val="nil"/>
              <w:left w:val="nil"/>
              <w:bottom w:val="single" w:sz="4" w:space="0" w:color="auto"/>
              <w:right w:val="single" w:sz="4" w:space="0" w:color="000000"/>
            </w:tcBorders>
            <w:shd w:val="clear" w:color="000000" w:fill="FFFFFF"/>
            <w:hideMark/>
          </w:tcPr>
          <w:p w14:paraId="5DD9EB00"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r w:rsidR="00CD4925" w:rsidRPr="00222F34" w14:paraId="38F44861" w14:textId="77777777" w:rsidTr="009F0A67">
        <w:trPr>
          <w:trHeight w:val="2831"/>
        </w:trPr>
        <w:tc>
          <w:tcPr>
            <w:tcW w:w="3798" w:type="dxa"/>
            <w:tcBorders>
              <w:top w:val="nil"/>
              <w:left w:val="single" w:sz="4" w:space="0" w:color="000000"/>
              <w:bottom w:val="single" w:sz="4" w:space="0" w:color="auto"/>
              <w:right w:val="single" w:sz="4" w:space="0" w:color="000000"/>
            </w:tcBorders>
            <w:shd w:val="clear" w:color="000000" w:fill="FFFFFF"/>
            <w:hideMark/>
          </w:tcPr>
          <w:p w14:paraId="43692AF1"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w:t>
            </w:r>
          </w:p>
        </w:tc>
        <w:tc>
          <w:tcPr>
            <w:tcW w:w="3798" w:type="dxa"/>
            <w:tcBorders>
              <w:top w:val="nil"/>
              <w:left w:val="nil"/>
              <w:bottom w:val="single" w:sz="4" w:space="0" w:color="auto"/>
              <w:right w:val="single" w:sz="4" w:space="0" w:color="000000"/>
            </w:tcBorders>
            <w:shd w:val="clear" w:color="000000" w:fill="FFFFFF"/>
            <w:hideMark/>
          </w:tcPr>
          <w:p w14:paraId="34A14A53"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ARTÍCULO NUEVO. El sistema de la Registraduría Nacional del Estado Civil deberá dejar constancia inmodificable de quien realiza todo cambio de domicilio electoral o puesto de votación en un elector, esta información será de público acceso para quien la solicite y deberá conservarse por 10 años como mínimo.</w:t>
            </w:r>
          </w:p>
        </w:tc>
        <w:tc>
          <w:tcPr>
            <w:tcW w:w="3798" w:type="dxa"/>
            <w:tcBorders>
              <w:top w:val="nil"/>
              <w:left w:val="nil"/>
              <w:bottom w:val="single" w:sz="4" w:space="0" w:color="auto"/>
              <w:right w:val="single" w:sz="4" w:space="0" w:color="000000"/>
            </w:tcBorders>
            <w:shd w:val="clear" w:color="000000" w:fill="FFFFFF"/>
            <w:hideMark/>
          </w:tcPr>
          <w:p w14:paraId="2AAD25C6" w14:textId="7777777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1480" w:type="dxa"/>
            <w:tcBorders>
              <w:top w:val="nil"/>
              <w:left w:val="nil"/>
              <w:bottom w:val="single" w:sz="4" w:space="0" w:color="auto"/>
              <w:right w:val="single" w:sz="4" w:space="0" w:color="000000"/>
            </w:tcBorders>
            <w:shd w:val="clear" w:color="000000" w:fill="FFFFFF"/>
            <w:hideMark/>
          </w:tcPr>
          <w:p w14:paraId="4F8EEBAE" w14:textId="799783D7" w:rsidR="00CD4925" w:rsidRPr="00222F34" w:rsidRDefault="00CD4925" w:rsidP="00CD4925">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No se acoge</w:t>
            </w:r>
            <w:r w:rsidR="009F0A67">
              <w:rPr>
                <w:rFonts w:ascii="Calibri" w:eastAsia="Times New Roman" w:hAnsi="Calibri" w:cs="Calibri"/>
                <w:color w:val="000000"/>
                <w:lang w:val="es-CO" w:eastAsia="es-CO" w:bidi="ar-SA"/>
              </w:rPr>
              <w:t>.</w:t>
            </w:r>
          </w:p>
        </w:tc>
      </w:tr>
      <w:tr w:rsidR="007C3990" w:rsidRPr="00222F34" w14:paraId="40396151" w14:textId="77777777" w:rsidTr="007C3990">
        <w:trPr>
          <w:trHeight w:val="1200"/>
        </w:trPr>
        <w:tc>
          <w:tcPr>
            <w:tcW w:w="3798" w:type="dxa"/>
            <w:tcBorders>
              <w:top w:val="single" w:sz="4" w:space="0" w:color="auto"/>
              <w:left w:val="single" w:sz="4" w:space="0" w:color="000000"/>
              <w:right w:val="single" w:sz="4" w:space="0" w:color="000000"/>
            </w:tcBorders>
            <w:shd w:val="clear" w:color="000000" w:fill="FFFFFF"/>
            <w:hideMark/>
          </w:tcPr>
          <w:p w14:paraId="59E8774F" w14:textId="77777777" w:rsidR="007C3990" w:rsidRPr="007C3990" w:rsidRDefault="007C3990" w:rsidP="00DB2DC6">
            <w:pPr>
              <w:widowControl/>
              <w:autoSpaceDE/>
              <w:autoSpaceDN/>
              <w:jc w:val="left"/>
              <w:rPr>
                <w:rFonts w:ascii="Calibri" w:eastAsia="Times New Roman" w:hAnsi="Calibri" w:cs="Calibri"/>
                <w:color w:val="000000"/>
                <w:lang w:val="es-CO" w:eastAsia="es-CO" w:bidi="ar-SA"/>
              </w:rPr>
            </w:pPr>
            <w:r w:rsidRPr="007C3990">
              <w:rPr>
                <w:rFonts w:ascii="Calibri" w:eastAsia="Times New Roman" w:hAnsi="Calibri" w:cs="Calibri"/>
                <w:b/>
                <w:color w:val="000000"/>
                <w:lang w:val="es-CO" w:eastAsia="es-CO" w:bidi="ar-SA"/>
              </w:rPr>
              <w:t>ARTÍCULO 271.- Vigencia.</w:t>
            </w:r>
            <w:r w:rsidRPr="00222F34">
              <w:rPr>
                <w:rFonts w:ascii="Calibri" w:eastAsia="Times New Roman" w:hAnsi="Calibri" w:cs="Calibri"/>
                <w:color w:val="000000"/>
                <w:lang w:val="es-CO" w:eastAsia="es-CO" w:bidi="ar-SA"/>
              </w:rPr>
              <w:t xml:space="preserve"> El presente Código Electoral rige a partir de su promulgación y deroga las disposiciones que le sean contrarias.  </w:t>
            </w:r>
          </w:p>
        </w:tc>
        <w:tc>
          <w:tcPr>
            <w:tcW w:w="3798" w:type="dxa"/>
            <w:tcBorders>
              <w:top w:val="single" w:sz="4" w:space="0" w:color="auto"/>
              <w:left w:val="nil"/>
              <w:right w:val="single" w:sz="4" w:space="0" w:color="000000"/>
            </w:tcBorders>
            <w:shd w:val="clear" w:color="000000" w:fill="FFFFFF"/>
            <w:hideMark/>
          </w:tcPr>
          <w:p w14:paraId="463601B8" w14:textId="77777777" w:rsidR="007C3990" w:rsidRPr="00222F34" w:rsidRDefault="007C3990" w:rsidP="00DB2DC6">
            <w:pPr>
              <w:widowControl/>
              <w:autoSpaceDE/>
              <w:autoSpaceDN/>
              <w:jc w:val="left"/>
              <w:rPr>
                <w:rFonts w:ascii="Calibri" w:eastAsia="Times New Roman" w:hAnsi="Calibri" w:cs="Calibri"/>
                <w:color w:val="000000"/>
                <w:lang w:val="es-CO" w:eastAsia="es-CO" w:bidi="ar-SA"/>
              </w:rPr>
            </w:pPr>
            <w:r w:rsidRPr="007C3990">
              <w:rPr>
                <w:rFonts w:ascii="Calibri" w:eastAsia="Times New Roman" w:hAnsi="Calibri" w:cs="Calibri"/>
                <w:b/>
                <w:color w:val="000000"/>
                <w:lang w:val="es-CO" w:eastAsia="es-CO" w:bidi="ar-SA"/>
              </w:rPr>
              <w:t>ARTÍCULO 277.- Vigencia.</w:t>
            </w:r>
            <w:r w:rsidRPr="007C3990">
              <w:rPr>
                <w:rFonts w:ascii="Calibri" w:eastAsia="Times New Roman" w:hAnsi="Calibri" w:cs="Calibri"/>
                <w:color w:val="000000"/>
                <w:lang w:val="es-CO" w:eastAsia="es-CO" w:bidi="ar-SA"/>
              </w:rPr>
              <w:t xml:space="preserve"> </w:t>
            </w:r>
            <w:r w:rsidRPr="00222F34">
              <w:rPr>
                <w:rFonts w:ascii="Calibri" w:eastAsia="Times New Roman" w:hAnsi="Calibri" w:cs="Calibri"/>
                <w:color w:val="000000"/>
                <w:lang w:val="es-CO" w:eastAsia="es-CO" w:bidi="ar-SA"/>
              </w:rPr>
              <w:t xml:space="preserve">El presente Código Electoral rige a partir de su promulgación y deroga las disposiciones que le sean contrarias. </w:t>
            </w:r>
          </w:p>
        </w:tc>
        <w:tc>
          <w:tcPr>
            <w:tcW w:w="3798" w:type="dxa"/>
            <w:tcBorders>
              <w:top w:val="single" w:sz="4" w:space="0" w:color="auto"/>
              <w:left w:val="nil"/>
              <w:right w:val="single" w:sz="4" w:space="0" w:color="000000"/>
            </w:tcBorders>
            <w:shd w:val="clear" w:color="000000" w:fill="FFFFFF"/>
            <w:hideMark/>
          </w:tcPr>
          <w:p w14:paraId="20ECB887" w14:textId="28B06801" w:rsidR="007C3990" w:rsidRPr="00222F34" w:rsidRDefault="007C3990" w:rsidP="004B42EC">
            <w:pPr>
              <w:widowControl/>
              <w:autoSpaceDE/>
              <w:autoSpaceDN/>
              <w:jc w:val="left"/>
              <w:rPr>
                <w:rFonts w:ascii="Calibri" w:eastAsia="Times New Roman" w:hAnsi="Calibri" w:cs="Calibri"/>
                <w:color w:val="000000"/>
                <w:lang w:val="es-CO" w:eastAsia="es-CO" w:bidi="ar-SA"/>
              </w:rPr>
            </w:pPr>
            <w:r w:rsidRPr="007C3990">
              <w:rPr>
                <w:rFonts w:ascii="Calibri" w:eastAsia="Times New Roman" w:hAnsi="Calibri" w:cs="Calibri"/>
                <w:b/>
                <w:color w:val="000000"/>
                <w:lang w:val="es-CO" w:eastAsia="es-CO" w:bidi="ar-SA"/>
              </w:rPr>
              <w:t xml:space="preserve">ARTÍCULO </w:t>
            </w:r>
            <w:r w:rsidRPr="00D601B2">
              <w:rPr>
                <w:rFonts w:ascii="Calibri" w:eastAsia="Times New Roman" w:hAnsi="Calibri" w:cs="Calibri"/>
                <w:b/>
                <w:strike/>
                <w:color w:val="000000"/>
                <w:lang w:val="es-CO" w:eastAsia="es-CO" w:bidi="ar-SA"/>
              </w:rPr>
              <w:t>277</w:t>
            </w:r>
            <w:r w:rsidR="00D601B2" w:rsidRPr="00D601B2">
              <w:rPr>
                <w:rFonts w:ascii="Calibri" w:eastAsia="Times New Roman" w:hAnsi="Calibri" w:cs="Calibri"/>
                <w:b/>
                <w:color w:val="000000"/>
                <w:u w:val="single"/>
                <w:lang w:val="es-CO" w:eastAsia="es-CO" w:bidi="ar-SA"/>
              </w:rPr>
              <w:t>27</w:t>
            </w:r>
            <w:r w:rsidR="004B42EC">
              <w:rPr>
                <w:rFonts w:ascii="Calibri" w:eastAsia="Times New Roman" w:hAnsi="Calibri" w:cs="Calibri"/>
                <w:b/>
                <w:color w:val="000000"/>
                <w:u w:val="single"/>
                <w:lang w:val="es-CO" w:eastAsia="es-CO" w:bidi="ar-SA"/>
              </w:rPr>
              <w:t>5</w:t>
            </w:r>
            <w:r w:rsidRPr="007C3990">
              <w:rPr>
                <w:rFonts w:ascii="Calibri" w:eastAsia="Times New Roman" w:hAnsi="Calibri" w:cs="Calibri"/>
                <w:b/>
                <w:color w:val="000000"/>
                <w:lang w:val="es-CO" w:eastAsia="es-CO" w:bidi="ar-SA"/>
              </w:rPr>
              <w:t>.- Vigencia.</w:t>
            </w:r>
            <w:r w:rsidRPr="007C3990">
              <w:rPr>
                <w:rFonts w:ascii="Calibri" w:eastAsia="Times New Roman" w:hAnsi="Calibri" w:cs="Calibri"/>
                <w:color w:val="000000"/>
                <w:lang w:val="es-CO" w:eastAsia="es-CO" w:bidi="ar-SA"/>
              </w:rPr>
              <w:t xml:space="preserve"> </w:t>
            </w:r>
            <w:r w:rsidRPr="00222F34">
              <w:rPr>
                <w:rFonts w:ascii="Calibri" w:eastAsia="Times New Roman" w:hAnsi="Calibri" w:cs="Calibri"/>
                <w:color w:val="000000"/>
                <w:lang w:val="es-CO" w:eastAsia="es-CO" w:bidi="ar-SA"/>
              </w:rPr>
              <w:t xml:space="preserve">El presente Código Electoral rige a partir de su promulgación y deroga las disposiciones que le sean contrarias. </w:t>
            </w:r>
          </w:p>
        </w:tc>
        <w:tc>
          <w:tcPr>
            <w:tcW w:w="1480" w:type="dxa"/>
            <w:tcBorders>
              <w:top w:val="single" w:sz="4" w:space="0" w:color="auto"/>
              <w:left w:val="nil"/>
              <w:right w:val="single" w:sz="4" w:space="0" w:color="000000"/>
            </w:tcBorders>
            <w:shd w:val="clear" w:color="000000" w:fill="FFFFFF"/>
            <w:hideMark/>
          </w:tcPr>
          <w:p w14:paraId="346FCDDD" w14:textId="36EB357B" w:rsidR="007C3990" w:rsidRPr="00222F34" w:rsidRDefault="007C3990" w:rsidP="00DB2DC6">
            <w:pPr>
              <w:widowControl/>
              <w:autoSpaceDE/>
              <w:autoSpaceDN/>
              <w:jc w:val="left"/>
              <w:rPr>
                <w:rFonts w:ascii="Calibri" w:eastAsia="Times New Roman" w:hAnsi="Calibri" w:cs="Calibri"/>
                <w:color w:val="000000"/>
                <w:lang w:val="es-CO" w:eastAsia="es-CO" w:bidi="ar-SA"/>
              </w:rPr>
            </w:pPr>
            <w:r>
              <w:rPr>
                <w:rFonts w:ascii="Calibri" w:eastAsia="Times New Roman" w:hAnsi="Calibri" w:cs="Calibri"/>
                <w:color w:val="000000"/>
                <w:lang w:val="es-CO" w:eastAsia="es-CO" w:bidi="ar-SA"/>
              </w:rPr>
              <w:t>Se acoge texto de Cámara</w:t>
            </w:r>
            <w:r w:rsidRPr="00222F34">
              <w:rPr>
                <w:rFonts w:ascii="Calibri" w:eastAsia="Times New Roman" w:hAnsi="Calibri" w:cs="Calibri"/>
                <w:color w:val="000000"/>
                <w:lang w:val="es-CO" w:eastAsia="es-CO" w:bidi="ar-SA"/>
              </w:rPr>
              <w:t xml:space="preserve"> </w:t>
            </w:r>
            <w:r w:rsidR="00D601B2">
              <w:rPr>
                <w:rFonts w:ascii="Calibri" w:eastAsia="Times New Roman" w:hAnsi="Calibri" w:cs="Calibri"/>
                <w:color w:val="000000"/>
                <w:lang w:val="es-CO" w:eastAsia="es-CO" w:bidi="ar-SA"/>
              </w:rPr>
              <w:t>y se ajusta numeración por la eliminación del 275.</w:t>
            </w:r>
          </w:p>
        </w:tc>
      </w:tr>
      <w:tr w:rsidR="007C3990" w:rsidRPr="00222F34" w14:paraId="35A0DE4E" w14:textId="77777777" w:rsidTr="007C3990">
        <w:trPr>
          <w:trHeight w:val="1200"/>
        </w:trPr>
        <w:tc>
          <w:tcPr>
            <w:tcW w:w="3798" w:type="dxa"/>
            <w:tcBorders>
              <w:top w:val="nil"/>
              <w:left w:val="single" w:sz="4" w:space="0" w:color="000000"/>
              <w:bottom w:val="single" w:sz="4" w:space="0" w:color="auto"/>
              <w:right w:val="single" w:sz="4" w:space="0" w:color="000000"/>
            </w:tcBorders>
            <w:shd w:val="clear" w:color="000000" w:fill="FFFFFF"/>
            <w:hideMark/>
          </w:tcPr>
          <w:p w14:paraId="74572595" w14:textId="77777777" w:rsidR="007C3990" w:rsidRPr="00222F34" w:rsidRDefault="007C3990" w:rsidP="00DB2DC6">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c>
          <w:tcPr>
            <w:tcW w:w="3798" w:type="dxa"/>
            <w:tcBorders>
              <w:top w:val="nil"/>
              <w:left w:val="nil"/>
              <w:bottom w:val="single" w:sz="4" w:space="0" w:color="auto"/>
              <w:right w:val="single" w:sz="4" w:space="0" w:color="000000"/>
            </w:tcBorders>
            <w:shd w:val="clear" w:color="000000" w:fill="FFFFFF"/>
            <w:hideMark/>
          </w:tcPr>
          <w:p w14:paraId="4E49B812" w14:textId="77777777" w:rsidR="007C3990" w:rsidRPr="00222F34" w:rsidRDefault="007C3990" w:rsidP="00DB2DC6">
            <w:pPr>
              <w:widowControl/>
              <w:autoSpaceDE/>
              <w:autoSpaceDN/>
              <w:jc w:val="left"/>
              <w:rPr>
                <w:rFonts w:ascii="Calibri" w:eastAsia="Times New Roman" w:hAnsi="Calibri" w:cs="Calibri"/>
                <w:color w:val="000000"/>
                <w:lang w:val="es-CO" w:eastAsia="es-CO" w:bidi="ar-SA"/>
              </w:rPr>
            </w:pPr>
            <w:r w:rsidRPr="007C3990">
              <w:rPr>
                <w:rFonts w:ascii="Calibri" w:eastAsia="Times New Roman" w:hAnsi="Calibri" w:cs="Calibri"/>
                <w:color w:val="000000"/>
                <w:lang w:val="es-CO" w:eastAsia="es-CO" w:bidi="ar-SA"/>
              </w:rPr>
              <w:t>Parágrafo transitorio.</w:t>
            </w:r>
            <w:r w:rsidRPr="00222F34">
              <w:rPr>
                <w:rFonts w:ascii="Calibri" w:eastAsia="Times New Roman" w:hAnsi="Calibri" w:cs="Calibri"/>
                <w:color w:val="000000"/>
                <w:lang w:val="es-CO" w:eastAsia="es-CO" w:bidi="ar-SA"/>
              </w:rPr>
              <w:t xml:space="preserve"> La presente Ley no será aplicable para las elecciones que se lleven a cabo en el año 2023.</w:t>
            </w:r>
          </w:p>
        </w:tc>
        <w:tc>
          <w:tcPr>
            <w:tcW w:w="3798" w:type="dxa"/>
            <w:tcBorders>
              <w:top w:val="nil"/>
              <w:left w:val="nil"/>
              <w:bottom w:val="single" w:sz="4" w:space="0" w:color="auto"/>
              <w:right w:val="single" w:sz="4" w:space="0" w:color="000000"/>
            </w:tcBorders>
            <w:shd w:val="clear" w:color="000000" w:fill="FFFFFF"/>
            <w:hideMark/>
          </w:tcPr>
          <w:p w14:paraId="7D275696" w14:textId="77777777" w:rsidR="007C3990" w:rsidRPr="00222F34" w:rsidRDefault="007C3990" w:rsidP="00DB2DC6">
            <w:pPr>
              <w:widowControl/>
              <w:autoSpaceDE/>
              <w:autoSpaceDN/>
              <w:jc w:val="left"/>
              <w:rPr>
                <w:rFonts w:ascii="Calibri" w:eastAsia="Times New Roman" w:hAnsi="Calibri" w:cs="Calibri"/>
                <w:color w:val="000000"/>
                <w:lang w:val="es-CO" w:eastAsia="es-CO" w:bidi="ar-SA"/>
              </w:rPr>
            </w:pPr>
            <w:r w:rsidRPr="007C3990">
              <w:rPr>
                <w:rFonts w:ascii="Calibri" w:eastAsia="Times New Roman" w:hAnsi="Calibri" w:cs="Calibri"/>
                <w:b/>
                <w:color w:val="000000"/>
                <w:lang w:val="es-CO" w:eastAsia="es-CO" w:bidi="ar-SA"/>
              </w:rPr>
              <w:t>Parágrafo transitorio.</w:t>
            </w:r>
            <w:r w:rsidRPr="00222F34">
              <w:rPr>
                <w:rFonts w:ascii="Calibri" w:eastAsia="Times New Roman" w:hAnsi="Calibri" w:cs="Calibri"/>
                <w:color w:val="000000"/>
                <w:lang w:val="es-CO" w:eastAsia="es-CO" w:bidi="ar-SA"/>
              </w:rPr>
              <w:t xml:space="preserve"> La presente Ley no será aplicable para las elecciones que se lleven a cabo en el año 2023.</w:t>
            </w:r>
          </w:p>
        </w:tc>
        <w:tc>
          <w:tcPr>
            <w:tcW w:w="1480" w:type="dxa"/>
            <w:tcBorders>
              <w:top w:val="nil"/>
              <w:left w:val="nil"/>
              <w:bottom w:val="single" w:sz="4" w:space="0" w:color="auto"/>
              <w:right w:val="single" w:sz="4" w:space="0" w:color="000000"/>
            </w:tcBorders>
            <w:shd w:val="clear" w:color="000000" w:fill="FFFFFF"/>
            <w:hideMark/>
          </w:tcPr>
          <w:p w14:paraId="6931C6B4" w14:textId="77777777" w:rsidR="007C3990" w:rsidRPr="00222F34" w:rsidRDefault="007C3990" w:rsidP="00DB2DC6">
            <w:pPr>
              <w:widowControl/>
              <w:autoSpaceDE/>
              <w:autoSpaceDN/>
              <w:jc w:val="left"/>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tc>
      </w:tr>
    </w:tbl>
    <w:p w14:paraId="3E9045C4" w14:textId="77777777" w:rsidR="002527DF" w:rsidRPr="00CB0531" w:rsidRDefault="002527DF" w:rsidP="000D77CB">
      <w:pPr>
        <w:tabs>
          <w:tab w:val="left" w:pos="8789"/>
        </w:tabs>
        <w:ind w:right="49"/>
        <w:rPr>
          <w:rFonts w:ascii="Calibri" w:hAnsi="Calibri" w:cs="Calibri"/>
          <w:b/>
          <w:bCs/>
          <w:noProof/>
          <w:lang w:val="es-CO"/>
        </w:rPr>
      </w:pPr>
    </w:p>
    <w:p w14:paraId="76F5FCED" w14:textId="77777777" w:rsidR="000D77CB" w:rsidRPr="00ED461D" w:rsidRDefault="000D77CB" w:rsidP="000D77CB">
      <w:pPr>
        <w:pBdr>
          <w:top w:val="nil"/>
          <w:left w:val="nil"/>
          <w:bottom w:val="nil"/>
          <w:right w:val="nil"/>
          <w:between w:val="nil"/>
        </w:pBdr>
        <w:rPr>
          <w:rFonts w:ascii="Calibri" w:hAnsi="Calibri" w:cs="Calibri"/>
          <w:b/>
          <w:smallCaps/>
        </w:rPr>
      </w:pPr>
    </w:p>
    <w:p w14:paraId="1A3E6F2D" w14:textId="77777777" w:rsidR="0093628B" w:rsidRPr="00ED461D" w:rsidRDefault="000D77CB" w:rsidP="000D77CB">
      <w:pPr>
        <w:rPr>
          <w:rFonts w:ascii="Calibri" w:hAnsi="Calibri" w:cs="Calibri"/>
          <w:b/>
          <w:smallCaps/>
        </w:rPr>
        <w:sectPr w:rsidR="0093628B" w:rsidRPr="00ED461D" w:rsidSect="005B10B1">
          <w:headerReference w:type="default" r:id="rId9"/>
          <w:pgSz w:w="15842" w:h="12242" w:orient="landscape" w:code="1"/>
          <w:pgMar w:top="1134" w:right="1134" w:bottom="1134" w:left="1701" w:header="851" w:footer="636" w:gutter="0"/>
          <w:cols w:space="708"/>
          <w:docGrid w:linePitch="360"/>
        </w:sectPr>
      </w:pPr>
      <w:r w:rsidRPr="00ED461D">
        <w:rPr>
          <w:rFonts w:ascii="Calibri" w:hAnsi="Calibri" w:cs="Calibri"/>
          <w:b/>
          <w:smallCaps/>
        </w:rPr>
        <w:br w:type="page"/>
      </w:r>
    </w:p>
    <w:p w14:paraId="644C0154" w14:textId="77777777" w:rsidR="00AB3611" w:rsidRPr="00AB3611" w:rsidRDefault="00AB3611" w:rsidP="00AB3611">
      <w:pPr>
        <w:pStyle w:val="Ttulo2"/>
        <w:jc w:val="center"/>
        <w:rPr>
          <w:sz w:val="22"/>
          <w:szCs w:val="22"/>
        </w:rPr>
      </w:pPr>
      <w:r w:rsidRPr="00AB3611">
        <w:rPr>
          <w:sz w:val="22"/>
          <w:szCs w:val="22"/>
        </w:rPr>
        <w:lastRenderedPageBreak/>
        <w:t>PROPOSICIÓN</w:t>
      </w:r>
    </w:p>
    <w:p w14:paraId="52DBEB53" w14:textId="77777777" w:rsidR="00AB3611" w:rsidRPr="00AB3611" w:rsidRDefault="00AB3611" w:rsidP="00AB3611">
      <w:pPr>
        <w:pStyle w:val="Ttulo2"/>
        <w:jc w:val="center"/>
        <w:rPr>
          <w:sz w:val="22"/>
          <w:szCs w:val="22"/>
        </w:rPr>
      </w:pPr>
    </w:p>
    <w:p w14:paraId="2EE44837" w14:textId="460A0979" w:rsidR="00510AD9" w:rsidRDefault="00AB3611" w:rsidP="00510AD9">
      <w:pPr>
        <w:pStyle w:val="Sinespaciado"/>
        <w:spacing w:line="360" w:lineRule="auto"/>
        <w:jc w:val="both"/>
        <w:rPr>
          <w:rFonts w:ascii="Calibri" w:hAnsi="Calibri" w:cs="Calibri"/>
          <w:bCs/>
        </w:rPr>
      </w:pPr>
      <w:r w:rsidRPr="00AB3611">
        <w:rPr>
          <w:rFonts w:ascii="Calibri" w:hAnsi="Calibri" w:cs="Calibri"/>
        </w:rPr>
        <w:t xml:space="preserve">En concordancia con lo </w:t>
      </w:r>
      <w:r>
        <w:rPr>
          <w:rFonts w:ascii="Calibri" w:hAnsi="Calibri" w:cs="Calibri"/>
        </w:rPr>
        <w:t>expuesto en este informe</w:t>
      </w:r>
      <w:r w:rsidRPr="00AB3611">
        <w:rPr>
          <w:rFonts w:ascii="Calibri" w:hAnsi="Calibri" w:cs="Calibri"/>
        </w:rPr>
        <w:t>, los suscritos conciliadores solicitamos a las Plenarias del Senado de la República y la Cámara de Representantes acoger el texto conciliado que se presenta a continuación al Proyecto de Ley</w:t>
      </w:r>
      <w:r>
        <w:rPr>
          <w:rFonts w:ascii="Calibri" w:hAnsi="Calibri" w:cs="Calibri"/>
        </w:rPr>
        <w:t xml:space="preserve"> Estatutaria </w:t>
      </w:r>
      <w:r w:rsidRPr="004D6339">
        <w:rPr>
          <w:rFonts w:ascii="Calibri" w:hAnsi="Calibri" w:cs="Calibri"/>
          <w:bCs/>
        </w:rPr>
        <w:t xml:space="preserve">111 de 2022 Senado </w:t>
      </w:r>
      <w:r>
        <w:rPr>
          <w:rFonts w:ascii="Calibri" w:hAnsi="Calibri" w:cs="Calibri"/>
          <w:bCs/>
        </w:rPr>
        <w:t xml:space="preserve">- </w:t>
      </w:r>
      <w:r w:rsidRPr="004D6339">
        <w:rPr>
          <w:rFonts w:ascii="Calibri" w:hAnsi="Calibri" w:cs="Calibri"/>
          <w:bCs/>
        </w:rPr>
        <w:t>418 de 2023 Cá</w:t>
      </w:r>
      <w:r>
        <w:rPr>
          <w:rFonts w:ascii="Calibri" w:hAnsi="Calibri" w:cs="Calibri"/>
          <w:bCs/>
        </w:rPr>
        <w:t>mara,</w:t>
      </w:r>
      <w:r w:rsidRPr="004D6339">
        <w:rPr>
          <w:rFonts w:ascii="Calibri" w:hAnsi="Calibri" w:cs="Calibri"/>
          <w:bCs/>
        </w:rPr>
        <w:t xml:space="preserve"> acumulado con el Proye</w:t>
      </w:r>
      <w:r>
        <w:rPr>
          <w:rFonts w:ascii="Calibri" w:hAnsi="Calibri" w:cs="Calibri"/>
          <w:bCs/>
        </w:rPr>
        <w:t xml:space="preserve">cto de Ley 141 de 2022 Senado, </w:t>
      </w:r>
      <w:r w:rsidRPr="004D6339">
        <w:rPr>
          <w:rFonts w:ascii="Calibri" w:hAnsi="Calibri" w:cs="Calibri"/>
          <w:bCs/>
        </w:rPr>
        <w:t>“</w:t>
      </w:r>
      <w:r w:rsidRPr="004D6339">
        <w:rPr>
          <w:rFonts w:ascii="Calibri" w:hAnsi="Calibri" w:cs="Calibri"/>
          <w:bCs/>
          <w:i/>
        </w:rPr>
        <w:t>Por la cual se expide el Código Electoral Colombiano y se dictan otras disposiciones</w:t>
      </w:r>
      <w:r w:rsidRPr="004D6339">
        <w:rPr>
          <w:rFonts w:ascii="Calibri" w:hAnsi="Calibri" w:cs="Calibri"/>
          <w:bCs/>
        </w:rPr>
        <w:t>”.</w:t>
      </w:r>
    </w:p>
    <w:tbl>
      <w:tblPr>
        <w:tblW w:w="0" w:type="auto"/>
        <w:jc w:val="center"/>
        <w:tblLook w:val="04A0" w:firstRow="1" w:lastRow="0" w:firstColumn="1" w:lastColumn="0" w:noHBand="0" w:noVBand="1"/>
      </w:tblPr>
      <w:tblGrid>
        <w:gridCol w:w="4419"/>
        <w:gridCol w:w="4409"/>
      </w:tblGrid>
      <w:tr w:rsidR="00510AD9" w:rsidRPr="00ED461D" w14:paraId="696FAC2D" w14:textId="77777777" w:rsidTr="00CA11B1">
        <w:trPr>
          <w:trHeight w:val="1928"/>
          <w:jc w:val="center"/>
        </w:trPr>
        <w:tc>
          <w:tcPr>
            <w:tcW w:w="4419" w:type="dxa"/>
            <w:shd w:val="clear" w:color="auto" w:fill="auto"/>
            <w:vAlign w:val="bottom"/>
          </w:tcPr>
          <w:p w14:paraId="5842AF3D" w14:textId="1BBE9797" w:rsidR="00510AD9" w:rsidRPr="00ED461D" w:rsidRDefault="000E2F42" w:rsidP="00CA11B1">
            <w:pPr>
              <w:jc w:val="center"/>
              <w:rPr>
                <w:rFonts w:ascii="Calibri" w:hAnsi="Calibri" w:cs="Calibri"/>
                <w:b/>
                <w:bCs/>
                <w:spacing w:val="-2"/>
              </w:rPr>
            </w:pPr>
            <w:r>
              <w:rPr>
                <w:rFonts w:ascii="Calibri" w:hAnsi="Calibri" w:cs="Calibri"/>
                <w:b/>
                <w:bCs/>
                <w:spacing w:val="-2"/>
              </w:rPr>
              <w:t>ALEJANDRO VEGA PÉ</w:t>
            </w:r>
            <w:r w:rsidR="00510AD9" w:rsidRPr="00ED461D">
              <w:rPr>
                <w:rFonts w:ascii="Calibri" w:hAnsi="Calibri" w:cs="Calibri"/>
                <w:b/>
                <w:bCs/>
                <w:spacing w:val="-2"/>
              </w:rPr>
              <w:t>REZ</w:t>
            </w:r>
          </w:p>
          <w:p w14:paraId="11499B31" w14:textId="6F333DC9" w:rsidR="00510AD9" w:rsidRPr="00ED461D" w:rsidRDefault="00510AD9" w:rsidP="00CA11B1">
            <w:pPr>
              <w:jc w:val="center"/>
              <w:rPr>
                <w:rFonts w:ascii="Calibri" w:hAnsi="Calibri" w:cs="Calibri"/>
                <w:b/>
                <w:bCs/>
                <w:spacing w:val="-2"/>
              </w:rPr>
            </w:pPr>
            <w:r w:rsidRPr="00ED461D">
              <w:rPr>
                <w:rFonts w:ascii="Calibri" w:hAnsi="Calibri" w:cs="Calibri"/>
                <w:b/>
                <w:bCs/>
                <w:spacing w:val="-2"/>
              </w:rPr>
              <w:t>Senador</w:t>
            </w:r>
            <w:r>
              <w:rPr>
                <w:rFonts w:ascii="Calibri" w:hAnsi="Calibri" w:cs="Calibri"/>
                <w:b/>
                <w:bCs/>
                <w:spacing w:val="-2"/>
              </w:rPr>
              <w:t xml:space="preserve"> de </w:t>
            </w:r>
            <w:r w:rsidRPr="00684C1C">
              <w:rPr>
                <w:rFonts w:ascii="Calibri" w:hAnsi="Calibri" w:cs="Calibri"/>
                <w:b/>
                <w:szCs w:val="20"/>
              </w:rPr>
              <w:t>la República</w:t>
            </w:r>
          </w:p>
        </w:tc>
        <w:tc>
          <w:tcPr>
            <w:tcW w:w="4409" w:type="dxa"/>
            <w:shd w:val="clear" w:color="auto" w:fill="auto"/>
            <w:vAlign w:val="bottom"/>
          </w:tcPr>
          <w:p w14:paraId="6B701638" w14:textId="6EB3630B" w:rsidR="00CB0531" w:rsidRDefault="00CB0531" w:rsidP="00CA11B1">
            <w:pPr>
              <w:pStyle w:val="Normal1"/>
              <w:spacing w:after="0" w:line="240" w:lineRule="auto"/>
              <w:jc w:val="center"/>
              <w:rPr>
                <w:rFonts w:eastAsia="Arial"/>
                <w:b/>
              </w:rPr>
            </w:pPr>
          </w:p>
          <w:p w14:paraId="22213C14" w14:textId="744B9994" w:rsidR="00CB0531" w:rsidRDefault="00CB0531" w:rsidP="00CA11B1">
            <w:pPr>
              <w:pStyle w:val="Normal1"/>
              <w:spacing w:after="0" w:line="240" w:lineRule="auto"/>
              <w:jc w:val="center"/>
              <w:rPr>
                <w:rFonts w:eastAsia="Arial"/>
                <w:b/>
              </w:rPr>
            </w:pPr>
          </w:p>
          <w:p w14:paraId="5DAFF091" w14:textId="77777777" w:rsidR="00CB0531" w:rsidRDefault="00CB0531" w:rsidP="00CA11B1">
            <w:pPr>
              <w:pStyle w:val="Normal1"/>
              <w:spacing w:after="0" w:line="240" w:lineRule="auto"/>
              <w:jc w:val="center"/>
              <w:rPr>
                <w:rFonts w:eastAsia="Arial"/>
                <w:b/>
              </w:rPr>
            </w:pPr>
          </w:p>
          <w:p w14:paraId="1B4F5563" w14:textId="7F78F97A" w:rsidR="00CB0531" w:rsidRDefault="00CB0531" w:rsidP="00CB0531">
            <w:pPr>
              <w:pStyle w:val="Normal1"/>
              <w:spacing w:after="0" w:line="240" w:lineRule="auto"/>
              <w:jc w:val="center"/>
              <w:rPr>
                <w:rFonts w:eastAsia="Arial"/>
                <w:b/>
              </w:rPr>
            </w:pPr>
          </w:p>
          <w:p w14:paraId="7AFD6602" w14:textId="77777777" w:rsidR="00CB0531" w:rsidRDefault="00CB0531" w:rsidP="00CB0531">
            <w:pPr>
              <w:pStyle w:val="Normal1"/>
              <w:spacing w:after="0" w:line="240" w:lineRule="auto"/>
              <w:jc w:val="center"/>
              <w:rPr>
                <w:rFonts w:eastAsia="Arial"/>
                <w:b/>
              </w:rPr>
            </w:pPr>
          </w:p>
          <w:p w14:paraId="4FD36D15" w14:textId="4D8B7B13" w:rsidR="00510AD9" w:rsidRPr="00ED461D" w:rsidRDefault="00510AD9" w:rsidP="00CB0531">
            <w:pPr>
              <w:pStyle w:val="Normal1"/>
              <w:spacing w:after="0" w:line="240" w:lineRule="auto"/>
              <w:jc w:val="center"/>
              <w:rPr>
                <w:rFonts w:eastAsia="Arial"/>
                <w:b/>
              </w:rPr>
            </w:pPr>
            <w:r w:rsidRPr="002527DF">
              <w:rPr>
                <w:rFonts w:eastAsia="Arial"/>
                <w:b/>
              </w:rPr>
              <w:t>ALFREDO RAFAEL DELUQUE ZULETA</w:t>
            </w:r>
          </w:p>
          <w:p w14:paraId="7D0CA700" w14:textId="409E73C4" w:rsidR="00510AD9" w:rsidRPr="00ED461D" w:rsidRDefault="00510AD9" w:rsidP="00CA11B1">
            <w:pPr>
              <w:pStyle w:val="Normal1"/>
              <w:spacing w:after="0" w:line="240" w:lineRule="auto"/>
              <w:jc w:val="center"/>
              <w:rPr>
                <w:rFonts w:eastAsia="Arial"/>
                <w:b/>
              </w:rPr>
            </w:pPr>
            <w:r w:rsidRPr="00ED461D">
              <w:rPr>
                <w:rFonts w:eastAsia="Arial"/>
                <w:b/>
              </w:rPr>
              <w:t>Senador</w:t>
            </w:r>
            <w:r>
              <w:rPr>
                <w:b/>
                <w:bCs/>
                <w:spacing w:val="-2"/>
              </w:rPr>
              <w:t xml:space="preserve"> de </w:t>
            </w:r>
            <w:r w:rsidRPr="00684C1C">
              <w:rPr>
                <w:b/>
                <w:szCs w:val="20"/>
              </w:rPr>
              <w:t>la República</w:t>
            </w:r>
          </w:p>
        </w:tc>
      </w:tr>
      <w:tr w:rsidR="00510AD9" w:rsidRPr="00ED461D" w14:paraId="14518151" w14:textId="77777777" w:rsidTr="00CA11B1">
        <w:trPr>
          <w:trHeight w:val="1928"/>
          <w:jc w:val="center"/>
        </w:trPr>
        <w:tc>
          <w:tcPr>
            <w:tcW w:w="4419" w:type="dxa"/>
            <w:shd w:val="clear" w:color="auto" w:fill="auto"/>
            <w:vAlign w:val="bottom"/>
          </w:tcPr>
          <w:p w14:paraId="7C2D19E1" w14:textId="77777777" w:rsidR="00510AD9" w:rsidRPr="00ED461D" w:rsidRDefault="00510AD9" w:rsidP="00CA11B1">
            <w:pPr>
              <w:jc w:val="center"/>
              <w:rPr>
                <w:rFonts w:ascii="Calibri" w:hAnsi="Calibri" w:cs="Calibri"/>
                <w:b/>
                <w:bCs/>
                <w:spacing w:val="-2"/>
              </w:rPr>
            </w:pPr>
          </w:p>
          <w:p w14:paraId="6946BD47" w14:textId="5D8923EF" w:rsidR="00510AD9" w:rsidRPr="00ED461D" w:rsidRDefault="00510AD9" w:rsidP="00CA11B1">
            <w:pPr>
              <w:jc w:val="center"/>
              <w:rPr>
                <w:rFonts w:ascii="Calibri" w:hAnsi="Calibri" w:cs="Calibri"/>
                <w:b/>
                <w:bCs/>
                <w:spacing w:val="-2"/>
              </w:rPr>
            </w:pPr>
            <w:r w:rsidRPr="002527DF">
              <w:rPr>
                <w:rFonts w:ascii="Calibri" w:hAnsi="Calibri" w:cs="Calibri"/>
                <w:b/>
                <w:bCs/>
                <w:spacing w:val="-2"/>
              </w:rPr>
              <w:t>JUAN DANIEL PEÑUELA</w:t>
            </w:r>
            <w:r>
              <w:rPr>
                <w:rFonts w:ascii="Calibri" w:hAnsi="Calibri" w:cs="Calibri"/>
                <w:b/>
                <w:bCs/>
                <w:spacing w:val="-2"/>
              </w:rPr>
              <w:t xml:space="preserve"> CALVACHE</w:t>
            </w:r>
          </w:p>
          <w:p w14:paraId="59D84666" w14:textId="77777777" w:rsidR="00510AD9" w:rsidRPr="00ED461D" w:rsidRDefault="00510AD9" w:rsidP="00CA11B1">
            <w:pPr>
              <w:jc w:val="center"/>
              <w:rPr>
                <w:rFonts w:ascii="Calibri" w:hAnsi="Calibri" w:cs="Calibri"/>
                <w:b/>
                <w:bCs/>
                <w:spacing w:val="-2"/>
              </w:rPr>
            </w:pPr>
            <w:r w:rsidRPr="00ED461D">
              <w:rPr>
                <w:rFonts w:ascii="Calibri" w:hAnsi="Calibri" w:cs="Calibri"/>
                <w:b/>
                <w:bCs/>
                <w:spacing w:val="-2"/>
              </w:rPr>
              <w:t xml:space="preserve">Representante </w:t>
            </w:r>
            <w:r w:rsidRPr="00ED461D">
              <w:rPr>
                <w:rFonts w:ascii="Calibri" w:hAnsi="Calibri" w:cs="Calibri"/>
                <w:b/>
              </w:rPr>
              <w:t>a la Cámara</w:t>
            </w:r>
          </w:p>
        </w:tc>
        <w:tc>
          <w:tcPr>
            <w:tcW w:w="4409" w:type="dxa"/>
            <w:shd w:val="clear" w:color="auto" w:fill="auto"/>
            <w:vAlign w:val="bottom"/>
          </w:tcPr>
          <w:p w14:paraId="5911AFB0" w14:textId="77777777" w:rsidR="00510AD9" w:rsidRPr="00ED461D" w:rsidRDefault="00510AD9" w:rsidP="00CA11B1">
            <w:pPr>
              <w:pStyle w:val="Normal1"/>
              <w:spacing w:after="0" w:line="240" w:lineRule="auto"/>
              <w:jc w:val="center"/>
              <w:rPr>
                <w:rFonts w:eastAsia="Arial"/>
                <w:b/>
              </w:rPr>
            </w:pPr>
          </w:p>
          <w:p w14:paraId="168DDDB7" w14:textId="77777777" w:rsidR="00510AD9" w:rsidRPr="00ED461D" w:rsidRDefault="00510AD9" w:rsidP="00CA11B1">
            <w:pPr>
              <w:pStyle w:val="Normal1"/>
              <w:spacing w:after="0" w:line="240" w:lineRule="auto"/>
              <w:jc w:val="center"/>
              <w:rPr>
                <w:rFonts w:eastAsia="Arial"/>
                <w:b/>
              </w:rPr>
            </w:pPr>
          </w:p>
          <w:p w14:paraId="5B7F62BC" w14:textId="77777777" w:rsidR="00510AD9" w:rsidRPr="00ED461D" w:rsidRDefault="00510AD9" w:rsidP="00CA11B1">
            <w:pPr>
              <w:pStyle w:val="Normal1"/>
              <w:spacing w:after="0" w:line="240" w:lineRule="auto"/>
              <w:jc w:val="center"/>
              <w:rPr>
                <w:rFonts w:eastAsia="Arial"/>
                <w:b/>
              </w:rPr>
            </w:pPr>
            <w:r w:rsidRPr="002527DF">
              <w:rPr>
                <w:rFonts w:eastAsia="Arial"/>
                <w:b/>
              </w:rPr>
              <w:t>JORGE ELIÉCER TAMAYO MARULANDA</w:t>
            </w:r>
          </w:p>
          <w:p w14:paraId="40FBBB69" w14:textId="77777777" w:rsidR="00510AD9" w:rsidRPr="00ED461D" w:rsidRDefault="00510AD9" w:rsidP="00CA11B1">
            <w:pPr>
              <w:pStyle w:val="Normal1"/>
              <w:spacing w:after="0" w:line="240" w:lineRule="auto"/>
              <w:jc w:val="center"/>
              <w:rPr>
                <w:rFonts w:eastAsia="Arial"/>
              </w:rPr>
            </w:pPr>
            <w:r w:rsidRPr="00ED461D">
              <w:rPr>
                <w:rFonts w:eastAsia="Arial"/>
                <w:b/>
              </w:rPr>
              <w:t>Representante a la Cámara</w:t>
            </w:r>
          </w:p>
        </w:tc>
      </w:tr>
    </w:tbl>
    <w:p w14:paraId="10FC37E8" w14:textId="36E7210A" w:rsidR="00510AD9" w:rsidRDefault="00510AD9" w:rsidP="00510AD9">
      <w:pPr>
        <w:pStyle w:val="Sinespaciado"/>
        <w:spacing w:line="360" w:lineRule="auto"/>
        <w:jc w:val="both"/>
        <w:rPr>
          <w:rFonts w:ascii="Calibri" w:hAnsi="Calibri" w:cs="Calibri"/>
          <w:bCs/>
        </w:rPr>
      </w:pPr>
    </w:p>
    <w:p w14:paraId="4E76E569" w14:textId="77777777" w:rsidR="00510AD9" w:rsidRDefault="00510AD9">
      <w:pPr>
        <w:widowControl/>
        <w:autoSpaceDE/>
        <w:autoSpaceDN/>
        <w:jc w:val="left"/>
        <w:rPr>
          <w:rFonts w:ascii="Calibri" w:eastAsiaTheme="minorHAnsi" w:hAnsi="Calibri" w:cs="Calibri"/>
          <w:bCs/>
          <w:lang w:val="es-CO" w:eastAsia="en-US" w:bidi="ar-SA"/>
        </w:rPr>
      </w:pPr>
      <w:r>
        <w:rPr>
          <w:rFonts w:ascii="Calibri" w:hAnsi="Calibri" w:cs="Calibri"/>
          <w:bCs/>
        </w:rPr>
        <w:br w:type="page"/>
      </w:r>
    </w:p>
    <w:p w14:paraId="56B09207" w14:textId="128829B4" w:rsidR="007B3476" w:rsidRPr="002527DF" w:rsidRDefault="007B3476" w:rsidP="008E7D36">
      <w:pPr>
        <w:pStyle w:val="Ttulo2"/>
        <w:jc w:val="center"/>
        <w:rPr>
          <w:sz w:val="22"/>
          <w:szCs w:val="22"/>
        </w:rPr>
      </w:pPr>
      <w:r w:rsidRPr="002527DF">
        <w:rPr>
          <w:sz w:val="22"/>
          <w:szCs w:val="22"/>
        </w:rPr>
        <w:lastRenderedPageBreak/>
        <w:t xml:space="preserve">TEXTO CONCILIADO AL </w:t>
      </w:r>
      <w:r w:rsidR="008E7D36">
        <w:rPr>
          <w:sz w:val="22"/>
          <w:szCs w:val="22"/>
        </w:rPr>
        <w:t xml:space="preserve">PROYECTO DE LEY ESTATUTARIA </w:t>
      </w:r>
      <w:r w:rsidR="008E7D36" w:rsidRPr="004D6339">
        <w:rPr>
          <w:bCs/>
          <w:sz w:val="22"/>
          <w:szCs w:val="22"/>
        </w:rPr>
        <w:t xml:space="preserve">111 de 2022 </w:t>
      </w:r>
      <w:r w:rsidR="00AB3611" w:rsidRPr="004D6339">
        <w:rPr>
          <w:bCs/>
          <w:sz w:val="22"/>
          <w:szCs w:val="22"/>
        </w:rPr>
        <w:t xml:space="preserve">SENADO </w:t>
      </w:r>
      <w:r w:rsidR="00AB3611">
        <w:rPr>
          <w:bCs/>
          <w:sz w:val="22"/>
          <w:szCs w:val="22"/>
        </w:rPr>
        <w:t xml:space="preserve">- </w:t>
      </w:r>
      <w:r w:rsidR="00AB3611" w:rsidRPr="004D6339">
        <w:rPr>
          <w:bCs/>
          <w:sz w:val="22"/>
          <w:szCs w:val="22"/>
        </w:rPr>
        <w:t xml:space="preserve">418 de 2023 CÁMARA ACUMULADO CON EL PROYECTO DE LEY 141 DE 2022 SENADO - </w:t>
      </w:r>
      <w:r w:rsidR="00AB3611">
        <w:rPr>
          <w:bCs/>
          <w:sz w:val="22"/>
          <w:szCs w:val="22"/>
        </w:rPr>
        <w:br/>
      </w:r>
      <w:r w:rsidR="008E7D36" w:rsidRPr="008E7D36">
        <w:rPr>
          <w:bCs/>
          <w:sz w:val="22"/>
          <w:szCs w:val="22"/>
        </w:rPr>
        <w:t>“POR LA CUAL SE EXPIDE EL CÓDIGO ELECTORAL COLOMBIANO Y SE DICTAN OTRAS DISPOSICIONES”.</w:t>
      </w:r>
    </w:p>
    <w:p w14:paraId="4EDEEA50" w14:textId="77777777" w:rsidR="007B3476" w:rsidRPr="00ED461D" w:rsidRDefault="007B3476" w:rsidP="00894BC9">
      <w:pPr>
        <w:spacing w:line="276" w:lineRule="auto"/>
        <w:rPr>
          <w:rFonts w:ascii="Calibri" w:hAnsi="Calibri" w:cs="Calibri"/>
          <w:b/>
          <w:iCs/>
          <w:lang w:val="es-CO"/>
        </w:rPr>
      </w:pPr>
    </w:p>
    <w:p w14:paraId="58CFDBBF" w14:textId="6C99D688" w:rsidR="007B3476" w:rsidRPr="00ED461D" w:rsidRDefault="00510AD9" w:rsidP="00894BC9">
      <w:pPr>
        <w:pStyle w:val="NormalWeb"/>
        <w:spacing w:before="0" w:beforeAutospacing="0" w:after="0" w:afterAutospacing="0" w:line="276" w:lineRule="auto"/>
        <w:jc w:val="center"/>
        <w:rPr>
          <w:rFonts w:ascii="Calibri" w:hAnsi="Calibri" w:cs="Calibri"/>
          <w:b/>
          <w:sz w:val="22"/>
          <w:szCs w:val="22"/>
        </w:rPr>
      </w:pPr>
      <w:r>
        <w:rPr>
          <w:rFonts w:ascii="Calibri" w:hAnsi="Calibri" w:cs="Calibri"/>
          <w:b/>
          <w:sz w:val="22"/>
          <w:szCs w:val="22"/>
        </w:rPr>
        <w:t xml:space="preserve">EL CONGRESO DE </w:t>
      </w:r>
      <w:r w:rsidR="007B3476" w:rsidRPr="00ED461D">
        <w:rPr>
          <w:rFonts w:ascii="Calibri" w:hAnsi="Calibri" w:cs="Calibri"/>
          <w:b/>
          <w:sz w:val="22"/>
          <w:szCs w:val="22"/>
        </w:rPr>
        <w:t>LA REPÚBLICA</w:t>
      </w:r>
    </w:p>
    <w:p w14:paraId="392E22AD" w14:textId="77777777" w:rsidR="007B3476" w:rsidRPr="00ED461D" w:rsidRDefault="007B3476" w:rsidP="00894BC9">
      <w:pPr>
        <w:pStyle w:val="NormalWeb"/>
        <w:spacing w:before="0" w:beforeAutospacing="0" w:after="0" w:afterAutospacing="0" w:line="276" w:lineRule="auto"/>
        <w:jc w:val="center"/>
        <w:rPr>
          <w:rFonts w:ascii="Calibri" w:hAnsi="Calibri" w:cs="Calibri"/>
          <w:b/>
          <w:sz w:val="22"/>
          <w:szCs w:val="22"/>
        </w:rPr>
      </w:pPr>
    </w:p>
    <w:p w14:paraId="7FA362E2" w14:textId="4BC27A9B" w:rsidR="007B3476" w:rsidRPr="00CA11B1" w:rsidRDefault="007B3476" w:rsidP="00CA11B1">
      <w:pPr>
        <w:pStyle w:val="NormalWeb"/>
        <w:spacing w:before="0" w:beforeAutospacing="0" w:after="0" w:afterAutospacing="0" w:line="276" w:lineRule="auto"/>
        <w:jc w:val="center"/>
        <w:rPr>
          <w:rFonts w:ascii="Calibri" w:hAnsi="Calibri" w:cs="Calibri"/>
          <w:b/>
          <w:sz w:val="22"/>
          <w:szCs w:val="22"/>
        </w:rPr>
      </w:pPr>
      <w:r w:rsidRPr="00ED461D">
        <w:rPr>
          <w:rFonts w:ascii="Calibri" w:hAnsi="Calibri" w:cs="Calibri"/>
          <w:b/>
          <w:sz w:val="22"/>
          <w:szCs w:val="22"/>
        </w:rPr>
        <w:t>DECRETA:</w:t>
      </w:r>
    </w:p>
    <w:p w14:paraId="3CA8D737" w14:textId="6381F1C0" w:rsidR="00CA11B1" w:rsidRDefault="00CA11B1" w:rsidP="00894BC9">
      <w:pPr>
        <w:spacing w:line="276" w:lineRule="auto"/>
        <w:rPr>
          <w:rFonts w:ascii="Calibri" w:hAnsi="Calibri" w:cs="Calibri"/>
          <w:b/>
          <w:bCs/>
          <w:color w:val="000000"/>
          <w:lang w:eastAsia="es-CO"/>
        </w:rPr>
      </w:pPr>
    </w:p>
    <w:p w14:paraId="1F699CF8"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PRELIMINAR</w:t>
      </w:r>
    </w:p>
    <w:p w14:paraId="6C41B3E3" w14:textId="0BC010D3"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p w14:paraId="2F9EEE3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 Objeto.</w:t>
      </w:r>
      <w:r w:rsidRPr="00222F34">
        <w:rPr>
          <w:rFonts w:ascii="Calibri" w:eastAsia="Times New Roman" w:hAnsi="Calibri" w:cs="Calibri"/>
          <w:color w:val="000000"/>
          <w:lang w:val="es-CO" w:eastAsia="es-CO" w:bidi="ar-SA"/>
        </w:rPr>
        <w:t xml:space="preserve"> El presente código tiene por objeto regular el derecho constitucional fundamental a elegir y ser elegido, las atribuciones de las autoridades públicas que ejercen funciones electorales y de los particulares cuando la ejerzan transitoriamente, como también los procedimientos para su ejercicio, con el fin de asegurar que el proceso electoral, el resultado de las elecciones y las demás manifestaciones de la participación política electoral representen con fidelidad, autenticidad, imparcialidad, transparencia, efectividad, la voluntad de sus titulares.</w:t>
      </w:r>
    </w:p>
    <w:p w14:paraId="7F25C3C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 Ámbito de aplicación.</w:t>
      </w:r>
      <w:r w:rsidRPr="00222F34">
        <w:rPr>
          <w:rFonts w:ascii="Calibri" w:eastAsia="Times New Roman" w:hAnsi="Calibri" w:cs="Calibri"/>
          <w:color w:val="000000"/>
          <w:lang w:val="es-CO" w:eastAsia="es-CO" w:bidi="ar-SA"/>
        </w:rPr>
        <w:t xml:space="preserve"> Las disposiciones de este código se aplicarán a los actos y 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14:paraId="66D425D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Son actos electorales aquellos que surgen del ejercicio de la función electoral, mediante los cuales se expresa y declara la voluntad de los ciudadanos y las ciudadanas y/o de los y las jóvenes,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 y representativa.</w:t>
      </w:r>
    </w:p>
    <w:p w14:paraId="73BCC22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También son actos electorales aquellos que surgen del ejercicio de la función electoral de las víctimas en cumplimiento del Punto Dos del acuerdo de paz, en el entendido de que la construcción y consolidación de la paz, en el marco del fin del conflicto, requiere de una ampliación democrática que permita que surjan nuevas fuerzas en el escenario político para enriquecer el debate y la deliberación alrededor de los grandes problemas nacionales.</w:t>
      </w:r>
    </w:p>
    <w:p w14:paraId="2B72627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acto que declara la elección de las 16 Circunscripciones Transitorias Especiales de Paz – CITREP en la Cámara de Representantes, en cumplimiento del Acuerdo Final para la Terminación del Conflicto y la Construcción de una Paz estable y duradera, se entenderá como un acto de contenido electoral.</w:t>
      </w:r>
    </w:p>
    <w:p w14:paraId="5E3722C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PRIMERA</w:t>
      </w:r>
    </w:p>
    <w:p w14:paraId="043D0535"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DE LA ORGANIZACIÓN ELECTORAL Y SU CONFORMACIÓN</w:t>
      </w:r>
    </w:p>
    <w:p w14:paraId="33FD73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 Conformación.</w:t>
      </w:r>
      <w:r w:rsidRPr="00222F34">
        <w:rPr>
          <w:rFonts w:ascii="Calibri" w:eastAsia="Times New Roman" w:hAnsi="Calibri" w:cs="Calibri"/>
          <w:color w:val="000000"/>
          <w:lang w:val="es-CO" w:eastAsia="es-CO" w:bidi="ar-SA"/>
        </w:rPr>
        <w:t xml:space="preserve"> La Organización Electoral estará conformada por el Consejo Nacional Electoral y la Registraduría Nacional del Estado Civil.</w:t>
      </w:r>
    </w:p>
    <w:p w14:paraId="1D441C7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estará a cargo de:</w:t>
      </w:r>
    </w:p>
    <w:p w14:paraId="5905A2F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Los magistrados del Consejo Nacional Electoral.</w:t>
      </w:r>
    </w:p>
    <w:p w14:paraId="484A3A2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El registrador Nacional del Estado Civil </w:t>
      </w:r>
    </w:p>
    <w:p w14:paraId="62A66C4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Los registradores distritales del Estado Civil de Bogotá D.C.  </w:t>
      </w:r>
    </w:p>
    <w:p w14:paraId="25956FEF" w14:textId="3D93D478"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Los registradores departamentales del Estado </w:t>
      </w:r>
      <w:r w:rsidR="00CB0531" w:rsidRPr="00222F34">
        <w:rPr>
          <w:rFonts w:ascii="Calibri" w:eastAsia="Times New Roman" w:hAnsi="Calibri" w:cs="Calibri"/>
          <w:color w:val="000000"/>
          <w:lang w:val="es-CO" w:eastAsia="es-CO" w:bidi="ar-SA"/>
        </w:rPr>
        <w:t>Civil</w:t>
      </w:r>
      <w:r w:rsidRPr="00222F34">
        <w:rPr>
          <w:rFonts w:ascii="Calibri" w:eastAsia="Times New Roman" w:hAnsi="Calibri" w:cs="Calibri"/>
          <w:color w:val="000000"/>
          <w:lang w:val="es-CO" w:eastAsia="es-CO" w:bidi="ar-SA"/>
        </w:rPr>
        <w:t>, uno por departamento.</w:t>
      </w:r>
    </w:p>
    <w:p w14:paraId="70F3F2D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Los delegados seccionales en registro civil e identificación y en lo electoral.</w:t>
      </w:r>
    </w:p>
    <w:p w14:paraId="59B947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registradores especiales, municipales y auxiliares del Estado Civil.</w:t>
      </w:r>
    </w:p>
    <w:p w14:paraId="33E7A9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7.Los delegados de puesto de los registradores distritales, especiales, municipales del Estado Civil.</w:t>
      </w:r>
    </w:p>
    <w:p w14:paraId="5954A276"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asegurar el derecho de la mujer a la adecuada y efectiva participación a que tiene derecho en todos los niveles de las ramas y demás órganos del poder público, dar cumplimiento al mandato constitucional y promover la participación de la mujer en las instancias de toma de decisión, el Consejo Nacional Electoral estará conformado de un porcentaje mínimo del treinta por</w:t>
      </w:r>
      <w:r>
        <w:rPr>
          <w:rFonts w:ascii="Calibri" w:eastAsia="Times New Roman" w:hAnsi="Calibri" w:cs="Calibri"/>
          <w:color w:val="000000"/>
          <w:lang w:val="es-CO" w:eastAsia="es-CO" w:bidi="ar-SA"/>
        </w:rPr>
        <w:t xml:space="preserve"> </w:t>
      </w:r>
      <w:r w:rsidRPr="00222F34">
        <w:rPr>
          <w:rFonts w:ascii="Calibri" w:eastAsia="Times New Roman" w:hAnsi="Calibri" w:cs="Calibri"/>
          <w:color w:val="000000"/>
          <w:lang w:val="es-CO" w:eastAsia="es-CO" w:bidi="ar-SA"/>
        </w:rPr>
        <w:t>ciento (30%) de mujeres en los cargos de máximo nivel decisorio y un mínimo del treinta por ciento (30%)de mujeres en cargos de otros niveles decisorios.</w:t>
      </w:r>
    </w:p>
    <w:p w14:paraId="1EE97B2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p w14:paraId="7E25A14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Consejo Nacional Electoral</w:t>
      </w:r>
    </w:p>
    <w:p w14:paraId="04A886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 Del Consejo Nacional Electoral.</w:t>
      </w:r>
      <w:r w:rsidRPr="00222F34">
        <w:rPr>
          <w:rFonts w:ascii="Calibri" w:eastAsia="Times New Roman" w:hAnsi="Calibri" w:cs="Calibri"/>
          <w:color w:val="000000"/>
          <w:lang w:val="es-CO" w:eastAsia="es-CO" w:bidi="ar-SA"/>
        </w:rPr>
        <w:t xml:space="preserve"> El Consejo Nacional Electoral tendrá a su cargo la suprema inspección, vigilancia y control de la Organización Electoral y gozará de personería jurídica autonomía administrativa y presupuestal en los términos del artículo 265 de la Constitución Política, la ley, los Decretos 2085 y 2086 de 2019 o normas que las modifiquen, deroguen o complementen, y será una sección del Presupuesto General de la Nación.</w:t>
      </w:r>
    </w:p>
    <w:p w14:paraId="5036B35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ejercicio de estas atribuciones cumplirá las funciones que le asignen la Constitución Política y las leyes, y expedirá las medidas necesarias para el debido cumplimiento de estas y de los decretos que las reglamenten.</w:t>
      </w:r>
    </w:p>
    <w:p w14:paraId="5D89D9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w:t>
      </w:r>
      <w:r w:rsidRPr="00222F34">
        <w:rPr>
          <w:rFonts w:ascii="Calibri" w:eastAsia="Times New Roman" w:hAnsi="Calibri" w:cs="Calibri"/>
          <w:color w:val="000000"/>
          <w:lang w:val="es-CO" w:eastAsia="es-CO" w:bidi="ar-SA"/>
        </w:rPr>
        <w:t>Quien ostente la presidencia del Consejo Nacional Electoral tendrá la atribución de llevar la vocería y representación legal de la entidad o quien haga sus veces, según su reglamento interno.</w:t>
      </w:r>
    </w:p>
    <w:p w14:paraId="0C6EDFF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5. Funciones del Consejo Nacional Electoral.</w:t>
      </w:r>
      <w:r w:rsidRPr="00222F34">
        <w:rPr>
          <w:rFonts w:ascii="Calibri" w:eastAsia="Times New Roman" w:hAnsi="Calibri" w:cs="Calibri"/>
          <w:color w:val="000000"/>
          <w:lang w:val="es-CO" w:eastAsia="es-CO" w:bidi="ar-SA"/>
        </w:rPr>
        <w:t xml:space="preserve"> El Consejo Nacional Electoral, además de las atribuciones establecidas en el artículo 265 de la Constitución Política, tendrá a su cargo las siguientes funciones: </w:t>
      </w:r>
    </w:p>
    <w:p w14:paraId="1492BE7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 La vocería y representación legal de la entidad estará a cargo de quien tenga las funciones de Presidente o quien haga sus veces.</w:t>
      </w:r>
    </w:p>
    <w:p w14:paraId="5CA22D8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Aplicar el régimen sancionatorio a los partidos, movimientos políticos, grupos significativos de ciudadanos y organizaciones sociales que ejerzan el derecho de postulación a los candidatos, gerentes de campaña, auditores internos de los partidos y a las directivas de las campañas electorales.</w:t>
      </w:r>
    </w:p>
    <w:p w14:paraId="54BA75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Aplicar el régimen sancionatorio a los particulares que incumplan la normatividad electoral, cuando no esté atribuida expresamente por la ley a otra autoridad para hacerlo.</w:t>
      </w:r>
    </w:p>
    <w:p w14:paraId="103122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las reclamaciones en contra de las disposiciones contenidas en los estatutos de partidos y movimientos políticos contrarias a la Constitución Política, así como de las designaciones de directivos de partidos y movimientos políticos realizadas sin el cumplimiento de los estatutos.</w:t>
      </w:r>
    </w:p>
    <w:p w14:paraId="47F99B0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las impugnaciones contra las decisiones de los órganos de control de los partidos y/o movimientos políticos por violación al régimen disciplinario de los directivos.</w:t>
      </w:r>
    </w:p>
    <w:p w14:paraId="4DBC29B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Llevar el registro de partidos, movimientos, agrupaciones políticas, de sus directivos y de sus afiliados y militantes, con el propósito de realizar consultas internas e interpartidistas por parte de los partidos y organizaciones políticas.</w:t>
      </w:r>
    </w:p>
    <w:p w14:paraId="469A103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Realizar el escrutinio de las consultas internas, populares e interpartidistas ante solicitud de organizaciones políticas.</w:t>
      </w:r>
    </w:p>
    <w:p w14:paraId="1F6D4F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De oficio o vía impugnación dejar sin efecto la inscripción irregular de las cédulas de ciudadanía y actualizaciones en el censo electoral, por violación al ordenamiento jurídico.</w:t>
      </w:r>
    </w:p>
    <w:p w14:paraId="3F8AC2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Conocer y decidir los recursos que se interpongan contra las decisiones de la comisión escrutadora departamental y General de Bogotá D.C.; resolver sus desacuerdos, llenar sus vacíos, omisiones en las decisiones de las peticiones legalmente presentadas, y efectuar la declaratoria de elección de tales circunscripciones.</w:t>
      </w:r>
    </w:p>
    <w:p w14:paraId="494A3FA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Efectuar el escrutinio general de toda votación nacional, hacer la declaratoria de elección y expedir las credenciales pertinentes de quienes resulten electos.</w:t>
      </w:r>
    </w:p>
    <w:p w14:paraId="4078CAE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Por solicitud motivada del candidato o candidata</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de los partidos, movimientos políticos y grupos significativos de ciudadanos y ciudadanas, revisar los escrutinios y los documentos electorales concernientes a cualquiera de las etapas del proceso administrativo de elección, con el objeto de garantizar la verdad de los resultados. No obstante, esto no implica el reemplazo de las funciones de la comisión escrutadora zonal, municipal, distrital, departamental o general de Bogotá D.C., ni el estudio de los respectivos recursos.</w:t>
      </w:r>
    </w:p>
    <w:p w14:paraId="750DB71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p w14:paraId="2A35FB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13. Nombrar, a través de su presidente, a sus servidores públicos, crear grupos internos de trabajo, contratar, elaborar su presupuesto, ordenar el gasto y definir todos los aspectos relacionados con el cumplimiento de sus funciones.</w:t>
      </w:r>
    </w:p>
    <w:p w14:paraId="73EFA13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Crear, fusionar y suprimir cargos correspondientes del Consejo Nacional Electoral.</w:t>
      </w:r>
    </w:p>
    <w:p w14:paraId="4B08835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Conformar la Junta Directiva del Fondo Rotatorio del Consejo Nacional Electoral y aprobar su presupuesto.</w:t>
      </w:r>
    </w:p>
    <w:p w14:paraId="20A44C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Servir de cuerpo consultivo del Gobierno y el Congreso de la República, para la emisión de conceptos en materia electoral y recomendar proyectos de decreto y proyectos de ley.</w:t>
      </w:r>
    </w:p>
    <w:p w14:paraId="5A0DCEF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Reglamentar los asuntos de su competencia, cuando la Constitución y ley así lo determine.</w:t>
      </w:r>
    </w:p>
    <w:p w14:paraId="5ECA083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Celebrar convenios de cooperación y ser miembro de organismos internacionales gubernamentales y no gubernamentales en asuntos de democracia, elecciones, de participación ciudadana y de observación electoral.</w:t>
      </w:r>
    </w:p>
    <w:p w14:paraId="07AAE79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19. Reunirse por derecho propio cuando lo estime conveniente de manera presencial o remota, de acuerdo con su reglamento interno.</w:t>
      </w:r>
    </w:p>
    <w:p w14:paraId="4282BC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20. Presentar proyectos de ley en el marco de sus competencias.</w:t>
      </w:r>
    </w:p>
    <w:p w14:paraId="2C97D29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21. Dar posesión al registrador Nacional del Estado Civil.</w:t>
      </w:r>
    </w:p>
    <w:p w14:paraId="57764DD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22. Convocar previa citación a Sala Plena al registrador Nacional del Estado Civil.</w:t>
      </w:r>
    </w:p>
    <w:p w14:paraId="7095BF7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23. Reconocer dentro de los ciento ochenta (180) días calendario a la fecha de las elecciones, el derecho de reposición de gastos a las organizaciones políticas que inscriban candidatos para cargos uninominales y corporaciones públicas de elección popular. El incumplimiento de esta función por causas no objetivas será falta disciplinaria y del reconocimiento de intereses de mora a la tasa máxima legal vigente.</w:t>
      </w:r>
    </w:p>
    <w:p w14:paraId="3BDE600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24. Resolver los recursos de queja que se le presenten en el marco de los escrutinios que practican los delegados del Consejo Nacional Electoral.</w:t>
      </w:r>
    </w:p>
    <w:p w14:paraId="5D1741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25. Adoptar las medidas necesarias para verificar el cumplimiento y eficacia de las acciones afirmativas dispuestas en la legislación en favor de la participación política de las mujeres y demás poblaciones subrepresentadas.</w:t>
      </w:r>
    </w:p>
    <w:p w14:paraId="603B1AA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26. Administrar el software de escrutinio nacional y su innovación tecnológica.</w:t>
      </w:r>
    </w:p>
    <w:p w14:paraId="567AAE1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27. Impulsar y celebrar los convenios con instituciones de educación superior nacionales e internacionales y con institutos u organizaciones no gubernamentales sin ánimo de lucro que promueven la democracia, el desarrollo de procesos electorales y la defensa de los derechos humanos con el acompañamiento del Ministerio de Ciencia, Tecnología e Innovación necesarios para el diseño y desarrollo de herramientas tecnológicas que permitan hacer más eficiente y transparente el proceso electoral.</w:t>
      </w:r>
    </w:p>
    <w:p w14:paraId="3B74B8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28. Promover una cultura de la no violencia en el marco del ejercicio de los derechos políticos y electorales de las mujeres, y sancionar las conductas que constituyan violencia contra mujeres en política.</w:t>
      </w:r>
    </w:p>
    <w:p w14:paraId="07E4C5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29. Designar a sus miembros de la comisión escrutadora General de Bogotá D.C y departamental.</w:t>
      </w:r>
    </w:p>
    <w:p w14:paraId="6E733FE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30. Realizar rendición pública de cuentas que le permita al ciudadano contar con las herramientas necesarias para el control social a lo público.</w:t>
      </w:r>
    </w:p>
    <w:p w14:paraId="566805B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 El plazo establecido para el pago del valor reconocido a los partidos y movimientos políticos estará sujeto al cumplimiento de los trámites presupuestales correspondientes, por parte del Ministerio de Hacienda y Crédito Público.</w:t>
      </w:r>
    </w:p>
    <w:p w14:paraId="6FB12F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compulsará copias a la Superintendencia Financiera en relación con aquellos casos en los que considere que puede haber infracciones por parte de establecimientos financieros, bancarios o aseguradores, cuando estos soliciten a las organizaciones políticas requisitos adicionales a los que para el efecto establezca dicha Superintendencia, o cuando estos establecimientos nieguen a las organizaciones políticas el acceso a los servicios al sector financiero de manera injustificada.</w:t>
      </w:r>
    </w:p>
    <w:p w14:paraId="7B68D38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Consejo Nacional Electoral proveerá lo pertinente para que los partidos y movimientos políticos reciban la financiación del Estado mediante el sistema de reposición por votos válidos obtenidos, manteniendo para ello el valor en pesos constantes vigente. Igualmente, asumirá el costo de las pólizas de seguro cuando se trate de anticipos.</w:t>
      </w:r>
    </w:p>
    <w:p w14:paraId="7F88E9FD" w14:textId="528C2DF2"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 xml:space="preserve"> Para efectos del pago de lo establecido en el numeral 23, una vez reconocido el valor correspondiente por los derechos de reposición de gastos a las organizaciones políticas, este estará sujeto al cumplimiento de los trámites presupuestales correspondientes ante el Ministerio de Hacienda y Crédito Público.</w:t>
      </w:r>
    </w:p>
    <w:p w14:paraId="4285956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El Consejo Nacional Electoral en los procesos administrativos sancionatorios y en los procesos que adelante sobre revocatoria de inscripción de candidatos deberá garantizar la doble instancia, y la separación entre las fases de instrucción y la de decisión.</w:t>
      </w:r>
    </w:p>
    <w:p w14:paraId="19C1926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esto podrá modificar su reglamento interno para crear salas de instrucción, unipersonales o plurales, de primera y de segunda instancia, atendiendo una conformación impar y manteniendo el esquema de nueve (9) magistrados, pero separados en cada una de las fases e instancias.</w:t>
      </w:r>
    </w:p>
    <w:p w14:paraId="321AF25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6</w:t>
      </w:r>
      <w:r w:rsidRPr="00222F34">
        <w:rPr>
          <w:rFonts w:ascii="Calibri" w:eastAsia="Times New Roman" w:hAnsi="Calibri" w:cs="Calibri"/>
          <w:color w:val="000000"/>
          <w:lang w:val="es-CO" w:eastAsia="es-CO" w:bidi="ar-SA"/>
        </w:rPr>
        <w:t xml:space="preserve">. Para efectos del cumplimiento de lo establecido en el numeral 28 del presente artículo, el Consejo Nacional Electoral en coordinación con el Ministerio de la Igualdad deberá contar con una comisión con la experticia y estudios en la previsión, atención y erradicación de las violencias basadas en género. </w:t>
      </w:r>
      <w:r w:rsidRPr="00222F34">
        <w:rPr>
          <w:rFonts w:ascii="Calibri" w:eastAsia="Times New Roman" w:hAnsi="Calibri" w:cs="Calibri"/>
          <w:color w:val="000000"/>
          <w:lang w:val="es-CO" w:eastAsia="es-CO" w:bidi="ar-SA"/>
        </w:rPr>
        <w:br/>
      </w:r>
      <w:r w:rsidRPr="00222F34">
        <w:rPr>
          <w:rFonts w:ascii="Calibri" w:eastAsia="Times New Roman" w:hAnsi="Calibri" w:cs="Calibri"/>
          <w:b/>
          <w:bCs/>
          <w:color w:val="000000"/>
          <w:lang w:val="es-CO" w:eastAsia="es-CO" w:bidi="ar-SA"/>
        </w:rPr>
        <w:lastRenderedPageBreak/>
        <w:t>Parágrafo Transitorio:</w:t>
      </w:r>
      <w:r w:rsidRPr="00222F34">
        <w:rPr>
          <w:rFonts w:ascii="Calibri" w:eastAsia="Times New Roman" w:hAnsi="Calibri" w:cs="Calibri"/>
          <w:color w:val="000000"/>
          <w:lang w:val="es-CO" w:eastAsia="es-CO" w:bidi="ar-SA"/>
        </w:rPr>
        <w:t xml:space="preserve"> Frente a las disposiciones contenidas en el presente artículo se tendrán en cuenta las organizaciones, consejos comunitarios, resguardos y/o autoridades indígenas y las Kumpañy legalmente constituidas que trata el acto legislativo 02 de 2021 por medio de la cual se crean 16 circunscripciones transitorias especiales de paz para la Cámara de Representantes, en los periodos 2022-2026 y 2026-2030.</w:t>
      </w:r>
    </w:p>
    <w:p w14:paraId="4ECF6A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 Posesión.</w:t>
      </w:r>
      <w:r w:rsidRPr="00222F34">
        <w:rPr>
          <w:rFonts w:ascii="Calibri" w:eastAsia="Times New Roman" w:hAnsi="Calibri" w:cs="Calibri"/>
          <w:color w:val="000000"/>
          <w:lang w:val="es-CO" w:eastAsia="es-CO" w:bidi="ar-SA"/>
        </w:rPr>
        <w:t xml:space="preserve"> Los miembros del Consejo Nacional Electoral serán elegidos por el Congreso de la República en pleno para un período de cuatro años que comenzará desde el primero de septiembre inmediatamente siguiente a la iniciación de cada uno de los respectivos períodos constitucionales del Congreso y no podrán ser reelegidos. Los magistrados del Consejo Nacional Electoral se posesionarán ante el Presidente de la República.</w:t>
      </w:r>
    </w:p>
    <w:p w14:paraId="0625CB9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 Convocatoria. </w:t>
      </w:r>
      <w:r w:rsidRPr="00222F34">
        <w:rPr>
          <w:rFonts w:ascii="Calibri" w:eastAsia="Times New Roman" w:hAnsi="Calibri" w:cs="Calibri"/>
          <w:color w:val="000000"/>
          <w:lang w:val="es-CO" w:eastAsia="es-CO" w:bidi="ar-SA"/>
        </w:rPr>
        <w:t>El Consejo Nacional Electoral se reunirá por convocatoria de su presidente o de la mayoría de sus miembros y podrá sesionar de manera presencial o, en caso de que medie justificación razonada que impida la reunión presencial, a través de los medios tecnológicos que dispongan y conforme a su reglamento.</w:t>
      </w:r>
    </w:p>
    <w:p w14:paraId="72FF8A5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 Quórum.</w:t>
      </w:r>
      <w:r w:rsidRPr="00222F34">
        <w:rPr>
          <w:rFonts w:ascii="Calibri" w:eastAsia="Times New Roman" w:hAnsi="Calibri" w:cs="Calibri"/>
          <w:color w:val="000000"/>
          <w:lang w:val="es-CO" w:eastAsia="es-CO" w:bidi="ar-SA"/>
        </w:rPr>
        <w:t xml:space="preserve"> En las sesiones del Consejo Nacional Electoral el quórum para deliberar será el de la mitad más uno de los miembros que integran la corporación, y las decisiones en todos los casos se adoptarán por las dos terceras partes de los integrantes de la misma.</w:t>
      </w:r>
    </w:p>
    <w:p w14:paraId="506BE1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 Conjueces.</w:t>
      </w:r>
      <w:r w:rsidRPr="00222F34">
        <w:rPr>
          <w:rFonts w:ascii="Calibri" w:eastAsia="Times New Roman" w:hAnsi="Calibri" w:cs="Calibri"/>
          <w:color w:val="000000"/>
          <w:lang w:val="es-CO" w:eastAsia="es-CO" w:bidi="ar-SA"/>
        </w:rPr>
        <w:t xml:space="preserve"> El Consejo Nacional Electoral elegirá un cuerpo de conjueces a través de convocatoria pública teniendo en cuenta los criterios de idoneidad, capacidad y adecuación para el cargo, igual al doble de sus miembros. Cuando no sea posible adoptar decisión, éste sorteará conjueces.</w:t>
      </w:r>
    </w:p>
    <w:p w14:paraId="55C85B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Serán elegidas como conjueces las personas que tengan las mismas calidades de los magistrados de la Corte Suprema de Justicia, aplicándose también el régimen de inhabilidades e incompatibilidades, de conformidad a los términos del artículo 264 de la Constitución Política. La permanencia en la lista de conjueces será de cuatro (4) años.</w:t>
      </w:r>
    </w:p>
    <w:p w14:paraId="0270115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10. Tribunales de Vigilancia y Garantías Electorales</w:t>
      </w:r>
      <w:r w:rsidRPr="00222F34">
        <w:rPr>
          <w:rFonts w:ascii="Calibri" w:eastAsia="Times New Roman" w:hAnsi="Calibri" w:cs="Calibri"/>
          <w:color w:val="000000"/>
          <w:lang w:val="es-CO" w:eastAsia="es-CO" w:bidi="ar-SA"/>
        </w:rPr>
        <w:t>. Los tribunales de vigilancia y garantías electorales se integrarán por tres (3) ciudadanos, en calidad de miembros, quienes deberán acreditar los mismos requisitos para ser magistrado de tribunal superior de distrito judicial y entrarán en funcionamiento a partir de la expedición del calendario electoral que la Registraduría Nacional del Estado Civil haga en cada certamen de carácter ordinario, con el fin de asegurar el normal desarrollo de cada una de las etapas del proceso, así como su imparcialidad, transparencia y el cabal cumplimiento de las normas de contenido electoral. Estos tribunales se crearán atendiendo los gastos de funcionamiento propio del Consejo Nacional Electoral, serán designados de conformidad con la ley y el reglamento que expida la Corporación, y funcionarán hasta tres (3) meses después de las elecciones.</w:t>
      </w:r>
    </w:p>
    <w:p w14:paraId="20563F5A"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w:t>
      </w:r>
    </w:p>
    <w:p w14:paraId="27C92622"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REGISTRADURÍA NACIONAL DEL ESTADO CIVIL</w:t>
      </w:r>
    </w:p>
    <w:p w14:paraId="6AC8A6F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2EB9350F"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Del registrador Nacional del Estado Civil</w:t>
      </w:r>
    </w:p>
    <w:p w14:paraId="12353B4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 Funciones del Registrador Nacional del Estado Civil.</w:t>
      </w:r>
      <w:r w:rsidRPr="00222F34">
        <w:rPr>
          <w:rFonts w:ascii="Calibri" w:eastAsia="Times New Roman" w:hAnsi="Calibri" w:cs="Calibri"/>
          <w:color w:val="000000"/>
          <w:lang w:val="es-CO" w:eastAsia="es-CO" w:bidi="ar-SA"/>
        </w:rPr>
        <w:t xml:space="preserve"> El Registrador Nacional del Estado Civil tendrá las siguientes funciones:</w:t>
      </w:r>
    </w:p>
    <w:p w14:paraId="1F2F90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Ejercer la representación legal de la Registraduría Nacional del Estado Civil.</w:t>
      </w:r>
    </w:p>
    <w:p w14:paraId="7EB7D43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Fijar y dirigir las políticas, los planes, los programas y las estrategias necesarias para el adecuado manejo administrativo y financiero de la Registraduría Nacional, en desarrollo de la autonomía administrativa y de la autonomía presupuestal dentro de los límites establecidos por la Constitución y la ley.</w:t>
      </w:r>
    </w:p>
    <w:p w14:paraId="6D561B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Nombrar los cargos directivos del nivel central, los registradores distritales de Bogotá D. C, registradores departamentales, delegados seccionales en registro civil e identificación y en lo electoral, de acuerdo con las reglas de la carrera administrativa especial.</w:t>
      </w:r>
    </w:p>
    <w:p w14:paraId="1B5A808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Delegar a los Registradores Departamentales el nombramiento de los delegados seccionales y servidores, de acuerdo con las reglas de la carrera administrativa especial.</w:t>
      </w:r>
    </w:p>
    <w:p w14:paraId="7A00700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Aprobar los nombramientos de los registradores especiales, municipales y auxiliares del Estado Civil.</w:t>
      </w:r>
    </w:p>
    <w:p w14:paraId="7DD7ED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Organizar, coordinar y dirigir los procesos electorales, de votaciones y de mecanismos de participación ciudadana.</w:t>
      </w:r>
    </w:p>
    <w:p w14:paraId="5FB2CFC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Dictar y supervisar las medidas relativas a la preparación, tramitación, expedición de duplicados, rectificación altas, bajas y cancelaciones de cédulas y tarjetas de identidad o sus equivalentes funcionales, así como del registro civil de nacimiento, matrimonio y defunción.</w:t>
      </w:r>
    </w:p>
    <w:p w14:paraId="69D91B6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Ordenar investigaciones y visitas administrativas para asegurar el correcto funcionamiento de la Registraduría Nacional del Estado Civil.</w:t>
      </w:r>
    </w:p>
    <w:p w14:paraId="48FDBED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Actuar como secretario en los escrutinios del Consejo Nacional Electoral.</w:t>
      </w:r>
    </w:p>
    <w:p w14:paraId="498E6E2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Crear, fusionar y suprimir cargos dentro de la planta global de la Registraduría Nacional del Estado Civil.</w:t>
      </w:r>
    </w:p>
    <w:p w14:paraId="7824D5A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Resolver el recurso de apelación que se interponga contra las decisiones adoptadas por los registradores distritales de Bogotá D. C. y registradores departamentales del Estado Civil.</w:t>
      </w:r>
    </w:p>
    <w:p w14:paraId="3824B7A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Elaborar el presupuesto de la Registraduría Nacional del Estado Civil.</w:t>
      </w:r>
    </w:p>
    <w:p w14:paraId="73A5D7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Delegar de manera parcial o total la representación legal, judicial y extrajudicial de la entidad o cualquiera de las funciones administrativas, contractuales o financieras de la misma, en funcionarios del nivel directivo o asesor de la Entidad.</w:t>
      </w:r>
    </w:p>
    <w:p w14:paraId="3C59BEF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Ordenar el gasto de la entidad y suscribir los contratos administrativos que deba celebrar la Registraduría Nacional del Estado Civil.</w:t>
      </w:r>
    </w:p>
    <w:p w14:paraId="5A0108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15. Celebrar convenios de cooperación internacional, ser miembro de organismos internacionales gubernamentales y no gubernamentales en asuntos de democracia, elecciones, de participación ciudadana y de observación electoral.</w:t>
      </w:r>
    </w:p>
    <w:p w14:paraId="74A030D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16. Elaborar y publicar las listas sobre el número de concejales que corresponda a cada municipio o distrito, de acuerdo con la ley.</w:t>
      </w:r>
    </w:p>
    <w:p w14:paraId="407DD9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Resolver los desacuerdos que se susciten entre los registradores distritales de Bogotá D.C.</w:t>
      </w:r>
    </w:p>
    <w:p w14:paraId="3713D5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Presentar, por intermedio del Consejo Nacional Electoral, al Congreso de la República, proyectos de acto legislativo y de ley de su competencia.</w:t>
      </w:r>
    </w:p>
    <w:p w14:paraId="0EE417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19. Fijar los viáticos para las comisiones escrutadoras distritales, municipales y auxiliares, los jurados de votación y los empleados de la Registraduría Nacional del Estado Civil.</w:t>
      </w:r>
    </w:p>
    <w:p w14:paraId="5F5F97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20. Fijar los costos que deberá pagar el ciudadano por los documentos de identificación personal, tanto físico como digital, y de los demás servicios que presta la entidad.</w:t>
      </w:r>
    </w:p>
    <w:p w14:paraId="714F8CB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21. Las demás que le atribuya la Constitución y la ley.</w:t>
      </w:r>
    </w:p>
    <w:p w14:paraId="13D5D1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22. Realizar rendición pública de cuentas que le permita al ciudadano contar con las herramientas necesarias para el control social a lo público.</w:t>
      </w:r>
    </w:p>
    <w:p w14:paraId="0CD4C0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Registrador no podrá incidir directa ni indirectamente en el nombramiento o remoción del personal del CNE ni en la gestión presupuestal de esa entidad.</w:t>
      </w:r>
    </w:p>
    <w:p w14:paraId="58FB02FE"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30AEA68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registradores distritales de Bogotá del Estado Civil</w:t>
      </w:r>
    </w:p>
    <w:p w14:paraId="3736BA1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 De los registradores distritales.</w:t>
      </w:r>
      <w:r w:rsidRPr="00222F34">
        <w:rPr>
          <w:rFonts w:ascii="Calibri" w:eastAsia="Times New Roman" w:hAnsi="Calibri" w:cs="Calibri"/>
          <w:color w:val="000000"/>
          <w:lang w:val="es-CO" w:eastAsia="es-CO" w:bidi="ar-SA"/>
        </w:rPr>
        <w:t xml:space="preserve"> En el Distrito Capital de Bogotá habrá dos (2) registradores distritales del Estado Civil, de los cuales uno debe ser mujer, quienes tendrán la responsabilidad, la vigilancia y el funcionamiento de las dependencias de las Registradurías en el ámbito distrital. Las y los registradores distritales tomarán posesión de su cargo ante la o el Registrador Nacional del Estado Civil.</w:t>
      </w:r>
    </w:p>
    <w:p w14:paraId="498D0D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 Funciones</w:t>
      </w:r>
      <w:r w:rsidRPr="00222F34">
        <w:rPr>
          <w:rFonts w:ascii="Calibri" w:eastAsia="Times New Roman" w:hAnsi="Calibri" w:cs="Calibri"/>
          <w:color w:val="000000"/>
          <w:lang w:val="es-CO" w:eastAsia="es-CO" w:bidi="ar-SA"/>
        </w:rPr>
        <w:t>. Los registradores distritales del Estado Civil tendrán las siguientes funciones:</w:t>
      </w:r>
    </w:p>
    <w:p w14:paraId="433E1E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Nombrar e instruir a los jurados de votación.</w:t>
      </w:r>
    </w:p>
    <w:p w14:paraId="412AE12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Sancionar con multas a los jurados de votación en los casos señalados en el presente código.</w:t>
      </w:r>
    </w:p>
    <w:p w14:paraId="250D8C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Actuar como secretarios de la Comisión Escrutadora Distrital y General de Bogotá  D.C. Junto con el Alcalde de su circunscripción, regular los lugares y las condiciones para la fijación de carteles, pasacalles, afiches y vallas destinadas a difundir propaganda electoral.</w:t>
      </w:r>
    </w:p>
    <w:p w14:paraId="13E1A40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4. Organizar y vigilar los procesos electorales y mecanismos de participación ciudadana que corresponde a su circunscripción electoral.</w:t>
      </w:r>
    </w:p>
    <w:p w14:paraId="525E345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Llevar las estadísticas electorales de su circunscripción electoral y expedir las correspondientes certificaciones.</w:t>
      </w:r>
    </w:p>
    <w:p w14:paraId="030A2C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Adelantar los procesos de revisión de apoyos de los mecanismos de participación ciudadana y las inscripciones de candidatos independientes que correspondan a su circunscripción electoral.</w:t>
      </w:r>
    </w:p>
    <w:p w14:paraId="384E3E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Resolver las consultas sobre materia electoral y todas aquellas concernientes a su cargo.</w:t>
      </w:r>
    </w:p>
    <w:p w14:paraId="2CAF41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Reemplazar los jurados de votación que se excusen o estén impedidos para ejercer el cargo.</w:t>
      </w:r>
    </w:p>
    <w:p w14:paraId="5A8123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Nombrar para el día de las elecciones los jurados remanentes, con facultad para reemplazar a los jurados que no concurran a desempeñar sus funciones o que abandonen el cargo.</w:t>
      </w:r>
    </w:p>
    <w:p w14:paraId="274354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Comunicar el día mismo de las elecciones, por lo menos, al Registrador Nacional del Estado Civil, a los delegados de éste, al Ministro del Interior y al Alcalde Mayor los resultados de las votaciones, y publicarlos. (Concordancia. Ley 892/04, art.1, parágrafo 2°: Las urnas serán reemplazadas por registros en bases de datos o por el medio idóneo que se establezca).</w:t>
      </w:r>
    </w:p>
    <w:p w14:paraId="5D0DC7D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Atender las solicitudes y comisiones realizadas por el Consejo Nacional Electoral.</w:t>
      </w:r>
    </w:p>
    <w:p w14:paraId="74B8109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12. En identificación de las personas y Registro Civil:</w:t>
      </w:r>
    </w:p>
    <w:p w14:paraId="546165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Velar por la correcta asignación de los seriales distribuidos por la Dirección de Registro Civil para la inscripción de nacimiento, matrimonio, defunción y demás documentos relacionados con el registro civil y, del mismo modo, vigilar su correcta utilización.</w:t>
      </w:r>
    </w:p>
    <w:p w14:paraId="377AB2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Asesorar y capacitar a los registradores auxiliares, en materia de registro civil e identificación e, igualmente, reunir periódicamente a los registradores de su respectiva circunscripción para orientarlos en la interpretación y aplicación de las normas vigentes.</w:t>
      </w:r>
    </w:p>
    <w:p w14:paraId="7919BD9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Vigilar y controlar la debida y oportuna prestación del servicio de registro civil e identificación, la remisión y actualización oportuna de la información en los sistemas de registro civil y Archivo Nacional de Identificación.</w:t>
      </w:r>
    </w:p>
    <w:p w14:paraId="6B8AB3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Participar en las campañas de registro civil e identificación organizadas por la Registraduría Delegada para Registro Civil e Identificación.</w:t>
      </w:r>
    </w:p>
    <w:p w14:paraId="4307B7A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Coordinar las acciones para la debida prestación de los trámites de preparación y actualización de los documentos de identidad de su respectiva circunscripción.</w:t>
      </w:r>
    </w:p>
    <w:p w14:paraId="1A1D95C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Monitorear la disposición de las herramientas tecnológicas o insumos para los trámites de registro civil y de los documentos de identidad.</w:t>
      </w:r>
    </w:p>
    <w:p w14:paraId="7C08B74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Participar en los comités departamentales de Estadísticas vitales.</w:t>
      </w:r>
    </w:p>
    <w:p w14:paraId="756C2EE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h. Colaborar de forma armónica con las oficinas registrales de su circunscripción.</w:t>
      </w:r>
    </w:p>
    <w:p w14:paraId="524F52F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Diseñar e implementar estrategias para evitar el subregistro, optimizar los procesos de identificación y garantizar la entrega oportuna de los documentos de identidad.</w:t>
      </w:r>
    </w:p>
    <w:p w14:paraId="482EB6D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Establecer controles para prevenir y evitar fraudes en el registro civil y la identificación.</w:t>
      </w:r>
    </w:p>
    <w:p w14:paraId="4329C3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Promover el uso de los servicios digitales establecidos por la entidad.</w:t>
      </w:r>
    </w:p>
    <w:p w14:paraId="34374A3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Las demás que les asigne la ley y el registrador Nacional del Estado Civil.</w:t>
      </w:r>
    </w:p>
    <w:p w14:paraId="48267AD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13. En lo electoral:</w:t>
      </w:r>
    </w:p>
    <w:p w14:paraId="07427A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Actuar como secretarios de la comisión escrutadora distrital y general.</w:t>
      </w:r>
    </w:p>
    <w:p w14:paraId="1C55A01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Organizar y vigilar los procesos electorales y mecanismos de participación ciudadana que corresponden a su circunscripción electoral.</w:t>
      </w:r>
    </w:p>
    <w:p w14:paraId="1BEB250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Coordinar la adecuada construcción y apropiada actualización de la división política electoral.</w:t>
      </w:r>
    </w:p>
    <w:p w14:paraId="26F7C6B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Coordinar y supervisar los procesos de zonificación municipal.</w:t>
      </w:r>
    </w:p>
    <w:p w14:paraId="0A8E760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Decidir, por medio de resolución, las apelaciones que se interpongan contra las sanciones impuestas por los registradores del Estado Civil a los jurados de votación.</w:t>
      </w:r>
    </w:p>
    <w:p w14:paraId="1651C7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Adelantar la inscripción de las candidaturas para el Senado de la República, a la Cámara de Representantes de su circunscripción electoral y todas las Circunscripciones Especiales.</w:t>
      </w:r>
    </w:p>
    <w:p w14:paraId="5A7088F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Ejecutar la póliza de seriedad de la candidatura de los grupos significativos de ciudadanos inscritos en su circunscripción.</w:t>
      </w:r>
    </w:p>
    <w:p w14:paraId="2A438E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Llevar las estadísticas electorales de su circunscripción electoral y expedir las correspondientes certificaciones.</w:t>
      </w:r>
    </w:p>
    <w:p w14:paraId="7CB226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Coordinar con el nivel central de la Registraduría Nacional del Estado Civil los procesos de revisión de firmas de los mecanismos de participación ciudadana y las inscripciones de candidatos de grupos significativos de ciudadanos que correspondan a su circunscripción electoral.</w:t>
      </w:r>
    </w:p>
    <w:p w14:paraId="5977C68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Informar de forma coordinada al nivel central de la Registraduría Nacional del Estado Civil y al Consejo Nacional Electoral de aquellos casos de violencia política contra la mujer que sean de su conocimiento.</w:t>
      </w:r>
    </w:p>
    <w:p w14:paraId="63093C1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k. Las demás que les asigne la ley, el registrador Nacional del Estado Civil.</w:t>
      </w:r>
    </w:p>
    <w:p w14:paraId="7452CD3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Organizar las elecciones y responder especialmente por la ubicación y los cambios de los puestos de votación y sitios para escrutinios.</w:t>
      </w:r>
    </w:p>
    <w:p w14:paraId="2796A94B"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14. Talento Humano:</w:t>
      </w:r>
    </w:p>
    <w:p w14:paraId="59E969A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a. Disponer el movimiento del personal en sus respectivas dependencias.</w:t>
      </w:r>
    </w:p>
    <w:p w14:paraId="6A87097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Investigar en segunda instancia las actuaciones y conductas administrativas de los empleados subalternos e imponer las sanciones a que hubiere lugar.</w:t>
      </w:r>
    </w:p>
    <w:p w14:paraId="5983770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Instruir al personal sobre las funciones que les competen.</w:t>
      </w:r>
    </w:p>
    <w:p w14:paraId="237AC6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Supervisar los grupos de trabajo en el respectivo Distrito Capital, según el caso por localidad;</w:t>
      </w:r>
    </w:p>
    <w:p w14:paraId="381081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Nombrar a los Registradores Auxiliares y demás empleados de la Registraduría Distrital.</w:t>
      </w:r>
    </w:p>
    <w:p w14:paraId="6C53B26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Disponer los movimientos de personal.</w:t>
      </w:r>
    </w:p>
    <w:p w14:paraId="61EF606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Reconocer el subsidio familiar, transporte y demás gastos a que haya lugar, dentro de su disponibilidad presupuestal.</w:t>
      </w:r>
    </w:p>
    <w:p w14:paraId="3751FA3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Autorizar el pago de sueldos y primas.</w:t>
      </w:r>
    </w:p>
    <w:p w14:paraId="5EF86BD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15. Administrativa:</w:t>
      </w:r>
    </w:p>
    <w:p w14:paraId="7B4EE8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Celebrar contratos dentro de su disponibilidad presupuestal.</w:t>
      </w:r>
    </w:p>
    <w:p w14:paraId="1D34DA8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Ejercer la dirección administrativa y financiera de la organización desconcentrada de la Registraduría Nacional en los términos de ley y de la delegación que en esta materia les conceda el registrador Nacional.</w:t>
      </w:r>
    </w:p>
    <w:p w14:paraId="0FB137D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Recibir y entregar bajo inventario los elementos de la oficina.</w:t>
      </w:r>
    </w:p>
    <w:p w14:paraId="1CB87D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Realizar rendición pública de cuentas.</w:t>
      </w:r>
    </w:p>
    <w:p w14:paraId="6CC14EB0"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16. Control interno:</w:t>
      </w:r>
    </w:p>
    <w:p w14:paraId="4EF4BA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Participar en la definición de las políticas, los planes y los programas de las áreas misionales de la Registraduría Nacional del Estado Civil en el Distrito Capital, y velar por su cumplida ejecución en los términos en que se aprueben.</w:t>
      </w:r>
    </w:p>
    <w:p w14:paraId="1D94ADE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Colaborar en el desarrollo de la gestión con las dependencias nacionales encargadas de las áreas administrativa, financiera y de talento humano, observando los procedimientos y normas legales vigentes.</w:t>
      </w:r>
    </w:p>
    <w:p w14:paraId="6BE00F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Velar por el buen funcionamiento del sistema de control interno de la Registraduría Nacional en su organización desconcentrada.</w:t>
      </w:r>
    </w:p>
    <w:p w14:paraId="0DB9850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17. Judiciales y Jurídicas:</w:t>
      </w:r>
    </w:p>
    <w:p w14:paraId="213214B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Ejercer las delegaciones que reciban en los asuntos administrativos, financieros y de talento humano, sin perjuicio de adelantar las funciones que la ley directamente les asigna a los delegados del registrador nacional y a los registradores distritales, en materia de nominación y de investigaciones y sanciones disciplinarias.</w:t>
      </w:r>
    </w:p>
    <w:p w14:paraId="1951BE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14. Del registrador departamental del Estado Civil.</w:t>
      </w:r>
      <w:r w:rsidRPr="00222F34">
        <w:rPr>
          <w:rFonts w:ascii="Calibri" w:eastAsia="Times New Roman" w:hAnsi="Calibri" w:cs="Calibri"/>
          <w:color w:val="000000"/>
          <w:lang w:val="es-CO" w:eastAsia="es-CO" w:bidi="ar-SA"/>
        </w:rPr>
        <w:t xml:space="preserve"> En cada departamento habrá un (1) registrador departamental del Estado Civil, quien tendrá la responsabilidad y vigilancia de la Registraduría Departamental del Estado Civil, así mismo, del funcionamiento de las dependencias de la Registraduría en el ámbito departamental. El registrador departamental tomará posesión de su cargo ante el Registrador Nacional del Estado Civil.</w:t>
      </w:r>
    </w:p>
    <w:p w14:paraId="6FFC43D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el departamento de San Andrés, Providencia y Santa Catalina, además de las calidades que exija la ley para el cargo, se exigirá que la persona posea la residencia permanente de acuerdo con lo dispuesto en el Decreto 2762 de 1991, o las normas que lo modifiquen o sustituyan.</w:t>
      </w:r>
    </w:p>
    <w:p w14:paraId="3BC3577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vinculación de los empleos de que trata este artículo se efectuará de conformidad con lo establecido en el artículo 266 de la Constitución Política de Colombia y la normatividad legal vigente.</w:t>
      </w:r>
    </w:p>
    <w:p w14:paraId="50001BD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 Funciones.</w:t>
      </w:r>
      <w:r w:rsidRPr="00222F34">
        <w:rPr>
          <w:rFonts w:ascii="Calibri" w:eastAsia="Times New Roman" w:hAnsi="Calibri" w:cs="Calibri"/>
          <w:color w:val="000000"/>
          <w:lang w:val="es-CO" w:eastAsia="es-CO" w:bidi="ar-SA"/>
        </w:rPr>
        <w:t xml:space="preserve"> Los registradores departamentales del Estado Civil tendrán las siguientes funciones:</w:t>
      </w:r>
    </w:p>
    <w:p w14:paraId="2F39FC1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Nombrar a los servidores de su circunscripción electoral previa delegación del Registrador Nacional del Estado Civil, a excepción de los de libre remoción consagrados en el presente Código.</w:t>
      </w:r>
    </w:p>
    <w:p w14:paraId="5E892C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Supervisar las funciones de los delegados seccionales en registro civil e identificación y en lo electoral, garantizando el eficiente y eficaz desempeño de las atribuciones que estos desempeñen.</w:t>
      </w:r>
    </w:p>
    <w:p w14:paraId="4F8AF5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Disponer el movimiento del personal en sus respectivas dependencias.</w:t>
      </w:r>
    </w:p>
    <w:p w14:paraId="21009E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Actuar como secretario de la comisión escrutadora departamental.</w:t>
      </w:r>
    </w:p>
    <w:p w14:paraId="2FD089B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Celebrar contratos dentro del ámbito de las competencias que se les asignen.</w:t>
      </w:r>
    </w:p>
    <w:p w14:paraId="6E3F947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Ejercer la dirección administrativa y financiera de la correspondiente circunscripción electoral en los términos de ley y de la delegación que en esta materia les conceda el Registrador Nacional.</w:t>
      </w:r>
    </w:p>
    <w:p w14:paraId="1830279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Supervisar los grupos de trabajo en su respectivo Departamento.</w:t>
      </w:r>
    </w:p>
    <w:p w14:paraId="0A6AF3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Velar por el buen funcionamiento del sistema de control interno de la Registraduría Nacional en cuanto su organización desconcentrada.</w:t>
      </w:r>
    </w:p>
    <w:p w14:paraId="4412A29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Colaborar en el desarrollo de la gestión con las dependencias nacionales encargadas de las áreas administrativa, financiera y de talento humano, observando los procedimientos y normas legales vigentes.</w:t>
      </w:r>
    </w:p>
    <w:p w14:paraId="19F5436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Ejercer las delegaciones que se reciban en los asuntos administrativos, financieros y de talento humano, en materia de nominación y de investigaciones y sanciones disciplinarias.</w:t>
      </w:r>
    </w:p>
    <w:p w14:paraId="712826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Reconocer los viáticos, los transportes y los demás gastos concernientes al ámbito departamental, dentro de su disponibilidad presupuestal.</w:t>
      </w:r>
    </w:p>
    <w:p w14:paraId="2C524E4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Atender las solicitudes y comisiones realizadas por el Consejo Nacional Electoral.</w:t>
      </w:r>
    </w:p>
    <w:p w14:paraId="6C92192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13. Las demás que les asigne la ley y el Registrador Nacional del Estado Civil.</w:t>
      </w:r>
    </w:p>
    <w:p w14:paraId="3BDC47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Participar en la definición de las políticas, los planes y los programas de las áreas misionales de la Registraduría Nacional del Estado Civil en la circunscripción en la cual operan, y velar por su cumplida ejecución en los términos en que se aprueben.</w:t>
      </w:r>
    </w:p>
    <w:p w14:paraId="0CB02BC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Realizar rendición pública de cuentas.</w:t>
      </w:r>
    </w:p>
    <w:p w14:paraId="5D8B69AC"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p w14:paraId="4861CE2A"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Seccionales</w:t>
      </w:r>
    </w:p>
    <w:p w14:paraId="6B2F0390" w14:textId="7DA6389F"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 Delegados seccionales</w:t>
      </w:r>
      <w:r w:rsidRPr="00222F34">
        <w:rPr>
          <w:rFonts w:ascii="Calibri" w:eastAsia="Times New Roman" w:hAnsi="Calibri" w:cs="Calibri"/>
          <w:color w:val="000000"/>
          <w:lang w:val="es-CO" w:eastAsia="es-CO" w:bidi="ar-SA"/>
        </w:rPr>
        <w:t>. En cada departamento habrá un (1) delegado seccional en el registro civil e identificación, y un (1) delegado seccional en lo electoral, de los cuales, al menos una será una mujer, quienes tomarán posesión de su cargo ante</w:t>
      </w:r>
      <w:r>
        <w:rPr>
          <w:rFonts w:ascii="Calibri" w:eastAsia="Times New Roman" w:hAnsi="Calibri" w:cs="Calibri"/>
          <w:color w:val="000000"/>
          <w:lang w:val="es-CO" w:eastAsia="es-CO" w:bidi="ar-SA"/>
        </w:rPr>
        <w:t xml:space="preserve"> </w:t>
      </w:r>
      <w:r w:rsidRPr="00222F34">
        <w:rPr>
          <w:rFonts w:ascii="Calibri" w:eastAsia="Times New Roman" w:hAnsi="Calibri" w:cs="Calibri"/>
          <w:color w:val="000000"/>
          <w:lang w:val="es-CO" w:eastAsia="es-CO" w:bidi="ar-SA"/>
        </w:rPr>
        <w:t>el registrador departamental y tendrán las siguientes funciones:</w:t>
      </w:r>
    </w:p>
    <w:p w14:paraId="05A89125"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Delegado seccional en el registro civil e identificación:</w:t>
      </w:r>
    </w:p>
    <w:p w14:paraId="2ED4E63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Velar por la correcta asignación de los seriales distribuidos por la Dirección de Registro Civil para la inscripción de nacimiento, matrimonio, defunción y demás documentos relacionados con el registro civil y, del mismo modo, vigilar su correcta utilización.</w:t>
      </w:r>
    </w:p>
    <w:p w14:paraId="3890F1D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Asesorar y capacitar a los registradores especiales, municipales y auxiliares, en materia de registro civil e identificación e, igualmente, reunir periódicamente a los registradores de su respectiva circunscripción para orientarlos en la interpretación y aplicación de las normas vigentes.</w:t>
      </w:r>
    </w:p>
    <w:p w14:paraId="2B9BD7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Vigilar y controlar la debida y oportuna prestación del servicio de registro civil e identificación, la remisión y actualización oportuna de la información en los sistemas de registro civil y Archivo Nacional de Identificación.</w:t>
      </w:r>
    </w:p>
    <w:p w14:paraId="14AE9FC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Participar en las campañas de registro civil e identificación organizadas por la Registraduría Delegada para Registro Civil e Identificación.</w:t>
      </w:r>
    </w:p>
    <w:p w14:paraId="0A34868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Coordinar las acciones para la debida prestación de los trámites de preparación y actualización de los documentos de identidad de su respectiva circunscripción.</w:t>
      </w:r>
    </w:p>
    <w:p w14:paraId="1C1914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Monitorear la disposición de las herramientas tecnológicas o insumos para los trámites de registro civil y de los documentos de identidad.</w:t>
      </w:r>
    </w:p>
    <w:p w14:paraId="093AF67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Participar en los comités departamentales de Estadísticas vitales.</w:t>
      </w:r>
    </w:p>
    <w:p w14:paraId="360DB6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Colaborar de forma armónica con las oficinas registrales de su circunscripción.</w:t>
      </w:r>
    </w:p>
    <w:p w14:paraId="472032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Diseñar e implementar estrategias para evitar el subregistro, optimizar los procesos de identificación y garantizar la entrega oportuna de los documentos de identidad.</w:t>
      </w:r>
    </w:p>
    <w:p w14:paraId="39415A4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Establecer controles para prevenir y evitar fraudes en el registro civil y la identificación.</w:t>
      </w:r>
    </w:p>
    <w:p w14:paraId="1B31B2C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k. Promover el uso de los servicios digitales establecidos por la entidad.</w:t>
      </w:r>
    </w:p>
    <w:p w14:paraId="5CA3893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 Las demás que les asigne la ley y el Registrador Nacional del Estado Civil y el Registrador departamental.</w:t>
      </w:r>
    </w:p>
    <w:p w14:paraId="08D369B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Delegado seccional en lo electoral:</w:t>
      </w:r>
    </w:p>
    <w:p w14:paraId="318BFC9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y vigilar los procesos electorales y mecanismos de participación ciudadana que corresponden a su circunscripción electoral.</w:t>
      </w:r>
    </w:p>
    <w:p w14:paraId="62669F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Coordinar la adecuada construcción y apropiada actualización de la división política electoral.</w:t>
      </w:r>
    </w:p>
    <w:p w14:paraId="160964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Coordinar y supervisar los procesos de zonificación municipal.</w:t>
      </w:r>
    </w:p>
    <w:p w14:paraId="0157DD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Decidir, por medio de resolución, las apelaciones que se interpongan contra las sanciones impuestas por los registradores del Estado Civil a los jurados de votación.</w:t>
      </w:r>
    </w:p>
    <w:p w14:paraId="22D42B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Adelantar la inscripción de las candidaturas para el Senado de la República, a la Cámara de Representantes de su circunscripción electoral y todas las Circunscripciones Especiales, gobernador y Asamblea Departamental.</w:t>
      </w:r>
    </w:p>
    <w:p w14:paraId="40874B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Ejecutar la póliza de seriedad de la candidatura de los grupos significativos de ciudadanos inscritos en su circunscripción.</w:t>
      </w:r>
    </w:p>
    <w:p w14:paraId="21689A4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Llevar las estadísticas electorales de su circunscripción electoral y expedir las correspondientes certificaciones.</w:t>
      </w:r>
    </w:p>
    <w:p w14:paraId="44F247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Coordinar con el nivel central de la Registraduría Nacional del Estado Civil los procesos de revisión de los apoyos ciudadanos de los mecanismos de participación ciudadana y las inscripciones de candidatos de grupos significativos de ciudadanos que correspondan a su circunscripción electoral.</w:t>
      </w:r>
    </w:p>
    <w:p w14:paraId="1DA00B4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Las demás que les asigne la ley, el Registrador departamental, y el Registrador Nacional del Estado Civil.</w:t>
      </w:r>
    </w:p>
    <w:p w14:paraId="1FDD0BB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Informar de forma coordinada al nivel central de la Registraduría Nacional del Estado Civil y al Consejo Nacional Electoral de aquellos casos de violencia política contra la mujer que sean de su conocimiento.</w:t>
      </w:r>
    </w:p>
    <w:p w14:paraId="7E17476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p w14:paraId="5E1BA8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En todo caso se entenderá que la adopción de la regla prevista en este artículo garantizará los derechos laborales y de seguridad social adquiridos.</w:t>
      </w:r>
    </w:p>
    <w:p w14:paraId="66291958"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p w14:paraId="51BE2B9F"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Registradores especiales, municipales y auxiliares</w:t>
      </w:r>
    </w:p>
    <w:p w14:paraId="079C46C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 Registradores especiales, municipales y auxiliares del Estado Civil</w:t>
      </w:r>
      <w:r w:rsidRPr="00222F34">
        <w:rPr>
          <w:rFonts w:ascii="Calibri" w:eastAsia="Times New Roman" w:hAnsi="Calibri" w:cs="Calibri"/>
          <w:color w:val="000000"/>
          <w:lang w:val="es-CO" w:eastAsia="es-CO" w:bidi="ar-SA"/>
        </w:rPr>
        <w:t xml:space="preserve">. Con excepción del Distrito Capital de Bogotá, en cada distrito o municipio que cuente con una proyección poblacional certificada por el Departamento Nacional de Estadísticas – DANE, mayor que seiscientos cincuenta mil un (650.001) habitantes, </w:t>
      </w:r>
      <w:r w:rsidRPr="00222F34">
        <w:rPr>
          <w:rFonts w:ascii="Calibri" w:eastAsia="Times New Roman" w:hAnsi="Calibri" w:cs="Calibri"/>
          <w:color w:val="000000"/>
          <w:lang w:val="es-CO" w:eastAsia="es-CO" w:bidi="ar-SA"/>
        </w:rPr>
        <w:lastRenderedPageBreak/>
        <w:t>habrá una Registraduría Especial del Estado Civil a cargo de dos (2) registradores especiales, de la máxima categoría según la estructura de planta de personal de la Registraduría Nacional del Estado Civil y de los cuales al menos uno debe ser una mujer.</w:t>
      </w:r>
    </w:p>
    <w:p w14:paraId="11534B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distrito o municipio que cuente con una proyección poblacional según el Departamento Nacional de Estadísticas – DANE, comprendida entre doscientos mil un (200.001) y seiscientos cincuenta mil (650.000) habitantes y en las capitales de departamentos que tengan una proyección de población entre sesenta y cinco mil un (65.001) y doscientos mil (200.000) habitantes, habrá una registraduría de categoría especial a cargo de dos (2) registradores especiales, del grado inmediatamente inferior al previsto para los registradores especiales enunciados en el inciso anterior y de los cuales al menos uno debe ser una mujer.</w:t>
      </w:r>
    </w:p>
    <w:p w14:paraId="438C205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distrito o municipio que cuente con una proyección poblacional según el Departamento Nacional de Estadísticas – DANE,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el grado inmediatamente inferior al previsto para los registradores especiales enunciados en el inciso anterior.</w:t>
      </w:r>
    </w:p>
    <w:p w14:paraId="71C09AC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 DANE, comprendida entre cuarenta mil un (40.001) y sesenta y cinco mil (65.000) habitantes, habrá una registraduría de categoría municipal a cargo de un (1) registrador municipal, de la máxima categoría del nivel profesional según la estructura de planta de personal de la Registraduría Nacional del Estado Civil.</w:t>
      </w:r>
    </w:p>
    <w:p w14:paraId="04FF2FA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comprendida entre quince mil un (15.001) y cuarenta mil (40.000) habitantes, habrá una registraduría de categoría municipal a cargo de un (1) registrador municipal, del grado inmediatamente inferior al previsto para el registrador municipal enunciado en el inciso anterior.</w:t>
      </w:r>
    </w:p>
    <w:p w14:paraId="4CD394F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municipio que cuente con una proyección poblacional según el Departamento Nacional de Estadísticas igual o inferior a quince mil (15.000) habitantes, habrá una registraduría de categoría municipal a cargo de un (1) registrador municipal, del grado inmediatamente inferior al previsto para el registrador municipal enunciado en el inciso anterior.</w:t>
      </w:r>
    </w:p>
    <w:p w14:paraId="6C05F71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registradores municipales y auxiliares del Estado Civil, corresponderán a servidores públicos del nivel profesional de la planta global de la Registraduría Nacional del Estado Civil y su vinculación obedecerá al régimen de carrera administrativa especial. Su asignación a cada municipio será inferior a la del Registrador departamental y estarán adscritos al ente territorial atendiendo las estadísticas previstas en la proyección certificada del censo poblacional.</w:t>
      </w:r>
    </w:p>
    <w:p w14:paraId="3BE5B5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w:t>
      </w:r>
    </w:p>
    <w:p w14:paraId="76812D5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Para el caso de los Registradores Auxiliares del Distrito Capital, se tendrá en cuenta la proyección del censo poblacional según el Departamento Nacional de Estadísticas por cada Localidad, aquellas que cuenten con una proyección poblacional igual o superior a ochenta mil (80.000) habitantes, contará con un Registrador Auxiliar correspondiente a servidores públicos del nivel profesional del grado más alto previsto en la escala salarial de la Registraduría Nacional del Estado civil.</w:t>
      </w:r>
    </w:p>
    <w:p w14:paraId="54B496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aquellas localidades que cuenten con una proyección poblacional según el Departamento Nacional de Estadísticas inferior a ochenta mil (80.000) habitantes, contará con un Registrador Auxiliar correspondiente a servidores públicos del nivel profesional inmediatamente inferior al señalado en el inciso anterior.</w:t>
      </w:r>
    </w:p>
    <w:p w14:paraId="2EEC727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todo caso, este artículo rige para la recategorización de las registradurías que cumplan con el criterio de proyección del censo poblacional previsto en este artículo.</w:t>
      </w:r>
    </w:p>
    <w:p w14:paraId="3FF03C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vinculación de los empleos de que trata este artículo se efectuará de conformidad con lo establecido en el artículo 266 de la Constitución Política de Colombia y la normatividad legal vigente.</w:t>
      </w:r>
    </w:p>
    <w:p w14:paraId="7E5F7B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 Funciones de los registradores especiales y municipales. </w:t>
      </w:r>
      <w:r w:rsidRPr="00222F34">
        <w:rPr>
          <w:rFonts w:ascii="Calibri" w:eastAsia="Times New Roman" w:hAnsi="Calibri" w:cs="Calibri"/>
          <w:color w:val="000000"/>
          <w:lang w:val="es-CO" w:eastAsia="es-CO" w:bidi="ar-SA"/>
        </w:rPr>
        <w:t>Los registradores especiales y municipales tendrán las siguientes funciones:</w:t>
      </w:r>
    </w:p>
    <w:p w14:paraId="3008A7A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Asuntos electorales:</w:t>
      </w:r>
    </w:p>
    <w:p w14:paraId="5713DA1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las elecciones y responder especialmente por la ubicación y los cambios de los puestos de votación y sitios para escrutinios.</w:t>
      </w:r>
    </w:p>
    <w:p w14:paraId="2FA1FE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Tomar todas las medidas necesarias para que las votaciones se realicen de conformidad con las disposiciones legales y las instrucciones que impartan sus superiores jerárquicos.</w:t>
      </w:r>
    </w:p>
    <w:p w14:paraId="749F92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Nombrar e instruir a los jurados de votación.</w:t>
      </w:r>
    </w:p>
    <w:p w14:paraId="28D1A4F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Reemplazar a los jurados de votación que no asistan o abandonen sus funciones.</w:t>
      </w:r>
    </w:p>
    <w:p w14:paraId="0DB358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Sancionar con multas a los jurados de votación en los casos señalados en el presente código.</w:t>
      </w:r>
    </w:p>
    <w:p w14:paraId="3445B1E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Adelantar la inscripción de las candidaturas para alcalde, concejos distritales y municipales y consejos de juventud.</w:t>
      </w:r>
    </w:p>
    <w:p w14:paraId="70C6DA2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Ejecutar la póliza de seriedad de la candidatura de los grupos significativos de ciudadanos inscritos en su circunscripción.</w:t>
      </w:r>
    </w:p>
    <w:p w14:paraId="17AD332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Actuar como secretario de la comisión escrutadora en su respectiva circunscripción.</w:t>
      </w:r>
    </w:p>
    <w:p w14:paraId="6A908FE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Conducir y entregar personalmente al Registrador departamental los documentos que las comisiones escrutadoras hayan tenido presentes y las actas de escrutinio levantadas por estas.</w:t>
      </w:r>
    </w:p>
    <w:p w14:paraId="46EE3D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el delegado seccional.</w:t>
      </w:r>
    </w:p>
    <w:p w14:paraId="3CB59A9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 xml:space="preserve">2. Registro civil e identificación: </w:t>
      </w:r>
    </w:p>
    <w:p w14:paraId="1DF953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Prestar de manera oportuna y correcta el servicio de registro civil e identificación, remitir y actualizar oportunamente la información en los Sistemas de Registro Civil y Archivo Nacional de Identificación.</w:t>
      </w:r>
    </w:p>
    <w:p w14:paraId="01128B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Realizar las inscripciones de todos los hechos, los actos y las providencias relacionados con el estado civil de las personas, de acuerdo con la ley y los lineamientos de la entidad.</w:t>
      </w:r>
    </w:p>
    <w:p w14:paraId="3F795F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Reparar y acreditar el enrolamiento de los datos de identificación para la preparación y expedición de los documentos de identificación.</w:t>
      </w:r>
    </w:p>
    <w:p w14:paraId="2E4AEC9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Colaborar en las campañas del registro civil e identificación cuando corresponda.</w:t>
      </w:r>
    </w:p>
    <w:p w14:paraId="0B6412D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Presentar al delegado seccional en registro civil e identificación, durante los cinco</w:t>
      </w:r>
      <w:r w:rsidRPr="00222F34">
        <w:rPr>
          <w:rFonts w:ascii="Calibri" w:eastAsia="Times New Roman" w:hAnsi="Calibri" w:cs="Calibri"/>
          <w:color w:val="000000"/>
          <w:lang w:val="es-CO" w:eastAsia="es-CO" w:bidi="ar-SA"/>
        </w:rPr>
        <w:br/>
        <w:t>(5) primeros días de cada mes el informe de producción.</w:t>
      </w:r>
    </w:p>
    <w:p w14:paraId="193360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14:paraId="63052B6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Disponer la preparación de cédulas y tarjetas de identidad, atender las solicitudes de duplicados, rectificaciones, correcciones, renovaciones, impugnaciones y cancelaciones de esos documentos y ordenar las inscripciones de cédulas.</w:t>
      </w:r>
    </w:p>
    <w:p w14:paraId="585ED0C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Participar en los comités municipales de estadísticas vitales.</w:t>
      </w:r>
    </w:p>
    <w:p w14:paraId="487D46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Promover el uso de los servicios digitales establecidos por la entidad.</w:t>
      </w:r>
    </w:p>
    <w:p w14:paraId="08F82AE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Registrador departamental.</w:t>
      </w:r>
    </w:p>
    <w:p w14:paraId="339345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 Funciones de los registradores auxiliares.</w:t>
      </w:r>
      <w:r w:rsidRPr="00222F34">
        <w:rPr>
          <w:rFonts w:ascii="Calibri" w:eastAsia="Times New Roman" w:hAnsi="Calibri" w:cs="Calibri"/>
          <w:color w:val="000000"/>
          <w:lang w:val="es-CO" w:eastAsia="es-CO" w:bidi="ar-SA"/>
        </w:rPr>
        <w:t xml:space="preserve"> Los registradores auxiliares tendrán las siguientes funciones:</w:t>
      </w:r>
    </w:p>
    <w:p w14:paraId="33DB2816"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Asuntos electorales:</w:t>
      </w:r>
    </w:p>
    <w:p w14:paraId="799DA46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Organizar las elecciones y responder especialmente por la ubicación y los cambios de los puestos de votación y sitios para escrutinios.</w:t>
      </w:r>
    </w:p>
    <w:p w14:paraId="2FB866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Adelantar el proceso de zonificación en su circunscripción.</w:t>
      </w:r>
    </w:p>
    <w:p w14:paraId="503B2B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Tomar todas las medidas necesarias para que las votaciones se realicen de conformidad con las disposiciones legales y las instrucciones que impartan sus superiores jerárquicos.</w:t>
      </w:r>
    </w:p>
    <w:p w14:paraId="090F8F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Adelantar la inscripción de las candidaturas para juntas administradores locales.</w:t>
      </w:r>
    </w:p>
    <w:p w14:paraId="34F5EC1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 Ejecutar la póliza de seriedad de la candidatura de los grupos significativos de ciudadanos inscritos en su circunscripción.</w:t>
      </w:r>
    </w:p>
    <w:p w14:paraId="596F60F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 Actuar como secretario de la comisión escrutadora.</w:t>
      </w:r>
    </w:p>
    <w:p w14:paraId="20E87E9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Conducir y entregar personalmente al registrador distrital, especial o municipal, según sea el caso, los documentos que las comisiones escrutadoras hayan tenido presentes y las actas de escrutinio levantadas por estas.</w:t>
      </w:r>
    </w:p>
    <w:p w14:paraId="124D0E92" w14:textId="77777777" w:rsidR="00CD4925" w:rsidRPr="00222F34" w:rsidRDefault="00CD4925" w:rsidP="00CD4925">
      <w:pPr>
        <w:widowControl/>
        <w:autoSpaceDE/>
        <w:autoSpaceDN/>
        <w:spacing w:beforeLines="80" w:before="192" w:line="276" w:lineRule="auto"/>
        <w:rPr>
          <w:rFonts w:ascii="Calibri" w:eastAsia="Times New Roman" w:hAnsi="Calibri" w:cs="Calibri"/>
          <w:lang w:val="es-CO" w:eastAsia="es-CO" w:bidi="ar-SA"/>
        </w:rPr>
      </w:pPr>
      <w:r w:rsidRPr="00222F34">
        <w:rPr>
          <w:rFonts w:ascii="Calibri" w:eastAsia="Times New Roman" w:hAnsi="Calibri" w:cs="Calibri"/>
          <w:lang w:val="es-CO" w:eastAsia="es-CO" w:bidi="ar-SA"/>
        </w:rPr>
        <w:t>h. Las demás que les asigne la ley, el registrador Nacional del Estado Civil</w:t>
      </w:r>
      <w:r w:rsidRPr="00687DF7">
        <w:rPr>
          <w:rFonts w:ascii="Calibri" w:eastAsia="Times New Roman" w:hAnsi="Calibri" w:cs="Calibri"/>
          <w:bCs/>
          <w:lang w:val="es-CO" w:eastAsia="es-CO" w:bidi="ar-SA"/>
        </w:rPr>
        <w:t>, el Registrador Departamental</w:t>
      </w:r>
      <w:r>
        <w:rPr>
          <w:rFonts w:ascii="Calibri" w:eastAsia="Times New Roman" w:hAnsi="Calibri" w:cs="Calibri"/>
          <w:lang w:val="es-CO" w:eastAsia="es-CO" w:bidi="ar-SA"/>
        </w:rPr>
        <w:t xml:space="preserve"> y el delegado seccional</w:t>
      </w:r>
      <w:r w:rsidRPr="00222F34">
        <w:rPr>
          <w:rFonts w:ascii="Calibri" w:eastAsia="Times New Roman" w:hAnsi="Calibri" w:cs="Calibri"/>
          <w:lang w:val="es-CO" w:eastAsia="es-CO" w:bidi="ar-SA"/>
        </w:rPr>
        <w:t>.</w:t>
      </w:r>
    </w:p>
    <w:p w14:paraId="3134B4DB"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Registro del estado civil e identificación:</w:t>
      </w:r>
    </w:p>
    <w:p w14:paraId="4E0B09C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Prestar de manera oportuna y correcta el servicio de registro civil e identificación, remitir y actualizar oportunamente la información en los Sistemas de Registro Civil y Archivo Nacional de Identificación.</w:t>
      </w:r>
    </w:p>
    <w:p w14:paraId="1882F76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Realizar las inscripciones de todos los hechos, los actos y las providencias relacionados con el estado civil de las personas, de acuerdo con la ley y los lineamientos de la entidad.</w:t>
      </w:r>
    </w:p>
    <w:p w14:paraId="735AEC2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Preparar y acreditar el enrolamiento de los datos de identificación para la preparación y expedición de los documentos de identificación.</w:t>
      </w:r>
    </w:p>
    <w:p w14:paraId="0222B9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Colaborar en las campañas del registro civil e identificación, cuando corresponda.</w:t>
      </w:r>
    </w:p>
    <w:p w14:paraId="092ED26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 Presentar al delegado seccional en registro civil e identificación, durante los cinco</w:t>
      </w:r>
      <w:r w:rsidRPr="00222F34">
        <w:rPr>
          <w:rFonts w:ascii="Calibri" w:eastAsia="Times New Roman" w:hAnsi="Calibri" w:cs="Calibri"/>
          <w:color w:val="000000"/>
          <w:lang w:val="es-CO" w:eastAsia="es-CO" w:bidi="ar-SA"/>
        </w:rPr>
        <w:br/>
        <w:t>(5) primeros días de cada mes, el informe de producción.</w:t>
      </w:r>
    </w:p>
    <w:p w14:paraId="6449645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 </w:t>
      </w:r>
    </w:p>
    <w:p w14:paraId="6E9A9E8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g. Disponer la preparación de cédulas y tarjetas de identidad, atender las solicitudes de duplicados, rectificaciones, correcciones, renovaciones, impugnaciones y cancelaciones de esos documentos.</w:t>
      </w:r>
    </w:p>
    <w:p w14:paraId="3CBFAE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h. Participar en los comités municipales de estadísticas vitales.</w:t>
      </w:r>
    </w:p>
    <w:p w14:paraId="208423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Promover el uso de los servicios digitales establecidos por la entidad.</w:t>
      </w:r>
    </w:p>
    <w:p w14:paraId="084FE1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j. Las demás que les asigne la ley, el registrador Nacional del Estado Civil y el Registrador departamental.</w:t>
      </w:r>
    </w:p>
    <w:p w14:paraId="7B7C118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3. Otras funciones:</w:t>
      </w:r>
    </w:p>
    <w:p w14:paraId="61B9CC9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Recibir y entregar bajo inventario los elementos de oficina.</w:t>
      </w:r>
    </w:p>
    <w:p w14:paraId="2FE9FD8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Las demás que les asignen el Registrador Nacional del Estado Civil o sus superiores jerárquicos.</w:t>
      </w:r>
    </w:p>
    <w:p w14:paraId="3EB084A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20. Calidades.</w:t>
      </w:r>
      <w:r w:rsidRPr="00222F34">
        <w:rPr>
          <w:rFonts w:ascii="Calibri" w:eastAsia="Times New Roman" w:hAnsi="Calibri" w:cs="Calibri"/>
          <w:color w:val="000000"/>
          <w:lang w:val="es-CO" w:eastAsia="es-CO" w:bidi="ar-SA"/>
        </w:rPr>
        <w:t xml:space="preserve"> Para ser registrador municipal o auxiliar se requiere ser colombiano de nacimiento, ciudadano en ejercicio y título profesional en disciplinas académicas teniendo en cuenta los procesos y la naturaleza de las funciones misionales de la entidad.</w:t>
      </w:r>
    </w:p>
    <w:p w14:paraId="14DED01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 Posesión.</w:t>
      </w:r>
      <w:r w:rsidRPr="00222F34">
        <w:rPr>
          <w:rFonts w:ascii="Calibri" w:eastAsia="Times New Roman" w:hAnsi="Calibri" w:cs="Calibri"/>
          <w:color w:val="000000"/>
          <w:lang w:val="es-CO" w:eastAsia="es-CO" w:bidi="ar-SA"/>
        </w:rPr>
        <w:t xml:space="preserve"> Los registradores especiales, municipales y auxiliares se posesionarán ante el nominador correspondiente.</w:t>
      </w:r>
    </w:p>
    <w:p w14:paraId="42E2DE9F"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p w14:paraId="14835DCB"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Delegados de puesto de los registradores distritales, especiales y municipales</w:t>
      </w:r>
    </w:p>
    <w:p w14:paraId="0EB1FB0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 Delegado de puesto.</w:t>
      </w:r>
      <w:r w:rsidRPr="00222F34">
        <w:rPr>
          <w:rFonts w:ascii="Calibri" w:eastAsia="Times New Roman" w:hAnsi="Calibri" w:cs="Calibri"/>
          <w:color w:val="000000"/>
          <w:lang w:val="es-CO" w:eastAsia="es-CO" w:bidi="ar-SA"/>
        </w:rPr>
        <w:t xml:space="preserve"> En todos los puestos de votación habrá delegados, nombrados por los registradores departamentales y los registradores distritales de Bogotá D.C.</w:t>
      </w:r>
    </w:p>
    <w:p w14:paraId="5CF823E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 Funciones.</w:t>
      </w:r>
      <w:r w:rsidRPr="00222F34">
        <w:rPr>
          <w:rFonts w:ascii="Calibri" w:eastAsia="Times New Roman" w:hAnsi="Calibri" w:cs="Calibri"/>
          <w:color w:val="000000"/>
          <w:lang w:val="es-CO" w:eastAsia="es-CO" w:bidi="ar-SA"/>
        </w:rPr>
        <w:t xml:space="preserve"> Los delegados de puesto de los registradores distritales, especiales y municipales tendrán las siguientes funciones:</w:t>
      </w:r>
    </w:p>
    <w:p w14:paraId="3686C92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Atender la preparación y realización de las elecciones y de los mecanismos de participación ciudadana en los lugares que les corresponda. </w:t>
      </w:r>
    </w:p>
    <w:p w14:paraId="6BE0EF9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Reemplazar oportunamente a los jurados de votación el día de las elecciones que no vayan a desempeñar sus funciones o las abandonen. </w:t>
      </w:r>
    </w:p>
    <w:p w14:paraId="2F54FD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Comunicar al registrador respectivo del incumplimiento o mal desempeño de las funciones de los jurados de votación, para las sanciones a que hubiere lugar. </w:t>
      </w:r>
    </w:p>
    <w:p w14:paraId="6A9B677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Conducir, custodiados por la fuerza pública, y entregar personalmente a la comisión escrutadora todos los documentos provenientes de las mesas de votación. </w:t>
      </w:r>
    </w:p>
    <w:p w14:paraId="66DC2C5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Facilitar la trasmisión de los resultados electorales y en los casos a que haya lugar, la digitalización de las actas de escrutinio de los jurados de votación. </w:t>
      </w:r>
    </w:p>
    <w:p w14:paraId="279D30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Verificar la identidad de los jurados y de los testigos electorales de los puestos de votación. </w:t>
      </w:r>
    </w:p>
    <w:p w14:paraId="545CD7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demás que le señale el registrador Nacional del Estado Civil, o el delegado seccional en lo electoral o su superior jerárquico. </w:t>
      </w:r>
    </w:p>
    <w:p w14:paraId="08D4BA9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 Fondo Rotatorio de la Registraduría Nacional del Estado Civil</w:t>
      </w:r>
      <w:r w:rsidRPr="00222F34">
        <w:rPr>
          <w:rFonts w:ascii="Calibri" w:eastAsia="Times New Roman" w:hAnsi="Calibri" w:cs="Calibri"/>
          <w:color w:val="000000"/>
          <w:lang w:val="es-CO" w:eastAsia="es-CO" w:bidi="ar-SA"/>
        </w:rPr>
        <w:t>. La representación legal y la administración del Fondo Rotatorio de la Registraduría Nacional del Estado Civil corresponden al registrador Nacional del Estado Civil.</w:t>
      </w:r>
    </w:p>
    <w:p w14:paraId="64066F9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recaudo proveniente de las sanciones pecuniarias y todo hecho generador por los servicios que preste la entidad, cuyo destino no se prevea específicamente, ingresará al Fondo Rotatorio de la Registraduría Nacional del Estado Civil, para su fortalecimiento.</w:t>
      </w:r>
    </w:p>
    <w:p w14:paraId="65F3098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El Fondo Rotatorio del Consejo Nacional Electoral se creará y entrará en funcionamiento en un término no superior a dos (2) años. La representación legal estará a cargo del presidente de la Corporación o a quien la Sala Plena delegue. El recaudo proveniente de las sanciones pecuniarias y todo hecho generador por los servicios que preste la entidad, cuyo destino no se prevea específicamente, ingresará al Fondo Rotatorio del Consejo Nacional Electoral, para su fortalecimiento.</w:t>
      </w:r>
    </w:p>
    <w:p w14:paraId="37C189E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Organización Electoral deberá presentar un informe anual, que especifique los montos de los recaudos provenientes de sanciones pecuniarias y/o de todos los hechos generadores por los servicios que preste la entidad y el uso de los mismos. Dicho informe deberá ser de público conocimiento y deberá estar disponible en los canales oficiales de la entidad.</w:t>
      </w:r>
    </w:p>
    <w:p w14:paraId="16D491E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Consejo Nacional Electoral continuará siendo parte de la junta directiva del Fondo Rotatorio de la Registraduría Nacional del Estado Civil hasta que se regule su propio Fondo.</w:t>
      </w:r>
    </w:p>
    <w:p w14:paraId="73ED1D3B"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PARTE SEGUNDA</w:t>
      </w:r>
    </w:p>
    <w:p w14:paraId="6A875EF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 SOBRE LA IDENTIFICACIÓN DE LAS PERSONAS</w:t>
      </w:r>
    </w:p>
    <w:p w14:paraId="6653E1C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25.- Inscripción de providencias o actos administrativos debidamente ejecutoriados.</w:t>
      </w:r>
      <w:r w:rsidRPr="00222F34">
        <w:rPr>
          <w:rFonts w:ascii="Calibri" w:eastAsia="Times New Roman" w:hAnsi="Calibri" w:cs="Calibri"/>
          <w:color w:val="000000"/>
          <w:lang w:val="es-CO" w:eastAsia="es-CO" w:bidi="ar-SA"/>
        </w:rPr>
        <w:t xml:space="preserve">  Los jueces o funcionarios administrativos que resuelvan asuntos que afecten el estado civil de las personas, tendrán la obligación de remitir copia de la providencia o del acto administrativo debidamente ejecutoriado a cualquier oficina de registro civil para que se haga la respectiva inscripción, en un plazo no mayor a 10 días o en el plazo que determine la providencia. </w:t>
      </w:r>
    </w:p>
    <w:p w14:paraId="3B0A8A22"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jueces o funcionarios administrativos que resuelvan asuntos que afecten el estado civil de las personas deberán interoperar para remitir en línea la información, garantizando su actualización permanente, de acuerdo con los procedimientos establecidos por la Registraduría Nacional del Estado Civil para tal fin. </w:t>
      </w:r>
    </w:p>
    <w:p w14:paraId="1E61FC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 Uso de tecnologías para la actualización de la base de datos de registro civil. </w:t>
      </w:r>
      <w:r w:rsidRPr="00222F34">
        <w:rPr>
          <w:rFonts w:ascii="Calibri" w:eastAsia="Times New Roman" w:hAnsi="Calibri" w:cs="Calibri"/>
          <w:color w:val="000000"/>
          <w:lang w:val="es-CO" w:eastAsia="es-CO" w:bidi="ar-SA"/>
        </w:rPr>
        <w:t>La Registraduría Nacional del Estado Civil propenderá por el uso de mecanismos tecnológicos que permitan la actualización permanente del registro civil.</w:t>
      </w:r>
    </w:p>
    <w:p w14:paraId="301596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 Documento antecedente para la inscripción del nacimiento.</w:t>
      </w:r>
      <w:r w:rsidRPr="00222F34">
        <w:rPr>
          <w:rFonts w:ascii="Calibri" w:eastAsia="Times New Roman" w:hAnsi="Calibri" w:cs="Calibri"/>
          <w:color w:val="000000"/>
          <w:lang w:val="es-CO" w:eastAsia="es-CO" w:bidi="ar-SA"/>
        </w:rPr>
        <w:t xml:space="preserve"> El nacimiento de las personas se acreditará ante el funcionario encargado de llevar el registro del estado civil mediante:</w:t>
      </w:r>
    </w:p>
    <w:p w14:paraId="4749375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Certificado médico de nacido vivo debidamente diligenciado y firmado por del profesional de la salud que atienda el hecho vital. </w:t>
      </w:r>
    </w:p>
    <w:p w14:paraId="5EDCA7A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Cédulas de ciudadanía.</w:t>
      </w:r>
    </w:p>
    <w:p w14:paraId="52194B9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Sentencias de adopción.</w:t>
      </w:r>
    </w:p>
    <w:p w14:paraId="2F77004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Copia de las actas de las partidas parroquiales respecto de las personas bautizadas en el seno de la Iglesia Católica con certificación de competencia de quien celebra el acto o de las anotaciones de origen religioso correspondientes a personas de otros credos que tengan convenio de derecho público con el Estado Colombiano. </w:t>
      </w:r>
    </w:p>
    <w:p w14:paraId="03539F9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Orden de Defensor de Familia en el curso de un proceso de restablecimiento del derecho.  </w:t>
      </w:r>
    </w:p>
    <w:p w14:paraId="3A1ECD0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Resolución del Director Nacional de Registro Civil. </w:t>
      </w:r>
    </w:p>
    <w:p w14:paraId="4AAC8F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Autorización expedida por la autoridad tradicional para la inscripción del nacimiento del integrante de la comunidad étnica. </w:t>
      </w:r>
    </w:p>
    <w:p w14:paraId="591AC77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Certificado expedido por partera. </w:t>
      </w:r>
    </w:p>
    <w:p w14:paraId="73634C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reglamentará el procedimiento para la certificación de nacimientos atendidos por parteras y la autorización para la inscripción del nacimiento expedida por las respectivas autoridades tradicionales étnicas.</w:t>
      </w:r>
    </w:p>
    <w:p w14:paraId="4371A8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documento antecedente para la inscripción del nacimiento cuando el hecho haya ocurrido fuera del territorio nacional, será el respectivo registro civil extranjero, traducido y apostillado o legalizado, según corresponda.</w:t>
      </w:r>
    </w:p>
    <w:p w14:paraId="7A53F12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Al realizar la inscripción del nacimiento con base en registro civil extranjero, la información relativa a los nombres del inscrito se consignará tal como aparece en el documento antecedente.</w:t>
      </w:r>
    </w:p>
    <w:p w14:paraId="0156BC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En los casos de filiación adoptiva el documento antecedente para la inscripción del nacimiento en el registro civil será la sentencia judicial en firme.</w:t>
      </w:r>
    </w:p>
    <w:p w14:paraId="7781033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w:t>
      </w:r>
    </w:p>
    <w:p w14:paraId="2B6573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Para la inscripción del nacimiento de los miembros de pueblos indígenas, la información que se consigne en el Registro Civil de nacimiento deberá ser acorde con las formas y técnicas lingüísticas de cada pueblo con el fin de respetar la diversidad cultural y el derecho al autoreconocimiento. La Registraduría reglamentará los mecanismos idóneos y adecuados para su cumplimiento. La Registraduría expedirá la reglamentación en máximo doce (12) meses contados a partir de la entrada en vigencia de esta Ley. Para su expedición, se deberán respetar los derechos fundamentales de las comunidades étnicas. En todo caso, se deberá garantizar los derechos de los grupos étnicos previstos en la constitución política de 1991 y el convenio 169 de la OIT.</w:t>
      </w:r>
    </w:p>
    <w:p w14:paraId="6E1F34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6.</w:t>
      </w:r>
      <w:r w:rsidRPr="00222F34">
        <w:rPr>
          <w:rFonts w:ascii="Calibri" w:eastAsia="Times New Roman" w:hAnsi="Calibri" w:cs="Calibri"/>
          <w:color w:val="000000"/>
          <w:lang w:val="es-CO" w:eastAsia="es-CO" w:bidi="ar-SA"/>
        </w:rPr>
        <w:t xml:space="preserve"> Para la inscripción del nacimiento de los miembros de los pueblos indígenas y de la comunidad palenquera o raizal, la Registraduría Nacional del Estado Civil reglamentará el procedimiento que deberá atender criterios diferenciales para asegurar su autoreconocimiento, formas tradicionales, diversidad cultural y derechos </w:t>
      </w:r>
      <w:r w:rsidRPr="00222F34">
        <w:rPr>
          <w:rFonts w:ascii="Calibri" w:eastAsia="Times New Roman" w:hAnsi="Calibri" w:cs="Calibri"/>
          <w:color w:val="000000"/>
          <w:lang w:val="es-CO" w:eastAsia="es-CO" w:bidi="ar-SA"/>
        </w:rPr>
        <w:lastRenderedPageBreak/>
        <w:t xml:space="preserve">fundamentales de las comunidades étnicas en máximos doce(12) meses contados a partir de la entrada en vigencia de la presente ley. </w:t>
      </w:r>
    </w:p>
    <w:p w14:paraId="3E1FCEE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28.- Administración y actualización de la base de datos del registro civil de defunción e inscripción oficiosa en el registro civil de defunción</w:t>
      </w:r>
      <w:r w:rsidRPr="00222F34">
        <w:rPr>
          <w:rFonts w:ascii="Calibri" w:eastAsia="Times New Roman" w:hAnsi="Calibri" w:cs="Calibri"/>
          <w:color w:val="000000"/>
          <w:lang w:val="es-CO" w:eastAsia="es-CO" w:bidi="ar-SA"/>
        </w:rPr>
        <w:t>. La Registraduría Nacional del Estado Civil administrará la base de datos del Registro Civil de Defunción, la cual se actualizará con la información del Registro Único de Afiliados a la Protección Social – Nacimientos y Defunciones (RUAF-ND), administrado por el Ministerio de Salud y Protección Social y con la que remitan las notarías, los consulados, los registradores del estado civil y las demás autoridades encargadas de llevar el registro civil.</w:t>
      </w:r>
    </w:p>
    <w:p w14:paraId="6552142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o particulares que presten el servicio de Registro Civil deberán implementar los mecanismos tecnológicos necesarios para interoperar con la Registraduría Nacional del Estado Civil, a fin de reportar en tiempo real los registros civiles de defunción tramitados en sus dependencias los cuales se incorporarán a la base de datos.</w:t>
      </w:r>
    </w:p>
    <w:p w14:paraId="18DC86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efectuará las verificaciones pertinentes y cruzará, corregirá, cancelará, anulará e inscribirá de oficio y en línea los Registros Civiles de Defunción siendo el documento antecedente el certificado médico de defunción que se genera en el Módulo de Nacimientos y Defunciones del Registro Único de Afiliados a la Protección Social RUAF-ND, para mantener actualizadas las bases de datos de registro civil, identificación y electoral.</w:t>
      </w:r>
    </w:p>
    <w:p w14:paraId="5F2822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Instituto Nacional de Medicina Legal y Ciencias Forenses, utilizará como medios de identificación las huellas dactilares del fallecido, la información odontológica o su perfil genético.</w:t>
      </w:r>
    </w:p>
    <w:p w14:paraId="21C6E95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reglamentará los procedimientos de administración y actualización de la base de datos del registro civil de defunción e inscripción oficiosa en el registro civil de defunción.</w:t>
      </w:r>
    </w:p>
    <w:p w14:paraId="66F1912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Con el fin de garantizar la confiabilidad y actualidad de la base de datos del Registro Civil de Defunción, cuando no existan medios tecnológicos, las funerarias y parques cementerios solo podrán inhumar o cremar personas fallecidas cuando se acompañe el certificado médico de defunción en físico, el dictamen del Instituto de Medicina Legal y Ciencias Forenses o la orden de autoridad competente.</w:t>
      </w:r>
    </w:p>
    <w:p w14:paraId="5C5B79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29. Tipos de documentos de identificación personal.</w:t>
      </w:r>
      <w:r w:rsidRPr="00222F34">
        <w:rPr>
          <w:rFonts w:ascii="Calibri" w:eastAsia="Times New Roman" w:hAnsi="Calibri" w:cs="Calibri"/>
          <w:color w:val="000000"/>
          <w:lang w:val="es-CO" w:eastAsia="es-CO" w:bidi="ar-SA"/>
        </w:rPr>
        <w:t xml:space="preserve"> La Registraduría Nacional del Estado Civil expedirá el documento de identificación a los colombianos, que conforme a la edad será:</w:t>
      </w:r>
    </w:p>
    <w:p w14:paraId="3C5ED9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Tarjeta de identidad desde los cero (0) años hasta cumplir dieciocho (18) años de edad. </w:t>
      </w:r>
    </w:p>
    <w:p w14:paraId="1DBF18B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Cédula de ciudadanía a partir de los dieciocho (18) años de edad. </w:t>
      </w:r>
    </w:p>
    <w:p w14:paraId="47235415"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documentos de identificación cobijan los equivalentes funcionales electrónicos y/o digitales.  </w:t>
      </w:r>
    </w:p>
    <w:p w14:paraId="315D874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Las entidades públicas, entidades administrativas y privadas podrán solicitar la producción de documentos para acreditación institucional asumiendo el costo respectivo y de acuerdo con las condiciones jurídico técnicas definidas por la Registraduría Nacional del Estado Civil. </w:t>
      </w:r>
    </w:p>
    <w:p w14:paraId="6C1BFD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30. Documento base</w:t>
      </w:r>
      <w:r w:rsidRPr="00222F34">
        <w:rPr>
          <w:rFonts w:ascii="Calibri" w:eastAsia="Times New Roman" w:hAnsi="Calibri" w:cs="Calibri"/>
          <w:color w:val="000000"/>
          <w:lang w:val="es-CO" w:eastAsia="es-CO" w:bidi="ar-SA"/>
        </w:rPr>
        <w:t>. La Tarjeta de Identidad y su equivalente funcional serán elaboradas y expedidas con base en el registro civil de nacimiento.</w:t>
      </w:r>
    </w:p>
    <w:p w14:paraId="08DF768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cédula de ciudadanía y su equivalente funcional serán elaboradas y expedidas con base en el registro civil de nacimiento o la tarjeta de identidad.</w:t>
      </w:r>
    </w:p>
    <w:p w14:paraId="7FD2874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colombianos por adopción requieren carta de naturaleza o resolución de Inscripción, acompañada del acta de juramento correspondiente ante la autoridad competente.</w:t>
      </w:r>
    </w:p>
    <w:p w14:paraId="4A9CD3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A partir de la sanción del presente Código, se dispondrá mediante acto administrativo de un plazo de seis (6) meses para la </w:t>
      </w:r>
      <w:r w:rsidRPr="0081594B">
        <w:rPr>
          <w:rFonts w:ascii="Calibri" w:eastAsia="Times New Roman" w:hAnsi="Calibri" w:cs="Calibri"/>
          <w:bCs/>
          <w:color w:val="000000"/>
          <w:lang w:val="es-CO" w:eastAsia="es-CO" w:bidi="ar-SA"/>
        </w:rPr>
        <w:t>pérdida</w:t>
      </w:r>
      <w:r w:rsidRPr="00222F34">
        <w:rPr>
          <w:rFonts w:ascii="Calibri" w:eastAsia="Times New Roman" w:hAnsi="Calibri" w:cs="Calibri"/>
          <w:color w:val="000000"/>
          <w:lang w:val="es-CO" w:eastAsia="es-CO" w:bidi="ar-SA"/>
        </w:rPr>
        <w:t xml:space="preserve"> de vigencia en el archivo nacional de identificación de las cédulas de ciudadanía blancas laminadas y cafés plastificadas no renovadas por los colombianos.</w:t>
      </w:r>
    </w:p>
    <w:p w14:paraId="7D6A1F7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31. Causales de cancelación del documento de identidad</w:t>
      </w:r>
      <w:r w:rsidRPr="00222F34">
        <w:rPr>
          <w:rFonts w:ascii="Calibri" w:eastAsia="Times New Roman" w:hAnsi="Calibri" w:cs="Calibri"/>
          <w:color w:val="000000"/>
          <w:lang w:val="es-CO" w:eastAsia="es-CO" w:bidi="ar-SA"/>
        </w:rPr>
        <w:t>. Son causales de cancelación de los documentos de identificación:</w:t>
      </w:r>
    </w:p>
    <w:p w14:paraId="6B4666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Muerte del titular. </w:t>
      </w:r>
    </w:p>
    <w:p w14:paraId="06DA45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Expedición de documento de identificación a un extranjero que no tenga carta de naturaleza o Resolución de inscripción. </w:t>
      </w:r>
    </w:p>
    <w:p w14:paraId="7E9FDA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Expedición de documento de identificación a una persona que no cumpla con la edad requerida. </w:t>
      </w:r>
    </w:p>
    <w:p w14:paraId="5599E4E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Perdida de la Nacionalidad para los colombianos por adopción.  </w:t>
      </w:r>
    </w:p>
    <w:p w14:paraId="0BEF6AA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Renuncia a la Nacionalidad. </w:t>
      </w:r>
    </w:p>
    <w:p w14:paraId="7ADA6D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Múltiple documento de identificación. </w:t>
      </w:r>
    </w:p>
    <w:p w14:paraId="28B5AD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Falsa identidad.  </w:t>
      </w:r>
    </w:p>
    <w:p w14:paraId="5CC05A0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Suplantación. </w:t>
      </w:r>
    </w:p>
    <w:p w14:paraId="5A49B1F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Inconsistencia técnica en su expedición.  </w:t>
      </w:r>
    </w:p>
    <w:p w14:paraId="583DA6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Corrección en el componente sexo, cuando se requiera la actualización del NUIP. </w:t>
      </w:r>
    </w:p>
    <w:p w14:paraId="503A9E0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se establezca múltiple documento de identificación, falsa identidad, suplantación, o se expida cédula de ciudadanía o tarjeta de identidad a un extranjero sin el lleno de los requisitos legales, la Registraduría Nacional del Estado Civil pondrá el hecho en conocimiento de la autoridad competente. Para los casos de la existencia de múltiple documento de identificación sin que concurran otras causales de cancelación </w:t>
      </w:r>
      <w:r w:rsidRPr="00222F34">
        <w:rPr>
          <w:rFonts w:ascii="Calibri" w:eastAsia="Times New Roman" w:hAnsi="Calibri" w:cs="Calibri"/>
          <w:color w:val="000000"/>
          <w:lang w:val="es-CO" w:eastAsia="es-CO" w:bidi="ar-SA"/>
        </w:rPr>
        <w:lastRenderedPageBreak/>
        <w:t>de las contempladas en el presente artículo, se establecerá un procedimiento administrativo expedito que asegure el debido proceso, la plena individualización y correcta identificación de la persona.</w:t>
      </w:r>
    </w:p>
    <w:p w14:paraId="73CD660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se establece que la cédula se expidió a un menor de edad cuando éste ya es mayor, la cédula no será cancelada sino rectificada.</w:t>
      </w:r>
    </w:p>
    <w:p w14:paraId="29CF310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La inhabilidad por interdicción de derechos y funciones públicas y/o suspensión de los derechos políticos se reportará en el estado de vigencia de la cédula de ciudadanía del titular.</w:t>
      </w:r>
    </w:p>
    <w:p w14:paraId="0C99566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tarjeta de identidad estará vigente hasta que se cumple la mayoría de edad. </w:t>
      </w:r>
    </w:p>
    <w:p w14:paraId="71956E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La Registraduría Nacional del Estado Civil reglamentará el procedimiento para la cancelación de las cédulas de ciudadanía y tarjeta de identidad.</w:t>
      </w:r>
    </w:p>
    <w:p w14:paraId="0CCAD0E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32. Pena de inhabilitación para ejercer derechos políticos</w:t>
      </w:r>
      <w:r w:rsidRPr="00222F34">
        <w:rPr>
          <w:rFonts w:ascii="Calibri" w:eastAsia="Times New Roman" w:hAnsi="Calibri" w:cs="Calibri"/>
          <w:color w:val="000000"/>
          <w:lang w:val="es-CO" w:eastAsia="es-CO" w:bidi="ar-SA"/>
        </w:rPr>
        <w:t>. Los jueces y magistrados deberán comunicar a la Registraduría Nacional del Estado Civil mediante los medios tecnológicos dispuestos para tal fin, la parte resolutiva de las sentencias penales en la cuales se decrete la inhabilitación de derechos y funciones públicas, con el fin de que las cédulas de ciudadanía sean afectadas en su vigencia y dadas de baja en el censo electoral.</w:t>
      </w:r>
    </w:p>
    <w:p w14:paraId="5BBD05C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funcionario que incumpliere esta obligación incurrirá en la falta respectiva prevista en el código general disciplinario o norma que lo modifique que se sancionará de conformidad con lo previsto en el régimen disciplinario de los servidores públicos.</w:t>
      </w:r>
    </w:p>
    <w:p w14:paraId="7D94B2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y las autoridades judiciales implementarán los mecanismos tecnológicos, en atención al principio de progresividad, que permitan optimizar la remisión de la información.</w:t>
      </w:r>
    </w:p>
    <w:p w14:paraId="4C911D0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33. Rehabilitación de derechos políticos.</w:t>
      </w:r>
      <w:r w:rsidRPr="00222F34">
        <w:rPr>
          <w:rFonts w:ascii="Calibri" w:eastAsia="Times New Roman" w:hAnsi="Calibri" w:cs="Calibri"/>
          <w:color w:val="000000"/>
          <w:lang w:val="es-CO" w:eastAsia="es-CO" w:bidi="ar-SA"/>
        </w:rPr>
        <w:t xml:space="preserve"> Las rehabilitaciones de derechos y funciones públicas operarán automáticamente al cumplirse el término o cuando sea remitida la orden de extinción por parte del despacho judicial.</w:t>
      </w:r>
    </w:p>
    <w:p w14:paraId="7613CD3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implementará, en el marco de los principios de publicidad, transparencia y celeridad, un proceso para incluir de nuevo en el censo electoral a las personas que les sean rehabilitados sus derechos políticos.</w:t>
      </w:r>
    </w:p>
    <w:p w14:paraId="70B3B2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34. Cancelación de documento con pérdida de derechos políticos.</w:t>
      </w:r>
      <w:r w:rsidRPr="00222F34">
        <w:rPr>
          <w:rFonts w:ascii="Calibri" w:eastAsia="Times New Roman" w:hAnsi="Calibri" w:cs="Calibri"/>
          <w:color w:val="000000"/>
          <w:lang w:val="es-CO" w:eastAsia="es-CO" w:bidi="ar-SA"/>
        </w:rPr>
        <w:t xml:space="preserve"> Cuando se solicite la cancelación de una cédula de ciudadanía por múltiple cedulación, suplantación o falsa identidad, y dicho documento esté dado de baja por pérdida o suspensión de los derechos políticos, se comunicará a la autoridad judicial que haya emitido las penas accesorias para que se establezca la verdadera identidad y se decida cuál cédula de ciudadanía debe quedar vigente con anotación de suspensión o pérdida de derechos políticos.</w:t>
      </w:r>
    </w:p>
    <w:p w14:paraId="38CE3A1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35. Traslado de penas accesorias</w:t>
      </w:r>
      <w:r w:rsidRPr="00222F34">
        <w:rPr>
          <w:rFonts w:ascii="Calibri" w:eastAsia="Times New Roman" w:hAnsi="Calibri" w:cs="Calibri"/>
          <w:color w:val="000000"/>
          <w:lang w:val="es-CO" w:eastAsia="es-CO" w:bidi="ar-SA"/>
        </w:rPr>
        <w:t>. Las penas accesorias del documento cancelado deberán ser trasladadas al documento que establezca la verdadera identidad del ciudadano responsable.</w:t>
      </w:r>
    </w:p>
    <w:p w14:paraId="5A96F63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PARTE TERCERA</w:t>
      </w:r>
    </w:p>
    <w:p w14:paraId="6C6FA956"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PROCESO ELECTORAL</w:t>
      </w:r>
    </w:p>
    <w:p w14:paraId="12C04BE5"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w:t>
      </w:r>
    </w:p>
    <w:p w14:paraId="762C4935"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Y PRINCIPIOS GENERALES DEL PROCESO ELECTORAL</w:t>
      </w:r>
    </w:p>
    <w:p w14:paraId="1C017F3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36. Del concepto de ciudadanía electoral.</w:t>
      </w:r>
      <w:r w:rsidRPr="00222F34">
        <w:rPr>
          <w:rFonts w:ascii="Calibri" w:eastAsia="Times New Roman" w:hAnsi="Calibri" w:cs="Calibri"/>
          <w:color w:val="000000"/>
          <w:lang w:val="es-CO" w:eastAsia="es-CO" w:bidi="ar-SA"/>
        </w:rPr>
        <w:t xml:space="preserve"> La ciudadanía electoral es la calidad que habilita a los nacionales colombianos para ejercer los derechos políticos y contraer deberes. La ciudadanía electoral se adquiere al cumplir los dieciocho (18) años de edad y faculta para ejercer el derecho al voto y el de ser elegido, éste último con el cumplimiento de otros requisitos que establece la Constitución y la Ley; en los cargos que determine la Constitución Política.</w:t>
      </w:r>
    </w:p>
    <w:p w14:paraId="007A890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ciudadanía juvenil habilita a los jóvenes colombianos a partir de los catorce (14) años de edad para ejercer el derecho al voto, para elegir y ser elegido en las elecciones que la ley disponga para la conformación del Consejo Nacional de Juventud, los Consejos Departamentales de Juventud y a los Consejos Distritales, Municipales y Locales de Juventud.</w:t>
      </w:r>
    </w:p>
    <w:p w14:paraId="77E854F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37. Principios de la función electoral en los procesos electorales</w:t>
      </w:r>
      <w:r w:rsidRPr="00222F34">
        <w:rPr>
          <w:rFonts w:ascii="Calibri" w:eastAsia="Times New Roman" w:hAnsi="Calibri" w:cs="Calibri"/>
          <w:color w:val="000000"/>
          <w:lang w:val="es-CO" w:eastAsia="es-CO" w:bidi="ar-SA"/>
        </w:rPr>
        <w:t>. Al interpretar las disposiciones de la presente ley, se tendrán en cuenta, además de los principios constitucionales que rigen las actuaciones administrativas, los siguientes principios de orden electoral:</w:t>
      </w:r>
    </w:p>
    <w:p w14:paraId="270F9B9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 Participación democrática.</w:t>
      </w:r>
      <w:r w:rsidRPr="00222F34">
        <w:rPr>
          <w:rFonts w:ascii="Calibri" w:eastAsia="Times New Roman" w:hAnsi="Calibri" w:cs="Calibri"/>
          <w:color w:val="000000"/>
          <w:lang w:val="es-CO" w:eastAsia="es-CO" w:bidi="ar-SA"/>
        </w:rPr>
        <w:t xml:space="preserve"> La Organización Electoral promoverá la participación democrática desde sus ámbitos universal y expansivo, con el fin de garantizar los derechos políticos, en especial, los grupos subrepresentados, las sujetas de especial protección constitucional y la oposición.  El control ciudadano al ejercicio del poder político y público es fundamental en todas las etapas del proceso electoral y debe contar con garantías diferenciales para su ejercicio. </w:t>
      </w:r>
    </w:p>
    <w:p w14:paraId="1CD19102"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 Capacidad electoral.</w:t>
      </w:r>
      <w:r w:rsidRPr="00222F34">
        <w:rPr>
          <w:rFonts w:ascii="Calibri" w:eastAsia="Times New Roman" w:hAnsi="Calibri" w:cs="Calibri"/>
          <w:color w:val="000000"/>
          <w:lang w:val="es-CO" w:eastAsia="es-CO" w:bidi="ar-SA"/>
        </w:rPr>
        <w:t xml:space="preserve"> Toda persona hábil para votar puede elegir y ser elegida siempre y cuando no existan norma expresa o sentencia judicial que limiten su derecho.</w:t>
      </w:r>
    </w:p>
    <w:p w14:paraId="2EB4AB5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3. Interpretación restringida</w:t>
      </w:r>
      <w:r w:rsidRPr="00222F34">
        <w:rPr>
          <w:rFonts w:ascii="Calibri" w:eastAsia="Times New Roman" w:hAnsi="Calibri" w:cs="Calibri"/>
          <w:color w:val="000000"/>
          <w:lang w:val="es-CO" w:eastAsia="es-CO" w:bidi="ar-SA"/>
        </w:rPr>
        <w:t xml:space="preserve">. Las disposiciones jurídicas que afectan o limitan el ejercicio del derecho a elegir y ser elegido son de interpretación restringida y taxativa, por lo tanto, no se aplicarán de manera extensiva o analógica. </w:t>
      </w:r>
    </w:p>
    <w:p w14:paraId="641D98C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4. Pro persona o Pro homine</w:t>
      </w:r>
      <w:r w:rsidRPr="00222F34">
        <w:rPr>
          <w:rFonts w:ascii="Calibri" w:eastAsia="Times New Roman" w:hAnsi="Calibri" w:cs="Calibri"/>
          <w:color w:val="000000"/>
          <w:lang w:val="es-CO" w:eastAsia="es-CO" w:bidi="ar-SA"/>
        </w:rPr>
        <w:t xml:space="preserve">. Impone aquella interpretación de las normas jurídicas que sea más favorable a la persona y sus derechos, esto es, la prevalencia de aquella interpretación que propenda al respeto de los derechos civiles y políticos. Este principio se aplicará cuando se cuestione la legalidad del acto que declara una elección o resultado por causales subjetivas de nulidad electoral. </w:t>
      </w:r>
    </w:p>
    <w:p w14:paraId="5E7B976F"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5. Pro electorado o Pro electoratem</w:t>
      </w:r>
      <w:r w:rsidRPr="00222F34">
        <w:rPr>
          <w:rFonts w:ascii="Calibri" w:eastAsia="Times New Roman" w:hAnsi="Calibri" w:cs="Calibri"/>
          <w:color w:val="000000"/>
          <w:lang w:val="es-CO" w:eastAsia="es-CO" w:bidi="ar-SA"/>
        </w:rPr>
        <w:t xml:space="preserve">. Impone que, en casos específicos, el acto electoral antes que favorecer exclusivamente el derecho del elegido, opere su interpretación en favor del derecho del elector. Este principio </w:t>
      </w:r>
      <w:r w:rsidRPr="00222F34">
        <w:rPr>
          <w:rFonts w:ascii="Calibri" w:eastAsia="Times New Roman" w:hAnsi="Calibri" w:cs="Calibri"/>
          <w:color w:val="000000"/>
          <w:lang w:val="es-CO" w:eastAsia="es-CO" w:bidi="ar-SA"/>
        </w:rPr>
        <w:lastRenderedPageBreak/>
        <w:t xml:space="preserve">se aplicará cuando se cuestione la legalidad del acto que declara una elección o resultado por causales objetivas de nulidad electoral. </w:t>
      </w:r>
    </w:p>
    <w:p w14:paraId="466D688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6. Pro sufragio o Pro sufragium. </w:t>
      </w:r>
      <w:r w:rsidRPr="00222F34">
        <w:rPr>
          <w:rFonts w:ascii="Calibri" w:eastAsia="Times New Roman" w:hAnsi="Calibri" w:cs="Calibri"/>
          <w:color w:val="000000"/>
          <w:lang w:val="es-CO" w:eastAsia="es-CO" w:bidi="ar-SA"/>
        </w:rPr>
        <w:t xml:space="preserve">Faculta a la Organización Electoral para tomar decisiones en materia electoral donde se proteja y prima la salvaguardia del derecho al voto, la verdad electoral y la participación ciudadana. </w:t>
      </w:r>
    </w:p>
    <w:p w14:paraId="6E5099E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7. Universalidad del voto</w:t>
      </w:r>
      <w:r w:rsidRPr="00222F34">
        <w:rPr>
          <w:rFonts w:ascii="Calibri" w:eastAsia="Times New Roman" w:hAnsi="Calibri" w:cs="Calibri"/>
          <w:color w:val="000000"/>
          <w:lang w:val="es-CO" w:eastAsia="es-CO" w:bidi="ar-SA"/>
        </w:rPr>
        <w:t xml:space="preserve">. El Estado garantizará a todos los colombianos, habilitados para votar, su ejercicio en condiciones de igualdad y accesibilidad. </w:t>
      </w:r>
    </w:p>
    <w:p w14:paraId="252DF5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extranjeros residentes en Colombia votarán en las mismas condiciones de igualdad y accesibilidad, y solo para las elecciones previstas en la ley.</w:t>
      </w:r>
    </w:p>
    <w:p w14:paraId="6F2F6E8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8. Preclusividad.</w:t>
      </w:r>
      <w:r w:rsidRPr="00222F34">
        <w:rPr>
          <w:rFonts w:ascii="Calibri" w:eastAsia="Times New Roman" w:hAnsi="Calibri" w:cs="Calibri"/>
          <w:color w:val="000000"/>
          <w:lang w:val="es-CO" w:eastAsia="es-CO" w:bidi="ar-SA"/>
        </w:rPr>
        <w:t xml:space="preserve"> Los actos y decisiones proferidas por las comisiones escrutadoras gozarán de preclusividad. En consecuencia, solo podrán ser revisados por el Consejo Nacional Electoral con el fin de encontrar la verdad electoral, de conformidad con lo previsto en los artículos 237 y 265 de la Constitución Política. </w:t>
      </w:r>
    </w:p>
    <w:p w14:paraId="09B06B78"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9. Celeridad.</w:t>
      </w:r>
      <w:r w:rsidRPr="00222F34">
        <w:rPr>
          <w:rFonts w:ascii="Calibri" w:eastAsia="Times New Roman" w:hAnsi="Calibri" w:cs="Calibri"/>
          <w:color w:val="000000"/>
          <w:lang w:val="es-CO" w:eastAsia="es-CO" w:bidi="ar-SA"/>
        </w:rPr>
        <w:t xml:space="preserve">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en cada una de las etapas electorales. </w:t>
      </w:r>
    </w:p>
    <w:p w14:paraId="50178B12"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10. Verdad electoral.</w:t>
      </w:r>
      <w:r w:rsidRPr="00222F34">
        <w:rPr>
          <w:rFonts w:ascii="Calibri" w:eastAsia="Times New Roman" w:hAnsi="Calibri" w:cs="Calibri"/>
          <w:color w:val="000000"/>
          <w:lang w:val="es-CO" w:eastAsia="es-CO" w:bidi="ar-SA"/>
        </w:rPr>
        <w:t xml:space="preserve"> Las autoridades electorales deberán garantizar que los resultados de las votaciones reflejen, de manera fidedigna, la voluntad popular manifestada en las urnas. </w:t>
      </w:r>
    </w:p>
    <w:p w14:paraId="323F1F6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11. Secreto del voto</w:t>
      </w:r>
      <w:r w:rsidRPr="00222F34">
        <w:rPr>
          <w:rFonts w:ascii="Calibri" w:eastAsia="Times New Roman" w:hAnsi="Calibri" w:cs="Calibri"/>
          <w:color w:val="000000"/>
          <w:lang w:val="es-CO" w:eastAsia="es-CO" w:bidi="ar-SA"/>
        </w:rPr>
        <w:t xml:space="preserve">. Las autoridades garantizarán que el votante ejerza su derecho libremente y sin revelar su preferencia. El deber de guardar el secreto del voto se extiende a los casos de voto con acompañante. </w:t>
      </w:r>
    </w:p>
    <w:p w14:paraId="3AA3D76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12. Publicidad</w:t>
      </w:r>
      <w:r w:rsidRPr="00222F34">
        <w:rPr>
          <w:rFonts w:ascii="Calibri" w:eastAsia="Times New Roman" w:hAnsi="Calibri" w:cs="Calibri"/>
          <w:color w:val="000000"/>
          <w:lang w:val="es-CO" w:eastAsia="es-CO" w:bidi="ar-SA"/>
        </w:rPr>
        <w:t xml:space="preserve">. El proceso electoral es público en todas sus etapas. Los ciudadanos podrán solicitar información y documentos a la Organización Electoral. </w:t>
      </w:r>
    </w:p>
    <w:p w14:paraId="3A8A89D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13. Transparencia</w:t>
      </w:r>
      <w:r w:rsidRPr="00222F34">
        <w:rPr>
          <w:rFonts w:ascii="Calibri" w:eastAsia="Times New Roman" w:hAnsi="Calibri" w:cs="Calibri"/>
          <w:color w:val="000000"/>
          <w:lang w:val="es-CO" w:eastAsia="es-CO" w:bidi="ar-SA"/>
        </w:rPr>
        <w:t xml:space="preserve">. Toda la información relativa a cada una de las etapas del proceso electoral se presume pública salvo reserva legal. La Organización Electoral deberá permitir, facilitar y promover, en todo momento, el acceso a la información de la manera más amplia posible de conformidad con los medios, procedimientos y requisitos establecidos en la ley.  </w:t>
      </w:r>
    </w:p>
    <w:p w14:paraId="6FD6E2A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14. Planeación electoral.</w:t>
      </w:r>
      <w:r w:rsidRPr="00222F34">
        <w:rPr>
          <w:rFonts w:ascii="Calibri" w:eastAsia="Times New Roman" w:hAnsi="Calibri" w:cs="Calibri"/>
          <w:color w:val="000000"/>
          <w:lang w:val="es-CO" w:eastAsia="es-CO" w:bidi="ar-SA"/>
        </w:rPr>
        <w:t xml:space="preserve"> La Organización Electoral deberá observar las etapas de formulación, aprobación, ejecución y seguimiento de las actividades, cronogramas y planes necesarios, para garantizar el desarrollo de los eventos electorales con plenas garantías; salvaguardando, según la normativa vigente, la seguridad nacional y el manejo de datos. </w:t>
      </w:r>
    </w:p>
    <w:p w14:paraId="21C13F6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15. Eficacia del voto.</w:t>
      </w:r>
      <w:r w:rsidRPr="00222F34">
        <w:rPr>
          <w:rFonts w:ascii="Calibri" w:eastAsia="Times New Roman" w:hAnsi="Calibri" w:cs="Calibri"/>
          <w:color w:val="000000"/>
          <w:lang w:val="es-CO" w:eastAsia="es-CO" w:bidi="ar-SA"/>
        </w:rPr>
        <w:t xml:space="preserve"> Al resolver los conflictos electorales, las autoridades preferirán la interpretación que reconozca la validez del voto legalmente emitido. </w:t>
      </w:r>
    </w:p>
    <w:p w14:paraId="0DAA81F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16. Responsabilidad ambiental</w:t>
      </w:r>
      <w:r w:rsidRPr="00222F34">
        <w:rPr>
          <w:rFonts w:ascii="Calibri" w:eastAsia="Times New Roman" w:hAnsi="Calibri" w:cs="Calibri"/>
          <w:color w:val="000000"/>
          <w:lang w:val="es-CO" w:eastAsia="es-CO" w:bidi="ar-SA"/>
        </w:rPr>
        <w:t xml:space="preserve">. Todos los involucrados en el proceso electoral ejercerán sus derechos y cumplirán sus deberes procurando el menor impacto en el medio ambiente. </w:t>
      </w:r>
    </w:p>
    <w:p w14:paraId="61491DB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17. Neutralidad tecnológica</w:t>
      </w:r>
      <w:r w:rsidRPr="00222F34">
        <w:rPr>
          <w:rFonts w:ascii="Calibri" w:eastAsia="Times New Roman" w:hAnsi="Calibri" w:cs="Calibri"/>
          <w:color w:val="000000"/>
          <w:lang w:val="es-CO" w:eastAsia="es-CO" w:bidi="ar-SA"/>
        </w:rPr>
        <w:t xml:space="preserve">. La Organización Electoral deberá emplear sistemas tecnológicos que se ajusten a las condiciones y necesidades del proceso electoral y que respondan a criterios de seguridad, idoneidad y transparencia. </w:t>
      </w:r>
    </w:p>
    <w:p w14:paraId="4D05399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18. Inviolabilidad de los datos sensibles</w:t>
      </w:r>
      <w:r w:rsidRPr="00222F34">
        <w:rPr>
          <w:rFonts w:ascii="Calibri" w:eastAsia="Times New Roman" w:hAnsi="Calibri" w:cs="Calibri"/>
          <w:color w:val="000000"/>
          <w:lang w:val="es-CO" w:eastAsia="es-CO" w:bidi="ar-SA"/>
        </w:rPr>
        <w:t>. Las autoridades electorales y los particulares que participan en el desarrollo del proceso electoral deberán garantizar el adecuado tratamiento, la confidencialidad y la seguridad de los datos sensibles de los participantes en los eventos electorales, de conformidad con lo establecido en la Ley.</w:t>
      </w:r>
    </w:p>
    <w:p w14:paraId="5C8010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19. No discriminación</w:t>
      </w:r>
      <w:r w:rsidRPr="00222F34">
        <w:rPr>
          <w:rFonts w:ascii="Calibri" w:eastAsia="Times New Roman" w:hAnsi="Calibri" w:cs="Calibri"/>
          <w:color w:val="000000"/>
          <w:lang w:val="es-CO" w:eastAsia="es-CO" w:bidi="ar-SA"/>
        </w:rPr>
        <w:t>. La participación política de toda persona en Colombia es un derecho reconocido en una sociedad democrática, representativa, participativa e inclusiva, que se garantizará de conformidad con lo dispuesto en la Constitución Política, la ley y los tratados internacionales ratificados por el país, sin discriminación alguna por motivos de raza, etnia, sexo, género, orientación sexual e identidad de género, edad, religión, credo, con discapacidad u otra condición entre los ciudadanos.</w:t>
      </w:r>
    </w:p>
    <w:p w14:paraId="38136CB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los pueblos y comunidades indígenas, ROM y negras, afrocolombianas, raizales y palenqueras, se adoptarán medidas diferenciales que garanticen el ejercicio pleno del derecho a la participación política y su inclusión en los procesos democráticos y electorales.</w:t>
      </w:r>
    </w:p>
    <w:p w14:paraId="5C3E631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20. Paridad</w:t>
      </w:r>
      <w:r w:rsidRPr="00222F34">
        <w:rPr>
          <w:rFonts w:ascii="Calibri" w:eastAsia="Times New Roman" w:hAnsi="Calibri" w:cs="Calibri"/>
          <w:color w:val="000000"/>
          <w:lang w:val="es-CO" w:eastAsia="es-CO" w:bidi="ar-SA"/>
        </w:rPr>
        <w:t xml:space="preserve">. La participación política de toda persona es un derecho reconocido en una sociedad democrática, representativa, participativa e inclusiva, y amparado por los principios de igualdad y no discriminación. En la participación política deberán primar las acciones afirmativas que garanticen la paridad de género y un ámbito libre de violencia, según lo previsto en la Constitución Política, las normas especiales electorales y en los tratados internacionales. </w:t>
      </w:r>
    </w:p>
    <w:p w14:paraId="606BAB6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21. Imparcialidad.</w:t>
      </w:r>
      <w:r w:rsidRPr="00222F34">
        <w:rPr>
          <w:rFonts w:ascii="Calibri" w:eastAsia="Times New Roman" w:hAnsi="Calibri" w:cs="Calibri"/>
          <w:color w:val="000000"/>
          <w:lang w:val="es-CO" w:eastAsia="es-CO" w:bidi="ar-SA"/>
        </w:rPr>
        <w:t xml:space="preserve"> Las autoridades públicas, los particulares que ejercen funciones electorales y los servidores de la Organización Electoral procederán en sus actuaciones sin inclinaciones a favor o en contra de los candidatos u opciones políticas que participen en los procesos electorales. </w:t>
      </w:r>
    </w:p>
    <w:p w14:paraId="1D9AECD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22. Inviolabilidad y seguridad del voto</w:t>
      </w:r>
      <w:r w:rsidRPr="00222F34">
        <w:rPr>
          <w:rFonts w:ascii="Calibri" w:eastAsia="Times New Roman" w:hAnsi="Calibri" w:cs="Calibri"/>
          <w:color w:val="000000"/>
          <w:lang w:val="es-CO" w:eastAsia="es-CO" w:bidi="ar-SA"/>
        </w:rPr>
        <w:t xml:space="preserve">. 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 Le corresponde a las autoridades públicas contribuir, para que este principio sea materializado. </w:t>
      </w:r>
    </w:p>
    <w:p w14:paraId="5B7D32A6"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23. Accesibilidad</w:t>
      </w:r>
      <w:r w:rsidRPr="00222F34">
        <w:rPr>
          <w:rFonts w:ascii="Calibri" w:eastAsia="Times New Roman" w:hAnsi="Calibri" w:cs="Calibri"/>
          <w:color w:val="000000"/>
          <w:lang w:val="es-CO" w:eastAsia="es-CO" w:bidi="ar-SA"/>
        </w:rPr>
        <w:t xml:space="preserve">. 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 </w:t>
      </w:r>
    </w:p>
    <w:p w14:paraId="6D0CE0C5"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24. Principio de integridad electoral</w:t>
      </w:r>
      <w:r w:rsidRPr="00222F34">
        <w:rPr>
          <w:rFonts w:ascii="Calibri" w:eastAsia="Times New Roman" w:hAnsi="Calibri" w:cs="Calibri"/>
          <w:color w:val="000000"/>
          <w:lang w:val="es-CO" w:eastAsia="es-CO" w:bidi="ar-SA"/>
        </w:rPr>
        <w:t xml:space="preserve">. Implica entender el proceso electoral en forma articulada (fase pre-electoral, electoral y poselectoral) para asegurar la expresión genuina de la voluntad popular en las urnas, de tal </w:t>
      </w:r>
      <w:r w:rsidRPr="00222F34">
        <w:rPr>
          <w:rFonts w:ascii="Calibri" w:eastAsia="Times New Roman" w:hAnsi="Calibri" w:cs="Calibri"/>
          <w:color w:val="000000"/>
          <w:lang w:val="es-CO" w:eastAsia="es-CO" w:bidi="ar-SA"/>
        </w:rPr>
        <w:lastRenderedPageBreak/>
        <w:t xml:space="preserve">manera que las autoridades que concurren a garantizar la expresión auténtica de la voluntad popular realicen el máximo de coordinación institucional posible. También implica que en todas las fases del proceso electoral se observen los derechos fundamentales a elegir y ser elegido y participación ciudadana. </w:t>
      </w:r>
    </w:p>
    <w:p w14:paraId="2217D6EF"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25. Principio de la Inmediación electoral</w:t>
      </w:r>
      <w:r w:rsidRPr="00222F34">
        <w:rPr>
          <w:rFonts w:ascii="Calibri" w:eastAsia="Times New Roman" w:hAnsi="Calibri" w:cs="Calibri"/>
          <w:color w:val="000000"/>
          <w:lang w:val="es-CO" w:eastAsia="es-CO" w:bidi="ar-SA"/>
        </w:rPr>
        <w:t xml:space="preserve">. Sin perjuicio de la Neutralidad tecnológica, la Organización Electoral, el Estado y sus autoridades garantizarán en todo momento el control y la vigilancia permanente del proceso electoral y de los recursos destinados para su funcionamiento, con el fin de asegurar el normal desarrollo de cada una de las etapas del proceso, auditando el sistema con prevalencia de los principios descritos. </w:t>
      </w:r>
    </w:p>
    <w:p w14:paraId="079D61E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26. Principio de economía. </w:t>
      </w:r>
      <w:r w:rsidRPr="00222F34">
        <w:rPr>
          <w:rFonts w:ascii="Calibri" w:eastAsia="Times New Roman" w:hAnsi="Calibri" w:cs="Calibri"/>
          <w:color w:val="000000"/>
          <w:lang w:val="es-CO" w:eastAsia="es-CO" w:bidi="ar-SA"/>
        </w:rPr>
        <w:t>Todas las actuaciones relacionadas con la función electoral y los procesos electorales se desarrollarán en el marco de la eficiencia, bajo la optimización de tiempo y los recursos empleados en todas las etapas de éste, con el fin de garantizar resultados de calidad en las elecciones y la protección de los derechos de quienes intervienen en ellas.</w:t>
      </w:r>
    </w:p>
    <w:p w14:paraId="3BC25F1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27. Principio del lenguaje claro</w:t>
      </w:r>
      <w:r w:rsidRPr="00222F34">
        <w:rPr>
          <w:rFonts w:ascii="Calibri" w:eastAsia="Times New Roman" w:hAnsi="Calibri" w:cs="Calibri"/>
          <w:color w:val="000000"/>
          <w:lang w:val="es-CO" w:eastAsia="es-CO" w:bidi="ar-SA"/>
        </w:rPr>
        <w:t>. Se promoverá el uso del lenguaje concreto y lenguaje comprensible sin importar el nivel de alfabetización para presentar la información relacionada con el proceso electoral y una comunicación asertiva, útil, eficiente y transparente entre los funcionarios públicos y las personas o comunidades.</w:t>
      </w:r>
    </w:p>
    <w:p w14:paraId="2AC6023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094EE4AD"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Derecho al voto</w:t>
      </w:r>
    </w:p>
    <w:p w14:paraId="32A7704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38. Derecho al voto.</w:t>
      </w:r>
      <w:r w:rsidRPr="00222F34">
        <w:rPr>
          <w:rFonts w:ascii="Calibri" w:eastAsia="Times New Roman" w:hAnsi="Calibri" w:cs="Calibri"/>
          <w:color w:val="000000"/>
          <w:lang w:val="es-CO" w:eastAsia="es-CO" w:bidi="ar-SA"/>
        </w:rPr>
        <w:t xml:space="preserve"> El voto o sufragio es el derecho de los ciudadanos a participar en la conformación y el control del poder político, mediante el ejercicio de los derechos a elegir y ser elegido en elecciones, plebiscitos, referendos, consultas populares y otras formas de participación democráticas independientemente de su procedencia, raza, etnia, orientación sexual, identidad, expresión de género, edad, creencias, religión, con discapacidad o condición de vulnerabilidad. Bajo ninguna circunstancia, la falta de correspondencia entre la expresión de género del votante y los datos del documento de identidad serán causales para impedir el ingreso al lugar de votación.</w:t>
      </w:r>
    </w:p>
    <w:p w14:paraId="5C8B2CC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protegerán el ejercicio del derecho al sufragio, otorgarán plenas garantías a los ciudadanos en el proceso electoral y actuarán con imparcialidad.</w:t>
      </w:r>
    </w:p>
    <w:p w14:paraId="6242D2F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También tendrán derecho a ejercer el sufragio los jóvenes entre catorce (14) y diecisiete (17) años, de acuerdo con la normatividad especial que regule sus procesos electorales para la conformación del Consejo Nacional de Juventud, los Consejos Departamentales, Distritales, Municipales y Locales de Juventud.</w:t>
      </w:r>
    </w:p>
    <w:p w14:paraId="38A36E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Registraduría Nacional del Estado Civil en armonía con las ramas de poder público, garantizará la participación plena y efectiva de las personas con discapacidad en igualdad de condiciones brindando las herramientas de accesibilidad, ajustes razonables y diseño universal que sean necesarios para ello.</w:t>
      </w:r>
    </w:p>
    <w:p w14:paraId="70CA3D8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personas con discapacidad o sus cuidadores deberán informar durante los tres (3) meses anteriores a las elecciones en el sitio web de la registraduría que se habilite para este efecto o en la registraduría de su lugar de </w:t>
      </w:r>
      <w:r w:rsidRPr="00222F34">
        <w:rPr>
          <w:rFonts w:ascii="Calibri" w:eastAsia="Times New Roman" w:hAnsi="Calibri" w:cs="Calibri"/>
          <w:color w:val="000000"/>
          <w:lang w:val="es-CO" w:eastAsia="es-CO" w:bidi="ar-SA"/>
        </w:rPr>
        <w:lastRenderedPageBreak/>
        <w:t>votación, qué discapacidad presenta a efectos de que la entidad planee y adopte las medidas necesarias para garantizar su derecho al voto.</w:t>
      </w:r>
    </w:p>
    <w:p w14:paraId="19A77CE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en armonía con las ramas del poder público, tras concertación con las organizaciones de víctimas del conflicto armado, los pueblos indígenas y las comunidades afrocolombianas, negras, raizales y palenqueras adoptará mecanismos y garantías necesarias para hacer efectivo el ejercicio al voto de estos pueblos y comunidades.</w:t>
      </w:r>
    </w:p>
    <w:p w14:paraId="496F4C0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garantizará la disponibilidad de los recursos necesarios para la adopción e implementación de los mecanismos y garantías necesarias que hagan efectiva la participación democrática de las personas pertenecientes a grupos de especial protección constitucional según la norma y la jurisprudencia.</w:t>
      </w:r>
    </w:p>
    <w:p w14:paraId="4DC3DB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39. Ejercicio del derecho al voto.</w:t>
      </w:r>
      <w:r w:rsidRPr="00222F34">
        <w:rPr>
          <w:rFonts w:ascii="Calibri" w:eastAsia="Times New Roman" w:hAnsi="Calibri" w:cs="Calibri"/>
          <w:color w:val="000000"/>
          <w:lang w:val="es-CO" w:eastAsia="es-CO" w:bidi="ar-SA"/>
        </w:rPr>
        <w:t xml:space="preserve"> 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p>
    <w:p w14:paraId="6DC37B8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abstención será una forma válida de participar en los mecanismos de participación ciudadana, con umbral de participación, de que trata la Ley 1757 de 2015 y demás normas que la modifiquen o sustituyan.</w:t>
      </w:r>
    </w:p>
    <w:p w14:paraId="7F6747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40. Identificación y autenticación del elector</w:t>
      </w:r>
      <w:r w:rsidRPr="00222F34">
        <w:rPr>
          <w:rFonts w:ascii="Calibri" w:eastAsia="Times New Roman" w:hAnsi="Calibri" w:cs="Calibri"/>
          <w:color w:val="000000"/>
          <w:lang w:val="es-CO" w:eastAsia="es-CO" w:bidi="ar-SA"/>
        </w:rPr>
        <w:t>. Para efectos del ejercicio al voto, los ciudadanos colombianos se identifican con la cédula de ciudadanía o su equivalente funcional, electrónico y/o digital expedida por la Registraduría Nacional del Estado Civil. Los extranjeros residentes en Colombia se identificarán para los mismos efectos con la cédula de extranjería vigente.</w:t>
      </w:r>
    </w:p>
    <w:p w14:paraId="3830038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dispondrá para la verificación y/o autenticación del elector, de sistemas biométricos o cualquier otro mecanismo electrónico que considere pertinente e idóneo para tal fin. El Consejo Nacional Electoral, el Ministerio Público y delegados de los Partidos y Movimientos Políticos con personería jurídica auditarán el sistema tecnológico que sea adoptado.</w:t>
      </w:r>
    </w:p>
    <w:p w14:paraId="2504F54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ejercer el derecho al voto se deberá presentar la cédula de ciudadanía o su equivalente funcional, ya sea electrónico y/o digital expedida por la Registraduría Nacional del Estado Civil, caso en el cual, se podrá ejercer el derecho al voto siempre y cuando se identifique y autentique al votante por medios biométricos. Cuando la persona presente huella desdibujada u otro tipo de problema que impida su validación de identidad, deberá usarse otro mecanismo idóneo de identificación, de acuerdo a los previamente establecidos por la Registraduría. Para la cédula de extranjería no aplicará la figura de equivalente funcional para ejercer el derecho al voto.</w:t>
      </w:r>
    </w:p>
    <w:p w14:paraId="4A42F3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Las personas entre catorce (14) y diecisiete (17) años deberán presentar la tarjeta de identidad o su equivalente funcional, ya sea electrónica y/o digital, expedida por la Registraduría Nacional del Estado Civil, para identificarse en todos los actos que se requieran, así como en aquellas instancias de participación que disponga la ley para esta población.</w:t>
      </w:r>
    </w:p>
    <w:p w14:paraId="0576B5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41. Requisitos para ejercer el derecho al voto. </w:t>
      </w:r>
      <w:r w:rsidRPr="00222F34">
        <w:rPr>
          <w:rFonts w:ascii="Calibri" w:eastAsia="Times New Roman" w:hAnsi="Calibri" w:cs="Calibri"/>
          <w:color w:val="000000"/>
          <w:lang w:val="es-CO" w:eastAsia="es-CO" w:bidi="ar-SA"/>
        </w:rPr>
        <w:t>Para ejercer el derecho al voto se requiere, presentar el documento de identificación, estar registrado en el respectivo censo electoral, además de no tener suspendidos los derechos políticos.</w:t>
      </w:r>
    </w:p>
    <w:p w14:paraId="361AC8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podrán ejercer el derecho al voto en el puesto de votación asignado conforme al registro realizado como domicilio electoral.</w:t>
      </w:r>
    </w:p>
    <w:p w14:paraId="3C79701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42. Voto en establecimiento de reclusión. </w:t>
      </w:r>
      <w:r w:rsidRPr="00222F34">
        <w:rPr>
          <w:rFonts w:ascii="Calibri" w:eastAsia="Times New Roman" w:hAnsi="Calibri" w:cs="Calibri"/>
          <w:color w:val="000000"/>
          <w:lang w:val="es-CO" w:eastAsia="es-CO" w:bidi="ar-SA"/>
        </w:rPr>
        <w:t>Las personas que se encuentren bajo medida de aseguramiento privativa de la libertad, en cualquier establecimiento de reclusión, que no tengan inhabilitación en sus derechos políticos, podrán ejercer el voto.</w:t>
      </w:r>
    </w:p>
    <w:p w14:paraId="19CD11B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derecho al voto se ejercerá teniendo en cuenta las normas en materia penal dispuestas para las personas con medida de aseguramiento.</w:t>
      </w:r>
    </w:p>
    <w:p w14:paraId="6B2E907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los centros penitenciarios garantizarán el acceso al voto informado de los internos, con el acompañamiento de la Defensoría del Pueblo. Se prohíbe cualquier actividad de proselitismo político al interior de los establecimientos de reclusión.</w:t>
      </w:r>
    </w:p>
    <w:p w14:paraId="746A363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43.- Voto de personas con discapacidad.</w:t>
      </w:r>
      <w:r w:rsidRPr="00222F34">
        <w:rPr>
          <w:rFonts w:ascii="Calibri" w:eastAsia="Times New Roman" w:hAnsi="Calibri" w:cs="Calibri"/>
          <w:color w:val="000000"/>
          <w:lang w:val="es-CO" w:eastAsia="es-CO" w:bidi="ar-SA"/>
        </w:rPr>
        <w:t xml:space="preserve"> El Estado garantizará los derechos políticos y civiles a las personas con discapacidad. Las autoridades adoptarán las medidas necesarias para su ejercicio libre de obstáculos, de fácil acceso y con el material electoral adecuado para su comprensión y uso, incluidos los casos de sistemas de asistencia tecnológica para la votación. </w:t>
      </w:r>
    </w:p>
    <w:p w14:paraId="29AFEE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 </w:t>
      </w:r>
    </w:p>
    <w:p w14:paraId="5D4EF00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Para efectos de lo dispuesto en este artículo, la Registraduría Nacional del Estado Civil implementará en los puestos de votación mesas especiales de fácil acceso para las personas con discapacidad. </w:t>
      </w:r>
    </w:p>
    <w:p w14:paraId="385A40E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La Registraduría Nacional del Estado Civil, en coordinación con las alcaldías y las gobernaciones, prestará en los puestos de votación el servicio de intérprete y guía intérprete para las personas sordas y sordociegas.</w:t>
      </w:r>
    </w:p>
    <w:p w14:paraId="79790FB8"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44.- Estímulos a los electores.</w:t>
      </w:r>
      <w:r w:rsidRPr="00222F34">
        <w:rPr>
          <w:rFonts w:ascii="Calibri" w:eastAsia="Times New Roman" w:hAnsi="Calibri" w:cs="Calibri"/>
          <w:color w:val="000000"/>
          <w:lang w:val="es-CO" w:eastAsia="es-CO" w:bidi="ar-SA"/>
        </w:rPr>
        <w:t xml:space="preserve"> Las personas que ejerzan el derecho al voto en elecciones de cargos y corporaciones de elección popular gozarán, a partir del día siguiente a la fecha de la votación, de los siguientes beneficios: </w:t>
      </w:r>
    </w:p>
    <w:p w14:paraId="345D075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Un (1) día de descanso compensatorio remunerado que se concederá dentro de los dos (2) meses siguientes al día de la votación, o la opción de acumular este día con el periodo de vacaciones que se llegue a consolidar a favor del servidor público o trabajador del sector privado. Para su reconocimiento se deberá solicitar dentro del término señalado. </w:t>
      </w:r>
    </w:p>
    <w:p w14:paraId="6FEEA9D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2. 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 </w:t>
      </w:r>
    </w:p>
    <w:p w14:paraId="31F6307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Preferencias ante quienes no ejerzan su derecho al voto: </w:t>
      </w:r>
    </w:p>
    <w:p w14:paraId="4CAD0D6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En caso de igualdad de puntaje en los exámenes de admisión para las instituciones públicas de educación superior.</w:t>
      </w:r>
    </w:p>
    <w:p w14:paraId="25E91F8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En caso de igualdad de puntaje en la lista de elegibles para un empleo público de carrera.</w:t>
      </w:r>
    </w:p>
    <w:p w14:paraId="7B6AA3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En la adjudicación de becas educativas, de predios rurales y de subsidios de vivienda que ofrezca el Estado; en caso de igualdad de condiciones estrictamente establecidas en concurso abierto.</w:t>
      </w:r>
    </w:p>
    <w:p w14:paraId="4507C27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Descuentos del 10%: </w:t>
      </w:r>
    </w:p>
    <w:p w14:paraId="55BB8AD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 participar. </w:t>
      </w:r>
    </w:p>
    <w:p w14:paraId="16C97A5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Sobre el valor de expedición, por una sola vez, del pasaporte, del ciudadano o menor de edad entre catorce (14) y diecisiete (17) años. Este porcentaje se descontará del valor del pasaporte que se destina a la Nación. </w:t>
      </w:r>
    </w:p>
    <w:p w14:paraId="4A677CE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Sobre el valor a cancelar por concepto de trámite inicial y expedición de duplicados de la libreta militar. </w:t>
      </w:r>
    </w:p>
    <w:p w14:paraId="7F306C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Sobre el valor del duplicado de la cédula de ciudadanía, o tarjeta de identidad de los jóvenes de catorce (14) a diecisiete (17) años por una sola vez. </w:t>
      </w:r>
    </w:p>
    <w:p w14:paraId="7FC7491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persona privada de la libertad con medida de aseguramiento y que se encuentre habilitada para votar, se le abonará un (1) día de reclusión en caso de que la sentencia que defina su situación sea condenatoria. </w:t>
      </w:r>
    </w:p>
    <w:p w14:paraId="1B4B38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Ministerio de Hacienda y Crédito Público garantizará las apropiaciones necesarias para la implementación efectiva y permanente de estos descuentos, los cuales serán girados prioritariamente a través de las transferencias corrientes. </w:t>
      </w:r>
    </w:p>
    <w:p w14:paraId="2FBD44B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Además de los anteriores estímulos, los colombianos residentes en el exterior tendrán los siguientes descuentos, si acreditan haber sufragado en la última votación realizada con anterioridad al inicio de cada una de las siguientes situaciones: </w:t>
      </w:r>
    </w:p>
    <w:p w14:paraId="0B02C60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Del diez por ciento (10%) en el valor de cualquier servicio consular, incluido el de la expedición del pasaporte. </w:t>
      </w:r>
    </w:p>
    <w:p w14:paraId="0474ADD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b) Del treinta por ciento (30%) en el impuesto de timbre nacional por salida del país en el que reside, a fin de visitar el país del que es ciudadano por un término no mayor de cuarenta y cinco (45) días. </w:t>
      </w:r>
    </w:p>
    <w:p w14:paraId="0B3D4DF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lo que resulte procedente, los ciudadanos extranjeros en Colombia que ejercen el derecho al voto tendrán los mismos estímulos previstos en el presente artículo. </w:t>
      </w:r>
    </w:p>
    <w:p w14:paraId="49E5068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NUEVO 45- Voto de personas con experiencia de vida Trans</w:t>
      </w:r>
      <w:r w:rsidRPr="00222F34">
        <w:rPr>
          <w:rFonts w:ascii="Calibri" w:eastAsia="Times New Roman" w:hAnsi="Calibri" w:cs="Calibri"/>
          <w:color w:val="000000"/>
          <w:lang w:val="es-CO" w:eastAsia="es-CO" w:bidi="ar-SA"/>
        </w:rPr>
        <w:t>. El Estado garantizará los derechos políticos y civiles a las personas con experiencia de vida Trans. Las autoridades adoptarán las medidas necesarias para su ejercicio libre de discriminación respecto de su género, de fácil acceso y con todas las garantías.</w:t>
      </w:r>
    </w:p>
    <w:p w14:paraId="72381DF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adoptará un protocolo para garantizar el acceso y atención a sus servicios misionales.</w:t>
      </w:r>
    </w:p>
    <w:p w14:paraId="6DE1898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46.- Definición de certificado electoral.</w:t>
      </w:r>
      <w:r w:rsidRPr="00222F34">
        <w:rPr>
          <w:rFonts w:ascii="Calibri" w:eastAsia="Times New Roman" w:hAnsi="Calibri" w:cs="Calibri"/>
          <w:color w:val="000000"/>
          <w:lang w:val="es-CO" w:eastAsia="es-CO" w:bidi="ar-SA"/>
        </w:rPr>
        <w:t xml:space="preserve"> El certificado electoral es un documento público que constituye plena prueba de haber ejercido el derecho al voto en una elección popular de cargos uninominales, en corporaciones públicas y en elecciones juveniles, que será expedido digitalmente por la Registraduría Nacional del Estado Civil y excepcionalmente en físico, a través de los jurados de votación. </w:t>
      </w:r>
    </w:p>
    <w:p w14:paraId="0065FE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Con base en este documento se reconocerán los beneficios y estímulos previstos en el anterior artículo; y expirará con la realización de nuevas elecciones ordinarias. </w:t>
      </w:r>
    </w:p>
    <w:p w14:paraId="63D985F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No se otorgará certificado electoral en mecanismos de participación ciudadana que tengan umbral de participación, ni en elecciones atípicas. </w:t>
      </w:r>
    </w:p>
    <w:p w14:paraId="2AF6600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constancia expedida por autoridad electoral competente tiene el mismo valor legal que el certificado electoral para efectos de los estímulos que interesan al elector. </w:t>
      </w:r>
    </w:p>
    <w:p w14:paraId="48CFC7D6"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(15) días siguientes a la elección. </w:t>
      </w:r>
    </w:p>
    <w:p w14:paraId="663232E8"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establecerá las características del certificado electoral, sin perjuicio de que este pueda ser digital. En caso de que el certificado sea digital deberá contener los protocolos de seguridad necesarios que acrediten que quien solicita el certificado electoral sea el sufragante. </w:t>
      </w:r>
    </w:p>
    <w:p w14:paraId="2ED7EA24"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Registraduría Nacional del Estado Civil reglamentará el procedimiento para la expedición del certificado electoral digital que se realizará de manera progresiva.</w:t>
      </w:r>
    </w:p>
    <w:p w14:paraId="2C3E243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implementación del certificado electoral digital deberá garantizar la seguridad, pertinencia e idoneidad, viabilidad técnica, plena funcionalidad y transparencia de los sistemas que se utilice.</w:t>
      </w:r>
    </w:p>
    <w:p w14:paraId="67005A9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w:t>
      </w:r>
    </w:p>
    <w:p w14:paraId="139F9844"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DEL DOMICILIO Y CENSO ELECTORAL</w:t>
      </w:r>
    </w:p>
    <w:p w14:paraId="6CA11A87"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7B83A53A"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Domicilio electoral</w:t>
      </w:r>
    </w:p>
    <w:p w14:paraId="0466896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47. Definición</w:t>
      </w:r>
      <w:r w:rsidRPr="00222F34">
        <w:rPr>
          <w:rFonts w:ascii="Calibri" w:eastAsia="Times New Roman" w:hAnsi="Calibri" w:cs="Calibri"/>
          <w:color w:val="000000"/>
          <w:lang w:val="es-CO" w:eastAsia="es-CO" w:bidi="ar-SA"/>
        </w:rPr>
        <w:t>. Domicilio electoral es el lugar de habitación o asiento permanente donde el votante se registra bajo la gravedad de juramento en el censo electoral, el cual deberá coincidir con su residencia permanente. La persona que tenga más de un lugar de habitación o de asiento escogerá uno solo.</w:t>
      </w:r>
    </w:p>
    <w:p w14:paraId="6CB1D4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Tanto el registro como la actualización se realizarán en las sedes de la Registraduría Nacional del Estado Civil, o a través de los mecanismos y lugares que ésta implemente, así como en las embajadas, consulados u oficinas consulares de Colombia, habilitados por el Gobierno en el exterior. Se podrán utilizar medios tecnológicos para el registro, que garanticen la identificación y autenticación del ciudadano.</w:t>
      </w:r>
    </w:p>
    <w:p w14:paraId="7D23300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 base en el domicilio electoral reportado por el ciudadano, la Registraduría Nacional del Estado Civil le asignará un puesto de votación entre los más cercanos a él.</w:t>
      </w:r>
    </w:p>
    <w:p w14:paraId="49F57D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48. Cambio del domicilio electoral. </w:t>
      </w:r>
      <w:r w:rsidRPr="00222F34">
        <w:rPr>
          <w:rFonts w:ascii="Calibri" w:eastAsia="Times New Roman" w:hAnsi="Calibri" w:cs="Calibri"/>
          <w:color w:val="000000"/>
          <w:lang w:val="es-CO" w:eastAsia="es-CO" w:bidi="ar-SA"/>
        </w:rPr>
        <w:t>Cuando un ciudadano o extranjero residente en el país haya cambiado su domicilio electoral, deberá en un término no mayor de dos (2) meses, en relación con ese cambio informar la novedad ante la Registraduría de su distrito, municipio, localidad, embajada u oficina consular.</w:t>
      </w:r>
    </w:p>
    <w:p w14:paraId="69E3B5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adelantará jornadas pedagógicas y de sensibilización para incentivar a los ciudadanos a realizar la actualización del domicilio electoral. Para ello, los programas pedagógicos adoptados deberán basarse en enfoques territoriales y étnicos que permitan la mejor comprensión de la importancia y alcance del domicilio electoral y su actualización.</w:t>
      </w:r>
    </w:p>
    <w:p w14:paraId="5FB15DE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la actualización del domicilio electoral, la Registraduría Nacional del Estado Civil. establecerá la posibilidad este proceso a través de su página web o cualquier otro mecanismo tecnológico que establezca.</w:t>
      </w:r>
    </w:p>
    <w:p w14:paraId="326BDB0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reglamentación sobre lo previsto en este artículo deberá expedirse por la Registraduría Nacional del Estado Civil antes de las elecciones ordinarias de autoridades territoriales de 2027, el cambio de domicilio no podrá ser una justificación para negar los derechos civiles y políticos relacionados con el mismo.</w:t>
      </w:r>
    </w:p>
    <w:p w14:paraId="6EBD93C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Para el caso del Archipiélago de San Andrés, Providencia y Santa Catalina, la Registraduría Nacional del Estado Civil y la Oficina de Control, Circulación y Residencia (OCCRE), establecerán un procedimiento especial, que permita acreditar que el domicilio electoral del ciudadano corresponde al territorio insular, de conformidad a lo establecido en el numeral 4° del artículo 5° del Decreto de 1991 y el artículo 14 de la Ley 47 de 1993. </w:t>
      </w:r>
    </w:p>
    <w:p w14:paraId="79DAE7AC"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5DF69C1B"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Censo electoral</w:t>
      </w:r>
    </w:p>
    <w:p w14:paraId="58CFA3E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49.- Concepto.</w:t>
      </w:r>
      <w:r w:rsidRPr="00222F34">
        <w:rPr>
          <w:rFonts w:ascii="Calibri" w:eastAsia="Times New Roman" w:hAnsi="Calibri" w:cs="Calibri"/>
          <w:color w:val="000000"/>
          <w:lang w:val="es-CO" w:eastAsia="es-CO" w:bidi="ar-SA"/>
        </w:rPr>
        <w:t xml:space="preserve"> El censo electoral es el instrumento técnico elaborado por la Registraduría Nacional del Estado Civil, que contiene la relación de las cédulas de ciudadanía de los ciudadanos colombianos mayores </w:t>
      </w:r>
      <w:r w:rsidRPr="00222F34">
        <w:rPr>
          <w:rFonts w:ascii="Calibri" w:eastAsia="Times New Roman" w:hAnsi="Calibri" w:cs="Calibri"/>
          <w:color w:val="000000"/>
          <w:lang w:val="es-CO" w:eastAsia="es-CO" w:bidi="ar-SA"/>
        </w:rPr>
        <w:lastRenderedPageBreak/>
        <w:t xml:space="preserve">de dieciocho (18) años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habilitados para ejercer el derecho al voto en cada jornada electoral.  </w:t>
      </w:r>
    </w:p>
    <w:p w14:paraId="30D0BF6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con el apoyo de la Unidad Administrativa Especial Migración Colombia o quién haga sus veces, elaborará adicionalmente un censo electoral, con el registro de las cédulas de extranjería de residentes.  </w:t>
      </w:r>
    </w:p>
    <w:p w14:paraId="534C638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extranjeros habilitados podrán ejercer el derecho al voto en los comicios distritales, municipales y locales. </w:t>
      </w:r>
    </w:p>
    <w:p w14:paraId="3493355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las elecciones de Consejos de Juventud se conformará un censo independiente al previsto para elecciones ordinarias conformado por jóvenes entre catorce (14) y veintiocho (28) años.  </w:t>
      </w:r>
    </w:p>
    <w:p w14:paraId="0E71474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Este censo se actualizará y depurará de manera permanente, en atención a lo previsto en este Código.  </w:t>
      </w:r>
    </w:p>
    <w:p w14:paraId="2AC778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50. Conformación</w:t>
      </w:r>
      <w:r w:rsidRPr="00222F34">
        <w:rPr>
          <w:rFonts w:ascii="Calibri" w:eastAsia="Times New Roman" w:hAnsi="Calibri" w:cs="Calibri"/>
          <w:color w:val="000000"/>
          <w:lang w:val="es-CO" w:eastAsia="es-CO" w:bidi="ar-SA"/>
        </w:rPr>
        <w:t>. El censo electoral estará conformado por los datos necesarios para la plena identificación de los electores. Incluirá, entre otros, los nombres, apellidos, números de cédulas de ciudadanía o del documento de identidad, el tipo de documento, fecha de nacimiento, género, sexo, correos o medios electrónicos de notificación, número de teléfono de contacto, nivel de escolaridad, información respecto a si sabe sumar, leer y escribir, comunidad o población étnica, o con discapacidad, y la última dirección del domicilio electoral, datos suministrados por el ciudadano o extranjero residente en el país.</w:t>
      </w:r>
    </w:p>
    <w:p w14:paraId="417447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p w14:paraId="24DA2B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51. De la modificación de los datos en el censo electoral. </w:t>
      </w:r>
      <w:r w:rsidRPr="00222F34">
        <w:rPr>
          <w:rFonts w:ascii="Calibri" w:eastAsia="Times New Roman" w:hAnsi="Calibri" w:cs="Calibri"/>
          <w:color w:val="000000"/>
          <w:lang w:val="es-CO" w:eastAsia="es-CO" w:bidi="ar-SA"/>
        </w:rPr>
        <w:t>Los ciudadanos y jóvenes entre catorce (14) y diecisiete (17) años podrán modificar los datos manifestados en el momento de la conformación de los respectivos censos electorales de manera parcial o total.</w:t>
      </w:r>
    </w:p>
    <w:p w14:paraId="60BA747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52. Incorporaciones al censo electoral.</w:t>
      </w:r>
      <w:r w:rsidRPr="00222F34">
        <w:rPr>
          <w:rFonts w:ascii="Calibri" w:eastAsia="Times New Roman" w:hAnsi="Calibri" w:cs="Calibri"/>
          <w:color w:val="000000"/>
          <w:lang w:val="es-CO" w:eastAsia="es-CO" w:bidi="ar-SA"/>
        </w:rPr>
        <w:t xml:space="preserve"> Serán incorporados al censo electoral los ciudadanos que se encuentren en los siguientes casos:</w:t>
      </w:r>
    </w:p>
    <w:p w14:paraId="6C13E6B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se expida la cédula de ciudadanía por primera vez.</w:t>
      </w:r>
    </w:p>
    <w:p w14:paraId="52876F6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Cuando se cumpla el término por el cual se interpuso la pena de inhabilitación para el ejercicio de derechos y funciones públicas y/o de los derechos políticos.</w:t>
      </w:r>
    </w:p>
    <w:p w14:paraId="30CA53D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3. Cuando el ciudadano sea retirado del servicio activo de la fuerza pública, previa notificación del Ministerio de Defensa Nacional.</w:t>
      </w:r>
    </w:p>
    <w:p w14:paraId="5CFEE4C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Cuando la persona recupere o adquiera la nacionalidad colombiana. El Ministerio de Relaciones Exteriores enviará a la Registraduría Nacional del Estado Civil una relación de las personas que se encuentren en esta situación.</w:t>
      </w:r>
    </w:p>
    <w:p w14:paraId="399C5ED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censo electoral dispondrá de un registro del domicilio electoral independiente al previsto para las elecciones ordinarias, para los jóvenes entre los catorce (14) y veintiocho (28) años de edad. Este registro no aumentará la totalidad del censo para los efectos legales y constitucionales de las demás elecciones populares y de los mecanismos de participación ciudadana.</w:t>
      </w:r>
    </w:p>
    <w:p w14:paraId="3EEE69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implementará y/o pondrá a disposición las herramientas tecnológicas que faciliten las inclusiones, actualizaciones y/o modificaciones por parte de los ciudadanos y jóvenes.</w:t>
      </w:r>
    </w:p>
    <w:p w14:paraId="5B58949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Para efectos del numeral 1 del presente artículo, quedará inscrito en el puesto de votación más cercano a la dirección registrada para el trámite.</w:t>
      </w:r>
    </w:p>
    <w:p w14:paraId="704A66E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53. Exclusiones del censo electoral.</w:t>
      </w:r>
      <w:r w:rsidRPr="00222F34">
        <w:rPr>
          <w:rFonts w:ascii="Calibri" w:eastAsia="Times New Roman" w:hAnsi="Calibri" w:cs="Calibri"/>
          <w:color w:val="000000"/>
          <w:lang w:val="es-CO" w:eastAsia="es-CO" w:bidi="ar-SA"/>
        </w:rPr>
        <w:t xml:space="preserve"> Serán excluidos del censo electoral, de manera temporal o permanente, los registros que hayan sido afectados por los siguientes eventos:</w:t>
      </w:r>
    </w:p>
    <w:p w14:paraId="7159E5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Cuando se produzca la muerte real o presunta declarada judicialmente de un ciudadano. </w:t>
      </w:r>
    </w:p>
    <w:p w14:paraId="20B74A8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al ciudadano se le cancele la cédula de ciudadanía. </w:t>
      </w:r>
    </w:p>
    <w:p w14:paraId="32B1D68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se haya decretado la pena de inhabilitación para el ejercicio de derechos y funciones públicas y/o suspensión de derechos políticos del titular. </w:t>
      </w:r>
    </w:p>
    <w:p w14:paraId="6B80FF6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Cuando el ciudadano haya renunciado o perdido su nacionalidad. El Ministerio de Relaciones Exteriores certificará y enviará a la Registraduría Nacional una relación de las personas que se encuentren en esta situación. </w:t>
      </w:r>
    </w:p>
    <w:p w14:paraId="4ED3930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Cuando el ciudadano se encuentre en servicio activo como miembro de la Fuerza Pública. El Ministerio de Defensa Nacional certificará y enviará a la Registraduría Nacional del Estado Civil una relación del personal vinculado. </w:t>
      </w:r>
    </w:p>
    <w:p w14:paraId="25BD11D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notario o funcionario que incumpliere la obligación de reportar cualquier información de las aquí consagradas o lo hiciere por fuera del término previsto en este Código, incurrirá en causal de mala conducta. </w:t>
      </w:r>
    </w:p>
    <w:p w14:paraId="6162672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actualización de que trata los numerales 1 al 4 de este artículo se realizará con base en la información suministrada por la Dirección Nacional de Identificación de la Registraduría Nacional del Estado Civil. </w:t>
      </w:r>
    </w:p>
    <w:p w14:paraId="171D36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54. Actualización de la información a excluir o incorporar en el censo electoral. </w:t>
      </w:r>
      <w:r w:rsidRPr="00222F34">
        <w:rPr>
          <w:rFonts w:ascii="Calibri" w:eastAsia="Times New Roman" w:hAnsi="Calibri" w:cs="Calibri"/>
          <w:color w:val="000000"/>
          <w:lang w:val="es-CO" w:eastAsia="es-CO" w:bidi="ar-SA"/>
        </w:rPr>
        <w:t xml:space="preserve">La información para la exclusión o incorporación del censo electoral deberá actualizarse de manera permanente. Lo enviado y lo certificado por el Ministerio de Relaciones Exteriores y el Ministerio de Defensa Nacional, según el procedimiento </w:t>
      </w:r>
      <w:r w:rsidRPr="00222F34">
        <w:rPr>
          <w:rFonts w:ascii="Calibri" w:eastAsia="Times New Roman" w:hAnsi="Calibri" w:cs="Calibri"/>
          <w:color w:val="000000"/>
          <w:lang w:val="es-CO" w:eastAsia="es-CO" w:bidi="ar-SA"/>
        </w:rPr>
        <w:lastRenderedPageBreak/>
        <w:t>que defina la Registraduría Nacional del Estado Civil, deberán ser informados dentro de los primeros cinco (5) días hábiles de cada mes e incluirá la información afectada el mes inmediatamente anterior.</w:t>
      </w:r>
    </w:p>
    <w:p w14:paraId="56B2C22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En el tratamiento de los datos suministrados por el Ministerio de Defensa Nacional deberá tenerse en cuenta que esta información goza de reserva legal para todos los efectos y la vulneración de dicha reserva implica riesgos de seguridad nacional.</w:t>
      </w:r>
    </w:p>
    <w:p w14:paraId="22CFC3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55. Actualización del domicilio en el censo electoral. </w:t>
      </w:r>
      <w:r w:rsidRPr="00222F34">
        <w:rPr>
          <w:rFonts w:ascii="Calibri" w:eastAsia="Times New Roman" w:hAnsi="Calibri" w:cs="Calibri"/>
          <w:color w:val="000000"/>
          <w:lang w:val="es-CO" w:eastAsia="es-CO" w:bidi="ar-SA"/>
        </w:rPr>
        <w:t>La actualización del domicilio electoral estará habilitada de manera permanente ante la Registraduría Nacional del Estado Civil, embajada u oficina consular, hasta tres (3) meses antes de la respectiva elección ordinaria. Para las zonas rurales se deberán implementar medidas para el registro y actualización del domicilio electoral con enfoque diferencial.</w:t>
      </w:r>
    </w:p>
    <w:p w14:paraId="1780D56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ciudadano o extranjero residente en el país deberá, en un término no mayor de dos (2) meses informar cuando haya cambiado su domicilio electoral.</w:t>
      </w:r>
    </w:p>
    <w:p w14:paraId="44884B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y los partidos y movimientos políticos deberán promover e incentivar la actualización de los ciudadanos en el censo electoral.</w:t>
      </w:r>
    </w:p>
    <w:p w14:paraId="3BD0E0D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w:t>
      </w:r>
    </w:p>
    <w:p w14:paraId="574DC0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Cuando el ciudadano actualice más de una vez la información del censo electoral, se tendrá como válida la última solicitud de registro antes del corte establecido en el presente artículo.</w:t>
      </w:r>
    </w:p>
    <w:p w14:paraId="5CF094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w:t>
      </w:r>
    </w:p>
    <w:p w14:paraId="146CAC2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56. Suspensión de exclusiones e incorporaciones al censo electoral.</w:t>
      </w:r>
      <w:r w:rsidRPr="00222F34">
        <w:rPr>
          <w:rFonts w:ascii="Calibri" w:eastAsia="Times New Roman" w:hAnsi="Calibri" w:cs="Calibri"/>
          <w:color w:val="000000"/>
          <w:lang w:val="es-CO" w:eastAsia="es-CO" w:bidi="ar-SA"/>
        </w:rPr>
        <w:t xml:space="preserve"> Para efectos del alistamiento y de la publicidad de las cédulas de ciudadanía, tarjetas de identidad o sus equivalentes funcionales y cédulas de extranjería habilitadas para votar, los procesos de exclusión y de incorporación al censo electoral se suspenderán tres (3) meses antes de la respectiva elección.</w:t>
      </w:r>
    </w:p>
    <w:p w14:paraId="2814866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Las cédulas que se expidan hasta tres (3) meses antes de las respectivas votaciones se incluirán en el censo electoral.</w:t>
      </w:r>
    </w:p>
    <w:p w14:paraId="367495B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57. Verificación del domicilio electoral.</w:t>
      </w:r>
      <w:r w:rsidRPr="00222F34">
        <w:rPr>
          <w:rFonts w:ascii="Calibri" w:eastAsia="Times New Roman" w:hAnsi="Calibri" w:cs="Calibri"/>
          <w:color w:val="000000"/>
          <w:lang w:val="es-CO" w:eastAsia="es-CO" w:bidi="ar-SA"/>
        </w:rPr>
        <w:t xml:space="preserve"> La Registraduría Nacional del Estado Civil deberá establecer un procedimiento que conduzca a reducir las inconsistencias en relación con los datos aportados en el domicilio electoral, garantizando el derecho al debido proceso y las normas sobre protección de datos personales.</w:t>
      </w:r>
    </w:p>
    <w:p w14:paraId="319FD90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Cualquier ciudadano o cualquier joven entre catorce (14) y diecisiete (17) años que tenga dudas o advierta inconsistencias en relación con los datos aportados sobre su domicilio electoral, podrá solicitar en cualquier tiempo que dicha información sea corregida o actualizada por parte de la Registraduría Nacional del Estado Civil.</w:t>
      </w:r>
    </w:p>
    <w:p w14:paraId="5C55DC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58. Inconsistencias en el domicilio electoral</w:t>
      </w:r>
      <w:r w:rsidRPr="00222F34">
        <w:rPr>
          <w:rFonts w:ascii="Calibri" w:eastAsia="Times New Roman" w:hAnsi="Calibri" w:cs="Calibri"/>
          <w:color w:val="000000"/>
          <w:lang w:val="es-CO" w:eastAsia="es-CO" w:bidi="ar-SA"/>
        </w:rPr>
        <w:t>. La Registraduría Nacional del Estado Civil informará al Consejo Nacional Electoral las inconsistencias que detecte sobre la veracidad de la dirección del domicilio electoral aportada, para que éste, en cualquier tiempo, inicie las investigaciones dirigidas a dejar sin efecto el registro irregular. Lo anterior, sin perjuicio de las investigaciones que de oficio decida adelantar el Consejo Nacional Electoral.</w:t>
      </w:r>
    </w:p>
    <w:p w14:paraId="64E7B7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resolverá las impugnaciones, en cualquier tiempo y hasta dos (2) meses antes de la fecha de cada votación, de conformidad con el procedimiento breve y sumario que expida para tal fin.</w:t>
      </w:r>
    </w:p>
    <w:p w14:paraId="28865F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ciudadanos, jóvenes o extranjeros residentes no podrán volver a actualizar su domicilio electoral en el mismo proceso eleccionario del cual fue excluido su registro, sin perjuicio de las sanciones establecidas en el Código Penal.</w:t>
      </w:r>
    </w:p>
    <w:p w14:paraId="45FD0CE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registro del domicilio electoral que se dejare sin efecto se incorporará al censo electoral del distrito o municipio donde su titular se encontraba habilitado para sufragar en la elección anterior.</w:t>
      </w:r>
    </w:p>
    <w:p w14:paraId="17E5849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pondrá en conocimiento de las autoridades penales competentes las decisiones en materia de fraude en el registro del domicilio electoral.</w:t>
      </w:r>
    </w:p>
    <w:p w14:paraId="5B1C59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59. Publicidad del censo electoral.</w:t>
      </w:r>
      <w:r w:rsidRPr="00222F34">
        <w:rPr>
          <w:rFonts w:ascii="Calibri" w:eastAsia="Times New Roman" w:hAnsi="Calibri" w:cs="Calibri"/>
          <w:color w:val="000000"/>
          <w:lang w:val="es-CO" w:eastAsia="es-CO" w:bidi="ar-SA"/>
        </w:rPr>
        <w:t xml:space="preserve"> 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p>
    <w:p w14:paraId="69B3382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publicación de que trata el presente artículo se realizará en la página web y/o aplicación que disponga la Registraduría Nacional del Estado Civil por el término de cinco (5) días calendario.</w:t>
      </w:r>
    </w:p>
    <w:p w14:paraId="1B7E4CE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w:t>
      </w:r>
      <w:r>
        <w:rPr>
          <w:rFonts w:ascii="Calibri" w:eastAsia="Times New Roman" w:hAnsi="Calibri" w:cs="Calibri"/>
          <w:b/>
          <w:bCs/>
          <w:color w:val="000000"/>
          <w:lang w:val="es-CO" w:eastAsia="es-CO" w:bidi="ar-SA"/>
        </w:rPr>
        <w:t>NUEVO</w:t>
      </w:r>
      <w:r w:rsidRPr="00222F34">
        <w:rPr>
          <w:rFonts w:ascii="Calibri" w:eastAsia="Times New Roman" w:hAnsi="Calibri" w:cs="Calibri"/>
          <w:b/>
          <w:bCs/>
          <w:color w:val="000000"/>
          <w:lang w:val="es-CO" w:eastAsia="es-CO" w:bidi="ar-SA"/>
        </w:rPr>
        <w:t>.-</w:t>
      </w:r>
      <w:r w:rsidRPr="00222F34">
        <w:rPr>
          <w:rFonts w:ascii="Calibri" w:eastAsia="Times New Roman" w:hAnsi="Calibri" w:cs="Calibri"/>
          <w:color w:val="000000"/>
          <w:lang w:val="es-CO" w:eastAsia="es-CO" w:bidi="ar-SA"/>
        </w:rPr>
        <w:t xml:space="preserve"> Modificase eI artícuIo 389 de Ia Ley 599 de 2000 y eI artícuIo 4 de Ia Ley 1864 de 2017, eI cuaI quedará así: </w:t>
      </w:r>
    </w:p>
    <w:p w14:paraId="5759ACE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Fraude en el domicilio electoral. EI que constriña, induzca, ofrezca promesa remuneratoria o por cualquier medio indebido Iogre que personas habilitadas para votar registren un domicilio electoral falso y distinto a su Iugar de habitación o asiento, con eI propósito de obtener ventaja en eIección popuIar, pIebiscito, referendo, consuIta popuIar o revocatoria deI mandato, incurrirá en prisión de cuarenta y ocho (48) a ciento ocho (108) meses y muIta de cincuenta (50) a doscientos (200) saIarios mínimos IegaIes mensuaIes vigentes. </w:t>
      </w:r>
    </w:p>
    <w:p w14:paraId="264B42C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iguaI pena incurrirá quien faciIite o suministre medios para que personas habiIitadas para votar Io hagan en domiciIio eIectoraI faIso, o quien se registre en eI censo eIectoraI en IocaIidad, municipio, comuna o distrito diferente a aqueI donde tengan su domiciIio eIectoraI, con eI propósito de obtener provecho iIícito para sí o para terceros. La pena se aumentará de una tercera parte a Ia mitad cuando Ia conducta sea realizada por un servidor púbIico. </w:t>
      </w:r>
    </w:p>
    <w:p w14:paraId="304EC2B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61. Deber de actualización y depuración transparente del censo electora</w:t>
      </w:r>
      <w:r w:rsidRPr="00222F34">
        <w:rPr>
          <w:rFonts w:ascii="Calibri" w:eastAsia="Times New Roman" w:hAnsi="Calibri" w:cs="Calibri"/>
          <w:color w:val="000000"/>
          <w:lang w:val="es-CO" w:eastAsia="es-CO" w:bidi="ar-SA"/>
        </w:rPr>
        <w:t>l. La actualización, exclusión, incorporación y depuración del censo electoral a que hace referencia este código deberán realizarse garantizando la transparencia del proceso y de sus resultados. Para ello, la Registraduría Nacional del Estado Civil publicará la analítica de los datos, dentro de los primeros tres (3) días hábiles de cada mes, especificando cuántas cédulas han sido depuradas del censo por cada una de las siguientes circunstancias:</w:t>
      </w:r>
    </w:p>
    <w:p w14:paraId="58908CD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Las pertenecientes a ciudadanos y ciudadanas que se encuentren en situación de servicio activo a la Fuerza Pública;</w:t>
      </w:r>
    </w:p>
    <w:p w14:paraId="3C78144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Las pertenecientes a ciudadanos y ciudadanas inhabilitados para el ejercicio de derechos en virtud de sentencia penal ejecutoriada; </w:t>
      </w:r>
    </w:p>
    <w:p w14:paraId="65AFEC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Las correspondientes a ciudadanos y ciudadanas fallecidos; </w:t>
      </w:r>
    </w:p>
    <w:p w14:paraId="290BD1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Las cédulas múltiples; </w:t>
      </w:r>
    </w:p>
    <w:p w14:paraId="458059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Las expedidas a menores de edad; </w:t>
      </w:r>
    </w:p>
    <w:p w14:paraId="67E8AC3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Las expedidas a extranjeros que no tengan carta de naturaleza;</w:t>
      </w:r>
    </w:p>
    <w:p w14:paraId="6422C6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Las correspondientes a casos de falsa identidad o suplantación; </w:t>
      </w:r>
    </w:p>
    <w:p w14:paraId="251833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resultados analíticos de la actualización y depuración estarán sujetos a los recursos de control pertinentes para llevar a cabo las impugnaciones a que haya lugar por irregularidades.</w:t>
      </w:r>
    </w:p>
    <w:p w14:paraId="2C8E38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62. Censo Electoral para las diferentes elecciones</w:t>
      </w:r>
      <w:r w:rsidRPr="00222F34">
        <w:rPr>
          <w:rFonts w:ascii="Calibri" w:eastAsia="Times New Roman" w:hAnsi="Calibri" w:cs="Calibri"/>
          <w:color w:val="000000"/>
          <w:lang w:val="es-CO" w:eastAsia="es-CO" w:bidi="ar-SA"/>
        </w:rPr>
        <w:t>: El censo electoral que se utilizará para las elecciones de carácter ordinario será el resultante de la aplicación de las actualizaciones y depuraciones al censo electoral vigente con corte a dos (2) meses antes de la respectiva elección.</w:t>
      </w:r>
    </w:p>
    <w:p w14:paraId="6729321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censo electoral que se utilizará en una eventual segunda vuelta para elegir presidente y vicepresidente de la República y alcalde de Bogotá, Distrito Capital, será el mismo utilizado en primera vuelta.</w:t>
      </w:r>
    </w:p>
    <w:p w14:paraId="3274274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censo electoral que se utilizará para las elecciones atípicas y mecanismos de participación ciudadana será el publicado dos (2) meses antes de la respectiva elección después de haber aplicado todas las actualizaciones y depuraciones a que haya lugar.</w:t>
      </w:r>
    </w:p>
    <w:p w14:paraId="2D129C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63. Publicación del censo electoral definitivo.</w:t>
      </w:r>
      <w:r w:rsidRPr="00222F34">
        <w:rPr>
          <w:rFonts w:ascii="Calibri" w:eastAsia="Times New Roman" w:hAnsi="Calibri" w:cs="Calibri"/>
          <w:color w:val="000000"/>
          <w:lang w:val="es-CO" w:eastAsia="es-CO" w:bidi="ar-SA"/>
        </w:rPr>
        <w:t xml:space="preserve"> La Registraduría Nacional del Estado Civil, cuarenta y cinco (45) días calendario antes de la fecha de cada votación, publicará el dato del censo electoral que corresponde al número de colombianos y extranjeros habilitados para ejercer el derecho al sufragio en cada certamen electoral.</w:t>
      </w:r>
    </w:p>
    <w:p w14:paraId="3E00AFC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publicación deberá ser accesible a las personas con discapacidad.</w:t>
      </w:r>
    </w:p>
    <w:p w14:paraId="3B63E9B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Una vez realizada la publicación de que trata el presente artículo no procederá recurso alguno contra los registros contenidos en el censo electoral definitivo, ni contra las decisiones que sobre ellos tuviere pendiente el Consejo Nacional Electoral.</w:t>
      </w:r>
    </w:p>
    <w:p w14:paraId="0309E07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64. Control y veeduría participativa a la depuración.</w:t>
      </w:r>
      <w:r w:rsidRPr="00222F34">
        <w:rPr>
          <w:rFonts w:ascii="Calibri" w:eastAsia="Times New Roman" w:hAnsi="Calibri" w:cs="Calibri"/>
          <w:color w:val="000000"/>
          <w:lang w:val="es-CO" w:eastAsia="es-CO" w:bidi="ar-SA"/>
        </w:rPr>
        <w:t xml:space="preserve"> Los Órganos de Control ejercerán un control permanente sobre el proceso de actualización y depuración del censo electoral. Se garantizará la veeduría ciudadana mediante mecanismos de participación plural de acceso y constatación de la información.</w:t>
      </w:r>
    </w:p>
    <w:p w14:paraId="2CF4AD37"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III</w:t>
      </w:r>
    </w:p>
    <w:p w14:paraId="41A5E01D"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SELECCIÓN E INSCRIPCIÓN DE CANDIDATURAS</w:t>
      </w:r>
    </w:p>
    <w:p w14:paraId="13938DCE"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1EB3E67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previas a la inscripción de candidatos por grupos significativos de ciudadanos y promotores de voto en blanco</w:t>
      </w:r>
    </w:p>
    <w:p w14:paraId="769C1EE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65. Registro de comités.</w:t>
      </w:r>
      <w:r w:rsidRPr="00222F34">
        <w:rPr>
          <w:rFonts w:ascii="Calibri" w:eastAsia="Times New Roman" w:hAnsi="Calibri" w:cs="Calibri"/>
          <w:color w:val="000000"/>
          <w:lang w:val="es-CO" w:eastAsia="es-CO" w:bidi="ar-SA"/>
        </w:rPr>
        <w:t xml:space="preserve"> Los grupos significativos de ciudadanos, los movimientos sociales que decidan constituirse como tales,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w:t>
      </w:r>
    </w:p>
    <w:p w14:paraId="5E5AFB1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w:t>
      </w:r>
    </w:p>
    <w:p w14:paraId="63601DA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Indicar en el formulario de recolección de apoyos los nombres de los integrantes del comité inscriptor y la relación de los candidatos principales y remanentes cuando aplique, excepto el de la fórmula vicepresidencial.</w:t>
      </w:r>
    </w:p>
    <w:p w14:paraId="795DE67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Indicar en el formulario de recolección de apoyos si los comités inscriptores quedan facultados para conformar coaliciones con partidos y/o movimientos políticos con personería jurídica.</w:t>
      </w:r>
    </w:p>
    <w:p w14:paraId="225EF4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garantizar el cumplimiento de la cuota de género.</w:t>
      </w:r>
    </w:p>
    <w:p w14:paraId="2FC6EB4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w:t>
      </w:r>
    </w:p>
    <w:p w14:paraId="7D3BC8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Una vez registrado el comité inscriptor, la Registraduría Nacional del Estado Civil remitirá, al día siguiente, al Consejo Nacional Electoral la información concerniente a la denominación y logo símbolo del grupo significativo de ciudadanos, para su correspondiente registro.</w:t>
      </w:r>
    </w:p>
    <w:p w14:paraId="7982C1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surtido el registro, no se podrán modificar la denominación ni el logosímbolo del grupo significativo de ciudadanos.</w:t>
      </w:r>
    </w:p>
    <w:p w14:paraId="28404F4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reglamentará lo relacionado con la aprobación de la denominación y del logosímbolo de los comités inscriptores de grupos significativos de ciudadanos, así como su registro y decidirá sobre dicha aprobación y registro dentro del mes siguiente al recibo de la información, de acuerdo con el procedimiento que reglamente la misma Corporación y la ley. En todo caso, el Consejo Nacional Electoral deberá resolver la solicitud sobre la denominación y el logosímbolo a más tardar dos (2) meses antes de la celebración de las elecciones.</w:t>
      </w:r>
    </w:p>
    <w:p w14:paraId="462DDF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66. Acreditación de apoyos</w:t>
      </w:r>
      <w:r w:rsidRPr="00222F34">
        <w:rPr>
          <w:rFonts w:ascii="Calibri" w:eastAsia="Times New Roman" w:hAnsi="Calibri" w:cs="Calibri"/>
          <w:color w:val="000000"/>
          <w:lang w:val="es-CO" w:eastAsia="es-CO" w:bidi="ar-SA"/>
        </w:rPr>
        <w:t>. Los comités inscriptores de los grupos significativos de ciudadanos y del voto en blanco deberán acreditar un número mínimo de apoyos válidos equivalentes a:</w:t>
      </w:r>
    </w:p>
    <w:p w14:paraId="68D5153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El veinte por ciento (20%) del resultado de dividir el número de personas inscritas para votar en el censo electoral en la respectiva circunscripción por el número de curules a proveer.</w:t>
      </w:r>
    </w:p>
    <w:p w14:paraId="519C4D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El diez por ciento (10%) del número de personas inscritas para votar en la respectiva circunscripción, en el caso de los cargos uninominales.</w:t>
      </w:r>
    </w:p>
    <w:p w14:paraId="7443E2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Para el caso de los literales a y b del presente artículo, no se exigirá más de cero punto cinco por ciento (0.5%) del censo electoral para la recolección de apoyos en cualquiera de las circunscripciones nacionales.</w:t>
      </w:r>
    </w:p>
    <w:p w14:paraId="6B47DF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 Para presidente de la República, el tres por ciento (3%) del total de votos válidos de la última elección del cargo.</w:t>
      </w:r>
    </w:p>
    <w:p w14:paraId="3F5598D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comités inscriptores entregarán los apoyos a la respectiva dependencia de la Registraduría Nacional del Estado Civil, desde la fecha de registro hasta seis (6) meses antes de la fecha de elección.</w:t>
      </w:r>
    </w:p>
    <w:p w14:paraId="51D59F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implementará las herramientas tecnológicas y logísticas necesarias para facilitar la recolección y verificación de los apoyos ciudadanos.</w:t>
      </w:r>
    </w:p>
    <w:p w14:paraId="0B66862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p w14:paraId="7734205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Cuando la Registraduría Nacional del Estado Civil certifique que el número de apoyos aportados no es suficiente para respaldar la inscripción, no habrá lugar a un nuevo proceso de recolección de apoyos para completarlas. Una vez presentados los apoyos ante la Registraduría Nacional del Estado Civil, los pre-candidatos o listas de los grupos significativos de ciudadanos no podrán ser avalados por partidos o movimientos políticos </w:t>
      </w:r>
      <w:r w:rsidRPr="00222F34">
        <w:rPr>
          <w:rFonts w:ascii="Calibri" w:eastAsia="Times New Roman" w:hAnsi="Calibri" w:cs="Calibri"/>
          <w:color w:val="000000"/>
          <w:lang w:val="es-CO" w:eastAsia="es-CO" w:bidi="ar-SA"/>
        </w:rPr>
        <w:lastRenderedPageBreak/>
        <w:t>con personería jurídica para el mismo certamen electoral. Una vez presentadas los apoyos ante la Registraduría Nacional del Estado Civil, los pre candidatos o listas de los grupos significativos de ciudadanos no podrán ser avalados por partidos o movimientos políticos con personería jurídica para el mismo certamen electoral.</w:t>
      </w:r>
    </w:p>
    <w:p w14:paraId="25CA661B"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67.- Definición de apoyo para la inscripción de candidatos.</w:t>
      </w:r>
      <w:r w:rsidRPr="00222F34">
        <w:rPr>
          <w:rFonts w:ascii="Calibri" w:eastAsia="Times New Roman" w:hAnsi="Calibri" w:cs="Calibri"/>
          <w:color w:val="000000"/>
          <w:lang w:val="es-CO" w:eastAsia="es-CO" w:bidi="ar-SA"/>
        </w:rPr>
        <w:t xml:space="preserve"> Es el acto mediante el cual un ciudadano apto para votar en su circunscripción respalda la inscripción de candidatos a un cargo de elección popular o una propuesta de un mecanismo de participación ciudadana. </w:t>
      </w:r>
    </w:p>
    <w:p w14:paraId="60BBD6E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reglamentará los aspectos técnicos y operativos para la recolección de apoyos. </w:t>
      </w:r>
    </w:p>
    <w:p w14:paraId="212F2AA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Los ciudadanos no podrán respaldar en la misma circunscripción a más de una candidatura a cargo uninominal, ni a más de una lista de candidatos a corporación pública. Advertida esta circunstancia, solo será válido el último apoyo otorgado. </w:t>
      </w:r>
    </w:p>
    <w:p w14:paraId="29839232"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La Registraduría Nacional del Estado Civil tendrá un (1) año a partir de la sanción del presente código para adecuar un sistema de recolección y verificación de apoyos ciudadanos utilizando los medios manuales existentes, así como medios tecnológicos que permitan la validación biométrica. La prohibición ciudadana de respaldar a más de una candidatura entrará a regir un (1) año a partir de la sanción del presente código.</w:t>
      </w:r>
    </w:p>
    <w:p w14:paraId="378C5F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68. Publicidad para la recolección de apoyos</w:t>
      </w:r>
      <w:r w:rsidRPr="00222F34">
        <w:rPr>
          <w:rFonts w:ascii="Calibri" w:eastAsia="Times New Roman" w:hAnsi="Calibri" w:cs="Calibri"/>
          <w:color w:val="000000"/>
          <w:lang w:val="es-CO" w:eastAsia="es-CO" w:bidi="ar-SA"/>
        </w:rPr>
        <w:t>. Los actos de publicidad desplegados por los grupos significativos de ciudadanos con ocasión del proceso de recolección de apoyos, tendrán como único objetivo promover la inscripción de las diferentes candidaturas. Para tales efectos, podrán promocionar:</w:t>
      </w:r>
    </w:p>
    <w:p w14:paraId="1F4AF5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denominación y el logosímbolo del grupo significativo de ciudadanos registrados y aprobados por el Consejo Nacional Electoral.</w:t>
      </w:r>
    </w:p>
    <w:p w14:paraId="19BA119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nombre e identificación de los ciudadanos que aspiran a  ser inscritos como candidatos y sus remanentes.</w:t>
      </w:r>
    </w:p>
    <w:p w14:paraId="124278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cargo o la corporación pública y la circunscripción electoral para los cuales se solicita la firma de apoyo.</w:t>
      </w:r>
    </w:p>
    <w:p w14:paraId="1B08018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w:t>
      </w:r>
    </w:p>
    <w:p w14:paraId="1D305D7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plazo para la realización de los actos de publicidad del proceso de recolección de apoyos será desde el día de la aprobación por parte del Consejo Nacional Electoral del logo símbolo y denominación, hasta la fecha límite para entregar los apoyos.</w:t>
      </w:r>
    </w:p>
    <w:p w14:paraId="637E26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w:t>
      </w:r>
    </w:p>
    <w:p w14:paraId="798B49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El Consejo Nacional Electoral vigilará el cumplimiento de las normas de publicidad para la recolección de apoyos ciudadanos e impondrá las sanciones correspondientes ante su incumplimiento a partir del régimen sancionatorio establecido en la Ley 1475 de 2011.</w:t>
      </w:r>
    </w:p>
    <w:p w14:paraId="6F9202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grupos significativos de ciudadanos reportarán al Consejo Nacional Electoral en tiempo real, a través del medio que este disponga, los ingresos percibidos y los gastos empleados desde el registro del comité inscriptor y durante el proceso de recolección de firmas, incluso en aquellos eventos en los que se formalicen la inscripción de candidaturas o no se presenten los apoyos ciudadanos ante la Registraduría Nacional del Estado Civil.</w:t>
      </w:r>
    </w:p>
    <w:p w14:paraId="4F7736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normas sobre financiamiento electoral que rigen para las campañas electorales se aplicarán en lo pertinente a la promoción de candidaturas a través de grupos significativos de ciudadanos.</w:t>
      </w:r>
    </w:p>
    <w:p w14:paraId="2B6C0D2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reglamentará la materia, fijará el valor de las sumas máximas autorizadas en la promoción de la recolección de apoyos, que no podrá superar el 30% del límite fijado para la respectiva campaña e impondrá las sanciones a que hubiere lugar por incumplimiento de lo aquí dispuesto, de acuerdo con la ley.</w:t>
      </w:r>
    </w:p>
    <w:p w14:paraId="6B418CC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candidato o los candidatos, los integrantes del comité promotor y el gerente designado responderán solidariamente por cualquier irregularidad en el manejo de los ingresos y gastos de las campañas de recolección de apoyos.</w:t>
      </w:r>
    </w:p>
    <w:p w14:paraId="4CC36312"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7EBC9834"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Inscripción y modificación de candidatos y listas</w:t>
      </w:r>
    </w:p>
    <w:p w14:paraId="24280D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69. Derecho de postulación.</w:t>
      </w:r>
      <w:r w:rsidRPr="00222F34">
        <w:rPr>
          <w:rFonts w:ascii="Calibri" w:eastAsia="Times New Roman" w:hAnsi="Calibri" w:cs="Calibri"/>
          <w:color w:val="000000"/>
          <w:lang w:val="es-CO" w:eastAsia="es-CO" w:bidi="ar-SA"/>
        </w:rPr>
        <w:t xml:space="preserve"> 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w:t>
      </w:r>
    </w:p>
    <w:p w14:paraId="2FAC4EA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las bases de datos de las entidades públicas que permitan conocer los antecedentes, sanciones e inhabilidades que impidan ser elegido, de conformidad con la Constitución Política y la ley.</w:t>
      </w:r>
    </w:p>
    <w:p w14:paraId="0051ACD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Para la postulación de candidatos, los partidos o movimientos políticos deberán regirse por las reglas previstas en sus estatutos.</w:t>
      </w:r>
    </w:p>
    <w:p w14:paraId="5861787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la consulta y verificación de los antecedentes, sanciones e inhabilidades, el Ministerio del Interior en coordinación con las entidades competentes, recepcionará por medio de la Ventanilla Única Electoral </w:t>
      </w:r>
      <w:r w:rsidRPr="00222F34">
        <w:rPr>
          <w:rFonts w:ascii="Calibri" w:eastAsia="Times New Roman" w:hAnsi="Calibri" w:cs="Calibri"/>
          <w:color w:val="000000"/>
          <w:lang w:val="es-CO" w:eastAsia="es-CO" w:bidi="ar-SA"/>
        </w:rPr>
        <w:lastRenderedPageBreak/>
        <w:t>Permanente, las consultas formuladas por los partidos, movimientos políticos y grupos significativos de ciudadanos, de antecedentes judiciales, disciplinarios, fiscales e investigaciones penales de los ciudadanos que aspiran a ser avalados e inscritos como candidatos.</w:t>
      </w:r>
    </w:p>
    <w:p w14:paraId="2E5779C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Ventanilla Única Electoral Permanente será un instrumento para el fortalecimiento de los procesos electorales y de asistencia técnica, coordinada previamente con: la Procuraduría General de la Nación, Contraloría General de la República, Fiscalía General de la Nación, Policía Nacional, Ministerio de Relaciones Exteriores y la Corte Suprema de Justicia, estas entidades deberán enviar las consultas formuladas a más tardar cinco (5) días después de haberse radicado la solicitud a la Ventanilla Única Electoral Permanente del Ministerio del Interior.</w:t>
      </w:r>
    </w:p>
    <w:p w14:paraId="6CE8660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Departamento Administrativo de la Función Pública, deberá reportar ante la Ventanilla Única Electoral Permanente, los servidores públicos que, durante el año inmediatamente anterior al período de inscripción, ocuparon cargos en propiedad o encargo, donde se ejerció algún tipo de autoridad.</w:t>
      </w:r>
    </w:p>
    <w:p w14:paraId="2A9F932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Adicionalmente la Ventanilla Única Electoral Permanente permitirá la revisión de antecedentes, previa la elección de las directivas de los partidos y movimientos políticos y para la presentación de ternas para alcaldes o gobernadores por suspensión o falta absoluta de los mandatarios territoriales elegidos popularmente, cuando a ello hubiere lugar.</w:t>
      </w:r>
    </w:p>
    <w:p w14:paraId="46DD336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70. Definición de aval. </w:t>
      </w:r>
      <w:r w:rsidRPr="00222F34">
        <w:rPr>
          <w:rFonts w:ascii="Calibri" w:eastAsia="Times New Roman" w:hAnsi="Calibri" w:cs="Calibri"/>
          <w:color w:val="000000"/>
          <w:lang w:val="es-CO" w:eastAsia="es-CO" w:bidi="ar-SA"/>
        </w:rPr>
        <w:t>Aval es la designación que hace un partido o movimiento político con personería jurídica a una persona natural que pueda representar a la colectividad, aspirando a ser elegido como resultado de una elección popular. Será otorgado mediante un documento suscrito por el representante legal o su delegado, el cual será utilizado por el avalado en el momento del periodo de inscripciones de candidaturas; en el caso de la delegación deberá señalar de manera expresa si se extiende a la posibilidad de avalar en el periodo de modificación de inscripciones.</w:t>
      </w:r>
    </w:p>
    <w:p w14:paraId="2F0905E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listas para corporaciones públicas, el aval expedido para un candidato que va a reemplazar a otro, durante el periodo de modificaciones, deberá indicar expresamente cuál es el renglón que se pretende modificar.</w:t>
      </w:r>
    </w:p>
    <w:p w14:paraId="083342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avales se expedirán sin costo alguno y se observarán las reglas establecidas en los estatutos y las leyes previstas para la selección de candidatos; y no podrán ser revocados por las organizaciones políticas con posterioridad a la inscripción de las candidaturas.</w:t>
      </w:r>
    </w:p>
    <w:p w14:paraId="319C900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w:t>
      </w:r>
    </w:p>
    <w:p w14:paraId="5E4DA9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que se expidan avales desconociendo estas prohibiciones, el funcionario electoral competente dará validez únicamente al primero que se haya expedido.</w:t>
      </w:r>
    </w:p>
    <w:p w14:paraId="646192E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El aval entregado por parte de los partidos o movimientos políticos será válido para la inscripción de la candidatura y tendrá vigencia máxima hasta el día en que se declare la elección, en caso de que se haya hecho efectiva la inscripción.</w:t>
      </w:r>
    </w:p>
    <w:p w14:paraId="0E4E4FD0"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71. Autoridades competentes para la inscripción de candidatos y listas. </w:t>
      </w:r>
      <w:r w:rsidRPr="00222F34">
        <w:rPr>
          <w:rFonts w:ascii="Calibri" w:eastAsia="Times New Roman" w:hAnsi="Calibri" w:cs="Calibri"/>
          <w:color w:val="000000"/>
          <w:lang w:val="es-CO" w:eastAsia="es-CO" w:bidi="ar-SA"/>
        </w:rPr>
        <w:t>Las autoridades competentes para la inscripción de candidatos y listas son las siguientes:</w:t>
      </w:r>
    </w:p>
    <w:p w14:paraId="6D589D8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Para los candidatos a presidente y vicepresidente de la República será el registrador Nacional del Estado Civil o su registrador delegado en lo electoral.</w:t>
      </w:r>
    </w:p>
    <w:p w14:paraId="7B9F278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los candidatos al Senado de la República, a las circunscripciones especiales de la Cámara de Representantes y a la Cámara de Representantes en 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p w14:paraId="23BBE21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Para los candidatos a la Cámara de Representantes por las circunscripciones territoriales, a las gobernaciones y a las asambleas departamentales, es el delegado seccional en lo electoral de la correspondiente circunscripción.</w:t>
      </w:r>
    </w:p>
    <w:p w14:paraId="79DCB4C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Para los candidatos a concejos y alcaldías distritales o municipales, es el respectivo registrador distrital, especial o municipal, según el caso.</w:t>
      </w:r>
    </w:p>
    <w:p w14:paraId="230F901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Para los candidatos a juntas administradoras locales, es el respectivo registrador especial, municipal o auxiliar, según el caso.</w:t>
      </w:r>
    </w:p>
    <w:p w14:paraId="2717373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Para los candidatos a los Consejos Municipales y Locales de juventud, es el registrador municipal, auxiliar y especiales según el caso.</w:t>
      </w:r>
    </w:p>
    <w:p w14:paraId="40AD2A2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verificará si existe sanción respecto de la suspensión del derecho de inscribir candidatos o listas en la circunscripción por parte de algún partido o movimiento político con personería jurídica reconocida por esta corporación. De existir sanción, se abstendrá de inscribir la candidatura.</w:t>
      </w:r>
    </w:p>
    <w:p w14:paraId="4E37858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72. Periodo de inscripción de candidatos. </w:t>
      </w:r>
      <w:r w:rsidRPr="00222F34">
        <w:rPr>
          <w:rFonts w:ascii="Calibri" w:eastAsia="Times New Roman" w:hAnsi="Calibri" w:cs="Calibri"/>
          <w:color w:val="000000"/>
          <w:lang w:val="es-CO" w:eastAsia="es-CO" w:bidi="ar-SA"/>
        </w:rPr>
        <w:t>La inscripción de candidatos a cargos de elección popular iniciará cuatro (4) meses antes del día de las elecciones y se realizará durante un (1) mes.</w:t>
      </w:r>
    </w:p>
    <w:p w14:paraId="430A07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w:t>
      </w:r>
    </w:p>
    <w:p w14:paraId="72C4E4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En los casos de elecciones atípicas o complementarias, el periodo de inscripción de candidatos durará quince (15) días del calendario, contados a partir del día siguiente calendario a la convocatoria de las nuevas elecciones.</w:t>
      </w:r>
    </w:p>
    <w:p w14:paraId="066FF96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73.- Requisitos para la inscripción de candidatos.</w:t>
      </w:r>
      <w:r w:rsidRPr="00222F34">
        <w:rPr>
          <w:rFonts w:ascii="Calibri" w:eastAsia="Times New Roman" w:hAnsi="Calibri" w:cs="Calibri"/>
          <w:color w:val="000000"/>
          <w:lang w:val="es-CO" w:eastAsia="es-CO" w:bidi="ar-SA"/>
        </w:rPr>
        <w:t xml:space="preserve"> La inscripción de candidatos a cargos y corporaciones de elección popular está sometida al cumplimiento de los siguientes requisitos: </w:t>
      </w:r>
    </w:p>
    <w:p w14:paraId="10C0191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Presentación del documento que acredite la candidatura, según el caso: </w:t>
      </w:r>
    </w:p>
    <w:p w14:paraId="348E9EE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En el caso de los partidos o movimientos políticos con personería jurídica reconocida por el Consejo Nacional Electoral, aval expedido por el representante legal o su delegado, evento este último en el que se deberá acompañar, además, el documento de delegación. </w:t>
      </w:r>
    </w:p>
    <w:p w14:paraId="5E72FC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En el caso de candidatos de grupos significativos de ciudadanos y sus coaliciones, certificación de la autoridad electoral sobre la validez y suficiencia de los apoyos recaudados por los comités inscriptores, la póliza de seriedad prevista en este código; y la aprobación o registro del logosimbolo por el Consejo Nacional Electoral. Se aclara en todo caso que la póliza no se constituirá para la postulación de presidente y vicepresidente de la República. </w:t>
      </w:r>
    </w:p>
    <w:p w14:paraId="7C4138A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En el caso de circunscripciones especiales de comunidades étnicas, documento expedido por la autoridad competente, conforme a la normatividad vigente. </w:t>
      </w:r>
    </w:p>
    <w:p w14:paraId="6D26D3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En el caso de la circunscripción internacional, el requisito de residencia mínima en el extranjero se entenderá que se ha cumplido bajo gravedad de juramento en el momento de la inscripción. </w:t>
      </w:r>
    </w:p>
    <w:p w14:paraId="059852C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 </w:t>
      </w:r>
    </w:p>
    <w:p w14:paraId="3FACD7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Fotocopia de la cédula de ciudadanía o medio de autenticación de la cédula digital de los candidatos. </w:t>
      </w:r>
    </w:p>
    <w:p w14:paraId="64E11F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Dos (2) fotografías de los candidatos del tamaño que se solicita para una cédula y con fondo blanco. </w:t>
      </w:r>
    </w:p>
    <w:p w14:paraId="2B7DC8F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 </w:t>
      </w:r>
    </w:p>
    <w:p w14:paraId="1394A2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Cumplido el requisito del aval no se exigirá la presentación del representante legal del partido o movimiento político, o su delegado, para radicar el formulario de la inscripción de la candidatura. En el caso de la inscripción de los grupos significativos de ciudadanos se exigirá la presentación de al menos dos (2) de los tres (3) miembros de su comité promotor. </w:t>
      </w:r>
    </w:p>
    <w:p w14:paraId="483177A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las coaliciones en el formulario de inscripción se deberá señalar de forma expresa cada candidato a qué agrupación u organización política pertenece. </w:t>
      </w:r>
    </w:p>
    <w:p w14:paraId="2CC7187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Programa de gobierno, en el caso de inscripción de candidaturas para alcaldes y gobernadores. El programa de gobierno será la base del proyecto de plan de desarrollo que el elegido someta ante la corporación pública respectiva.</w:t>
      </w:r>
    </w:p>
    <w:p w14:paraId="6D02FAF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6. Certificación de la Sala de Consulta y Servicio Civil del Consejo de Estado sobre el cumplimiento de los requisitos, para el caso de los candidatos a la Presidencia y Vicepresidencia de la República. </w:t>
      </w:r>
    </w:p>
    <w:p w14:paraId="26632FE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Cumplimiento de la cuota de paridad entre mujeres y hombres, en el caso de inscripciones de candidatos a corporaciones públicas. </w:t>
      </w:r>
    </w:p>
    <w:p w14:paraId="463248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El registro de los ingresos y gastos de campaña se ajustará a la normatividad vigente expedida por el Fondo de Financiación Política del Consejo Nacional Electoral. </w:t>
      </w:r>
    </w:p>
    <w:p w14:paraId="1207BF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Documento que acredite que las organizaciones políticas y los Grupos Significativos de Ciudadanos, consultaron la Ventanilla Única Electoral Permanente (VUEP), para determinar las calidades de los candidatos. </w:t>
      </w:r>
    </w:p>
    <w:p w14:paraId="4E3F64C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Indicación del correo electrónico u otro medio similar que permita el envío, recepción y almacenamiento de mensajes de datos, por parte del candidato, del partido y/o de los miembros del Grupo Significativo de Ciudadanos.</w:t>
      </w:r>
    </w:p>
    <w:p w14:paraId="710A81FB"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establecerá los parámetros y el contenido del formulario de inscripción, sin perjuicio de una plataforma tecnológica que permita adelantar todo el proceso de inscripción. </w:t>
      </w:r>
    </w:p>
    <w:p w14:paraId="3B2969E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Solo se permitirá la inscripción de un candidato o lista por partido o movimiento político, grupo significativo de ciudadanos, coaliciones u organizaciones étnicas durante el periodo de inscripción. </w:t>
      </w:r>
    </w:p>
    <w:p w14:paraId="3ED0962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el caso de elecciones juveniles, el documento de identificación será la tarjeta de identidad o el documento de identificación del menor de edad que avale la Registraduría Nacional del Estado Civil. </w:t>
      </w:r>
    </w:p>
    <w:p w14:paraId="631D9B8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Asimismo, una vez terminado el correspondiente proceso electoral, las entidades financieras deberán actualizar la información interna sobre personas expuestas políticamente, para lo cual se permitirá la realización de las diligencias necesarias para verificar y actualizar la información de los clientes que, por su naturaleza, puede variar, de conformidad con las leyes vigentes. </w:t>
      </w:r>
    </w:p>
    <w:p w14:paraId="01E474D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Las entidades financieras que ofrezcan en su portafolio la creación de cuentas para el manejo de recursos de campañas electorales, y reciban solicitudes de creación de cuentas únicas para la recepción y administración de recursos de las campañas electorales, deberán responder dicha solicitud en un plazo de ocho (8) días hábiles siguientes a la solicitud, so pena de incurrir en las sanciones correspondientes por parte de la Superintendencia Financiera.  </w:t>
      </w:r>
    </w:p>
    <w:p w14:paraId="3462498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Con la inscripción de la candidatura se autoriza a la Organización Electoral para que notifique sus actos a través de los medios electrónicos, suministrados por las organizaciones políticas, sus candidatos, gerentes de campaña, apoderados y a quienes intervengan en alguna de las etapas del proceso electoral.</w:t>
      </w:r>
    </w:p>
    <w:p w14:paraId="39AC4E9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74. Póliza de seriedad de candidaturas de grupos significativos de ciudadanos o sus coaliciones.</w:t>
      </w:r>
      <w:r w:rsidRPr="00222F34">
        <w:rPr>
          <w:rFonts w:ascii="Calibri" w:eastAsia="Times New Roman" w:hAnsi="Calibri" w:cs="Calibri"/>
          <w:color w:val="000000"/>
          <w:lang w:val="es-CO" w:eastAsia="es-CO" w:bidi="ar-SA"/>
        </w:rPr>
        <w:t xml:space="preserve"> 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w:t>
      </w:r>
    </w:p>
    <w:p w14:paraId="2250A3D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las compañías aseguradoras podrán exigir como requisito para la expedición de pólizas de seriedad de la candidatura la constitución de contragarantías de cualquier naturaleza, por el riesgo asegurable.</w:t>
      </w:r>
    </w:p>
    <w:p w14:paraId="0AAA61E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garantía se hará exigible por parte del funcionario electoral competente de la inscripción con la sola verificación de los resultados en el documento electoral correspondiente, cuando el candidato o la lista de candidatos no obtuvieren al menos la siguiente votación:</w:t>
      </w:r>
    </w:p>
    <w:p w14:paraId="457A728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En las elecciones para corporaciones públicas, el cincuenta (50%) o más del umbral determinado para la respectiva corporación.</w:t>
      </w:r>
    </w:p>
    <w:p w14:paraId="05883A7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En las elecciones para presidente y vicepresidente de la República, gobernadores y alcaldes, el cuatro (4%) o más del total de votos válidos depositados en la respectiva elección.</w:t>
      </w:r>
    </w:p>
    <w:p w14:paraId="56380BD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renuncia extemporánea del candidato presentada hasta cuarenta (40) días calendario antes de la fecha de la elección será causal de exoneración de ejecución de la póliza.</w:t>
      </w:r>
    </w:p>
    <w:p w14:paraId="3F2B60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75. Modalidades de póliza de seriedad.</w:t>
      </w:r>
      <w:r w:rsidRPr="00222F34">
        <w:rPr>
          <w:rFonts w:ascii="Calibri" w:eastAsia="Times New Roman" w:hAnsi="Calibri" w:cs="Calibri"/>
          <w:color w:val="000000"/>
          <w:lang w:val="es-CO" w:eastAsia="es-CO" w:bidi="ar-SA"/>
        </w:rPr>
        <w:t xml:space="preserve"> Para el cumplimiento de lo dispuesto en los artículos anteriores, las pólizas de seriedad de candidaturas se 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w:t>
      </w:r>
    </w:p>
    <w:p w14:paraId="7E143C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76. Verificación de requisitos.</w:t>
      </w:r>
      <w:r w:rsidRPr="00222F34">
        <w:rPr>
          <w:rFonts w:ascii="Calibri" w:eastAsia="Times New Roman" w:hAnsi="Calibri" w:cs="Calibri"/>
          <w:color w:val="000000"/>
          <w:lang w:val="es-CO" w:eastAsia="es-CO" w:bidi="ar-SA"/>
        </w:rPr>
        <w:t xml:space="preserve"> La Superintendencia Financiera o la que haga sus veces vigilará y sancionará a las entidades financieras o empresas aseguradoras que, pongan obstáculos, demanden requisitos adicionales o soliciten garantías reales o contragarantías con el fin de respaldar la apertura de la cuenta única o subcuentas para el manejo de los recursos en dinero de campaña y/o 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w:t>
      </w:r>
    </w:p>
    <w:p w14:paraId="6970BB4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El Consejo Nacional Electoral y la Superintendencia Financiera, doce (12) meses antes de cada certamen electoral, deberán expedir los requisitos necesarios para dar cumplimiento a los mandatos establecidos en este código.</w:t>
      </w:r>
    </w:p>
    <w:p w14:paraId="24CEC6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La Superintendencia Financiera publicará el listado de entidades que cuentan con autorización para expedir pólizas en el ramo de cumplimiento, este listado debe garantizar cobertura en todo el territorio nacional. Previa solicitud de las organizaciones o grupos de ciudadanos que requieran la expedición de la póliza ante las entidades aseguradoras, la Superintendencia Financiera de Colombia, en el marco de sus competencias, realizará procesos de acompañamiento para tales gestiones.</w:t>
      </w:r>
    </w:p>
    <w:p w14:paraId="2BAD7F0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77. Reglas especiales para la inscripción de candidatos de coalición a cargos uninominales. </w:t>
      </w:r>
      <w:r w:rsidRPr="00222F34">
        <w:rPr>
          <w:rFonts w:ascii="Calibri" w:eastAsia="Times New Roman" w:hAnsi="Calibri" w:cs="Calibri"/>
          <w:color w:val="000000"/>
          <w:lang w:val="es-CO" w:eastAsia="es-CO" w:bidi="ar-SA"/>
        </w:rPr>
        <w:t>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p>
    <w:p w14:paraId="39EF70E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w:t>
      </w:r>
    </w:p>
    <w:p w14:paraId="31CC538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las campañas presidenciales, también formarán parte de la coalición los partidos, movimientos y/o grupos significativos de ciudadanos políticos que públicamente manifiesten su apoyo al candidato, a través de su representante legal o del comité inscriptor, según sea el caso.</w:t>
      </w:r>
    </w:p>
    <w:p w14:paraId="06ADE9B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formulario de inscripción se indicarán los partidos, movimientos y/o grupos significativos de ciudadanos que integran la coalición y la militancia política del candidato.</w:t>
      </w:r>
    </w:p>
    <w:p w14:paraId="58EBF2B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candidato inscrito por una coalición a cargos uninominales podrá realizar eventos de proselitismo político en cada uno de los movimientos de ciudadanos, movimientos políticos o partidos políticos que apoye dicha coalición, en la elección para la cual fue inscrito.</w:t>
      </w:r>
    </w:p>
    <w:p w14:paraId="6ECC0D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78. Contenido del acuerdo de coalición a cargos uninominales.</w:t>
      </w:r>
      <w:r w:rsidRPr="00222F34">
        <w:rPr>
          <w:rFonts w:ascii="Calibri" w:eastAsia="Times New Roman" w:hAnsi="Calibri" w:cs="Calibri"/>
          <w:color w:val="000000"/>
          <w:lang w:val="es-CO" w:eastAsia="es-CO" w:bidi="ar-SA"/>
        </w:rPr>
        <w:t xml:space="preserve"> El acuerdo de coalición debe contener, como mínimo, los siguientes aspectos:</w:t>
      </w:r>
    </w:p>
    <w:p w14:paraId="2534CD6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 del Candidato y mecanismo mediante el cual se efectúa tanto la selección del candidato para cargo uninominal como su eventual modificación.</w:t>
      </w:r>
    </w:p>
    <w:p w14:paraId="75B9E8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programa de gobierno que el candidato de coalición a alcaldía o gobernación someterá a consideración de los votantes.</w:t>
      </w:r>
    </w:p>
    <w:p w14:paraId="7810B4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forma como se distribuirán los gastos y la reposición correspondiente, la distribución del anticipo, la rendición de informes consolidados, los sistemas de publicidad y de auditoría interna.</w:t>
      </w:r>
    </w:p>
    <w:p w14:paraId="33DCE7C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La forma de sufragar los gastos en los casos de ejecución de la póliza de seriedad de la candidatura.</w:t>
      </w:r>
    </w:p>
    <w:p w14:paraId="3CB5B25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mecanismo mediante el cual se conformará la terna en los casos en que hubiere lugar a reemplazar al elegido con motivo de faltas temporales o absolutas, respetando en la conformación de la terna al menos uno de los géneros.</w:t>
      </w:r>
    </w:p>
    <w:p w14:paraId="21885C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6. En caso de coalición con grupos significativos de ciudadanos se deberá aportar la certificación de validez y suficiencia de los apoyos.</w:t>
      </w:r>
    </w:p>
    <w:p w14:paraId="0744DB4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Ser suscrito por el representante legal del partido o movimiento político, candidato y por dos (2) de los inscriptores en el caso de los grupos significativos de ciudadanos.</w:t>
      </w:r>
    </w:p>
    <w:p w14:paraId="779CFDB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Definición de la organización política que otorga el aval principal al candidato.</w:t>
      </w:r>
    </w:p>
    <w:p w14:paraId="5CBE6E4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y los elegidos popularmente, pertenecientes a las organizaciones políticas coaligados no podrán inscribir ni apoyar candidato distinto al que fue designado por la coalición.</w:t>
      </w:r>
    </w:p>
    <w:p w14:paraId="1098C1E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inscripción hecha con inobservancia de este precepto será causal de no aceptación de la candidatura y subsidiariamente de revocatoria de la inscripción del candidato que se apoye, diferente al designado en la coalición.</w:t>
      </w:r>
    </w:p>
    <w:p w14:paraId="4F53924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79. Reglas especiales para la inscripción de candidatos de coalición a listas de corporaciones públicas de elección popular</w:t>
      </w:r>
      <w:r w:rsidRPr="00222F34">
        <w:rPr>
          <w:rFonts w:ascii="Calibri" w:eastAsia="Times New Roman" w:hAnsi="Calibri" w:cs="Calibri"/>
          <w:color w:val="000000"/>
          <w:lang w:val="es-CO" w:eastAsia="es-CO" w:bidi="ar-SA"/>
        </w:rPr>
        <w:t>. Los partidos y movimientos políticos con personería jurídica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p w14:paraId="541FCC6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 de los candidatos y descripción clara y expresa de la militancia política de cada uno de los candidatos y de las organizaciones políticas que suscriben el acuerdo.</w:t>
      </w:r>
    </w:p>
    <w:p w14:paraId="62F1EC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Las reglas para conformación de la lista, con el propósito de establecer el número de candidatos por cada partido o movimiento y la posición de los mismos al interior de la lista.</w:t>
      </w:r>
    </w:p>
    <w:p w14:paraId="76165C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Reglas para la modificación de las listas y cumplimiento de la cuota entre mujeres y hombres.</w:t>
      </w:r>
    </w:p>
    <w:p w14:paraId="52EF0B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Reglas para definir la asignación de vallas, cuñas radiales y demás publicidad de la campaña, según la reglamentación del Consejo Nacional Electoral.</w:t>
      </w:r>
    </w:p>
    <w:p w14:paraId="37A884D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Reglas para la presentación de informes de ingresos y gastos de la campaña según corresponda; y los mecanismos a través de los cuales se llevará a cabo la auditoría interna.</w:t>
      </w:r>
    </w:p>
    <w:p w14:paraId="56FD29D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Reglas en cuanto a la financiación de las campañas, incluyendo los anticipos y la forma como se distribuirá la reposición estatal de los gastos de campaña. y las previstas para hacer efectiva la póliza que trata el artículo 22 de la Ley 1475 de 2011 o norma que la modifique, adicione o derogue.</w:t>
      </w:r>
    </w:p>
    <w:p w14:paraId="493AC8A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7. Responsabilidad que le asiste a cada organización política en los eventos en que se infrinja la normativa electoral.</w:t>
      </w:r>
    </w:p>
    <w:p w14:paraId="6F3003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Reglas para la actuación de los elegidos en las correspondientes bancadas que suscriben el acuerdo.</w:t>
      </w:r>
    </w:p>
    <w:p w14:paraId="20037A7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Ubicación de los logos símbolos en la tarjeta electoral.</w:t>
      </w:r>
    </w:p>
    <w:p w14:paraId="407D811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Cada partido integrante de la coalición deberá cumplir con presentar los informes individuales y consolidados de los ingresos y gastos de campaña ante el Consejo Nacional Electoral de los candidatos que avalaron, a través del mecanismo que este determine.</w:t>
      </w:r>
    </w:p>
    <w:p w14:paraId="29CE3E1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 o norma que la sustituya o modifique.</w:t>
      </w:r>
    </w:p>
    <w:p w14:paraId="683130C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80. Carácter vinculante del acuerdo.</w:t>
      </w:r>
      <w:r w:rsidRPr="00222F34">
        <w:rPr>
          <w:rFonts w:ascii="Calibri" w:eastAsia="Times New Roman" w:hAnsi="Calibri" w:cs="Calibri"/>
          <w:color w:val="000000"/>
          <w:lang w:val="es-CO" w:eastAsia="es-CO" w:bidi="ar-SA"/>
        </w:rPr>
        <w:t xml:space="preserve"> La suscripción del acuerdo de coalición tiene carácter vinculante. Los partidos y movimientos políticos con personería jurídica y/o los grupos significativos de ciudadanos que suscriban el acuerdo de coalición se obligan a cumplir las estipulaciones del mismo. El incumplimiento del acuerdo tendrá las sanciones establecidas en la normativa vigente por el Consejo Nacional Electoral.</w:t>
      </w:r>
    </w:p>
    <w:p w14:paraId="422836A0"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Artículo 81. </w:t>
      </w:r>
      <w:r>
        <w:rPr>
          <w:rFonts w:ascii="Calibri" w:eastAsia="Times New Roman" w:hAnsi="Calibri" w:cs="Calibri"/>
          <w:b/>
          <w:bCs/>
          <w:color w:val="000000"/>
          <w:lang w:val="es-CO" w:eastAsia="es-CO" w:bidi="ar-SA"/>
        </w:rPr>
        <w:t>A</w:t>
      </w:r>
      <w:r w:rsidRPr="00222F34">
        <w:rPr>
          <w:rFonts w:ascii="Calibri" w:eastAsia="Times New Roman" w:hAnsi="Calibri" w:cs="Calibri"/>
          <w:b/>
          <w:bCs/>
          <w:color w:val="000000"/>
          <w:lang w:val="es-CO" w:eastAsia="es-CO" w:bidi="ar-SA"/>
        </w:rPr>
        <w:t>rtículo</w:t>
      </w:r>
      <w:r>
        <w:rPr>
          <w:rFonts w:ascii="Calibri" w:eastAsia="Times New Roman" w:hAnsi="Calibri" w:cs="Calibri"/>
          <w:b/>
          <w:bCs/>
          <w:color w:val="000000"/>
          <w:lang w:val="es-CO" w:eastAsia="es-CO" w:bidi="ar-SA"/>
        </w:rPr>
        <w:t xml:space="preserve"> eliminado</w:t>
      </w:r>
      <w:r w:rsidRPr="00222F34">
        <w:rPr>
          <w:rFonts w:ascii="Calibri" w:eastAsia="Times New Roman" w:hAnsi="Calibri" w:cs="Calibri"/>
          <w:b/>
          <w:bCs/>
          <w:color w:val="000000"/>
          <w:lang w:val="es-CO" w:eastAsia="es-CO" w:bidi="ar-SA"/>
        </w:rPr>
        <w:t>.</w:t>
      </w:r>
    </w:p>
    <w:p w14:paraId="1BC482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82. Inclusión de comunidades</w:t>
      </w:r>
      <w:r w:rsidRPr="00222F34">
        <w:rPr>
          <w:rFonts w:ascii="Calibri" w:eastAsia="Times New Roman" w:hAnsi="Calibri" w:cs="Calibri"/>
          <w:color w:val="000000"/>
          <w:lang w:val="es-CO" w:eastAsia="es-CO" w:bidi="ar-SA"/>
        </w:rPr>
        <w:t>. Las organizaciones políticas, de conformidad con sus estatutos, podrán propiciar mecanismos de democracia interna que promuevan la inclusión de los sujetos de especial protección constitucional y población que el partido político considere en la selección de sus candidaturas, así como en sus órganos de gobierno, dirección, control y administración.</w:t>
      </w:r>
    </w:p>
    <w:p w14:paraId="5CC1C67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83. Promotores del voto en blanco.</w:t>
      </w:r>
      <w:r w:rsidRPr="00222F34">
        <w:rPr>
          <w:rFonts w:ascii="Calibri" w:eastAsia="Times New Roman" w:hAnsi="Calibri" w:cs="Calibri"/>
          <w:color w:val="000000"/>
          <w:lang w:val="es-CO" w:eastAsia="es-CO" w:bidi="ar-SA"/>
        </w:rPr>
        <w:t xml:space="preserve"> 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p>
    <w:p w14:paraId="10E7BB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diseñará el formulario de inscripción con los requisitos para los comités promotores del voto en blanco.</w:t>
      </w:r>
    </w:p>
    <w:p w14:paraId="2505193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 fin.</w:t>
      </w:r>
    </w:p>
    <w:p w14:paraId="4FA572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3</w:t>
      </w:r>
      <w:r w:rsidRPr="00222F34">
        <w:rPr>
          <w:rFonts w:ascii="Calibri" w:eastAsia="Times New Roman" w:hAnsi="Calibri" w:cs="Calibri"/>
          <w:color w:val="000000"/>
          <w:lang w:val="es-CO" w:eastAsia="es-CO" w:bidi="ar-SA"/>
        </w:rPr>
        <w:t>. En las tarjetas electorales habrá una sola casilla del voto en blanco que será la que los comités podrán difundir o promover.</w:t>
      </w:r>
    </w:p>
    <w:p w14:paraId="19154E7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84. Aceptación de la solicitud de inscripción.</w:t>
      </w:r>
      <w:r w:rsidRPr="00222F34">
        <w:rPr>
          <w:rFonts w:ascii="Calibri" w:eastAsia="Times New Roman" w:hAnsi="Calibri" w:cs="Calibri"/>
          <w:color w:val="000000"/>
          <w:lang w:val="es-CO" w:eastAsia="es-CO" w:bidi="ar-SA"/>
        </w:rPr>
        <w:t xml:space="preserve"> 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En caso contrario, no los suscribirá.</w:t>
      </w:r>
    </w:p>
    <w:p w14:paraId="616FFAB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85. Requisitos especiales para la aceptación de candidaturas.</w:t>
      </w:r>
      <w:r w:rsidRPr="00222F34">
        <w:rPr>
          <w:rFonts w:ascii="Calibri" w:eastAsia="Times New Roman" w:hAnsi="Calibri" w:cs="Calibri"/>
          <w:color w:val="000000"/>
          <w:lang w:val="es-CO" w:eastAsia="es-CO" w:bidi="ar-SA"/>
        </w:rPr>
        <w:t xml:space="preserve"> 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Con su aceptación, el candidato declara:</w:t>
      </w:r>
    </w:p>
    <w:p w14:paraId="1FF2A70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Cumplimiento de los requisitos y calidades exigidos para el cargo o corporación.</w:t>
      </w:r>
    </w:p>
    <w:p w14:paraId="3AFFBD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No estar incurso en ninguna causal de inhabilidad o prohibición.</w:t>
      </w:r>
    </w:p>
    <w:p w14:paraId="000628F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 haber aceptado ser candidato a ningún otro cargo o corporación en la misma elección.</w:t>
      </w:r>
    </w:p>
    <w:p w14:paraId="075E977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No haber participado en consultas diferentes a las de la organización política por la cual se inscribe.</w:t>
      </w:r>
    </w:p>
    <w:p w14:paraId="52E5CD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podrá implementar el uso de la aceptación de la candidatura por medios electrónicos.</w:t>
      </w:r>
    </w:p>
    <w:p w14:paraId="550C9F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86. Rechazo de inscripciones</w:t>
      </w:r>
      <w:r w:rsidRPr="00222F34">
        <w:rPr>
          <w:rFonts w:ascii="Calibri" w:eastAsia="Times New Roman" w:hAnsi="Calibri" w:cs="Calibri"/>
          <w:color w:val="000000"/>
          <w:lang w:val="es-CO" w:eastAsia="es-CO" w:bidi="ar-SA"/>
        </w:rPr>
        <w:t>. 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w:t>
      </w:r>
    </w:p>
    <w:p w14:paraId="6049CE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solicitud de inscripción se rechazará por parte del funcionario competente mediante acto motivado, deberá notificarse dentro de los tres (3) días calendario siguientes al recibo de la documentación, susceptible de recurso de apelación que deberá ser resuelto dentro de los tres (3) días calendario siguientes por funcionario jerárquicamente superior, según corresponda.</w:t>
      </w:r>
    </w:p>
    <w:p w14:paraId="0A936F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87. Modificación de inscripciones.</w:t>
      </w:r>
      <w:r w:rsidRPr="00222F34">
        <w:rPr>
          <w:rFonts w:ascii="Calibri" w:eastAsia="Times New Roman" w:hAnsi="Calibri" w:cs="Calibri"/>
          <w:color w:val="000000"/>
          <w:lang w:val="es-CO" w:eastAsia="es-CO" w:bidi="ar-SA"/>
        </w:rPr>
        <w:t xml:space="preserve"> La inscripción de candidatos a cargos y corporaciones de elección popular podrá ser modificada en los siguientes casos:</w:t>
      </w:r>
    </w:p>
    <w:p w14:paraId="551FC3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w:t>
      </w:r>
      <w:r w:rsidRPr="00222F34">
        <w:rPr>
          <w:rFonts w:ascii="Calibri" w:eastAsia="Times New Roman" w:hAnsi="Calibri" w:cs="Calibri"/>
          <w:color w:val="000000"/>
          <w:lang w:val="es-CO" w:eastAsia="es-CO" w:bidi="ar-SA"/>
        </w:rPr>
        <w:lastRenderedPageBreak/>
        <w:t>plazo establecido, de lo cual el funcionario receptor dejará constancia y remitirá inmediatamente el escrito a la correspondiente autoridad electoral donde el candidato se inscribió inicialmente.</w:t>
      </w:r>
    </w:p>
    <w:p w14:paraId="3E95B95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Por no aceptación de la candidatura vencido el periodo de inscripciones. El aval expedido para la inscripción no podrá ser utilizado para las modificaciones.</w:t>
      </w:r>
    </w:p>
    <w:p w14:paraId="10F35B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w:t>
      </w:r>
    </w:p>
    <w:p w14:paraId="62F7E60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En casos de inhabilidad sobreviniente podrán modificarse las inscripciones hasta treinta (30) días calendario antes de la fecha de la correspondiente votación.</w:t>
      </w:r>
    </w:p>
    <w:p w14:paraId="5B403CC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w:t>
      </w:r>
    </w:p>
    <w:p w14:paraId="4A68C5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por causa de renuncia extemporánea de los integrantes de la lista inscrita se incumpla la cuota de paridad entre mujeres y hombres, solo se podrá hacer una recomposición de la lista para adicionar el o los candidatos faltantes, hasta cuarenta (40) días calendario antes de la correspondiente elección; en todo caso, la nueva lista debe cumplir la cuota de paridad entre mujeres y hombres. Vencido este término, sin que se haya realizado la recomposición la lista será revocada por el Consejo Nacional Electoral.</w:t>
      </w:r>
    </w:p>
    <w:p w14:paraId="30635C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La renuncia de los candidatos podrá efectuarse bajo el medio tecnológico que defina la Registraduría Nacional del Estado Civil, y que permita la autenticación e identificación de la persona.</w:t>
      </w:r>
    </w:p>
    <w:p w14:paraId="6EF19B0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Solo las renuncias extemporáneas presentadas hasta cuarenta (40) días calendario antes de la fecha de la elección surtirán trámite para excluir a los candidatos de los documentos electorales.</w:t>
      </w:r>
    </w:p>
    <w:p w14:paraId="45D684E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Para las modificaciones de candidatos y listas de grupos significativos de ciudadanos se acudirá a los candidatos en condición de remanentes aportados en el momento del registro del comité inscriptor.</w:t>
      </w:r>
    </w:p>
    <w:p w14:paraId="51B5BF3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El acto de modificación únicamente afectará al candidato y no a la inscripción tratándose de listas de candidatos, por tal motivo no podrá afectarse el acto propio inicial de inscripción.</w:t>
      </w:r>
    </w:p>
    <w:p w14:paraId="4475F31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88. Divulgación de candidatos inscritos.</w:t>
      </w:r>
      <w:r w:rsidRPr="00222F34">
        <w:rPr>
          <w:rFonts w:ascii="Calibri" w:eastAsia="Times New Roman" w:hAnsi="Calibri" w:cs="Calibri"/>
          <w:color w:val="000000"/>
          <w:lang w:val="es-CO" w:eastAsia="es-CO" w:bidi="ar-SA"/>
        </w:rPr>
        <w:t xml:space="preserve"> 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w:t>
      </w:r>
    </w:p>
    <w:p w14:paraId="7BFB2C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w:t>
      </w:r>
    </w:p>
    <w:p w14:paraId="6DE2E845"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p w14:paraId="34F5874B"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Revocatoria de Inscripción de Candidatos</w:t>
      </w:r>
    </w:p>
    <w:p w14:paraId="4A5415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89. </w:t>
      </w:r>
      <w:r w:rsidRPr="00222F34">
        <w:rPr>
          <w:rFonts w:ascii="Calibri" w:eastAsia="Times New Roman" w:hAnsi="Calibri" w:cs="Calibri"/>
          <w:color w:val="000000"/>
          <w:lang w:val="es-CO" w:eastAsia="es-CO" w:bidi="ar-SA"/>
        </w:rPr>
        <w:t>Competencia. El Consejo Nacional Electoral es competente para revocar la inscripción de candidatos por causales constitucionales o legales, de oficio o a solicitud de cualquier ciudadano, o por el Ministerio Público u organización política, hasta treinta (30) días calendario antes de la fecha de las elecciones, a través de procedimiento breve y sumario.</w:t>
      </w:r>
    </w:p>
    <w:p w14:paraId="16BE0DE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solicitud deberá ser presentada por el interesado ante el Consejo Nacional Electoral o ante el funcionario electoral competente de realizar la inscripción de la candidatura.</w:t>
      </w:r>
    </w:p>
    <w:p w14:paraId="142868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90. Causales de revocatoria de inscripción de candidatos</w:t>
      </w:r>
      <w:r w:rsidRPr="00222F34">
        <w:rPr>
          <w:rFonts w:ascii="Calibri" w:eastAsia="Times New Roman" w:hAnsi="Calibri" w:cs="Calibri"/>
          <w:color w:val="000000"/>
          <w:lang w:val="es-CO" w:eastAsia="es-CO" w:bidi="ar-SA"/>
        </w:rPr>
        <w:t>. Son causales de revocatoria de inscripción de candidatos:</w:t>
      </w:r>
    </w:p>
    <w:p w14:paraId="6D4F33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Falta de calidades y requisitos para el cargo, de conformidad con la Constitución y la ley.</w:t>
      </w:r>
    </w:p>
    <w:p w14:paraId="126A49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Inhabilidad constitucional o legal manifiestas y debidamente comprobadas.</w:t>
      </w:r>
    </w:p>
    <w:p w14:paraId="1286B78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Doble militancia política.</w:t>
      </w:r>
    </w:p>
    <w:p w14:paraId="553C01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Incumplimiento de la cuota de género en las listas en las que esta es exigida por la ley.</w:t>
      </w:r>
    </w:p>
    <w:p w14:paraId="7A19FE5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Inscripción de candidato distinto al del acuerdo de coalición.</w:t>
      </w:r>
    </w:p>
    <w:p w14:paraId="523EAF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los candidatos hayan participado en la consulta de un partido, movimiento político o coalición, distinto al que los inscribe.</w:t>
      </w:r>
    </w:p>
    <w:p w14:paraId="49D57F0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se dé la inscripción de candidato distinto al seleccionado mediante consulta popular o mediante los mecanismos de democracia interna definidos por las organizaciones políticas.</w:t>
      </w:r>
    </w:p>
    <w:p w14:paraId="1E769DB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Inscripción de un candidato previamente inscrito por otro partido, movimiento político o comité inscriptor del grupo significativo de ciudadanos para las mismas elecciones.</w:t>
      </w:r>
    </w:p>
    <w:p w14:paraId="478D201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Cuando el partido político y/o movimiento político otorgue el aval sin aplicación de los procedimientos democráticos internos estatutarios.</w:t>
      </w:r>
    </w:p>
    <w:p w14:paraId="0C15DFF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3E3CC7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3CB0787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81594B">
        <w:rPr>
          <w:rFonts w:ascii="Calibri" w:eastAsia="Times New Roman" w:hAnsi="Calibri" w:cs="Calibri"/>
          <w:bCs/>
          <w:color w:val="000000"/>
          <w:lang w:val="es-CO" w:eastAsia="es-CO" w:bidi="ar-SA"/>
        </w:rPr>
        <w:lastRenderedPageBreak/>
        <w:t>10</w:t>
      </w:r>
      <w:r w:rsidRPr="00222F34">
        <w:rPr>
          <w:rFonts w:ascii="Calibri" w:eastAsia="Times New Roman" w:hAnsi="Calibri" w:cs="Calibri"/>
          <w:color w:val="000000"/>
          <w:lang w:val="es-CO" w:eastAsia="es-CO" w:bidi="ar-SA"/>
        </w:rPr>
        <w:t>. Cuando los partidos y movimientos políticos con personería jurídica inscriban candidatos, en circunscripciones donde este suspendida dicha facultad por sanción del Consejo Nacional Electoral.</w:t>
      </w:r>
    </w:p>
    <w:p w14:paraId="590A0C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los numerales 7 y 8 procederá si el funcionario electoral competente no hubiera efectuado el rechazo de la inscripción por estas causales.</w:t>
      </w:r>
    </w:p>
    <w:p w14:paraId="7181F4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Consejo Nacional Electoral no podrá revocar la inscripción de la candidatura por sanciones de carácter administrativo y disciplinarias impuestas a funcionarios elegidos por voto popular.</w:t>
      </w:r>
    </w:p>
    <w:p w14:paraId="219B85F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91.- Causales de inhabilidad para ocupar cargos de elección popular en el nivel territorial.</w:t>
      </w:r>
      <w:r w:rsidRPr="00222F34">
        <w:rPr>
          <w:rFonts w:ascii="Calibri" w:eastAsia="Times New Roman" w:hAnsi="Calibri" w:cs="Calibri"/>
          <w:color w:val="000000"/>
          <w:lang w:val="es-CO" w:eastAsia="es-CO" w:bidi="ar-SA"/>
        </w:rPr>
        <w:t xml:space="preserve"> Además de las previstas en la Constitución Política y la ley, no podrán ser inscritos ni declarados elegidos ni designados como gobernadores, diputados, alcaldes y concejales los ciudadanos que hayan incurrido en las situaciones que se describen a continuación: </w:t>
      </w:r>
    </w:p>
    <w:p w14:paraId="666E6FA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En razón a situaciones ocurridas en cualquier tiempo: </w:t>
      </w:r>
    </w:p>
    <w:p w14:paraId="35BE32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Condena por sentencia judicial a pena privativa de la libertad, excepto por delitos políticos o culposos. </w:t>
      </w:r>
    </w:p>
    <w:p w14:paraId="5C99F61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Pérdida de la investidura de congresista, diputado, concejal o edil. </w:t>
      </w:r>
    </w:p>
    <w:p w14:paraId="1982EFC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Inhabilitación para el ejercicio de derechos y de funciones públicas impuesta en sentencia judicial, durante el tiempo señalado en la respectiva decisión. </w:t>
      </w:r>
    </w:p>
    <w:p w14:paraId="4F3679B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Pérdida del cargo por violación de topes de campaña declarada por la Jurisdicción de lo Contencioso Administrativo. </w:t>
      </w:r>
    </w:p>
    <w:p w14:paraId="77E75C8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En razón a situaciones ocurridas dentro del año anterior a la fecha de las votaciones, en la respectiva circunscripción electoral: </w:t>
      </w:r>
    </w:p>
    <w:p w14:paraId="01D6AA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Ejercicio de los cargos de fiscal, magistrado o juez de la República. </w:t>
      </w:r>
    </w:p>
    <w:p w14:paraId="2368ED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Ejercicio de cargo público como autoridad política, civil, administrativa o militar, conforme a las funciones previstas en la Constitución Política, la ley o reglamento para el respectivo cargo.  </w:t>
      </w:r>
    </w:p>
    <w:p w14:paraId="0B67E9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 Desempeño del cargo de contralor, personero, procurador o defensor del pueblo. </w:t>
      </w:r>
    </w:p>
    <w:p w14:paraId="2C6C178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 Gestión de negocios o suscripción de contrato estatal con entidades de cualquier nivel que deba ejecutarse en el respectivo departamento o municipio. </w:t>
      </w:r>
    </w:p>
    <w:p w14:paraId="49CEDF9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 Representación legal de personas jurídicas que administren tributos, tasas o contribuciones. </w:t>
      </w:r>
    </w:p>
    <w:p w14:paraId="2063BBD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f) Representación legal de entidades prestadoras de servicios públicos domiciliarios o de seguridad social en el régimen subsidiado. </w:t>
      </w:r>
    </w:p>
    <w:p w14:paraId="2D2A95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g) Vínculo de matrimonio o unión marital de hecho, parentesco hasta el tercer grado de consanguinidad, primero de afinidad y primero civil con personas que ejerzan o hayan ejercido los cargos de fiscal, magistrado o juez de </w:t>
      </w:r>
      <w:r w:rsidRPr="00222F34">
        <w:rPr>
          <w:rFonts w:ascii="Calibri" w:eastAsia="Times New Roman" w:hAnsi="Calibri" w:cs="Calibri"/>
          <w:color w:val="000000"/>
          <w:lang w:val="es-CO" w:eastAsia="es-CO" w:bidi="ar-SA"/>
        </w:rPr>
        <w:lastRenderedPageBreak/>
        <w:t xml:space="preserve">la República, cargo público como autoridad civil, administrativa, política o militar, salvo que se trate de empleo o cargo de carrera judicial, administrativa o especial. </w:t>
      </w:r>
    </w:p>
    <w:p w14:paraId="55C594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h) Vínculo de matrimonio o unión marital de hecho, parentesco hasta el tercer grado de consanguinidad, primero de afinidad y primero civil con personas que ejerzan o hayan ejercido la representación legal de entidades que administren tributos, tasas o contribuciones. </w:t>
      </w:r>
    </w:p>
    <w:p w14:paraId="17DE438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i) 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 </w:t>
      </w:r>
    </w:p>
    <w:p w14:paraId="44D123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Otras inhabilidades: </w:t>
      </w:r>
    </w:p>
    <w:p w14:paraId="2648EBD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Inscribirse por el mismo partido, movimiento político con personería jurídica o grupo significativo de ciudadanos para elecciones populares que deban realizarse en el mismo municipio o distrito y en la misma fecha, con el cónyuge, compañero permanente, pariente hasta el tercer grado de consanguinidad, primero de afinidad o primero civil. </w:t>
      </w:r>
    </w:p>
    <w:p w14:paraId="568C1F0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Inscribirse para cualquier cargo de elección popular dentro del periodo para el cual el ciudadano fue elegido como gobernador o alcalde. </w:t>
      </w:r>
    </w:p>
    <w:p w14:paraId="588FF2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2567CA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19CC12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44F65B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92.- Causales de inhabilidad en las Juntas Administradoras Locales. </w:t>
      </w:r>
      <w:r w:rsidRPr="00222F34">
        <w:rPr>
          <w:rFonts w:ascii="Calibri" w:eastAsia="Times New Roman" w:hAnsi="Calibri" w:cs="Calibri"/>
          <w:color w:val="000000"/>
          <w:lang w:val="es-CO" w:eastAsia="es-CO" w:bidi="ar-SA"/>
        </w:rPr>
        <w:t>Además de las previstas en la Constitución Política y la ley, no podrán ser inscritos ni elegidos para ediles de juntas administradoras locales, los ciudadanos que se encuentren incursos en las siguientes causales:</w:t>
      </w:r>
    </w:p>
    <w:p w14:paraId="3A32944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Haber sido condenado a pena privativa de la libertad por sentencia judicial dentro de los diez (10) años anteriores a la elección, salvo por delitos políticos o culposos.</w:t>
      </w:r>
    </w:p>
    <w:p w14:paraId="4170470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Haber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14:paraId="0B62D24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Haber perdido la investidura como miembro de alguna corporación de elección popular.</w:t>
      </w:r>
    </w:p>
    <w:p w14:paraId="692ADB9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4.Haber sido excluido del ejercicio de una profesión o sancionado más de dos (2) veces por faltas a la ética profesional por autoridad competente.</w:t>
      </w:r>
    </w:p>
    <w:p w14:paraId="2C37273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Haber sido empleado público o trabajador oficial del respectivo distrito o municipio dentro de los tres (3) meses anteriores a la elección.</w:t>
      </w:r>
    </w:p>
    <w:p w14:paraId="5AE850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6. Haber celebrado contrato estatal con entidad pública de cualquier nivel que debiera ejecutarse en el respectivo distrito o municipio, dentro de los tres (3) meses anteriores a la elección.</w:t>
      </w:r>
    </w:p>
    <w:p w14:paraId="1D608C8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Haber sido miembro de consejo o junta directiva en entidades públicas dentro de los tres (3) meses anteriores a la elección.</w:t>
      </w:r>
    </w:p>
    <w:p w14:paraId="1BFCEBF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Ser miembro de otra corporación de elección popular.</w:t>
      </w:r>
    </w:p>
    <w:p w14:paraId="50F54E6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Ser cónyuge, compañero permanente, pariente dentro del segundo grado de consanguinidad, primero de afinidad o primero civil de concejales o funcionarios públicos que ejerzan autoridad civil o política en el respectivo distrito o municipio.</w:t>
      </w:r>
    </w:p>
    <w:p w14:paraId="6DCD9F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93. Régimen de inhabilidades por aplicación del derecho personal establecido en el estatuto de oposición política.</w:t>
      </w:r>
      <w:r w:rsidRPr="00222F34">
        <w:rPr>
          <w:rFonts w:ascii="Calibri" w:eastAsia="Times New Roman" w:hAnsi="Calibri" w:cs="Calibri"/>
          <w:color w:val="000000"/>
          <w:lang w:val="es-CO" w:eastAsia="es-CO" w:bidi="ar-SA"/>
        </w:rPr>
        <w:t xml:space="preserve"> Las causales de inhabilidad aplicables a los candidatos que accedan a corporaciones públicas en virtud del derecho personal que les asista de acuerdo con los artículos 24 y 25 de la Ley 1909 de 2018 o norma que los modifique, sustituya o complemente, serán las propias del cargo para el cual se inscribieron.</w:t>
      </w:r>
    </w:p>
    <w:p w14:paraId="047D577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94. Clases de autoridad. </w:t>
      </w:r>
      <w:r w:rsidRPr="00222F34">
        <w:rPr>
          <w:rFonts w:ascii="Calibri" w:eastAsia="Times New Roman" w:hAnsi="Calibri" w:cs="Calibri"/>
          <w:color w:val="000000"/>
          <w:lang w:val="es-CO" w:eastAsia="es-CO" w:bidi="ar-SA"/>
        </w:rPr>
        <w:t>Para efectos de las causales de inhabilidad previstas en este código se entenderá por autoridad:</w:t>
      </w:r>
    </w:p>
    <w:p w14:paraId="57920AC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Autoridad civil. Es la manifestación de autoridad pública a través de actos de poder y mando dentro de una entidad territorial. Comprende la posibilidad de impartir órdenes a los servidores públicos y a los ciudadanos, y adoptar medidas correctivas para exigir su cumplimiento.</w:t>
      </w:r>
    </w:p>
    <w:p w14:paraId="18B4999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Autoridad administrativa. Ejerce autoridad administrativa el servidor público del nivel directivo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w:t>
      </w:r>
    </w:p>
    <w:p w14:paraId="6374DDC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Autoridad política. Es la que ejercen por razón del cargo el presidente de la República y los ministros, los gobernadores, alcaldes y secretarios de despacho.</w:t>
      </w:r>
    </w:p>
    <w:p w14:paraId="156D877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Autoridad militar. Es la que de acuerdo con la ley ostentan los oficiales en servicio activo de las Fuerzas Militares y los suboficiales con rango de comandantes. No ejercen autoridad militar, para efectos de las inhabilidades aquí previstas, los miembros de la Policía Nacional.</w:t>
      </w:r>
    </w:p>
    <w:p w14:paraId="25F2CE7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Autoridad jurisdiccional. 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fiscales, de conformidad con las competencias y facultades previstas en la Constitución Política y la ley.</w:t>
      </w:r>
    </w:p>
    <w:p w14:paraId="6EE6F30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los fines de este artículo, se tendrá en cuenta la autoridad que se ejerce en todo o en parte de la respectiva circunscripción del cargo al que aspira el candidato, salvo para ser elegido Senador de la República.</w:t>
      </w:r>
    </w:p>
    <w:p w14:paraId="2D06714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95. Presentación de la solicitud.</w:t>
      </w:r>
      <w:r w:rsidRPr="00222F34">
        <w:rPr>
          <w:rFonts w:ascii="Calibri" w:eastAsia="Times New Roman" w:hAnsi="Calibri" w:cs="Calibri"/>
          <w:color w:val="000000"/>
          <w:lang w:val="es-CO" w:eastAsia="es-CO" w:bidi="ar-SA"/>
        </w:rPr>
        <w:t xml:space="preserve"> Sin perjuicio de la facultad oficiosa, cualquier ciudadano u organización política podrá solicitar ante el Consejo Nacional Electoral la revocatoria de la inscripción de un candidato, la cual se deberá presentar dentro de los diez (10) días calendario siguientes a la publicación de la lista consolidada de candidatos inscritos de que trata este código.</w:t>
      </w:r>
    </w:p>
    <w:p w14:paraId="6B3425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solicitud deberá ser presentada por el interesado ante la Secretaría del Consejo Nacional Electoral, o ante el funcionario electoral que realizó la correspondiente inscripción del candidato, o remitida por medio físico, electrónico o cualquier canal habilitado por el Consejo Nacional Electoral.</w:t>
      </w:r>
    </w:p>
    <w:p w14:paraId="4A8329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w:t>
      </w:r>
    </w:p>
    <w:p w14:paraId="24E0F01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Secretaría del Consejo Nacional Electoral someterá a reparto las solicitudes de revocatoria de inscripción de candidatos a más tardar al día siguiente de su recepción en la entidad.</w:t>
      </w:r>
    </w:p>
    <w:p w14:paraId="64684E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Consejo Nacional Electoral podrá reglamentar la presentación de las solicitudes de revocatoria de inscripción por medios electrónicos y/o digitales. En todo procedimiento se deberán atender las reglas del respeto al debido proceso y el derecho de contradicción.</w:t>
      </w:r>
    </w:p>
    <w:p w14:paraId="108D91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efectos del trámite de los procesos de revocatoria de inscripción de candidatos la Sala Plena del Consejo Nacional Electoral podrá disponer que todos los días sean hábiles.</w:t>
      </w:r>
    </w:p>
    <w:p w14:paraId="220D65A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96. Requisitos de la solicitud</w:t>
      </w:r>
      <w:r w:rsidRPr="00222F34">
        <w:rPr>
          <w:rFonts w:ascii="Calibri" w:eastAsia="Times New Roman" w:hAnsi="Calibri" w:cs="Calibri"/>
          <w:color w:val="000000"/>
          <w:lang w:val="es-CO" w:eastAsia="es-CO" w:bidi="ar-SA"/>
        </w:rPr>
        <w:t>. La solicitud de revocatoria de inscripción deberá reunir los siguientes requisitos:</w:t>
      </w:r>
    </w:p>
    <w:p w14:paraId="7701E0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Nombres, apellidos, número de cédula de ciudadanía, firma, dirección de correspondencia o de residencia y/o medio electrónico del solicitante para surtir el proceso de notificación. Con el suministro del medio electrónico el solicitante autoriza y facilita a través de este, la comunicación y notificación, según el caso, de las decisiones que se adopten durante el proceso.</w:t>
      </w:r>
    </w:p>
    <w:p w14:paraId="1E1EF0D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Nombres y apellidos del candidato, dirección física o electrónica, si la conociere, objeto de la solicitud, cargo al que aspira, con indicación de la correspondiente circunscripción electoral, y organización política que lo inscribió.</w:t>
      </w:r>
    </w:p>
    <w:p w14:paraId="24093A3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Una relación clara y sucinta de los hechos que motivan la solicitud.</w:t>
      </w:r>
    </w:p>
    <w:p w14:paraId="110A79D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Invocar la causal alegada y su sustentación.</w:t>
      </w:r>
    </w:p>
    <w:p w14:paraId="59EFFEB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Aportar los medios de prueba que pretenden hacer valer y relacionar las pruebas que solicita decretar por parte del Consejo Nacional Electoral. Sin perjuicio de las demás que el Consejo Nacional Electoral considere pertinente ordenar.</w:t>
      </w:r>
    </w:p>
    <w:p w14:paraId="670CCB9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97. Verificación de requisitos.</w:t>
      </w:r>
      <w:r w:rsidRPr="00222F34">
        <w:rPr>
          <w:rFonts w:ascii="Calibri" w:eastAsia="Times New Roman" w:hAnsi="Calibri" w:cs="Calibri"/>
          <w:color w:val="000000"/>
          <w:lang w:val="es-CO" w:eastAsia="es-CO" w:bidi="ar-SA"/>
        </w:rPr>
        <w:t xml:space="preserve"> 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mediante auto contra el que no procede recurso.</w:t>
      </w:r>
    </w:p>
    <w:p w14:paraId="70EB306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98. Procedimiento breve y sumario para revocatoria de inscripción de candidaturas.</w:t>
      </w:r>
      <w:r w:rsidRPr="00222F34">
        <w:rPr>
          <w:rFonts w:ascii="Calibri" w:eastAsia="Times New Roman" w:hAnsi="Calibri" w:cs="Calibri"/>
          <w:color w:val="000000"/>
          <w:lang w:val="es-CO" w:eastAsia="es-CO" w:bidi="ar-SA"/>
        </w:rPr>
        <w:t xml:space="preserve"> El auto admisorio de la solicitud deberá contener expresamente la causal de revocatoria de inscripción de la que se acusa al candidato y se comunicará a través de correo electrónico o del medio más expedito a la organización política que otorga el aval,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w:t>
      </w:r>
    </w:p>
    <w:p w14:paraId="09ACC36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w:t>
      </w:r>
    </w:p>
    <w:p w14:paraId="43CFF9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igual manera, convocará a audiencia pública para alegar de conclusión o correrá traslado a las partes por un término de dos (2) días para tal fin.</w:t>
      </w:r>
    </w:p>
    <w:p w14:paraId="1C9D52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Suspendida la audiencia, la Sala Plena en sesión privada adoptará la decisión que corresponda, la cual se notificará en estrados, en audiencia de lectura de decisión e interposición de recurso.</w:t>
      </w:r>
    </w:p>
    <w:p w14:paraId="5A79890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w:t>
      </w:r>
    </w:p>
    <w:p w14:paraId="038B4EC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oportunidad para solicitar la revocatoria de inscripción prevista en este código, no limita la facultad oficiosa en cabeza del Consejo Nacional Electoral para el cumplimiento de lo consagrado en el numeral 12 del artículo 265 de la Constitución Política.</w:t>
      </w:r>
    </w:p>
    <w:p w14:paraId="125AE63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w:t>
      </w:r>
    </w:p>
    <w:p w14:paraId="443E9A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procedimiento previsto en este artículo deberá garantizar que las decisiones sean adoptadas y queden en firme treinta (30) días calendario antes de la fecha de la elección.</w:t>
      </w:r>
    </w:p>
    <w:p w14:paraId="30B46EC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TÍTULO IV</w:t>
      </w:r>
    </w:p>
    <w:p w14:paraId="15097F7D"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RÉGIMEN DE PROPAGANDA ELECTORAL, ENCUESTAS Y SONDEOS DE CARÁCTER ELECTORAL</w:t>
      </w:r>
    </w:p>
    <w:p w14:paraId="286C99AE"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695075AF"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propaganda electoral</w:t>
      </w:r>
    </w:p>
    <w:p w14:paraId="4EBFB3B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99. De la propaganda electoral.</w:t>
      </w:r>
      <w:r w:rsidRPr="00222F34">
        <w:rPr>
          <w:rFonts w:ascii="Calibri" w:eastAsia="Times New Roman" w:hAnsi="Calibri" w:cs="Calibri"/>
          <w:color w:val="000000"/>
          <w:lang w:val="es-CO" w:eastAsia="es-CO" w:bidi="ar-SA"/>
        </w:rPr>
        <w:t xml:space="preserve"> Entiéndase por propaganda electoral toda forma de publicidad realizada en cualquier medio de divulgación o en manifestaciones y actos de carácter proselitistas en espacios públicos con el fin tácito o expreso de obtener el voto de los ciudadanos a favor de partidos o movimientos políticos, listas o candidatos a cargos o corporaciones públicas de elección popular, del voto en blanco, o de una opción en los mecanismos de participación ciudadana.</w:t>
      </w:r>
    </w:p>
    <w:p w14:paraId="2B5F02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No se considerará como propaganda electoral el contenido de apoyo difundido, de manera espontánea, sobre candidatos o partidos por parte de personas naturales a través de sus redes sociales, excepto que se trate de personas que ejerzan jurisdicción o autoridad política, civil, administrativa o militar. Siempre que ésta no se convierta en una práctica sistemática haciendo uso de los elementos constitutivos de la campaña del candidato.</w:t>
      </w:r>
    </w:p>
    <w:p w14:paraId="76E13C6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 propaganda electoral sólo podrán utilizarse los símbolos, emblemas o logotipos  o éstos acompañados de elementos del marketing publicitario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w:t>
      </w:r>
    </w:p>
    <w:p w14:paraId="39D6E6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candidatos, partidos, movimientos políticos y grupos significativos de ciudadanos deberán reportar ante el Consejo Nacional Electoral todos los recursos o donaciones en especie destinados a las campañas electorales de conformidad con la Ley 1475 de 2011 o norma que la modifique, sustituya o adicione. Entre estos se incluirá la propaganda contratada para difusión en las redes sociales y plataformas digitales.</w:t>
      </w:r>
    </w:p>
    <w:p w14:paraId="0452C7A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medios masivos de comunicaciones también estarán obligados a reportar la publicidad política pagada ante el Consejo Nacional Electoral, de quienes hayan contratado los servicios y el beneficiario de éstos.</w:t>
      </w:r>
    </w:p>
    <w:p w14:paraId="76C131C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Consejo Nacional Electoral, a través de los Tribunales de Vigilancia y Garantías Electorales, se encargará de ejercer inspección, control y vigilancia en tiempo real sobre el cumplimiento de las reglas de publicidad y propaganda electoral previstas en este Código, así como ordenarán el desmonte y las investigaciones pertinentes cuando las campañas electorales difundan o permitan la difusión de propaganda electoral o contenidos publicitarios, especialmente, a través de redes sociales que intenten, falsamente, manipular a los electores o provocar efectos sobre su comportamiento electoral.</w:t>
      </w:r>
    </w:p>
    <w:p w14:paraId="6C9F3A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100. Período de la propaganda electoral.</w:t>
      </w:r>
      <w:r w:rsidRPr="00222F34">
        <w:rPr>
          <w:rFonts w:ascii="Calibri" w:eastAsia="Times New Roman" w:hAnsi="Calibri" w:cs="Calibri"/>
          <w:color w:val="000000"/>
          <w:lang w:val="es-CO" w:eastAsia="es-CO" w:bidi="ar-SA"/>
        </w:rPr>
        <w:t xml:space="preserve"> Las actividades de propaganda electoral, a través de cualquier medio de divulgación, únicamente podrán realizarse dentro de los tres (3) meses anteriores a la fecha de la respectiva votación. Este período incluye la promoción en lugares públicos por parte de los partidos, movimientos políticos con personería jurídica y los grupos significativos de ciudadanos.</w:t>
      </w:r>
    </w:p>
    <w:p w14:paraId="33A50A7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Queda prohibida cualquier tipo de propaganda electoral que se realice antes del periodo aquí establecido, incluyendo la propaganda electoral de expectativa y las reuniones de asistencia masiva en la que se promueva o posicione de manera anticipada el nombre de un eventual y futuro candidato dentro de unas elecciones. El Consejo Nacional Electoral adelantará las investigaciones contra quienes incumplan esta prohibición e impondrá como sanción la no inscripción del candidato, sin perjuicio de las sanciones pecuniarias a que haya lugar.</w:t>
      </w:r>
    </w:p>
    <w:p w14:paraId="5D8E51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101. Límites de la propaganda electoral por medios electrónicos. </w:t>
      </w:r>
      <w:r w:rsidRPr="00222F34">
        <w:rPr>
          <w:rFonts w:ascii="Calibri" w:eastAsia="Times New Roman" w:hAnsi="Calibri" w:cs="Calibri"/>
          <w:color w:val="000000"/>
          <w:lang w:val="es-CO" w:eastAsia="es-CO" w:bidi="ar-SA"/>
        </w:rPr>
        <w:t>La propaganda electoral desplegada a través de las redes sociales, correos electrónicos, mensajes de texto y las plataformas digitales que permiten crear, publicar, reproducir y repetir publicidad en un espacio digital no podrá exceder los topes de gastos de campaña establecidos por el órgano electoral y le serán aplicables todas las disposiciones establecidas en este código.</w:t>
      </w:r>
    </w:p>
    <w:p w14:paraId="37D06AB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naturales o jurídicas que, conforme a lo dispuesto en esta ley, elaboren, contraten y reproduzcan propaganda electoral a través de cualquier medio, incluyendo plataformas digitales, creadores de contenido, redes sociales y telefonía, deberán reportar al Consejo Nacional Electoral los gastos de publicidad y promoción con el objeto de verificar los topes de campaña preestablecidos. Los creadores de contenido deberán consignar una etiqueta o insignia en sus publicaciones, que las identifiquen como propaganda electoral pagada.</w:t>
      </w:r>
    </w:p>
    <w:p w14:paraId="519B574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Consejo Nacional Electoral establecerá la reglamentación de la propaganda electoral por medios electrónicos, en un plazo no superior a seis (6) meses contados desde la entrada en vigencia de la presente ley.</w:t>
      </w:r>
    </w:p>
    <w:p w14:paraId="4F704C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El envío de cualquier mensaje de difusión de propaganda electoral por medios electrónicos deberá respetar el derecho de hábeas data, y sujetarse a lo dispuesto en la Ley 1581 de 2012.</w:t>
      </w:r>
    </w:p>
    <w:p w14:paraId="223B96A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campañas tienen la obligación de ofrecer a los titulares de los datos la posibilidad de ejercer todos los derechos consagrados en el artículo 4 de la Ley 1581 de 2012, incluyendo la solicitud de prueba de la autorización para el tratamiento de los datos personales del titular y la posibilidad de revocar la autorización de uso.</w:t>
      </w:r>
    </w:p>
    <w:p w14:paraId="630EF81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102. Límites de la propaganda electoral.</w:t>
      </w:r>
      <w:r w:rsidRPr="00222F34">
        <w:rPr>
          <w:rFonts w:ascii="Calibri" w:eastAsia="Times New Roman" w:hAnsi="Calibri" w:cs="Calibri"/>
          <w:color w:val="000000"/>
          <w:lang w:val="es-CO" w:eastAsia="es-CO" w:bidi="ar-SA"/>
        </w:rPr>
        <w:t xml:space="preserve"> El Consejo Nacional Electoral, a más tardar el treinta (30) de enero de cada año, señalará el número y la duración de emisiones en radio y televisión, el número y el tamaño de avisos en publicaciones en medios impresos y digitales y en vallas, que pueden tener en cada campaña los partidos, movimientos y grupos significativos de ciudadanos que hayan inscrito candidatos.</w:t>
      </w:r>
    </w:p>
    <w:p w14:paraId="505003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competencia será ejercida respecto de las elecciones ordinarias, las atípicas, las consultas de agrupaciones políticas y los mecanismos de participación ciudadana.</w:t>
      </w:r>
    </w:p>
    <w:p w14:paraId="28AA4A6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definir la cantidad, la duración y las dimensiones máximas de las piezas de publicidad, según el caso, el Consejo Nacional Electoral tendrá en cuenta la categoría de las entidades territoriales, la cobertura de los medios de comunicación social y/o de difusión y los límites de gastos de campaña establecidos para cada elección.</w:t>
      </w:r>
    </w:p>
    <w:p w14:paraId="27F55E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p w14:paraId="0B48BB6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De los decomisos realizados se remitirá copia del informe respectivo al Consejo Nacional Electoral para las investigaciones pertinentes.</w:t>
      </w:r>
    </w:p>
    <w:p w14:paraId="004AA64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Quedan prohibidos los eventos en espacios públicos ocho (8) días antes del día de las votaciones.</w:t>
      </w:r>
    </w:p>
    <w:p w14:paraId="4AD8CFC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w:t>
      </w:r>
    </w:p>
    <w:p w14:paraId="7AA8AA3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grupos significativos de ciudadanos deberán desmontar la propaganda electoral y publicidad política que se encuentre a 100 metros del puesto de votación, a más tardar ocho (8) días antes del día de las votaciones.</w:t>
      </w:r>
    </w:p>
    <w:p w14:paraId="3395DC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las violaciones a este precepto se remitirá copia del informe respectivo al Consejo Nacional Electoral para las investigaciones correspondientes.</w:t>
      </w:r>
    </w:p>
    <w:p w14:paraId="1749B37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103. Propaganda en el operador público nacional del servicio de televisión y de radio difusión sonora. </w:t>
      </w:r>
      <w:r w:rsidRPr="00222F34">
        <w:rPr>
          <w:rFonts w:ascii="Calibri" w:eastAsia="Times New Roman" w:hAnsi="Calibri" w:cs="Calibri"/>
          <w:color w:val="000000"/>
          <w:lang w:val="es-CO" w:eastAsia="es-CO" w:bidi="ar-SA"/>
        </w:rPr>
        <w:t>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 por dos (2) meses y hasta ocho (8) días calendario antes de las elecciones. Vencidos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w:t>
      </w:r>
    </w:p>
    <w:p w14:paraId="017597C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De las violaciones a este precepto se remitirá copia del informe respectivo al Consejo Nacional Electoral para las investigaciones correspondientes.</w:t>
      </w:r>
    </w:p>
    <w:p w14:paraId="174C30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Se otorgará igual número de espacios a cada una de las listas, candidatos u opciones electorales inscritos, en cada franja de transmisión, razón por la que se asignará el número de espacios necesarios para garantizar la igualdad aquí consagrada.</w:t>
      </w:r>
    </w:p>
    <w:p w14:paraId="60E84AC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duración de los espacios podrá ser diferente y variable teniendo en cuenta la naturaleza de la elección.</w:t>
      </w:r>
    </w:p>
    <w:p w14:paraId="4A89CEA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espacios se sortearán por franjas de horario teniendo en cuenta la audiencia o sintonía de cada franja, y garantizando que se otorgarán espacios en horarios de mayor sintonía o audiencia.</w:t>
      </w:r>
    </w:p>
    <w:p w14:paraId="23CAE0A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sorteo garantizará que ninguna campaña pueda repetir espacio en la misma franja hasta tanto no hayan tenido la misma oportunidad las demás campañas.</w:t>
      </w:r>
    </w:p>
    <w:p w14:paraId="3919085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espacios no son acumulables, razón por la cual se perderán cuando no sean utilizados por las respectivas campañas.</w:t>
      </w:r>
    </w:p>
    <w:p w14:paraId="1060ADE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7. Los costos de producción serán asumidos por las campañas beneficiarias de los mismos.</w:t>
      </w:r>
    </w:p>
    <w:p w14:paraId="67FBF2F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w:t>
      </w:r>
    </w:p>
    <w:p w14:paraId="47A4161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Parágrafo. La decisión de que trata este artículo será susceptible de recurso de reposición.</w:t>
      </w:r>
    </w:p>
    <w:p w14:paraId="7062C9CF"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18E4F7AC"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encuestas y sondeos de carácter electoral</w:t>
      </w:r>
    </w:p>
    <w:p w14:paraId="22FE438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104. Alcance</w:t>
      </w:r>
      <w:r w:rsidRPr="00222F34">
        <w:rPr>
          <w:rFonts w:ascii="Calibri" w:eastAsia="Times New Roman" w:hAnsi="Calibri" w:cs="Calibri"/>
          <w:color w:val="000000"/>
          <w:lang w:val="es-CO" w:eastAsia="es-CO" w:bidi="ar-SA"/>
        </w:rPr>
        <w:t>. Las disposiciones contenidas en este capítulo de la presente Ley, son aplicables a todo estudio que se publique y a las personas naturales y jurídicas que los realicen y divulguen, cuyo objetivo sea dar a conocer preferencias o tendencias políticas y electorales, incluyendo la intención de voto y la imagen de los candidatos para procesos de decisión o elección mediante voto popular.</w:t>
      </w:r>
    </w:p>
    <w:p w14:paraId="0F7039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encuestas realizadas o encargadas por los partidos políticos, movimientos políticos y grupos significativos de ciudadanos con el fin de escoger sus candidatos, serán de obligatoria publicación y se regirán por las disposiciones contenidas en la presente Ley.</w:t>
      </w:r>
    </w:p>
    <w:p w14:paraId="5F6BFEC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105. Definiciones. </w:t>
      </w:r>
      <w:r w:rsidRPr="00222F34">
        <w:rPr>
          <w:rFonts w:ascii="Calibri" w:eastAsia="Times New Roman" w:hAnsi="Calibri" w:cs="Calibri"/>
          <w:color w:val="000000"/>
          <w:lang w:val="es-CO" w:eastAsia="es-CO" w:bidi="ar-SA"/>
        </w:rPr>
        <w:t>Para la aplicación de la presente Ley, se deben considerar las siguientes definiciones:</w:t>
      </w:r>
    </w:p>
    <w:p w14:paraId="4D1B3BB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Encuesta o encuesta probabilística: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w:t>
      </w:r>
    </w:p>
    <w:p w14:paraId="28CFBB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Sondeo: 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 Para efectos de lo dispuesto en esta Ley, esta definición no aplica para la utilización de mecanismos de consulta de opinión incorporados en las aplicaciones de redes sociales.</w:t>
      </w:r>
    </w:p>
    <w:p w14:paraId="444A589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Firmas encuestadoras: Para todos los efectos de la presente ley, se entenderán como firmas encuestadoras todas las personas jurídicas que publiquen encuestas, en cuyo objeto social se encuentre el levantamiento, recolección y procesamiento de datos para dar a conocer preferencias o tendencias políticas o electorales para procesos de decisión o elección mediante voto popular y se hayan registrado para tal fin en el Registro Nacional de Firmas Encuestadoras.</w:t>
      </w:r>
    </w:p>
    <w:p w14:paraId="7335B23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Dicha información será verificada en su certificado de existencia y representación legal, expedido por la Cámara de Comercio correspondiente.</w:t>
      </w:r>
    </w:p>
    <w:p w14:paraId="6E037AA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Municipios de inclusión forzosa para la toma de muestras en investigaciones cuantitativas: serán aquellos municipios con una población igual o superior a 800,000 habitantes. </w:t>
      </w:r>
    </w:p>
    <w:p w14:paraId="1685C81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Municipios grandes para la toma de muestras en investigaciones cuantitativas: serán aquellos municipios con una población inferior a 799,999 y superior a 100,000 habitantes. </w:t>
      </w:r>
    </w:p>
    <w:p w14:paraId="2558F4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Municipios medianos para la toma de muestras en investigaciones cuantitativas: serán aquellos municipios con una población inferior a 99,999 habitantes y superior a 50,000 habitantes. </w:t>
      </w:r>
    </w:p>
    <w:p w14:paraId="60B5AC9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Municipios pequeños para la toma de muestras en investigaciones cuantitativas: serán aquellos municipios con una población inferior a 50,000 habitantes. </w:t>
      </w:r>
    </w:p>
    <w:p w14:paraId="34AA86C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106. De la Selección de la Muestra.</w:t>
      </w:r>
      <w:r w:rsidRPr="00222F34">
        <w:rPr>
          <w:rFonts w:ascii="Calibri" w:eastAsia="Times New Roman" w:hAnsi="Calibri" w:cs="Calibri"/>
          <w:color w:val="000000"/>
          <w:lang w:val="es-CO" w:eastAsia="es-CO" w:bidi="ar-SA"/>
        </w:rPr>
        <w:t xml:space="preserve"> 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 Se considerará encuesta toda aquella que tenga un margen de error de máximo tres por ciento (3%) y un nivel de confianza mínimo del noventa y cinco por ciento (95%) para las preguntas de conocimiento, favorabilidad e intención de voto para personajes y/o candidatos con un fenómeno de ocurrencia de más del 30%, en el caso de los estudios a nivel nacional. Para el caso de los estudios a nivel departamental y/o municipal, el margen de error máximo será del cinco por ciento (5%) y el nivel de confianza mínimo del noventa y cinco por ciento (95%) para las preguntas de conocimiento, favorabilidad e intención de voto y para personajes y/o candidatos con un fenómeno de ocurrencia de más del 30%. Además, la distribución de la muestra deberá cumplir con los siguientes parámetros:</w:t>
      </w:r>
    </w:p>
    <w:p w14:paraId="0D005D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w:t>
      </w:r>
    </w:p>
    <w:p w14:paraId="6211AF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b) 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w:t>
      </w:r>
    </w:p>
    <w:p w14:paraId="5B990E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seleccionados de manera probabilística, con respecto a la población total del municipio o distrito.</w:t>
      </w:r>
    </w:p>
    <w:p w14:paraId="19C072B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107. Encuestas de conocimiento, favorabilidad política, opinión o intención del voto. </w:t>
      </w:r>
      <w:r w:rsidRPr="00222F34">
        <w:rPr>
          <w:rFonts w:ascii="Calibri" w:eastAsia="Times New Roman" w:hAnsi="Calibri" w:cs="Calibri"/>
          <w:color w:val="000000"/>
          <w:lang w:val="es-CO" w:eastAsia="es-CO" w:bidi="ar-SA"/>
        </w:rPr>
        <w:t xml:space="preserve">Cuando se indague por el conocimiento, la favorabilidad política opinión o intención de voto la sobre políticos o personajes </w:t>
      </w:r>
      <w:r w:rsidRPr="00222F34">
        <w:rPr>
          <w:rFonts w:ascii="Calibri" w:eastAsia="Times New Roman" w:hAnsi="Calibri" w:cs="Calibri"/>
          <w:color w:val="000000"/>
          <w:lang w:val="es-CO" w:eastAsia="es-CO" w:bidi="ar-SA"/>
        </w:rPr>
        <w:lastRenderedPageBreak/>
        <w:t>públicos susceptibles de ser elegidos a un cargo uninominal de elección popular se procurará indagar por la mayor diversidad de candidatos posible. La exclusión deliberada de candidatos con reconocimiento público y opciones de ser elegidos se considerará como manipulación al elector. En ningún caso podrán omitirse candidatos con un fenómeno de ocurrencia mayor del diez por ciento (10%).</w:t>
      </w:r>
    </w:p>
    <w:p w14:paraId="06FE999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haya finalizado el término para la inscripción, las encuestas deberán incluir a todos los candidatos inscritos para la respectiva contienda electoral.</w:t>
      </w:r>
    </w:p>
    <w:p w14:paraId="705658D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108. Requisitos formales para la publicación de encuestas.</w:t>
      </w:r>
      <w:r w:rsidRPr="00222F34">
        <w:rPr>
          <w:rFonts w:ascii="Calibri" w:eastAsia="Times New Roman" w:hAnsi="Calibri" w:cs="Calibri"/>
          <w:color w:val="000000"/>
          <w:lang w:val="es-CO" w:eastAsia="es-CO" w:bidi="ar-SA"/>
        </w:rPr>
        <w:t xml:space="preserve"> Toda encuesta de opinión de carácter electoral al ser publicada o difundida, tendrá que serlo en su totalidad y deberá indicar de manera clara y visible la siguiente información, a manera de ficha técnica:</w:t>
      </w:r>
    </w:p>
    <w:p w14:paraId="3B9C2CE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persona natural o jurídica que la realizó y la encomendó.  </w:t>
      </w:r>
    </w:p>
    <w:p w14:paraId="717304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fuente de su financiación. </w:t>
      </w:r>
    </w:p>
    <w:p w14:paraId="6482EB1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El tipo y tamaño de la muestra.  </w:t>
      </w:r>
    </w:p>
    <w:p w14:paraId="0D80D49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El tema o temas concretos a los que se refiere. </w:t>
      </w:r>
    </w:p>
    <w:p w14:paraId="2268E13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El texto literal de la pregunta o preguntas formuladas, y el orden en el que se realizaron.  </w:t>
      </w:r>
    </w:p>
    <w:p w14:paraId="2C953A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Los candidatos por quienes se indagó. </w:t>
      </w:r>
    </w:p>
    <w:p w14:paraId="73E95E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El área y la fecha o período de tiempo en que se realizó.  </w:t>
      </w:r>
    </w:p>
    <w:p w14:paraId="5AE8BFB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El margen de error calculado.  </w:t>
      </w:r>
    </w:p>
    <w:p w14:paraId="2E0FA65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Tipo de estudio con arreglo a las categorías descritas en la presente Ley.  </w:t>
      </w:r>
    </w:p>
    <w:p w14:paraId="296C85A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10. El propósito del estudio.  </w:t>
      </w:r>
    </w:p>
    <w:p w14:paraId="434F7C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11. Universo representado.  </w:t>
      </w:r>
    </w:p>
    <w:p w14:paraId="5B6D12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12. Técnica utilizada para la selección de la muestra.  </w:t>
      </w:r>
    </w:p>
    <w:p w14:paraId="025BE1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13. Método de recolección de datos (persona a persona, telefónica, por correo u otra).  </w:t>
      </w:r>
    </w:p>
    <w:p w14:paraId="19F579A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14. Personas o instituciones por quienes se indagó.  </w:t>
      </w:r>
    </w:p>
    <w:p w14:paraId="79492B1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15. Nivel de confiabilidad.  </w:t>
      </w:r>
    </w:p>
    <w:p w14:paraId="070671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16. Declaración en la que se informe si hubo algún tipo de contraprestación por responder la encuesta. En caso de que se hubiere otorgado contraprestación, se deberá declarar la naturaleza y el valor de dicha contraprestación.  </w:t>
      </w:r>
    </w:p>
    <w:p w14:paraId="1D32017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17. En toda publicación deberá incluirse, de manera resaltada y claramente visible, que todas las encuestas se ven afectadas por márgenes de error.  </w:t>
      </w:r>
    </w:p>
    <w:p w14:paraId="226E9B0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18. El número efectivo de respuestas a cada una de las preguntas en forma individual. </w:t>
      </w:r>
    </w:p>
    <w:p w14:paraId="083D43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w:t>
      </w:r>
    </w:p>
    <w:p w14:paraId="314E23F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deberá depositarse ante la Comisión Técnica y de Vigilancia de Encuestas en el momento mismo de la publicación.</w:t>
      </w:r>
    </w:p>
    <w:p w14:paraId="1DC7C5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Las encuestas o estudios de opinión que no cumplan con los requisitos establecidos en este artículo no podrán ser publicadas ni difundidas por los medios de comunicación en sus propios medios o en sus redes sociales.</w:t>
      </w:r>
    </w:p>
    <w:p w14:paraId="1402E7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w:t>
      </w:r>
    </w:p>
    <w:p w14:paraId="4E7AF7D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109. Informe técnico.</w:t>
      </w:r>
      <w:r w:rsidRPr="00222F34">
        <w:rPr>
          <w:rFonts w:ascii="Calibri" w:eastAsia="Times New Roman" w:hAnsi="Calibri" w:cs="Calibri"/>
          <w:color w:val="000000"/>
          <w:lang w:val="es-CO" w:eastAsia="es-CO" w:bidi="ar-SA"/>
        </w:rPr>
        <w:t xml:space="preserve"> Con anterioridad a la publicación de la encuesta, las firmas encuestadoras deberán depositar ante el Consejo Nacional Electoral un informe técnico en el que se consigne la siguiente información:</w:t>
      </w:r>
    </w:p>
    <w:p w14:paraId="5E832CE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Copia del acto jurídico mediante el cual se encargó la encuesta. </w:t>
      </w:r>
    </w:p>
    <w:p w14:paraId="695F6BE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Costo total de la encuesta.  </w:t>
      </w:r>
    </w:p>
    <w:p w14:paraId="0CBBFED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Diseño muestral que evidencie la representatividad del estudio, el método de selección de la muestra y la trazabilidad de los datos. </w:t>
      </w:r>
    </w:p>
    <w:p w14:paraId="232BA01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costo total de la encuesta sólo podrá ser publicado por el Consejo Nacional Electoral con el consentimiento expreso y por escrito del representante legal de la firma encuestadora depositante.</w:t>
      </w:r>
    </w:p>
    <w:p w14:paraId="5BA8AD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110. Comisión Técnica y de Vigilancia de Encuestas sobre Preferencias Políticas y Electorales</w:t>
      </w:r>
      <w:r w:rsidRPr="00222F34">
        <w:rPr>
          <w:rFonts w:ascii="Calibri" w:eastAsia="Times New Roman" w:hAnsi="Calibri" w:cs="Calibri"/>
          <w:color w:val="000000"/>
          <w:lang w:val="es-CO" w:eastAsia="es-CO" w:bidi="ar-SA"/>
        </w:rPr>
        <w:t>. La Comisión Técnica y de Vigilancia de Encuestas sobre Preferencias Políticas y Electorales es un órgano técnico adscrito al Consejo Nacional Electoral, al que le corresponde verificar el cumplimiento de lo dispuesto en la presente ley.</w:t>
      </w:r>
    </w:p>
    <w:p w14:paraId="7126343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Serán funciones de la Comisión:</w:t>
      </w:r>
    </w:p>
    <w:p w14:paraId="61AD31B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 Recibir, estudiar y conceptuar sobre el cumplimiento de las disposiciones que regulan la elaboración y publicación de encuestas.</w:t>
      </w:r>
    </w:p>
    <w:p w14:paraId="4C59F5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Reunirse periódicamente para revisar las encuestas que se presenten para su escrutinio. </w:t>
      </w:r>
    </w:p>
    <w:p w14:paraId="323B7B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w:t>
      </w:r>
    </w:p>
    <w:p w14:paraId="2EF917A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111. Conformación de la Comisión Técnica y de Vigilancia de Encuestas sobre Preferencias Políticas y Electorales.</w:t>
      </w:r>
      <w:r w:rsidRPr="00222F34">
        <w:rPr>
          <w:rFonts w:ascii="Calibri" w:eastAsia="Times New Roman" w:hAnsi="Calibri" w:cs="Calibri"/>
          <w:color w:val="000000"/>
          <w:lang w:val="es-CO" w:eastAsia="es-CO" w:bidi="ar-SA"/>
        </w:rPr>
        <w:t xml:space="preserve"> 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p>
    <w:p w14:paraId="250C11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estará integrada por:</w:t>
      </w:r>
    </w:p>
    <w:p w14:paraId="5B031E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Un (1) miembro designado por el Consejo Nacional Electoral. </w:t>
      </w:r>
    </w:p>
    <w:p w14:paraId="21B564F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Cuatro (4) miembros con experiencia en la aplicación de encuestas, designado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 estadística. </w:t>
      </w:r>
    </w:p>
    <w:p w14:paraId="46F05E5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Un (1) miembro designado por el Consejo de Estado. </w:t>
      </w:r>
    </w:p>
    <w:p w14:paraId="0E5FB89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Un (1) miembro designado por el Procurador General de la Nación. </w:t>
      </w:r>
    </w:p>
    <w:p w14:paraId="093997A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naturales o jurídicas a las que se refiere este parágrafo o que se inscriban como candidatos en las elecciones que se estén desarrollando.</w:t>
      </w:r>
    </w:p>
    <w:p w14:paraId="017AD15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112. De los encuestadores</w:t>
      </w:r>
      <w:r w:rsidRPr="00222F34">
        <w:rPr>
          <w:rFonts w:ascii="Calibri" w:eastAsia="Times New Roman" w:hAnsi="Calibri" w:cs="Calibri"/>
          <w:color w:val="000000"/>
          <w:lang w:val="es-CO" w:eastAsia="es-CO" w:bidi="ar-SA"/>
        </w:rPr>
        <w:t>. 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w:t>
      </w:r>
    </w:p>
    <w:p w14:paraId="5FBE700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También serán objeto de sanción las personas naturales o jurídicas que realicen o difundan encuestas o sondeos de carácter electoral falsas, que publiquen o difundan encuestas que incumplan las disposiciones establecidas en la presente ley o que utilicen emblemas de empresas encuestadoras registradas ante el Consejo Nacional Electoral, sin tener autorización de la firma encuestadora para utilizarlo. </w:t>
      </w:r>
    </w:p>
    <w:p w14:paraId="27DD23A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Además de las sanciones a que se someten las personas naturales y jurídicas que realicen encuestas electorales y/o sondeos falsos en virtud de la presente ley, tanto éstas como los medios de comunicación social que permitieron la difusión de las mismas, se verán obligados a realizar rectificaciones y excusas públicas.</w:t>
      </w:r>
    </w:p>
    <w:p w14:paraId="69AC76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Para efectos de la presente Ley, mientras no haya otra disposición normativa, se aplicarán las sanciones previstas en la Ley 130 de 1994.</w:t>
      </w:r>
    </w:p>
    <w:p w14:paraId="185C79E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113. Del registro.</w:t>
      </w:r>
      <w:r w:rsidRPr="00222F34">
        <w:rPr>
          <w:rFonts w:ascii="Calibri" w:eastAsia="Times New Roman" w:hAnsi="Calibri" w:cs="Calibri"/>
          <w:color w:val="000000"/>
          <w:lang w:val="es-CO" w:eastAsia="es-CO" w:bidi="ar-SA"/>
        </w:rPr>
        <w:t xml:space="preserve"> Las firmas encuestadoras que se ocupen de realizar encuestas sobre preferencias electorales deberán registrarse ante el Consejo Nacional Electoral, entidad que tendrá a su cargo la dirección y coordinación del Registro Nacional de Firmas Encuestadoras.</w:t>
      </w:r>
    </w:p>
    <w:p w14:paraId="2EBE930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firmas encuestadoras que se ocupen de realizar encuestas de opinión sobre preferencias políticas y electorales deberán solicitar su inclusión en el Registro Nacional de Firmas Encuestadoras, como requisito previo para que sus encuestas puedan ser publicadas en los medios de comunicación.</w:t>
      </w:r>
    </w:p>
    <w:p w14:paraId="601A444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inscripción en el Registro Nacional de Firmas Encuestadoras, se deberá aportar la siguiente información:</w:t>
      </w:r>
    </w:p>
    <w:p w14:paraId="6ABA83D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p w14:paraId="106037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5643E12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Certificado del Registro Único de Proponentes (RUP), en caso de tenerlo, como criterio para la verificación de la facturación y trayectoria de la firma encuestadora.</w:t>
      </w:r>
    </w:p>
    <w:p w14:paraId="0520723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w:t>
      </w:r>
    </w:p>
    <w:p w14:paraId="48C9E5B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w:t>
      </w:r>
      <w:r w:rsidRPr="00222F34">
        <w:rPr>
          <w:rFonts w:ascii="Calibri" w:eastAsia="Times New Roman" w:hAnsi="Calibri" w:cs="Calibri"/>
          <w:color w:val="000000"/>
          <w:lang w:val="es-CO" w:eastAsia="es-CO" w:bidi="ar-SA"/>
        </w:rPr>
        <w:lastRenderedPageBreak/>
        <w:t xml:space="preserve">Administrativo, modificado por el artículo 1° de la Ley 1755 de 2015 o norma que lo modifique, adicione o sustituya. </w:t>
      </w:r>
    </w:p>
    <w:p w14:paraId="047F945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 </w:t>
      </w:r>
    </w:p>
    <w:p w14:paraId="2D6AEA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79B33E5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w:t>
      </w:r>
    </w:p>
    <w:p w14:paraId="6C6B638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p w14:paraId="6ED5F6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114. Veda de encuestas. </w:t>
      </w:r>
      <w:r w:rsidRPr="00222F34">
        <w:rPr>
          <w:rFonts w:ascii="Calibri" w:eastAsia="Times New Roman" w:hAnsi="Calibri" w:cs="Calibri"/>
          <w:color w:val="000000"/>
          <w:lang w:val="es-CO" w:eastAsia="es-CO" w:bidi="ar-SA"/>
        </w:rPr>
        <w:t>No se podrán realizar, publicar o difundir encuestas, sondeos o proyecciones electorales dentro de los ocho (8) días calendario anteriores a las elecciones.</w:t>
      </w:r>
    </w:p>
    <w:p w14:paraId="2156D4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115. Auditoría y trazabilidad de los datos. </w:t>
      </w:r>
      <w:r w:rsidRPr="00222F34">
        <w:rPr>
          <w:rFonts w:ascii="Calibri" w:eastAsia="Times New Roman" w:hAnsi="Calibri" w:cs="Calibri"/>
          <w:color w:val="000000"/>
          <w:lang w:val="es-CO" w:eastAsia="es-CO" w:bidi="ar-SA"/>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p>
    <w:p w14:paraId="1B137AC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w:t>
      </w:r>
    </w:p>
    <w:p w14:paraId="555916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116. Prohibiciones. </w:t>
      </w:r>
      <w:r w:rsidRPr="00222F34">
        <w:rPr>
          <w:rFonts w:ascii="Calibri" w:eastAsia="Times New Roman" w:hAnsi="Calibri" w:cs="Calibri"/>
          <w:color w:val="000000"/>
          <w:lang w:val="es-CO" w:eastAsia="es-CO" w:bidi="ar-SA"/>
        </w:rPr>
        <w:t>Las firmas encuestadoras registradas ante el Consejo Nacional Electoral y sus representantes legales, o miembros de junta directiva no podrán realizar aportes a las campañas políticas.</w:t>
      </w:r>
    </w:p>
    <w:p w14:paraId="55BC60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Se prohíbe toda publicación, divulgación de sondeos, a cualquier título, sobre preferencias políticas o electorales o divulgación en medios electrónicos o de comunicación de pronósticos, proyecciones o encuestas que no cumplan con las disposiciones establecidas en la presente Ley y/o que sean realizadas por firmas </w:t>
      </w:r>
      <w:r w:rsidRPr="00222F34">
        <w:rPr>
          <w:rFonts w:ascii="Calibri" w:eastAsia="Times New Roman" w:hAnsi="Calibri" w:cs="Calibri"/>
          <w:color w:val="000000"/>
          <w:lang w:val="es-CO" w:eastAsia="es-CO" w:bidi="ar-SA"/>
        </w:rPr>
        <w:lastRenderedPageBreak/>
        <w:t>encuestadoras que no estén registradas en el Registro Nacional de Firmas Encuestadoras del Consejo Nacional Electoral.</w:t>
      </w:r>
    </w:p>
    <w:p w14:paraId="36BCCFC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117. Competencia en materia de encuestas y sondeos de contenido electoral.</w:t>
      </w:r>
      <w:r w:rsidRPr="00222F34">
        <w:rPr>
          <w:rFonts w:ascii="Calibri" w:eastAsia="Times New Roman" w:hAnsi="Calibri" w:cs="Calibri"/>
          <w:color w:val="000000"/>
          <w:lang w:val="es-CO" w:eastAsia="es-CO" w:bidi="ar-SA"/>
        </w:rPr>
        <w:t xml:space="preserve"> El Consejo Nacional Electoral, en ejercicio de sus atribuciones constitucionales y legales, está facultado para reglamentar los asuntos relacionados con la realización, publicación, difusión de encuestas y los sondeos de carácter electorales.</w:t>
      </w:r>
    </w:p>
    <w:p w14:paraId="047ABF1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w:t>
      </w:r>
    </w:p>
    <w:p w14:paraId="74025E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118. Procedimiento administrativo sancionatorio.</w:t>
      </w:r>
      <w:r w:rsidRPr="00222F34">
        <w:rPr>
          <w:rFonts w:ascii="Calibri" w:eastAsia="Times New Roman" w:hAnsi="Calibri" w:cs="Calibri"/>
          <w:color w:val="000000"/>
          <w:lang w:val="es-CO" w:eastAsia="es-CO" w:bidi="ar-SA"/>
        </w:rPr>
        <w:t xml:space="preserve"> 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o norma que lo modifique, adicione o sustituya. Lo anterior, sin perjuicio de las conductas penales en las que sus representantes legales o empleados puedan llegar a incurrir.</w:t>
      </w:r>
    </w:p>
    <w:p w14:paraId="19E2D4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 o norma que lo modifique, adicione o sustituya.</w:t>
      </w:r>
    </w:p>
    <w:p w14:paraId="2E0CDBE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Se considerarán faltas graves que las preguntas al público sean formuladas de manera que induzcan una respuesta determinada, que las gráficas o datos sean plasmados para favorecer o aceptar un candidato o que el resultado global de dichas preguntas no represente la realidad que se pretende describir con las mismas.</w:t>
      </w:r>
    </w:p>
    <w:p w14:paraId="3E5D20E8"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119.- Sanciones en materia de encuestas.</w:t>
      </w:r>
      <w:r w:rsidRPr="00222F34">
        <w:rPr>
          <w:rFonts w:ascii="Calibri" w:eastAsia="Times New Roman" w:hAnsi="Calibri" w:cs="Calibri"/>
          <w:color w:val="000000"/>
          <w:lang w:val="es-CO" w:eastAsia="es-CO" w:bidi="ar-SA"/>
        </w:rPr>
        <w:t xml:space="preserve"> La infracción de las disposiciones de este capítulo será sancionada por el Consejo Nacional Electoral con multa entre ciento cincuenta (150) y doscientos cincuenta (250) salarios mínimos legales mensuales vigentes, y la suspensión o exclusión definitiva del Registro Nacional de Firmas Encuestadoras. Estas sanciones se podrán imponer según la gravedad de la falta y el concepto de la Comisión Técnica y de Vigilancia sobre Preferencias Políticas y Electorales, a la firma encuestadora, y/o al medio de comunicación o difusión, y/o a quienes encomendaron o financiaron la realización de la encuesta, de conformidad con el procedimiento administrativo sancionatorio previsto en el Código de Procedimiento Administrativo y de lo Contencioso Administrativo. </w:t>
      </w:r>
    </w:p>
    <w:p w14:paraId="15C4450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120. Registro Público de Contratos sobre encuestas de carácter político y electoral.</w:t>
      </w:r>
      <w:r w:rsidRPr="00222F34">
        <w:rPr>
          <w:rFonts w:ascii="Calibri" w:eastAsia="Times New Roman" w:hAnsi="Calibri" w:cs="Calibri"/>
          <w:color w:val="000000"/>
          <w:lang w:val="es-CO" w:eastAsia="es-CO" w:bidi="ar-SA"/>
        </w:rPr>
        <w:t xml:space="preserve"> Para la publicación de las encuestas de que trata la presente Ley, se depositarán todos los contratos sobre encuestas de carácter político y electoral, que se realicen para partidos políticos, movimientos políticos, o movimientos </w:t>
      </w:r>
      <w:r w:rsidRPr="00222F34">
        <w:rPr>
          <w:rFonts w:ascii="Calibri" w:eastAsia="Times New Roman" w:hAnsi="Calibri" w:cs="Calibri"/>
          <w:color w:val="000000"/>
          <w:lang w:val="es-CO" w:eastAsia="es-CO" w:bidi="ar-SA"/>
        </w:rPr>
        <w:lastRenderedPageBreak/>
        <w:t>significativos de ciudadanos o candidatos, incluyendo los contratos cuyo objeto sea la realización de estudios políticos o electorales sin intención de ser publicados.</w:t>
      </w:r>
    </w:p>
    <w:p w14:paraId="2598710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Asimismo, las firmas que hagan parte del Registro Nacional de Firmas Encuestadoras deberán aportar copia de todos los contratos que hayan celebrado en los últimos tres (3) años con personas naturales o jurídicas, de derecho público o privado, sin importar el objeto de los contratos.</w:t>
      </w:r>
    </w:p>
    <w:p w14:paraId="643544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Este registro deberá ser actualizado con la publicación de cada encuesta. En dicho registro se deberá publicar la fecha en que se encargó el estudio, el nombre o razón social de la firma encuestadora y el nombre o razón social de la persona que lo encargó. las firmas encuestadoras deberán depositar en el Registro Público de Contratos sobre encuestas de carácter político y electoral, el acto jurídico mediante el cual se encargó la respectiva investigación.</w:t>
      </w:r>
    </w:p>
    <w:p w14:paraId="6A847C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que las partes hayan convenido cláusulas o acuerdos o compromisos de confidencialidad, el CNE garantizará la reserva de la información sobre el objeto del contrato.</w:t>
      </w:r>
    </w:p>
    <w:p w14:paraId="77B6E4F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w:t>
      </w:r>
    </w:p>
    <w:p w14:paraId="3E7A4719"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DESARROLLO DE LAS ELECCIONES POPULARES</w:t>
      </w:r>
    </w:p>
    <w:p w14:paraId="740657A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325CBB9E"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puestos de votación</w:t>
      </w:r>
    </w:p>
    <w:p w14:paraId="2A96674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121.- Distribución de los puestos de votación.</w:t>
      </w:r>
      <w:r w:rsidRPr="00222F34">
        <w:rPr>
          <w:rFonts w:ascii="Calibri" w:eastAsia="Times New Roman" w:hAnsi="Calibri" w:cs="Calibri"/>
          <w:color w:val="000000"/>
          <w:lang w:val="es-CO" w:eastAsia="es-CO" w:bidi="ar-SA"/>
        </w:rPr>
        <w:t xml:space="preserve"> La Registraduría Nacional del Estado Civil establecerá la División Política Electoral en la que se definirá cuantos y cuales puestos de votación funcionarán para cada elección o mecanismo de participación ciudadana, en todo el territorio nacional y en el exterior, en coordinación con el Ministerio de Relaciones Exteriores. </w:t>
      </w:r>
    </w:p>
    <w:p w14:paraId="6703ED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Deberán instalarse puestos de votación en las cabeceras municipales, comunas y corregimientos. Para que se instalen puestos de votación en un corregimiento, es necesario que esté creado con no menos de seis (6) meses de antelación a la fecha de las elecciones. </w:t>
      </w:r>
    </w:p>
    <w:p w14:paraId="1CC2B1A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También se deberán instalar puestos permanentes en las zonas determinadas como suburbanas y centros poblados rurales, en resguardos indígenas y consejos comunitarios y áreas no municipalizadas que atiendan la existencia de unas mínimas condiciones de distancia entre el área urbana y la rural, la población, la accesibilidad, la seguridad, las instalaciones bajo techo, la salubridad, el acceso a redes de energía y telecomunicaciones, entre otros. </w:t>
      </w:r>
    </w:p>
    <w:p w14:paraId="74258A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garantizar la facilidad para el ejercicio del sufragio y el acceso de toda la ciudadanía, la Registraduría Nacional del Estado Civil podrá crear, fusionar, y trasladar puestos de votación trasladando sus censos, por solicitud de la ciudadanía o de oficio, de manera motivada, procurando la garantía de participación de toda la ciudadanía habilitada. Para atender las solicitudes ciudadanas, la Registraduría Nacional del Estado Civil creará un procedimiento interno. Previo a cada elección fijará el número de sufragantes por mesa y dos (2) meses antes </w:t>
      </w:r>
      <w:r w:rsidRPr="00222F34">
        <w:rPr>
          <w:rFonts w:ascii="Calibri" w:eastAsia="Times New Roman" w:hAnsi="Calibri" w:cs="Calibri"/>
          <w:color w:val="000000"/>
          <w:lang w:val="es-CO" w:eastAsia="es-CO" w:bidi="ar-SA"/>
        </w:rPr>
        <w:lastRenderedPageBreak/>
        <w:t>de la elección publicará los puestos de votación que se habilitarán en cada circunscripción. La Registraduría Nacional del Estado Civil reglamentará la materia.</w:t>
      </w:r>
    </w:p>
    <w:p w14:paraId="5F351FB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Así mismo, deberán instalarse puestos de votación en los centros de formación juvenil del Sistema de Responsabilidad Penal para Adolescentes, donde se encuentren jóvenes privados de la libertad  </w:t>
      </w:r>
    </w:p>
    <w:p w14:paraId="140DF244"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Según las necesidades del servicio, la Registraduría Nacional del Estado Civil podrá flexibilizar la disposición de puestos y mesas según el horario, el género y la edad. </w:t>
      </w:r>
    </w:p>
    <w:p w14:paraId="7613E52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la creación, fusión, traslado e instalación de puestos de votación, la Registraduría Nacional del Estado Civil velará porque los mismos sean adecuados y accesibles, de conformidad con lo previsto en el presente Código. </w:t>
      </w:r>
    </w:p>
    <w:p w14:paraId="744C04A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para las elecciones a Consejos de juventud creará puestos de votación en corregimientos, zonas rurales, resguardos indígenas, consejos y áreas no municipalizadas. </w:t>
      </w:r>
    </w:p>
    <w:p w14:paraId="235C6180"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eliminación de puestos de votación requerirá concepto favorable por parte del Consejo Nacional Electoral.</w:t>
      </w:r>
    </w:p>
    <w:p w14:paraId="2A1540B2"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5. </w:t>
      </w:r>
      <w:r w:rsidRPr="00222F34">
        <w:rPr>
          <w:rFonts w:ascii="Calibri" w:eastAsia="Times New Roman" w:hAnsi="Calibri" w:cs="Calibri"/>
          <w:color w:val="000000"/>
          <w:lang w:val="es-CO" w:eastAsia="es-CO" w:bidi="ar-SA"/>
        </w:rPr>
        <w:t>La Registraduría Nacional del Servicio de conformidad al principio de publicidad, de planeación electoral y accesibilidad, deberá informar por todos los medios de comunicación masiva, redes sociales, emisoras radiales, páginas web, entre otros; de manera pronta, eficaz y oportuna a toda la ciudadanía la eliminación o traslado de los puestos de votación.</w:t>
      </w:r>
    </w:p>
    <w:p w14:paraId="0C5FB4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122. Zonificación. </w:t>
      </w:r>
      <w:r w:rsidRPr="00222F34">
        <w:rPr>
          <w:rFonts w:ascii="Calibri" w:eastAsia="Times New Roman" w:hAnsi="Calibri" w:cs="Calibri"/>
          <w:color w:val="000000"/>
          <w:lang w:val="es-CO" w:eastAsia="es-CO" w:bidi="ar-SA"/>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p>
    <w:p w14:paraId="4E9493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Gobierno Nacional proveerá los recursos que requiera la Registraduría Nacional del Estado Civil para organizar la zonificación en los municipios del país. En todo caso, los recursos de zonificación se asignarán de acuerdo a la disponibilidad presupuestal y el Marco Fiscal de Mediano Plazo.</w:t>
      </w:r>
    </w:p>
    <w:p w14:paraId="34FD21B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123. Puestos de votación. </w:t>
      </w:r>
      <w:r w:rsidRPr="00222F34">
        <w:rPr>
          <w:rFonts w:ascii="Calibri" w:eastAsia="Times New Roman" w:hAnsi="Calibri" w:cs="Calibri"/>
          <w:color w:val="000000"/>
          <w:lang w:val="es-CO" w:eastAsia="es-CO" w:bidi="ar-SA"/>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p>
    <w:p w14:paraId="6E03C2D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edificios o conjuntos de uso comercial sometidos al régimen de propiedad horizontal deberán permitir el uso de sus bienes comunes para el desarrollo de la jornada electoral.</w:t>
      </w:r>
    </w:p>
    <w:p w14:paraId="2156D65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Salvo la ocurrencia de situaciones constitutivas de caso fortuito o fuerza mayor, las personas encargadas o responsables de las entidades o instituciones de carácter público o privado que no permitan el uso de las </w:t>
      </w:r>
      <w:r w:rsidRPr="00222F34">
        <w:rPr>
          <w:rFonts w:ascii="Calibri" w:eastAsia="Times New Roman" w:hAnsi="Calibri" w:cs="Calibri"/>
          <w:color w:val="000000"/>
          <w:lang w:val="es-CO" w:eastAsia="es-CO" w:bidi="ar-SA"/>
        </w:rPr>
        <w:lastRenderedPageBreak/>
        <w:t>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w:t>
      </w:r>
    </w:p>
    <w:p w14:paraId="1B69F42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w:t>
      </w:r>
    </w:p>
    <w:p w14:paraId="4AC8D54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implementará un sistema de información y actualización de puestos de votación, de acceso público en su página web y/o aplicación que incluirá como mínimo la dirección, nombre del establecimiento, sitio o cualquier otro elemento que identifique con facilidad la División Político Electoral, especificando el lugar y georreferenciación, para ayudar con la organización de la logística del proceso electoral.</w:t>
      </w:r>
    </w:p>
    <w:p w14:paraId="15AC20A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124. Funciones del personal en las instalaciones donde se ubicarán los puestos de votación.</w:t>
      </w:r>
      <w:r w:rsidRPr="00222F34">
        <w:rPr>
          <w:rFonts w:ascii="Calibri" w:eastAsia="Times New Roman" w:hAnsi="Calibri" w:cs="Calibri"/>
          <w:color w:val="000000"/>
          <w:lang w:val="es-CO" w:eastAsia="es-CO" w:bidi="ar-SA"/>
        </w:rPr>
        <w:t xml:space="preserve"> El personal de las instituciones educativas, públicas, o de uso comercial o mixto, referidas deberá contribuir para la adecuada realización de la jornada electoral y, en especial, tendrá a su cargo las siguientes funciones: </w:t>
      </w:r>
    </w:p>
    <w:p w14:paraId="076E52A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Preparar, en conjunto con la Registraduría Nacional del Estado Civil, las instalaciones del centro educativo al cual pertenecen para la adecuada realización de la jornada electoral. </w:t>
      </w:r>
    </w:p>
    <w:p w14:paraId="2E66C2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Asistir a los funcionarios electorales en la instalación de los puestos de votación. </w:t>
      </w:r>
    </w:p>
    <w:p w14:paraId="3732AC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Informar a las autoridades públicas presentes de las irregularidades durante la jornada electoral. </w:t>
      </w:r>
    </w:p>
    <w:p w14:paraId="2E0716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Colaborar con las autoridades públicas en la guarda de las instalaciones y los distintos elementos de la jornada electoral.</w:t>
      </w:r>
    </w:p>
    <w:p w14:paraId="610654D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El personal docente y administrativo que participe en las actividades antes mencionadas, recibirá un (1) día de descanso compensatorio, que podrá ser acumulado con el próximo periodo vacacional si así se solicita, y que será coordinado con las directivas de la institución educativa. Este será adicional a los beneficios por ejercicio del voto. </w:t>
      </w:r>
    </w:p>
    <w:p w14:paraId="4AF27DE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Este artículo se entenderá en concordancia con la legislación que promueve la participación de los jóvenes en el fortalecimiento de la democracia. </w:t>
      </w:r>
    </w:p>
    <w:p w14:paraId="53D5A63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46558F6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jurados de votación</w:t>
      </w:r>
    </w:p>
    <w:p w14:paraId="5B6A2D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125. Naturaleza y calidades. </w:t>
      </w:r>
      <w:r w:rsidRPr="00222F34">
        <w:rPr>
          <w:rFonts w:ascii="Calibri" w:eastAsia="Times New Roman" w:hAnsi="Calibri" w:cs="Calibri"/>
          <w:color w:val="000000"/>
          <w:lang w:val="es-CO" w:eastAsia="es-CO" w:bidi="ar-SA"/>
        </w:rPr>
        <w:t xml:space="preserve">Los jurados de votación son ciudadanos en ejercicio, y cumplirán la función pública transitoria relacionada con el proceso electoral de dirigir con imparcialidad y cumplimiento estricto de las normas constitucionales y legales, las votaciones en la mesa y/o puestos asignados por la </w:t>
      </w:r>
      <w:r w:rsidRPr="00222F34">
        <w:rPr>
          <w:rFonts w:ascii="Calibri" w:eastAsia="Times New Roman" w:hAnsi="Calibri" w:cs="Calibri"/>
          <w:color w:val="000000"/>
          <w:lang w:val="es-CO" w:eastAsia="es-CO" w:bidi="ar-SA"/>
        </w:rPr>
        <w:lastRenderedPageBreak/>
        <w:t>Registraduría Nacional del Estado Civil. Su designación es de forzosa aceptación y se requiere ser ciudadano en ejercicio, tener mínimo décimo (10º) grado de educación media y edad no superior a sesenta (60) años.</w:t>
      </w:r>
    </w:p>
    <w:p w14:paraId="1350B5A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En caso de no contar con el número suficiente de jurados de votación, los registradores de manera excepcional podrán designar jurados de votación sin el requisito de formación escolar previsto en este articulado, siempre y cuando, el ciudadano sepa sumar, leer y escribir.</w:t>
      </w:r>
    </w:p>
    <w:p w14:paraId="1A56A46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mayores de catorce (14) años podrán ser jurados de votación en las elecciones previstas en la ley para los jóvenes.</w:t>
      </w:r>
    </w:p>
    <w:p w14:paraId="08ED2B1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126. Funciones de los jurados de votación. </w:t>
      </w:r>
      <w:r w:rsidRPr="00222F34">
        <w:rPr>
          <w:rFonts w:ascii="Calibri" w:eastAsia="Times New Roman" w:hAnsi="Calibri" w:cs="Calibri"/>
          <w:color w:val="000000"/>
          <w:lang w:val="es-CO" w:eastAsia="es-CO" w:bidi="ar-SA"/>
        </w:rPr>
        <w:t>Son funciones de los jurados de votación:</w:t>
      </w:r>
    </w:p>
    <w:p w14:paraId="0D9A723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Acudir obligatoriamente de manera presencial o remota, a las jornadas de capacitación dispuestas para tales efectos por la Registraduría Nacional del Estado Civil.</w:t>
      </w:r>
    </w:p>
    <w:p w14:paraId="791B5F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Concurrir el día de las elecciones o los días previos, según lo dispuesto para las votaciones en el exterior, al puesto de votación para el cual fue designado a las siete de la mañana (7:00 a.m.), presentarse para el ingreso con la cédula de ciudadanía y en caso de pérdida con el comprobante del documento en trámite u otro documento que permita acreditar la identidad y recibir el material electoral.</w:t>
      </w:r>
    </w:p>
    <w:p w14:paraId="2A331BB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Verificar el material y documentos electorales,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w:t>
      </w:r>
    </w:p>
    <w:p w14:paraId="05BAEC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Corroborar la identidad y acreditación de los testigos electorales.</w:t>
      </w:r>
    </w:p>
    <w:p w14:paraId="6F0683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Permitir la labor de los testigos electorales, observadores electorales nacionales e internacionales y órganos de control. La función de estos no debe interferir en las decisiones adoptadas por los jurados.</w:t>
      </w:r>
    </w:p>
    <w:p w14:paraId="67E928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Verificar plenamente la identidad del ciudadano que va a ejercer el derecho al voto, mediante la presentación de la cédula de ciudadanía o su equivalente funcional, ya sea electrónico y/o digital expedida por la Registraduría Nacional del Estado Civil en el momento de votar o el medio tecnológico que se adopte para tal fin.</w:t>
      </w:r>
    </w:p>
    <w:p w14:paraId="76B7072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Facilitar a los ciudadanos autorizados en la mesa de votación el ejercicio del derecho al voto.</w:t>
      </w:r>
    </w:p>
    <w:p w14:paraId="669A8E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Entregar a los ciudadanos que ejerzan su derecho al voto, el certificado electoral correspondiente cuando a ello hubiere lugar.</w:t>
      </w:r>
    </w:p>
    <w:p w14:paraId="52521B1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Realizar los escrutinios de acuerdo con las disposiciones de este código, las instrucciones impartidas en la capacitación y el material autorizado y distribuido por la Registraduría Nacional del Estado Civil.</w:t>
      </w:r>
    </w:p>
    <w:p w14:paraId="32E5B8D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10. Diligenciar los formularios y documentos electorales, de conformidad con lo dispuesto en las normas e instrucciones electorales y según la capacitación impartida por la Registraduría Nacional del Estado Civil.</w:t>
      </w:r>
    </w:p>
    <w:p w14:paraId="31EFE8A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Permitir la toma de fotografías y la realización tanto de videos de los procedimientos como de documentos por parte de los testigos electorales, observadores electorales y órganos de control; una vez finalizada la jornada de votación y durante el desarrollo de los escrutinios de mesa.</w:t>
      </w:r>
    </w:p>
    <w:p w14:paraId="5BBCB6B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Realizar el recuento de votos de oficio o por solicitud de persona legitimada de conformidad con lo previsto en el presente código y, así mismo, dejar las constancias del caso en los respectivos formularios.</w:t>
      </w:r>
    </w:p>
    <w:p w14:paraId="71B979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Recibir, tramitar y resolver inmediatamente las reclamaciones formuladas.</w:t>
      </w:r>
    </w:p>
    <w:p w14:paraId="7371050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Entregar al delegado de puesto la totalidad de los documentos electorales utilizados durante la jornada electoral.</w:t>
      </w:r>
    </w:p>
    <w:p w14:paraId="51DAB24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Finalizado el escrutinio, en las mesas de voto electrónico mixto, se entregarán copia del acta de escrutinio de la mesa a los testigos electorales, que podrá ser entregado en formato físico o digital.</w:t>
      </w:r>
    </w:p>
    <w:p w14:paraId="4DF685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Registraduría Nacional del Estado Civil reglamentará el procedimiento cuando disponga de la utilización de soluciones tecnológicas para la identificación de los jurados y el desarrollo de sus funciones el día de las votaciones.</w:t>
      </w:r>
    </w:p>
    <w:p w14:paraId="055EA2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garantizará la seguridad, pertinencia e idoneidad, viabilidad técnica, plena funcionalidad y transparencia de los sistemas y herramientas tecnológicas que se utilicen para la identificación de los jurados y el desarrollo de sus funciones. La Comisión Asesora para la Implementación Progresiva de los Sistemas de Asistencia Tecnológica en los Procesos Electorales podrá emitir recomendaciones por medio de conceptos.</w:t>
      </w:r>
    </w:p>
    <w:p w14:paraId="1A7E7C9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127. Exclusión de las listas de los jurados de votación.</w:t>
      </w:r>
      <w:r w:rsidRPr="00222F34">
        <w:rPr>
          <w:rFonts w:ascii="Calibri" w:eastAsia="Times New Roman" w:hAnsi="Calibri" w:cs="Calibri"/>
          <w:color w:val="000000"/>
          <w:lang w:val="es-CO" w:eastAsia="es-CO" w:bidi="ar-SA"/>
        </w:rPr>
        <w:t xml:space="preserve"> No podrán ser jurados de votación:</w:t>
      </w:r>
    </w:p>
    <w:p w14:paraId="017F8ED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Los miembros de la Fuerza Pública. </w:t>
      </w:r>
    </w:p>
    <w:p w14:paraId="1596C47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Quienes estén inhabilitados para el ejercicio de derechos y funciones públicas en virtud de decisiones judiciales o administrativas. </w:t>
      </w:r>
    </w:p>
    <w:p w14:paraId="53FBC93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registradores, de oficio o por solicitud de parte, excluirán de la lista a los ciudadanos con alguna discapacidad que les impida la prestación del servicio de jurados de votación. y a aquellos jurados que se encuentren en alguna de las causales consagradas en este código.</w:t>
      </w:r>
    </w:p>
    <w:p w14:paraId="7D6353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128. Exención del carácter de jurado de votación. </w:t>
      </w:r>
      <w:r w:rsidRPr="00222F34">
        <w:rPr>
          <w:rFonts w:ascii="Calibri" w:eastAsia="Times New Roman" w:hAnsi="Calibri" w:cs="Calibri"/>
          <w:color w:val="000000"/>
          <w:lang w:val="es-CO" w:eastAsia="es-CO" w:bidi="ar-SA"/>
        </w:rPr>
        <w:t>La Registraduría Nacional del Estado Civil no designará como jurado de votación, en virtud de su condición, cargo o función desempeñada, a las siguientes personas:</w:t>
      </w:r>
    </w:p>
    <w:p w14:paraId="6680A7E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Los ciudadanos con alguna discapacidad que les impida la prestación del servicio de jurados de votación, cuando medie solicitud de parte.</w:t>
      </w:r>
    </w:p>
    <w:p w14:paraId="70B693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2. Los cónyuges o compañeros permanentes, parientes hasta el tercer grado de consanguinidad, segundo de afinidad y primero civil de los candidatos a cargos de elección popular, que se encuentren inscritos en un puesto de votación dentro de la circunscripción electoral en la que participa el candidato.</w:t>
      </w:r>
    </w:p>
    <w:p w14:paraId="2737FC2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Los representantes legales y directivos de los partidos y movimientos políticos, sus testigos electorales, auditores de sistema y quienes funjan como apoderados en el respectivo proceso electoral.</w:t>
      </w:r>
    </w:p>
    <w:p w14:paraId="29D185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inscriptores de los comités de los grupos significativos de ciudadanos y promotor o promotores del voto en blanco que hayan culminado el proceso de inscripción y mecanismos de participación ciudadana, acreditados ante la Organización Electoral, sus testigos electorales y auditores de sistema que se encuentren inscritos en un puesto de votación dentro de la respectiva circunscripción electoral.</w:t>
      </w:r>
    </w:p>
    <w:p w14:paraId="65F5294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Los gerentes de campaña, el tesorero, el contador, el auditor y los miembros del comité financiero acreditados ante la Organización Electoral.</w:t>
      </w:r>
    </w:p>
    <w:p w14:paraId="093D7E5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Los candidatos a cargos y corporaciones de elección popular.</w:t>
      </w:r>
    </w:p>
    <w:p w14:paraId="172542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se encuentren inscritos en la respectiva circunscripción donde ejercen sus funciones habitualmente.</w:t>
      </w:r>
    </w:p>
    <w:p w14:paraId="0B7BA39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Las primeras autoridades civiles en el orden nacional, departamental, distrital, municipal, corregidores, inspectores de policía y las que tienen funciones propiamente electorales.</w:t>
      </w:r>
    </w:p>
    <w:p w14:paraId="2140A3C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Los empleados de la Jurisdicción Contencioso Administrativa, que conocen de los procesos de nulidad electoral.</w:t>
      </w:r>
    </w:p>
    <w:p w14:paraId="47D849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Los magistrados y jueces de la República.</w:t>
      </w:r>
    </w:p>
    <w:p w14:paraId="4F87F05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Los miembros del cuerpo oficial de bomberos, así como los bomberos voluntarios y los integrantes de las instancias de orientación y coordinación del Sistema Nacional de Gestión del Riesgo y de Desastres, o la entidad que haga sus veces.</w:t>
      </w:r>
    </w:p>
    <w:p w14:paraId="2D1D03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Los funcionarios del Ministerio Público que realicen control e intervención ante las autoridades electorales el día de la votación.</w:t>
      </w:r>
    </w:p>
    <w:p w14:paraId="4D1130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Los funcionarios de la Fiscalía General de la Nación que desarrollen sus funciones judiciales el día de la votación.</w:t>
      </w:r>
    </w:p>
    <w:p w14:paraId="27749D8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14. Los servidores públicos y contratistas de la Organización Electoral que presten labores en materia electoral y los terceros que cumplan funciones de logística electoral.</w:t>
      </w:r>
    </w:p>
    <w:p w14:paraId="3FCB35A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15. Los miembros de los organismos de inteligencia del Estado.</w:t>
      </w:r>
    </w:p>
    <w:p w14:paraId="71D729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16. El personal médico y asistencial que se encuentre realizando labores propias de su cargo para el día de la elección.</w:t>
      </w:r>
    </w:p>
    <w:p w14:paraId="666202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17. Los observadores electorales acreditados por el Consejo Nacional Electoral.</w:t>
      </w:r>
    </w:p>
    <w:p w14:paraId="58F97CC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18. Los servidores públicos de libre nombramiento y remoción pertenecientes a las Unidades de Trabajo Legislativo y Unidades de Apoyo Normativo de las Corporaciones Públicas.</w:t>
      </w:r>
    </w:p>
    <w:p w14:paraId="76353D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81594B">
        <w:rPr>
          <w:rFonts w:ascii="Calibri" w:eastAsia="Times New Roman" w:hAnsi="Calibri" w:cs="Calibri"/>
          <w:bCs/>
          <w:color w:val="000000"/>
          <w:lang w:val="es-CO" w:eastAsia="es-CO" w:bidi="ar-SA"/>
        </w:rPr>
        <w:t>19</w:t>
      </w:r>
      <w:r w:rsidRPr="00222F34">
        <w:rPr>
          <w:rFonts w:ascii="Calibri" w:eastAsia="Times New Roman" w:hAnsi="Calibri" w:cs="Calibri"/>
          <w:color w:val="000000"/>
          <w:lang w:val="es-CO" w:eastAsia="es-CO" w:bidi="ar-SA"/>
        </w:rPr>
        <w:t>. El personal docente, directivo docente y administrativo de los establecimientos educativos oficiales, que de manera directa desempeñe funciones relacionadas con lo dispuesto en el artículo 124 de la presente Ley.</w:t>
      </w:r>
    </w:p>
    <w:p w14:paraId="73827B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Los registradores de oficio, o por solicitud de parte, podrán eximir de la lista a aquellos jurados que se encuentren en alguna de las causales consagradas en este código.</w:t>
      </w:r>
    </w:p>
    <w:p w14:paraId="6FDA152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causal establecida en el numeral 1 solo operará a solicitud del ciudadano.</w:t>
      </w:r>
    </w:p>
    <w:p w14:paraId="1C699CE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testigos electorales y observadores electorales podrán ser exentos para ser jurados de votación si la acreditación de estos se hace con anterioridad al sorteo de jurados de votación.</w:t>
      </w:r>
    </w:p>
    <w:p w14:paraId="1AB63FB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exenciones por parte de los ciudadanos seleccionados como jurados de votación.</w:t>
      </w:r>
    </w:p>
    <w:p w14:paraId="5CB7F10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Si una persona con discapacidad es designada como jurado de votación y decide no ser exonerado del servicio, la Registraduría debe garantizar los apoyos y ajustes razonables necesarios para que pueda desarrollar su función en condiciones de igualdad y de manera autónoma.</w:t>
      </w:r>
    </w:p>
    <w:p w14:paraId="17A587C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129</w:t>
      </w:r>
      <w:r w:rsidRPr="00222F34">
        <w:rPr>
          <w:rFonts w:ascii="Calibri" w:eastAsia="Times New Roman" w:hAnsi="Calibri" w:cs="Calibri"/>
          <w:color w:val="000000"/>
          <w:lang w:val="es-CO" w:eastAsia="es-CO" w:bidi="ar-SA"/>
        </w:rPr>
        <w:t>. Causales de exoneración de la sanción. Son causales para la exoneración de la sanción por la no prestación de la función de jurado de votación:</w:t>
      </w:r>
    </w:p>
    <w:p w14:paraId="4457DEE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Grave enfermedad del jurado o de su cónyuge, compañero o compañera permanente y parientes del primer grado de consanguinidad.</w:t>
      </w:r>
    </w:p>
    <w:p w14:paraId="7A0E069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Estado de embarazo en condiciones que inhabiliten físicamente a la gestante o en licencia de maternidad y padres en licencia de paternidad.</w:t>
      </w:r>
    </w:p>
    <w:p w14:paraId="071F0F0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Muerte de algún familiar hasta el grado segundo de consanguinidad, primero de afinidad y primero civil, ocurrida el día de las elecciones o dentro de los cinco (5) días anteriores a las mismas.</w:t>
      </w:r>
    </w:p>
    <w:p w14:paraId="4D8FEF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asuntos que apliquen por fuerza mayor o caso fortuito. Casos que regulará la Registraduría Nacional del Estado Civil.</w:t>
      </w:r>
    </w:p>
    <w:p w14:paraId="25E70CE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Las personas que sean designadas como jurados de votación y se encuentren dentro de alguna de las causales de exención contempladas en el artículo 128.</w:t>
      </w:r>
    </w:p>
    <w:p w14:paraId="2BE6073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Ser cuidador de una persona cuya discapacidad esté debidamente certificada por la autoridad competente.</w:t>
      </w:r>
    </w:p>
    <w:p w14:paraId="32AF2C3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1.</w:t>
      </w:r>
      <w:r w:rsidRPr="00222F34">
        <w:rPr>
          <w:rFonts w:ascii="Calibri" w:eastAsia="Times New Roman" w:hAnsi="Calibri" w:cs="Calibri"/>
          <w:color w:val="000000"/>
          <w:lang w:val="es-CO" w:eastAsia="es-CO" w:bidi="ar-SA"/>
        </w:rPr>
        <w:t xml:space="preserve"> Las causales establecidas en los numerales 1 y 2 sólo podrán acreditarse con la presentación de certificado médico expedido por una EPS acreditada, y la causal del numeral 3, con el certificado de defunción o el registro civil de defunción.</w:t>
      </w:r>
    </w:p>
    <w:p w14:paraId="053FD0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habilitará medios electrónicos para el trámite de las exoneraciones como jurados de votación de los ciudadanos seleccionados.</w:t>
      </w:r>
    </w:p>
    <w:p w14:paraId="7C35A4D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130. Jurados de votación remanentes.</w:t>
      </w:r>
      <w:r w:rsidRPr="00222F34">
        <w:rPr>
          <w:rFonts w:ascii="Calibri" w:eastAsia="Times New Roman" w:hAnsi="Calibri" w:cs="Calibri"/>
          <w:color w:val="000000"/>
          <w:lang w:val="es-CO" w:eastAsia="es-CO" w:bidi="ar-SA"/>
        </w:rPr>
        <w:t xml:space="preserve"> 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p>
    <w:p w14:paraId="310188B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porcentaje de jurados de votación remanentes será determinado por el registrador delegado en lo electoral.</w:t>
      </w:r>
    </w:p>
    <w:p w14:paraId="22E6F91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131. Integración de la lista de jurados de votación. </w:t>
      </w:r>
      <w:r w:rsidRPr="00222F34">
        <w:rPr>
          <w:rFonts w:ascii="Calibri" w:eastAsia="Times New Roman" w:hAnsi="Calibri" w:cs="Calibri"/>
          <w:color w:val="000000"/>
          <w:lang w:val="es-CO" w:eastAsia="es-CO" w:bidi="ar-SA"/>
        </w:rPr>
        <w:t>La Registraduría Nacional del Estado Civil adelantará el proceso de selección y sorteo para la designación de jurados de votación a través de una plataforma tecnológica, conforme a las siguientes reglas:</w:t>
      </w:r>
    </w:p>
    <w:p w14:paraId="11EF106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En las elecciones atípicas este término será de hasta un (1) mes antes de la fecha de votación.</w:t>
      </w:r>
    </w:p>
    <w:p w14:paraId="1B54C4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w:t>
      </w:r>
    </w:p>
    <w:p w14:paraId="1DF55D9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Los registradores del Estado Civil llevarán a cabo hasta quince (15) días calendario antes de la votación, sorteos públicos por circunscripción para designar cinco (5)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w:t>
      </w:r>
    </w:p>
    <w:p w14:paraId="691337E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w:t>
      </w:r>
    </w:p>
    <w:p w14:paraId="2154638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A más tardar el día siguiente a la realización del sorteo, los registradores del Estado Civil publicarán en la sede de la Registraduría y/o Embajada o Consulado de la respectiva circunscripción, el acto administrativo de </w:t>
      </w:r>
      <w:r w:rsidRPr="00222F34">
        <w:rPr>
          <w:rFonts w:ascii="Calibri" w:eastAsia="Times New Roman" w:hAnsi="Calibri" w:cs="Calibri"/>
          <w:color w:val="000000"/>
          <w:lang w:val="es-CO" w:eastAsia="es-CO" w:bidi="ar-SA"/>
        </w:rPr>
        <w:lastRenderedPageBreak/>
        <w:t>designación de jurados. Asimismo, se publicarán en la página web y/o aplicación respectiva de la Entidad los ciudadanos designados, a quienes se les comunicará vía correo electrónico y/o mensaje de texto o por el medio electrónico que la Registraduría implemente para este propósito, una vez se surtan los sorteos por circunscripción.</w:t>
      </w:r>
    </w:p>
    <w:p w14:paraId="3D7BC86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Cumplida alguna de estas actividades se entenderá como comunicado el acto de y notificación respectiva al ciudadano.</w:t>
      </w:r>
    </w:p>
    <w:p w14:paraId="50C3E9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Durante los cinco (5) días calendarios siguientes a la comunicación de la resolución de designación de jurados, los registradores del Estado Civil recibirán y aplicarán las exenciones o exoneraciones pertinentes, de acuerdo con las causales esbozadas en el presente código.</w:t>
      </w:r>
    </w:p>
    <w:p w14:paraId="06DD703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w:t>
      </w:r>
    </w:p>
    <w:p w14:paraId="782745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w:t>
      </w:r>
    </w:p>
    <w:p w14:paraId="15959C9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ciudadanos que omitan o aporten información falsa, en el momento de la actualización en el censo electoral, serán sancionados de conformidad con lo establecido en este código.</w:t>
      </w:r>
    </w:p>
    <w:p w14:paraId="27A57DE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w:t>
      </w:r>
    </w:p>
    <w:p w14:paraId="12DC35C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w:t>
      </w:r>
    </w:p>
    <w:p w14:paraId="2508D1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5.</w:t>
      </w:r>
      <w:r w:rsidRPr="00222F34">
        <w:rPr>
          <w:rFonts w:ascii="Calibri" w:eastAsia="Times New Roman" w:hAnsi="Calibri" w:cs="Calibri"/>
          <w:color w:val="000000"/>
          <w:lang w:val="es-CO" w:eastAsia="es-CO" w:bidi="ar-SA"/>
        </w:rPr>
        <w:t xml:space="preserve"> Para la realización de la selección de la lista de jurados de votación a través de plataforma tecnológica, se aplicará los mecanismos de auditoría informática electoral y auditoría técnica que contiene este Código.</w:t>
      </w:r>
    </w:p>
    <w:p w14:paraId="5E54B91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Lo dispuesto en este artículo podrá implementarse gradualmente de acuerdo con la transitoriedad establecida para lo referido a las normas de progresividad previstas en este código.</w:t>
      </w:r>
    </w:p>
    <w:p w14:paraId="734DC5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132.- Jurados en el exterior</w:t>
      </w:r>
      <w:r w:rsidRPr="00222F34">
        <w:rPr>
          <w:rFonts w:ascii="Calibri" w:eastAsia="Times New Roman" w:hAnsi="Calibri" w:cs="Calibri"/>
          <w:color w:val="000000"/>
          <w:lang w:val="es-CO" w:eastAsia="es-CO" w:bidi="ar-SA"/>
        </w:rPr>
        <w:t>. La lista de los jurados para las votaciones en el exterior estará integrada por cinco (5) ciudadanos colombianos en ejercicio y será elaborada por el funcionario diplomático o consular correspondiente, quien establecerá el, o los días, en que deberá prestar el servicio.</w:t>
      </w:r>
    </w:p>
    <w:p w14:paraId="099FB6E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Los funcionarios electorales o consulares podrán, para la votación en el exterior, motivar mediante acto administrativo, el ejercicio de los jurados de votación hasta los sesenta (60) años cumplidos.</w:t>
      </w:r>
    </w:p>
    <w:p w14:paraId="4F38239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p>
    <w:p w14:paraId="37B94A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La Registraduría Nacional del Estado Civil habilitará medios electrónicos para que ciudadanos que deseen postularse para ser jurados de votación puedan hacerlo.</w:t>
      </w:r>
    </w:p>
    <w:p w14:paraId="5A61FAD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133.- Capacitación de los jurados de votación. </w:t>
      </w:r>
      <w:r w:rsidRPr="00222F34">
        <w:rPr>
          <w:rFonts w:ascii="Calibri" w:eastAsia="Times New Roman" w:hAnsi="Calibri" w:cs="Calibri"/>
          <w:color w:val="000000"/>
          <w:lang w:val="es-CO" w:eastAsia="es-CO" w:bidi="ar-SA"/>
        </w:rPr>
        <w:t>La Registraduría Nacional 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 La concurrencia a estas capacitaciones será obligatoria para el desarrollo de su función, so pena de incurrir en la sanción contemplada en este código.</w:t>
      </w:r>
    </w:p>
    <w:p w14:paraId="7BE043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hará uso durante un (1) mes antes de la realización de la elección, del espectro electromagnético destinado a los concesionarios y operadores privados de radio y televisión, en los espacios asignados por la autoridad competente:, con el propósito de difundir tanto las capacitaciones a los jurados de votación designados como toda información útil para desempeñar esta función.</w:t>
      </w:r>
    </w:p>
    <w:p w14:paraId="658581B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la Registraduría Nacional del Estado Civil implemente soluciones tecnológicas con el fin de asistir el ejercido del derecho al voto, capacitará y brindará apoyo técnico a los jurados de votación en el manejo de las herramientas para el desarrollo satisfactorio de sus funciones.</w:t>
      </w:r>
    </w:p>
    <w:p w14:paraId="4DCEC44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Los empleadores tienen la obligación de conceder permiso remunerado a los trabajadores que cumplan con la función de jurados de votación para asistir a la correspondiente capacitación y a la jornada del día de la elección.</w:t>
      </w:r>
    </w:p>
    <w:p w14:paraId="104C3CA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134.- Estímulos a los jurados de votación.</w:t>
      </w:r>
      <w:r w:rsidRPr="00222F34">
        <w:rPr>
          <w:rFonts w:ascii="Calibri" w:eastAsia="Times New Roman" w:hAnsi="Calibri" w:cs="Calibri"/>
          <w:color w:val="000000"/>
          <w:lang w:val="es-CO" w:eastAsia="es-CO" w:bidi="ar-SA"/>
        </w:rPr>
        <w:t xml:space="preserve"> Los ciudadanos que ejerzan el cargo de jurado de votación y que cumplan debidamente todas las funciones correspondientes, tendrán derecho a un (1) día de descanso remunerado.  </w:t>
      </w:r>
    </w:p>
    <w:p w14:paraId="57C04F6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jurados remanentes que habiéndose presentado oportunamente para prestar el servicio, y no fue necesaria su designación, tendrán derecho a medio día de descanso remunerado. Este beneficio podrá hacerse efectivo dentro de los cuarenta y cinco (45) días hábiles siguientes a la votación y acumularse con el periodo de vacaciones. </w:t>
      </w:r>
    </w:p>
    <w:p w14:paraId="07B2EFB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76A437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expedirá la constancia que acredite el ejercicio del cargo como jurado de votación o como jurado de votación remanente y reglamentará el procedimiento correspondiente. </w:t>
      </w:r>
    </w:p>
    <w:p w14:paraId="14E842F5"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xml:space="preserve"> Los empleadores tienen la obligación de conceder este permiso remunerado a los trabajadores que cumplieron con la función de jurados de votación tanto en calidad principal como remanente.   </w:t>
      </w:r>
    </w:p>
    <w:p w14:paraId="2D5D672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135.- Conductas sancionables con multa a los jurados de votación.</w:t>
      </w:r>
      <w:r w:rsidRPr="00222F34">
        <w:rPr>
          <w:rFonts w:ascii="Calibri" w:eastAsia="Times New Roman" w:hAnsi="Calibri" w:cs="Calibri"/>
          <w:color w:val="000000"/>
          <w:lang w:val="es-CO" w:eastAsia="es-CO" w:bidi="ar-SA"/>
        </w:rPr>
        <w:t xml:space="preserve"> Son conductas sancionables con multas a los ciudadanos designados como jurados de votación, cuando:</w:t>
      </w:r>
    </w:p>
    <w:p w14:paraId="734C0F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Omita o entregue información falsa en el momento de la actualización del censo electoral</w:t>
      </w:r>
    </w:p>
    <w:p w14:paraId="4803248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No asista o abandone las capacitaciones presenciales, o remotas programadas por la Registraduría Nacional del Estado Civil.</w:t>
      </w:r>
    </w:p>
    <w:p w14:paraId="3B9C91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No asista o abandone la mesa de votación asignada para desempeñar las funciones de jurado de votación, salvo en los casos de fuerza mayor o caso fortuito que puedan presentarse durante la jornada de elecciones, casos en los que deberán informar la situación al delegado del puesto de votación.</w:t>
      </w:r>
    </w:p>
    <w:p w14:paraId="0081FD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No firme las actas y documentos utilizados a partir del inicio del cumplimiento de la función pública transitoria como jurado de votación.</w:t>
      </w:r>
    </w:p>
    <w:p w14:paraId="15DE216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Incurran en tachaduras, borrones o enmendaduras en las actas o documentos, sin la debida aclaración en el espacio designado para tal fin.</w:t>
      </w:r>
    </w:p>
    <w:p w14:paraId="05B41E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No entrega o entrega por fuera de los plazos previstos en este código el acta de escrutinio o cualquier otro documento electoral.</w:t>
      </w:r>
    </w:p>
    <w:p w14:paraId="69F0949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se inobserven las reglas previstas en este código</w:t>
      </w:r>
    </w:p>
    <w:p w14:paraId="4D818D8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Incurrir en falsedad en la información plasmada en los documentos electorales.</w:t>
      </w:r>
    </w:p>
    <w:p w14:paraId="7E206C2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Impida o entorpezca la labor de los testigos u observadores electorales.</w:t>
      </w:r>
    </w:p>
    <w:p w14:paraId="3CE31A9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136.- Procedimiento para sancionar con multa a los jurados de votación.</w:t>
      </w:r>
      <w:r w:rsidRPr="00222F34">
        <w:rPr>
          <w:rFonts w:ascii="Calibri" w:eastAsia="Times New Roman" w:hAnsi="Calibri" w:cs="Calibri"/>
          <w:color w:val="000000"/>
          <w:lang w:val="es-CO" w:eastAsia="es-CO" w:bidi="ar-SA"/>
        </w:rPr>
        <w:t xml:space="preserve"> Los registradores distritales, especiales y municipales impondrán las multas previstas en este código. Para el efecto, seguirán el procedimiento administrativo sancionatorio previsto en el Código de Procedimiento Administrativo y de lo Contencioso Administrativo o norma que lo modifique, adicione o sustituya.</w:t>
      </w:r>
    </w:p>
    <w:p w14:paraId="6F810D9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incumplimiento del pago de la multa dentro del plazo previsto en el respectivo acto administrativo, la Registraduría Nacional del Estado Civil realizará el cobro por jurisdicción coactiva.</w:t>
      </w:r>
    </w:p>
    <w:p w14:paraId="44F447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En el caso del numeral 2 del artículo anterior, que contempla las conductas sancionables relacionadas con la capacitación a los ciudadanos que fueron designados como jurados de votación, la sanción será hasta de diez (10) salarios mínimos diarios legales vigentes.</w:t>
      </w:r>
    </w:p>
    <w:p w14:paraId="6A6DC9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los otros casos mencionados en el artículo anterior, se sancionarán a los ciudadanos que fueron designados como jurados de votación, con un (1) salario mínimo mensual legal vigente, la cual se hará efectiva mediante resolución expedida por los registradores distritales, especiales o municipales.</w:t>
      </w:r>
    </w:p>
    <w:p w14:paraId="10CBB8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Sin importar la concurrencia de uno o varios numerales del artículo anterior, la sanción no podrá superar un (1) salario mínimo mensual legal vigente.</w:t>
      </w:r>
    </w:p>
    <w:p w14:paraId="7278FCA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En los casos donde el ciudadano logre probar que carece de recursos para el pago de la multa se impondrá una sanción de trabajo comunitario y promoción de los derechos civiles y políticos.</w:t>
      </w:r>
    </w:p>
    <w:p w14:paraId="2681357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137.- Otras conductas sancionables de los jurados de votación. </w:t>
      </w:r>
      <w:r w:rsidRPr="00222F34">
        <w:rPr>
          <w:rFonts w:ascii="Calibri" w:eastAsia="Times New Roman" w:hAnsi="Calibri" w:cs="Calibri"/>
          <w:color w:val="000000"/>
          <w:lang w:val="es-CO" w:eastAsia="es-CO" w:bidi="ar-SA"/>
        </w:rPr>
        <w:t>El ciudadano que, teniendo conocimiento de encontrarse incurso en alguna de las causales de exención o exclusión consagradas en el presente Código, acepte tal designación y, además, ejerza la función, será investigado y sancionado de conformidad con la legislación vigente.</w:t>
      </w:r>
    </w:p>
    <w:p w14:paraId="45EBC7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w:t>
      </w:r>
    </w:p>
    <w:p w14:paraId="0162B35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p w14:paraId="4285A51B"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testigos electorales</w:t>
      </w:r>
    </w:p>
    <w:p w14:paraId="1C1BDA9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138.- Testigos electorales. </w:t>
      </w:r>
      <w:r w:rsidRPr="00222F34">
        <w:rPr>
          <w:rFonts w:ascii="Calibri" w:eastAsia="Times New Roman" w:hAnsi="Calibri" w:cs="Calibri"/>
          <w:color w:val="000000"/>
          <w:lang w:val="es-CO" w:eastAsia="es-CO" w:bidi="ar-SA"/>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p>
    <w:p w14:paraId="739ED4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mayores de catorce (14) años podrán ser testigos electorales en las elecciones previstas en la ley para los jóvenes.</w:t>
      </w:r>
    </w:p>
    <w:p w14:paraId="2F4E5BA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declaración de la elección, incluyendo los gastos inherentes al ejercicio de los testigos electorales durante las jornadas de escrutinio en mesa y en comisión.</w:t>
      </w:r>
    </w:p>
    <w:p w14:paraId="6C1E00E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w:t>
      </w:r>
      <w:r w:rsidRPr="00222F34">
        <w:rPr>
          <w:rFonts w:ascii="Calibri" w:eastAsia="Times New Roman" w:hAnsi="Calibri" w:cs="Calibri"/>
          <w:b/>
          <w:bCs/>
          <w:color w:val="000000"/>
          <w:lang w:val="es-CO" w:eastAsia="es-CO" w:bidi="ar-SA"/>
        </w:rPr>
        <w:t>rágrafo Transitorio:</w:t>
      </w:r>
      <w:r w:rsidRPr="00222F34">
        <w:rPr>
          <w:rFonts w:ascii="Calibri" w:eastAsia="Times New Roman" w:hAnsi="Calibri" w:cs="Calibri"/>
          <w:color w:val="000000"/>
          <w:lang w:val="es-CO" w:eastAsia="es-CO" w:bidi="ar-SA"/>
        </w:rPr>
        <w:t xml:space="preserve"> Frente a las disposiciones contenidas en el presente artículo se tendrán en cuenta las organizaciones, consejos comunitarios, resguardos y/o autoridades indígenas y las kumpañy legalmente constituidas que trata el acto legislativo 02 de 2021, por medio del cual se crean 16 Circunscripciones Transitorias especiales de paz para la Cámara de Representantes, en los periodos 2022-2026 y 2026-2030.</w:t>
      </w:r>
    </w:p>
    <w:p w14:paraId="5616BBA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139.- Postulación y acreditación de testigos electorales.</w:t>
      </w:r>
      <w:r w:rsidRPr="00222F34">
        <w:rPr>
          <w:rFonts w:ascii="Calibri" w:eastAsia="Times New Roman" w:hAnsi="Calibri" w:cs="Calibri"/>
          <w:color w:val="000000"/>
          <w:lang w:val="es-CO" w:eastAsia="es-CO" w:bidi="ar-SA"/>
        </w:rPr>
        <w:t xml:space="preserve"> La Registraduría Nacional del Estado Civil o quien ésta delegue, será el competente de la acreditación a razón de un (1) testigo electoral por cada mesa de votación o por cada comisión escrutadora, y, así mismo, por partido o movimiento político, grupo significativo de ciudadanos, organizaciones étnicas y coaliciones o agrupaciones políticas.</w:t>
      </w:r>
    </w:p>
    <w:p w14:paraId="412A903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relación de los ciudadanos postulados como testigos electorales deberá ser presentada por el representante legal o por quien este delegue, desde la fecha que para el efecto establezca el respectivo calendario electoral y a más tardar tres (3) días calendario antes de la fecha de la elección, fecha improrrogable; si se trata de los partidos y movimientos políticos con personería jurídica o coaliciones, organizaciones étnicas, o por el comité inscriptor o su vocero, en el caso de grupos significativos de ciudadanos, de campañas del voto en blanco y mecanismos de participación ciudadana.</w:t>
      </w:r>
    </w:p>
    <w:p w14:paraId="18EBB3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la zona, el puesto y mesa para el que ha sido acreditado y firma digital o electrónica de la autoridad electoral que la expide.</w:t>
      </w:r>
    </w:p>
    <w:p w14:paraId="254952B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Los partidos y movimientos políticos, grupos significativos de ciudadanos, coalición o comité promotor podrán solicitar la acreditación de testigos remanentes, de acuerdo con la reglamentación que expida el Consejo Nacional Electoral.</w:t>
      </w:r>
    </w:p>
    <w:p w14:paraId="08F7A2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Para el caso de las votaciones en el exterior los testigos electorales serán postulados a más tardar tres (3) días calendario antes de la fecha de la elección, fecha improrrogable.</w:t>
      </w:r>
    </w:p>
    <w:p w14:paraId="1F27CEE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140.- Acreditación de testigos electorales</w:t>
      </w:r>
      <w:r w:rsidRPr="00222F34">
        <w:rPr>
          <w:rFonts w:ascii="Calibri" w:eastAsia="Times New Roman" w:hAnsi="Calibri" w:cs="Calibri"/>
          <w:color w:val="000000"/>
          <w:lang w:val="es-CO" w:eastAsia="es-CO" w:bidi="ar-SA"/>
        </w:rPr>
        <w:t>. La Registraduría Nacional del Estado Civil será la encargada de la acreditación en los términos que establece el artículo anterior.</w:t>
      </w:r>
    </w:p>
    <w:p w14:paraId="5538BBB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acreditación de los ciudadanos postulados como testigos electorales tanto en las votaciones en territorio nacional como en el exterior deberá ser efectuada a más tardar el jueves antes de la fecha de elección término improrrogable.</w:t>
      </w:r>
    </w:p>
    <w:p w14:paraId="7C86793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podrá implementar una plataforma tecnológica que permitirá su acreditación digital, sin perjuicio que la misma sea en formato físico;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w:t>
      </w:r>
    </w:p>
    <w:p w14:paraId="4DE4A74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partidos y movimientos políticos, grupos significativos de ciudadanos, coalición o comité promotor podrán solicitar la acreditación de testigos remanentes uno por cada diez mesas de votación de un puesto y/o por comisión escrutadora, en las mismas fechas y con la misma reglamentación que rige a los testigos electorales principales.</w:t>
      </w:r>
    </w:p>
    <w:p w14:paraId="57F2B5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141.- Facultades de los testigos electorales.</w:t>
      </w:r>
      <w:r w:rsidRPr="00222F34">
        <w:rPr>
          <w:rFonts w:ascii="Calibri" w:eastAsia="Times New Roman" w:hAnsi="Calibri" w:cs="Calibri"/>
          <w:color w:val="000000"/>
          <w:lang w:val="es-CO" w:eastAsia="es-CO" w:bidi="ar-SA"/>
        </w:rPr>
        <w:t xml:space="preserve"> Los testigos electorales vigilarán el proceso de las votaciones y podrán formular reclamaciones ante jurados de votación y comisiones escrutadoras, de acuerdo con lo señalado en este código.</w:t>
      </w:r>
    </w:p>
    <w:p w14:paraId="151E2DE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Los testigos electorales están facultados para solicitar la intervención de las autoridades correspondientes cuando las reclamaciones no sean resueltas de fondo y de manera inmediata para que se tomen las medidas preventivas y correctivas pertinentes.</w:t>
      </w:r>
    </w:p>
    <w:p w14:paraId="41D408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testigos podrán acreditarse para vigilar más de una mesa o comisión escrutadora. En ninguna mesa de votación o comisión escrutadora actuará más de un testigo electoral por partido, movimiento político, grupo significativo de ciudadanos, coalición o comité promotor.</w:t>
      </w:r>
    </w:p>
    <w:p w14:paraId="7E6853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prohíbe a los testigos obstaculizar el ejercicio de las funciones propias de los jurados de votación y de los miembros de la comisión escrutadora.</w:t>
      </w:r>
    </w:p>
    <w:p w14:paraId="034AE9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142.- Capacitación de testigos electorales. </w:t>
      </w:r>
      <w:r w:rsidRPr="00222F34">
        <w:rPr>
          <w:rFonts w:ascii="Calibri" w:eastAsia="Times New Roman" w:hAnsi="Calibri" w:cs="Calibri"/>
          <w:color w:val="000000"/>
          <w:lang w:val="es-CO" w:eastAsia="es-CO" w:bidi="ar-SA"/>
        </w:rPr>
        <w:t>La Registraduría Nacional del Estado Civil dispondrá de material de apoyo y de un módulo presencial o remoto de capacitación los cuales serán accesibles y orientará a los partidos, movimientos políticos, grupos significativos de ciudadanos, coaliciones y comités promotores, para que estos cumplan con su obligación de realizar las acciones necesarias presenciales o remotas para que se capaciten sus testigos electorales. En los municipios donde la conectividad no sea óptima el material de apoyo del módulo diseñado será impreso en número suficiente para la labor de formación de las organizaciones políticas y sus testigos electorales.</w:t>
      </w:r>
    </w:p>
    <w:p w14:paraId="6BE0D78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Previo a la fecha de inicio de acreditación de los testigos el Consejo Nacional Electoral adelantará una campaña publicitaria en medios de comunicación públicos, acerca de la importancia para la democracia de la labor de los testigos electorales.</w:t>
      </w:r>
    </w:p>
    <w:p w14:paraId="2BB9A1B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143.- Garantías a la función de los testigos electorales. </w:t>
      </w:r>
      <w:r w:rsidRPr="00222F34">
        <w:rPr>
          <w:rFonts w:ascii="Calibri" w:eastAsia="Times New Roman" w:hAnsi="Calibri" w:cs="Calibri"/>
          <w:color w:val="000000"/>
          <w:lang w:val="es-CO" w:eastAsia="es-CO" w:bidi="ar-SA"/>
        </w:rPr>
        <w:t>Los registradores del Estado Civil o sus delegados, los jurados de votación, los miembros de las comisiones escrutadoras y las demás autoridades que intervengan en el proceso electoral tienen los siguientes deberes en relación con los testigos:</w:t>
      </w:r>
    </w:p>
    <w:p w14:paraId="0B7D356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A. Durante las votaciones y escrutinios de mesa: </w:t>
      </w:r>
    </w:p>
    <w:p w14:paraId="5D76A76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w:t>
      </w:r>
    </w:p>
    <w:p w14:paraId="2C0105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Permitir durante el escrutinio de mesa el uso de medios tecnológicos, tales como celulares, grabadoras, cámaras fotográficas o de video, para el registro del desarrollo del mismo.</w:t>
      </w:r>
    </w:p>
    <w:p w14:paraId="3E36BC2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Permitir acercarse a la mesa de votación a una distancia prudente a fin de verificar el procedimiento del escrutinio, observar la calificación de los votos, el correcto diligenciamiento del acta y las demás acciones orientadas a velar por la transparencia y verdad electoral.</w:t>
      </w:r>
    </w:p>
    <w:p w14:paraId="54DD5DC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Recibir y resolver las solicitudes de recuentos de votos y las reclamaciones; y tramitar los recursos de apelación.</w:t>
      </w:r>
    </w:p>
    <w:p w14:paraId="4B62FF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5. Facilitar su labor tanto de verificación en la digitalización o fotografía de las actas de escrutinio de los jurados de votación, como de la transmisión de los resultados del escrutinio de jurados, en el traslado o envío de los documentos electorales, lo mismo que en la remisión de los documentos electorales que se encuentran en el exterior.</w:t>
      </w:r>
    </w:p>
    <w:p w14:paraId="2FE216B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B. Durante los escrutinios por las comisiones: </w:t>
      </w:r>
    </w:p>
    <w:p w14:paraId="0F8E24C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Permitir el acceso oportuno y la permanencia en las zonas autorizados para realizar los escrutinios.</w:t>
      </w:r>
    </w:p>
    <w:p w14:paraId="5B25A5E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Verificar la autenticación de los escrutadores, secretarios y demás intervinientes.</w:t>
      </w:r>
    </w:p>
    <w:p w14:paraId="4E5A974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Facilitar el acceso a los documentos electorales, a los registros de los escrutinios y entregar en audiencia pública, en igualdad de condiciones, copias de resultados parciales y finales, en medio físico o digital y en formato de datos abiertos. </w:t>
      </w:r>
    </w:p>
    <w:p w14:paraId="046ABB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Facilitar su labor de verificación del estado en que se recibieron los sobres dirigidos a la comisión escrutadora, fecha y hora de recibido de los documentos electorales y su custodia en debida forma una vez escrutados.</w:t>
      </w:r>
    </w:p>
    <w:p w14:paraId="0DB4E5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Permitir que se corrobore la correcta digitación de las votaciones en el software de escrutinios, y verificar que quede constancia de los recuentos de votos en el acta general.</w:t>
      </w:r>
    </w:p>
    <w:p w14:paraId="6FCD654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Facilitar, recibir y tramitar que presenten las peticiones, reclamaciones, recursos o solicitudes, que se presenten.</w:t>
      </w:r>
    </w:p>
    <w:p w14:paraId="35B4533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Permitir que, en caso de que se suspenda la audiencia, se corrobore que se tomen las medidas de seguridad informática y físicas adecuadas conforme a los protocolos establecidos.</w:t>
      </w:r>
    </w:p>
    <w:p w14:paraId="61E9B58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8.Permitir presentar solicitudes de recuento de votos de conformidad con las causales previstas en este código.</w:t>
      </w:r>
    </w:p>
    <w:p w14:paraId="5DE5031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144.- Prohibiciones de los testigos electorales. </w:t>
      </w:r>
      <w:r w:rsidRPr="00222F34">
        <w:rPr>
          <w:rFonts w:ascii="Calibri" w:eastAsia="Times New Roman" w:hAnsi="Calibri" w:cs="Calibri"/>
          <w:color w:val="000000"/>
          <w:lang w:val="es-CO" w:eastAsia="es-CO" w:bidi="ar-SA"/>
        </w:rPr>
        <w:t>Mientras ejerzan la función pública transitoria de testigo electoral, les queda prohibido:</w:t>
      </w:r>
    </w:p>
    <w:p w14:paraId="35B51C9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Portar prendas de vestir o distintivos que contengan propaganda electoral o divulgación política.</w:t>
      </w:r>
    </w:p>
    <w:p w14:paraId="0015C6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Realizar actos de proselitismo político.</w:t>
      </w:r>
    </w:p>
    <w:p w14:paraId="5E7BAE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Actuar como acompañantes o guías electorales, y hacer sugerencias o insinuaciones sobre el voto a los electores o a los jurados.</w:t>
      </w:r>
    </w:p>
    <w:p w14:paraId="49E7513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Manipular los documentos electorales.</w:t>
      </w:r>
    </w:p>
    <w:p w14:paraId="4A23CD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Transferir a terceros la credencial de testigo electoral.</w:t>
      </w:r>
    </w:p>
    <w:p w14:paraId="5A7E414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Interferir en las votaciones, en los escrutinios de los jurados de votación y en los escrutinios de las comisiones escrutadoras.</w:t>
      </w:r>
    </w:p>
    <w:p w14:paraId="389B9E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7. Revelar resultados parciales en las votaciones en que participan los colombianos en el exterior.</w:t>
      </w:r>
    </w:p>
    <w:p w14:paraId="4516E72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Expresar cualquier tipo de ofensa, difamación o calumnia en contra de las instituciones, autoridades electorales, partidos políticos o candidatos.</w:t>
      </w:r>
    </w:p>
    <w:p w14:paraId="4F98153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145.- Sanciones a testigos electorales.</w:t>
      </w:r>
      <w:r w:rsidRPr="00222F34">
        <w:rPr>
          <w:rFonts w:ascii="Calibri" w:eastAsia="Times New Roman" w:hAnsi="Calibri" w:cs="Calibri"/>
          <w:color w:val="000000"/>
          <w:lang w:val="es-CO" w:eastAsia="es-CO" w:bidi="ar-SA"/>
        </w:rPr>
        <w:t xml:space="preserve"> El incumplimiento por parte de los testigos electorales de las disposiciones consagradas en el capítulo “De los testigos electorales” dará lugar a la pérdida de la credencial, al retiro del puesto de votación y a las de carácter policivo según el Código Nacional de Seguridad y Convivencia Ciudadana o la norma que lo modifique, sustituya o adicione.</w:t>
      </w:r>
    </w:p>
    <w:p w14:paraId="187335A7"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p w14:paraId="16DE0A82"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observación electoral</w:t>
      </w:r>
    </w:p>
    <w:p w14:paraId="5F45D19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146.- De la naturaleza y propósitos de la observación electoral.</w:t>
      </w:r>
      <w:r w:rsidRPr="00222F34">
        <w:rPr>
          <w:rFonts w:ascii="Calibri" w:eastAsia="Times New Roman" w:hAnsi="Calibri" w:cs="Calibri"/>
          <w:color w:val="000000"/>
          <w:lang w:val="es-CO" w:eastAsia="es-CO" w:bidi="ar-SA"/>
        </w:rPr>
        <w:t xml:space="preserve"> La observación de los procesos electorales es un conjunto de actividades desarrolladas por personas y/o instituciones representadas por organizaciones nacionales de carácter privado o no gubernamental, o extranjeras, públicas o privadas. Esta se realiza de manera imparcial, informada, independiente y pública, con el objeto de constatar el adecuado desarrollo del proceso electoral, las distintas actividades realizadas en preparación del mismo y los resultados electorales e informar a la opinión pública sobre el cumplimiento de las normas vigentes y de los estándares nacionales e internacionales asociados con elecciones legítimas y transparentes. La observación electoral incluye, en todos los casos, los componentes tecnológicos que sean utilizados en el sistema electoral. También tiene como propósito coadyuvar a la transparencia del proceso electoral, cumpliendo los principios de imparcialidad e independencia.</w:t>
      </w:r>
    </w:p>
    <w:p w14:paraId="1486D98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147.- Ejercicio de la observación electoral. </w:t>
      </w:r>
      <w:r w:rsidRPr="00222F34">
        <w:rPr>
          <w:rFonts w:ascii="Calibri" w:eastAsia="Times New Roman" w:hAnsi="Calibri" w:cs="Calibri"/>
          <w:color w:val="000000"/>
          <w:lang w:val="es-CO" w:eastAsia="es-CO" w:bidi="ar-SA"/>
        </w:rPr>
        <w:t xml:space="preserve">Para adelantar la observación electoral, los observadores deberán respetar la Constitución, las leyes de la República de Colombia y los principios de imparcialidad, neutralidad y transparencia.  </w:t>
      </w:r>
    </w:p>
    <w:p w14:paraId="145344E5" w14:textId="447EEF8B" w:rsidR="00CD4925" w:rsidRPr="00222F34" w:rsidRDefault="009B0BDA" w:rsidP="009B0BDA">
      <w:pPr>
        <w:widowControl/>
        <w:autoSpaceDE/>
        <w:autoSpaceDN/>
        <w:spacing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las Misiones de Observación Electoral gozarán de independencia en su actuar. El Estado deberá garantizar el acceso a toda la información, actores y escenarios para el desempeño de su misión.</w:t>
      </w:r>
    </w:p>
    <w:p w14:paraId="5986B18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148.- Acreditación de los observadores electorales. </w:t>
      </w:r>
      <w:r w:rsidRPr="00222F34">
        <w:rPr>
          <w:rFonts w:ascii="Calibri" w:eastAsia="Times New Roman" w:hAnsi="Calibri" w:cs="Calibri"/>
          <w:color w:val="000000"/>
          <w:lang w:val="es-CO" w:eastAsia="es-CO" w:bidi="ar-SA"/>
        </w:rPr>
        <w:t>El Consejo Nacional Electoral acreditará a los observadores electorales nacionales e internacionales con la oportunidad suficiente para el desarrollo de sus actividades. Solamente se podrán negar solicitudes de acreditación a través de un acto administrativo debidamente motivado que deberá estar publicado en la página web del Consejo Nacional Electoral, respecto del cual procederán los recursos de ley.</w:t>
      </w:r>
    </w:p>
    <w:p w14:paraId="1F563615" w14:textId="77777777" w:rsidR="00CD4925" w:rsidRPr="00222F34" w:rsidRDefault="00CD4925" w:rsidP="009B0BDA">
      <w:pPr>
        <w:widowControl/>
        <w:autoSpaceDE/>
        <w:autoSpaceDN/>
        <w:spacing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determinará el término máximo para la expedición de las acreditaciones mediante acto administrativo.</w:t>
      </w:r>
    </w:p>
    <w:p w14:paraId="49657E8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149.- Facultades de los observadores electorales.</w:t>
      </w:r>
      <w:r w:rsidRPr="00222F34">
        <w:rPr>
          <w:rFonts w:ascii="Calibri" w:eastAsia="Times New Roman" w:hAnsi="Calibri" w:cs="Calibri"/>
          <w:color w:val="000000"/>
          <w:lang w:val="es-CO" w:eastAsia="es-CO" w:bidi="ar-SA"/>
        </w:rPr>
        <w:t xml:space="preserve"> Los observadores electorales podrán estar presentes, para observar y acceder a la información del desarrollo de las diferentes etapas del proceso electoral, con el propósito aunar esfuerzos con las autoridades electorales para brindar garantías y transparencia en el proceso electoral.</w:t>
      </w:r>
    </w:p>
    <w:p w14:paraId="55B3AB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En el ejercicio de su actividad, los observadores tendrán las siguientes facultades:</w:t>
      </w:r>
    </w:p>
    <w:p w14:paraId="68CDF3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Libertad de circulación en el territorio nacional.</w:t>
      </w:r>
    </w:p>
    <w:p w14:paraId="3FF9AB3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Libertad de comunicación con autoridades y funcionarios electorales con el propósito de obtener orientación e información sobre la normatividad, instituciones y procedimientos electorales.</w:t>
      </w:r>
    </w:p>
    <w:p w14:paraId="6829B24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Acceder a la información de cada una de las etapas del proceso electoral que generen las instituciones en los términos fijados por la ley.</w:t>
      </w:r>
    </w:p>
    <w:p w14:paraId="22A8ECB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Observar cada una de las etapas del proceso electoral, así como el desarrollo de la jornada electoral.</w:t>
      </w:r>
    </w:p>
    <w:p w14:paraId="458EE9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Observar la conducta de las autoridades electorales y el cumplimiento de sus obligaciones.</w:t>
      </w:r>
    </w:p>
    <w:p w14:paraId="1694270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Participar en los espacios e instancias institucionales relacionados o con incidencia en el desarrollo del proceso electoral.</w:t>
      </w:r>
    </w:p>
    <w:p w14:paraId="4CA952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7.Presentar y hacer públicos los informes temáticos y/o de observación electoral y las recomendaciones a las distintas autoridades.</w:t>
      </w:r>
    </w:p>
    <w:p w14:paraId="16CA97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Participar en su calidad de observador de los procesos de auditoria al software utilizado para la escogencia de jurados de votación, el software de preconteo, el software de escrutinio, el software de consolidación de escrutinios y todos los softwares que llegase a usarse en el desarrollo del proceso electoral.</w:t>
      </w:r>
    </w:p>
    <w:p w14:paraId="7533318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9. Los demás necesarios para el ejercicio de la observación electoral. </w:t>
      </w:r>
    </w:p>
    <w:p w14:paraId="47FF8DA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150.- Prohibiciones</w:t>
      </w:r>
      <w:r w:rsidRPr="00222F34">
        <w:rPr>
          <w:rFonts w:ascii="Calibri" w:eastAsia="Times New Roman" w:hAnsi="Calibri" w:cs="Calibri"/>
          <w:color w:val="000000"/>
          <w:lang w:val="es-CO" w:eastAsia="es-CO" w:bidi="ar-SA"/>
        </w:rPr>
        <w:t>. Los observadores electorales tendrán prohibido:</w:t>
      </w:r>
    </w:p>
    <w:p w14:paraId="31EA7E3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Ejercer atribuciones que legal y constitucionalmente le competen a la Organización Electoral.</w:t>
      </w:r>
    </w:p>
    <w:p w14:paraId="0BF8B4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Reemplazar u obstaculizar a las autoridades públicas en el ejercicio de sus funciones.</w:t>
      </w:r>
    </w:p>
    <w:p w14:paraId="5F217AF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Interferir con el normal desarrollo de los procesos electorales y de las actividades que se llevan a cabo.</w:t>
      </w:r>
    </w:p>
    <w:p w14:paraId="22785BA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4.Hacer campaña electoral a favor o en contra de candidatos, partidos, movimientos políticos, grupos significativos de ciudadanos, coaliciones, promotores del voto en blanco o de la abstención activa.</w:t>
      </w:r>
    </w:p>
    <w:p w14:paraId="7E611FC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Portar indumentarias o distintivos que los identifiquen con alguna agrupación política, candidato u opción electoral.</w:t>
      </w:r>
    </w:p>
    <w:p w14:paraId="6F0C4C9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Expresar cualquier tipo de ofensa, difamación o calumnia en contra de las instituciones, autoridades electorales, partido, movimiento político, grupo significativo de ciudadanos, coalición, comité promotor o candidato.</w:t>
      </w:r>
    </w:p>
    <w:p w14:paraId="45E3F5A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Actuar como guía electoral o realizar orientaciones a los votantes.</w:t>
      </w:r>
    </w:p>
    <w:p w14:paraId="5554FB8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Formular reclamaciones electorales en el desarrollo de los escrutinios.</w:t>
      </w:r>
    </w:p>
    <w:p w14:paraId="3842A31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9. Actuar como testigos electorales.</w:t>
      </w:r>
    </w:p>
    <w:p w14:paraId="6F78826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inobservancia de las anteriores disposiciones dará lugar, según la gravedad de la conducta cometida, a la cancelación de la acreditación del observador electoral o a la inhabilitación para hacer observancia electoral en los procesos electorales subsiguientes que determine el Consejo Nacional Electoral, con garantías del debido proceso.</w:t>
      </w:r>
    </w:p>
    <w:p w14:paraId="7D2F6E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151.- Informe de observación electoral. </w:t>
      </w:r>
      <w:r w:rsidRPr="00222F34">
        <w:rPr>
          <w:rFonts w:ascii="Calibri" w:eastAsia="Times New Roman" w:hAnsi="Calibri" w:cs="Calibri"/>
          <w:color w:val="000000"/>
          <w:lang w:val="es-CO" w:eastAsia="es-CO" w:bidi="ar-SA"/>
        </w:rPr>
        <w:t>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el siguiente proceso electoral ordinario.</w:t>
      </w:r>
    </w:p>
    <w:p w14:paraId="1FA950B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152.- De las misiones internacionales de observación electoral</w:t>
      </w:r>
      <w:r w:rsidRPr="00222F34">
        <w:rPr>
          <w:rFonts w:ascii="Calibri" w:eastAsia="Times New Roman" w:hAnsi="Calibri" w:cs="Calibri"/>
          <w:color w:val="000000"/>
          <w:lang w:val="es-CO" w:eastAsia="es-CO" w:bidi="ar-SA"/>
        </w:rPr>
        <w:t>. El Consejo Nacional Electoral reglamentará, en cada evento electoral, el funcionamiento y procedimiento para la invitación, acreditación y permisos de las misiones internacionales de observación electoral, así como el número de observadores permitido.</w:t>
      </w:r>
    </w:p>
    <w:p w14:paraId="3D8AEE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podrá invitar misiones de observación electoral para ser acreditadas ante el Consejo Nacional Electoral.</w:t>
      </w:r>
    </w:p>
    <w:p w14:paraId="15E3D33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misiones de observación electoral internacional se llevarán a cabo conforme a los tratados vigentes y ratificados por Colombia respetando la soberanía del país y en condiciones de reciprocidad.</w:t>
      </w:r>
    </w:p>
    <w:p w14:paraId="6029B78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Podrán ser invitados Estados, expertos, organismos electorales, organizaciones internacionales, universidades, organizaciones no gubernamentales y organismos multilaterales, que hagan parte de las relaciones bilaterales diplomáticas y vigentes con Colombia.</w:t>
      </w:r>
    </w:p>
    <w:p w14:paraId="3B72566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153.- De los observadores internacionales. </w:t>
      </w:r>
      <w:r w:rsidRPr="00222F34">
        <w:rPr>
          <w:rFonts w:ascii="Calibri" w:eastAsia="Times New Roman" w:hAnsi="Calibri" w:cs="Calibri"/>
          <w:color w:val="000000"/>
          <w:lang w:val="es-CO" w:eastAsia="es-CO" w:bidi="ar-SA"/>
        </w:rPr>
        <w:t>Podrán ser observadores internacionales los ciudadanos extranjeros, debidamente acreditados, que sean:</w:t>
      </w:r>
    </w:p>
    <w:p w14:paraId="2C69E5F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Representantes de organismos internacionales.</w:t>
      </w:r>
    </w:p>
    <w:p w14:paraId="75A81D2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Representantes de gobiernos y órganos legislativos extranjeros.</w:t>
      </w:r>
    </w:p>
    <w:p w14:paraId="4D744F7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Representantes de organismos electorales extranjeros.</w:t>
      </w:r>
    </w:p>
    <w:p w14:paraId="021A704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Representantes diplomáticos acreditados ante el Estado colombiano.</w:t>
      </w:r>
    </w:p>
    <w:p w14:paraId="4B518B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Representantes de instituciones académicas y de investigación en el ámbito de la educación superior.</w:t>
      </w:r>
    </w:p>
    <w:p w14:paraId="126F68B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Representantes de instituciones privadas o asociaciones no gubernamentales que realicen en el exterior actividades especializadas o relacionadas con el ámbito político o en defensa de los derechos de participación política.</w:t>
      </w:r>
    </w:p>
    <w:p w14:paraId="571208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7. Expertos en asuntos electorales, que prueben como mínimo, haber publicado 2 artículos que desarrollen temáticas propias del derecho electoral o el ejercicio profesional relacionado al interior de una organización electoral o entidad privada o asociaciones no gubernamentales que realicen actividades especializadas en asuntos electorales o haber fungido como observador electoral.</w:t>
      </w:r>
    </w:p>
    <w:p w14:paraId="69CEC24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154.- Sanciones a observadores internacionales. </w:t>
      </w:r>
      <w:r w:rsidRPr="00222F34">
        <w:rPr>
          <w:rFonts w:ascii="Calibri" w:eastAsia="Times New Roman" w:hAnsi="Calibri" w:cs="Calibri"/>
          <w:color w:val="000000"/>
          <w:lang w:val="es-CO" w:eastAsia="es-CO" w:bidi="ar-SA"/>
        </w:rPr>
        <w:t>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sin perjuicio de las acciones legales que en derecho correspondan.</w:t>
      </w:r>
    </w:p>
    <w:p w14:paraId="3C0064B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acreditación del Observador Internacional cesará el día en que se cancele la acreditación al observador, sin perjuicio de las acciones judiciales que pudiera originar su actuación.</w:t>
      </w:r>
    </w:p>
    <w:p w14:paraId="76251739"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p w14:paraId="07F8D5E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día de las elecciones</w:t>
      </w:r>
    </w:p>
    <w:p w14:paraId="7031C91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155.- Fecha de elecciones. </w:t>
      </w:r>
      <w:r w:rsidRPr="00222F34">
        <w:rPr>
          <w:rFonts w:ascii="Calibri" w:eastAsia="Times New Roman" w:hAnsi="Calibri" w:cs="Calibri"/>
          <w:color w:val="000000"/>
          <w:lang w:val="es-CO" w:eastAsia="es-CO" w:bidi="ar-SA"/>
        </w:rPr>
        <w:t>De conformidad con la Constitución Política y la ley, las elecciones se llevarán a cabo en los siguientes días:</w:t>
      </w:r>
    </w:p>
    <w:p w14:paraId="40FB711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 Política.</w:t>
      </w:r>
    </w:p>
    <w:p w14:paraId="092E1FA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Las del Congreso de la República se realizarán el segundo domingo de marzo del respectivo año.</w:t>
      </w:r>
    </w:p>
    <w:p w14:paraId="4981082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Las de gobernadores, alcaldes, diputados, concejales y ediles o, bien, miembros de juntas administradoras locales se realizarán el último domingo del mes de septiembre del respectivo año.</w:t>
      </w:r>
    </w:p>
    <w:p w14:paraId="7622D3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w:t>
      </w:r>
    </w:p>
    <w:p w14:paraId="31096D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156. Modalidades del voto.</w:t>
      </w:r>
      <w:r w:rsidRPr="00222F34">
        <w:rPr>
          <w:rFonts w:ascii="Calibri" w:eastAsia="Times New Roman" w:hAnsi="Calibri" w:cs="Calibri"/>
          <w:color w:val="000000"/>
          <w:lang w:val="es-CO" w:eastAsia="es-CO" w:bidi="ar-SA"/>
        </w:rPr>
        <w:t xml:space="preserve"> De acuerdo con las reglamentaciones técnicas y logísticas que expida la Registraduría Nacional del Estado Civil, el voto será presencial, en las siguientes modalidades:</w:t>
      </w:r>
    </w:p>
    <w:p w14:paraId="51C823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a. Voto manual. Es el que marca el votante de su puño y letra en la tarjeta electoral física que le suministra la autoridad electoral correspondiente, y que deposita en la urna dispuesta para el efecto ante el jurado de votación.</w:t>
      </w:r>
    </w:p>
    <w:p w14:paraId="05F888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b. Voto electrónico mixto. Es el marcado por el votante con ayuda de tecnología en el proceso de emisión y/o conteo del voto. La terminal electrónica donde se consigne la preferencia del elector no podrá estar conectada </w:t>
      </w:r>
      <w:r w:rsidRPr="00222F34">
        <w:rPr>
          <w:rFonts w:ascii="Calibri" w:eastAsia="Times New Roman" w:hAnsi="Calibri" w:cs="Calibri"/>
          <w:color w:val="000000"/>
          <w:lang w:val="es-CO" w:eastAsia="es-CO" w:bidi="ar-SA"/>
        </w:rPr>
        <w:lastRenderedPageBreak/>
        <w:t>a una red pública y deberá producir una constancia del voto que será depositada en una urna ante el jurado de votación.</w:t>
      </w:r>
    </w:p>
    <w:p w14:paraId="2A8BE7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diferencia entre los votos consignados en la máquina y las constancias de voto depositados en la urna, prevalecerán estas últimas.</w:t>
      </w:r>
    </w:p>
    <w:p w14:paraId="543D27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  Voto anticipado. Es el depositado fuera del territorio nacional con anterioridad a la fecha del evento electoral correspondiente, de forma presencial, en el lugar que se determine para tal fin.</w:t>
      </w:r>
    </w:p>
    <w:p w14:paraId="4923A82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No se podrán dar a conocer los resultados de manera anticipada. El escrutinio se realizará en la forma indicada en este código.</w:t>
      </w:r>
    </w:p>
    <w:p w14:paraId="77F624F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Se garantizará que la arquitectura y el código fuente de la tecnología que se implemente para el voto electrónico mixto sea auditable en los términos de esta ley.</w:t>
      </w:r>
    </w:p>
    <w:p w14:paraId="38F551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Previa realización de la jornada electoral en donde se utilicen las modalidades de voto electrónico mixto se efectuarán los simulacros y auditoría que garanticen el adecuado funcionamiento del Software implementado.</w:t>
      </w:r>
    </w:p>
    <w:p w14:paraId="364959F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y el Consejo Nacional Electoral efectuarán la pedagogía necesaria que garantice la adecuada comprensión de las modalidades de voto consagradas en el presente artículo.</w:t>
      </w:r>
    </w:p>
    <w:p w14:paraId="370E2A3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El voto electrónico mixto entrará en vigencia a partir del 2029.</w:t>
      </w:r>
    </w:p>
    <w:p w14:paraId="3576114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157. Instrumentos de votación. </w:t>
      </w:r>
      <w:r w:rsidRPr="00222F34">
        <w:rPr>
          <w:rFonts w:ascii="Calibri" w:eastAsia="Times New Roman" w:hAnsi="Calibri" w:cs="Calibri"/>
          <w:color w:val="000000"/>
          <w:lang w:val="es-CO" w:eastAsia="es-CO" w:bidi="ar-SA"/>
        </w:rPr>
        <w:t>La Registraduría Nacional del Estado Civil diseñará los instrumentos de votación físicos y/o a través de sistemas tecnológicamente asistidos, con las debidas y necesarias medidas de seguridad y accesibilidad.</w:t>
      </w:r>
    </w:p>
    <w:p w14:paraId="0D821C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candidatos y listas aparecerán en la tarjeta electoral en igualdad de condiciones, posterior al sorteo de la posición que ocuparán los candidatos a cargos uninominales y los logo símbolos en corporaciones públicas. El sorteo estará a cargo de la Registraduría Nacional del Estado Civil.</w:t>
      </w:r>
    </w:p>
    <w:p w14:paraId="537EB69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Como complemento de la tarjeta electoral podrán elaborarse cuadernillos físicos o digitales con los datos de los candidatos, en formatos accesibles.</w:t>
      </w:r>
    </w:p>
    <w:p w14:paraId="3F2FC8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las elecciones al Congreso de la República habrá una tarjeta electoral separada e independiente por cada circunscripción electoral en igualdad de condiciones. También habrá una sola casilla de voto en blanco para cada circunscripción.</w:t>
      </w:r>
    </w:p>
    <w:p w14:paraId="2728C3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elecciones locales, municipales y departamentales habrá una tarjeta electoral separada e independiente para cada corporación en igualdad de condiciones. También habrá una sola casilla de voto en blanco para cada tarjeta electoral.</w:t>
      </w:r>
    </w:p>
    <w:p w14:paraId="61F256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Cuando el elector acuda a los jurados de votación, estos deberán ofrecerle, sobre la mesa, todas las tarjetas electorales disponibles, a efectos de que este seleccione, de forma libre y voluntaria, una para cada corporación o cargos uninominales.</w:t>
      </w:r>
    </w:p>
    <w:p w14:paraId="28FFD8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Cuando en la mesa se utilicen los medios tecnológicos para asistir al ciudadano en la votación, la tecnología 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w:t>
      </w:r>
    </w:p>
    <w:p w14:paraId="7A177C1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la votación electrónica mixta, la interfaz del software o plataforma solo permitirá la selección de una opción de voto para cada corporación o cargo uninominal.</w:t>
      </w:r>
    </w:p>
    <w:p w14:paraId="71FF85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Registraduría Nacional del Estado Civil garantizará material electoral con lenguas nativas.</w:t>
      </w:r>
    </w:p>
    <w:p w14:paraId="72A5B4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158.- Ley seca.</w:t>
      </w:r>
      <w:r w:rsidRPr="00222F34">
        <w:rPr>
          <w:rFonts w:ascii="Calibri" w:eastAsia="Times New Roman" w:hAnsi="Calibri" w:cs="Calibri"/>
          <w:color w:val="000000"/>
          <w:lang w:val="es-CO" w:eastAsia="es-CO" w:bidi="ar-SA"/>
        </w:rPr>
        <w:t xml:space="preserve"> Para las elecciones de que trata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seis (6:00 p.m.) de la tarde del día en que tenga lugar la jornada electoral, salvo que medien circunstancias que exijan la ampliación de esta medida.</w:t>
      </w:r>
    </w:p>
    <w:p w14:paraId="59FAC9F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todo caso, los gobernadores y alcaldes municipales mantendrán sus competencias para garantizar el orden público y tomar las medidas referentes a la ley seca respecto de su jurisdicción.</w:t>
      </w:r>
    </w:p>
    <w:p w14:paraId="052313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medida de ley seca solo se aplicará en las elecciones ordinarias en la forma prevista en el presente artículo. Bajo ninguna circunstancia, la medida de ley seca se aplicará para consultas internas de los partidos políticos; ni para las jornadas electorales que se desarrollen en torno a otros mecanismos de participación democrática.</w:t>
      </w:r>
    </w:p>
    <w:p w14:paraId="2DACF864"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159.- Jornada electoral.</w:t>
      </w:r>
      <w:r w:rsidRPr="00222F34">
        <w:rPr>
          <w:rFonts w:ascii="Calibri" w:eastAsia="Times New Roman" w:hAnsi="Calibri" w:cs="Calibri"/>
          <w:color w:val="000000"/>
          <w:lang w:val="es-CO" w:eastAsia="es-CO" w:bidi="ar-SA"/>
        </w:rPr>
        <w:t xml:space="preserve"> Las votaciones iniciarán a las ocho (8) de la mañana del día de las elecciones y cerrarán a las cinco (5) de la tarde del mismo día. </w:t>
      </w:r>
    </w:p>
    <w:p w14:paraId="5FC1EC3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Los periodos de votación de los ciudadanos colombianos residentes en el exterior deberán estar abiertos durante una semana, entendiéndose que el primer día es el lunes anterior a la fecha oficial de la respectiva elección en el territorio nacional. Lo anterior para facilitar el desplazamiento de ciudadanos colombianos que se pueden encontrar distantes de la sede consular.  </w:t>
      </w:r>
    </w:p>
    <w:p w14:paraId="2D8FFC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caso de grave perturbación del orden público que haga imposible el desarrollo de las votaciones o ante la imposibilidad de ejercer el derecho al voto en cualquiera de las modalidades previstas en este Código el Consejo Nacional Electoral el diferimiento de la jornada electoral, en la circunscripción electoral a solicitud del respectivo Gobernador departamental o alcalde distrital de Bogotá, previo visto bueno del Registrador Nacional del Estado Civil. </w:t>
      </w:r>
    </w:p>
    <w:p w14:paraId="07DC8A7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decisión de diferir la jornada electoral deberá ser motivada. En todo caso, dicha decisión tendrá validez máxima por ocho (8) días, luego de los cuales, será necesaria una nueva solicitud por parte de los mismos funcionarios, en la que sustenten las condiciones de su motivación para continuar con el diferimiento. La jornada electoral deberá convocarse dentro del mes siguiente a la adopción de la decisión.</w:t>
      </w:r>
    </w:p>
    <w:p w14:paraId="32B9552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decisión de diferir la jornada electoral solo podrá decretarse cuando la decisión de los miembros del Consejo Nacional Electoral sea unánime. </w:t>
      </w:r>
    </w:p>
    <w:p w14:paraId="0B052D3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160. Voto anticipado. </w:t>
      </w:r>
      <w:r w:rsidRPr="00222F34">
        <w:rPr>
          <w:rFonts w:ascii="Calibri" w:eastAsia="Times New Roman" w:hAnsi="Calibri" w:cs="Calibri"/>
          <w:color w:val="000000"/>
          <w:lang w:val="es-CO" w:eastAsia="es-CO" w:bidi="ar-SA"/>
        </w:rPr>
        <w:t>Con el objetivo de promover la participación electoral, luego de consolidadas las listas de candidatos y definidas las tarjetas para cualquier elección, la Registraduría Nacional del Estado Civil podrá reglamentar e implementar un mecanismo de voto anticipado, aplicable únicamente a las mesas de votación ubicadas por fuera del territorio nacional:</w:t>
      </w:r>
    </w:p>
    <w:p w14:paraId="60A43B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w:t>
      </w:r>
    </w:p>
    <w:p w14:paraId="1781B66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 Registraduría Nacional del Estado Civil, por una parte, establecerá los protocolos de seguridad que deberán respetarse para que el voto anticipado sea válido, e informará de los mismos al Consejo Nacional Electoral.</w:t>
      </w:r>
    </w:p>
    <w:p w14:paraId="66406B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En ningún caso se podrán publicar o revelar los resultados parciales que se computen en uso del voto anticipado. Tal actuación será considerada como falta gravísima, según lo dispuesto en la normativa disciplinaria.</w:t>
      </w:r>
    </w:p>
    <w:p w14:paraId="50797EB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161.- Información de puesto y mesa de votación al votante. </w:t>
      </w:r>
      <w:r w:rsidRPr="00222F34">
        <w:rPr>
          <w:rFonts w:ascii="Calibri" w:eastAsia="Times New Roman" w:hAnsi="Calibri" w:cs="Calibri"/>
          <w:color w:val="000000"/>
          <w:lang w:val="es-CO" w:eastAsia="es-CO" w:bidi="ar-SA"/>
        </w:rPr>
        <w:t>La Registraduría deberá adoptar las medidas pertinentes y necesarias para que los ciudadanos habilitados conozcan su puesto y mesa de votación garantizando que la información sea accesible y fácil de entender.</w:t>
      </w:r>
    </w:p>
    <w:p w14:paraId="5FFF634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estos efectos, los listados de sufragantes podrán ser consultados a través de los medios tecnológicos dispuestos para tal fin. Gradualmente y cuando las condiciones lo permitan, se eliminará el uso del papel.</w:t>
      </w:r>
    </w:p>
    <w:p w14:paraId="6391C15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162.- Autenticación del elector. </w:t>
      </w:r>
      <w:r w:rsidRPr="00222F34">
        <w:rPr>
          <w:rFonts w:ascii="Calibri" w:eastAsia="Times New Roman" w:hAnsi="Calibri" w:cs="Calibri"/>
          <w:color w:val="000000"/>
          <w:lang w:val="es-CO" w:eastAsia="es-CO" w:bidi="ar-SA"/>
        </w:rPr>
        <w:t>Como condición al ejercicio del voto se implementará la identificación biométrica o autenticación de documentos de identidad o sus equivalentes funcionales,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w:t>
      </w:r>
    </w:p>
    <w:p w14:paraId="69B1FE5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Si no es posible validar la identificación biométrica del elector por fallas o límites atribuibles al medio tecnológico usado, no podrá limitarse el ejercicio del derecho al voto. Para este fin, se usarán métodos manuales </w:t>
      </w:r>
      <w:r w:rsidRPr="00222F34">
        <w:rPr>
          <w:rFonts w:ascii="Calibri" w:eastAsia="Times New Roman" w:hAnsi="Calibri" w:cs="Calibri"/>
          <w:color w:val="000000"/>
          <w:lang w:val="es-CO" w:eastAsia="es-CO" w:bidi="ar-SA"/>
        </w:rPr>
        <w:lastRenderedPageBreak/>
        <w:t>de identificación biométrica del elector y de no haberlos, se permitirá el ejercicio del voto al elector con la sola presentación de los documentos de identidad o sus equivalentes funcionales.</w:t>
      </w:r>
    </w:p>
    <w:p w14:paraId="6C76449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163</w:t>
      </w:r>
      <w:r w:rsidRPr="00222F34">
        <w:rPr>
          <w:rFonts w:ascii="Calibri" w:eastAsia="Times New Roman" w:hAnsi="Calibri" w:cs="Calibri"/>
          <w:color w:val="000000"/>
          <w:lang w:val="es-CO" w:eastAsia="es-CO" w:bidi="ar-SA"/>
        </w:rPr>
        <w:t>.- Instalación y funcionamiento de la mesa. Para la instalación y funcionamiento de la mesa de votación durante la jornada se requiere como mínimo de la presencia permanente de dos (2) jurados de votación debidamente designados.</w:t>
      </w:r>
    </w:p>
    <w:p w14:paraId="103317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164.- Reemplazo de jurados de votación</w:t>
      </w:r>
      <w:r w:rsidRPr="00222F34">
        <w:rPr>
          <w:rFonts w:ascii="Calibri" w:eastAsia="Times New Roman" w:hAnsi="Calibri" w:cs="Calibri"/>
          <w:color w:val="000000"/>
          <w:lang w:val="es-CO" w:eastAsia="es-CO" w:bidi="ar-SA"/>
        </w:rPr>
        <w:t>. 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w:t>
      </w:r>
    </w:p>
    <w:p w14:paraId="130803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jurados remanentes podrán retirarse una vez el delegado de puesto de la Registraduría Nacional del Estado Civil les expida la constancia de asistencia.</w:t>
      </w:r>
    </w:p>
    <w:p w14:paraId="35734F9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agotarse la lista de remanentes en el puesto de votación al que fueron designados, el delegado de puesto deberá suplir la vacancia con los jurados designados para otros puestos o mesas de votación.</w:t>
      </w:r>
    </w:p>
    <w:p w14:paraId="23C0B9D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Excepcionalmente, y sólo cuando se agote el proceso anterior, y no se tenga el número suficiente de jurados por mesa, el delegado de puesto procederá a designar al azar ciudadanos aptos que concurran en la votación, para que cumplan con la función de jurado, la cual será de forzosa aceptación.</w:t>
      </w:r>
    </w:p>
    <w:p w14:paraId="33A6DF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los casos anteriores, el delegado deberá dejar constancia en la resolución diseñada por la Registraduría Nacional del Estado Civil.</w:t>
      </w:r>
    </w:p>
    <w:p w14:paraId="23D05C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el ciudadano designado se niegue de forma injustificada a cumplir con la función o no cumpla con la misma, habrá lugar a la imposición de las sanciones previstas en este código para la inasistencia de los jurados de votación.</w:t>
      </w:r>
    </w:p>
    <w:p w14:paraId="0B7FD69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165.- Instalación de la mesa de votación.</w:t>
      </w:r>
      <w:r w:rsidRPr="00222F34">
        <w:rPr>
          <w:rFonts w:ascii="Calibri" w:eastAsia="Times New Roman" w:hAnsi="Calibri" w:cs="Calibri"/>
          <w:color w:val="000000"/>
          <w:lang w:val="es-CO" w:eastAsia="es-CO" w:bidi="ar-SA"/>
        </w:rPr>
        <w:t xml:space="preserve"> 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 </w:t>
      </w:r>
    </w:p>
    <w:p w14:paraId="42589A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Cuando se utilicen sistemas de asistencia tecnológica para la votación, los jurados deberán verificar el correcto funcionamiento de las herramientas instaladas para el efecto. También deberán dejar constancia en el respectivo formulario de que en el momento de la instalación de la mesa no se han depositado o contabilizado votos, y, por ende, el sistema se encuentre en cero. </w:t>
      </w:r>
    </w:p>
    <w:p w14:paraId="5C2DED6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68FAAFD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A las ocho de la mañana (8:00 a. m.) los jurados instalarán la mesa y dejarán constancia mediante acta firmada por todos los presentes de la apertura de la jornada y las observaciones pertinentes </w:t>
      </w:r>
    </w:p>
    <w:p w14:paraId="74388FE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ARTÍCULO 166.- Protocolo de votación.</w:t>
      </w:r>
      <w:r w:rsidRPr="00222F34">
        <w:rPr>
          <w:rFonts w:ascii="Calibri" w:eastAsia="Times New Roman" w:hAnsi="Calibri" w:cs="Calibri"/>
          <w:color w:val="000000"/>
          <w:lang w:val="es-CO" w:eastAsia="es-CO" w:bidi="ar-SA"/>
        </w:rPr>
        <w:t xml:space="preserve"> El jurado designado para tal efecto exigirá al votante la cédula de ciudadanía o su equivalente funcional ya sea electrónico y/o digital o de extranjería y adelantará el procedimiento de verificación que se haya dispuesto para estos efectos, o la tarjeta de identidad, física o digital, con el fin de verificar la identidad, luego se procederá a la identificación biométrica de que trata el presente código. Comprobará que se encuentra habilitado en la respectiva mesa o puesto y lo inscribirá en el registro de votantes de acuerdo con las instrucciones que imparte la Organización Electoral. </w:t>
      </w:r>
    </w:p>
    <w:p w14:paraId="38F4EDE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Seguidamente, los jurados de votación deberán ofrecerle al elector, sobre la mesa, todas las tarjetas electorales disponibles, a efectos de que este seleccione de forma libre y voluntaria las que decida utilizar. </w:t>
      </w:r>
    </w:p>
    <w:p w14:paraId="27587DA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votante se dirigirá al cubículo o dispositivo electrónico para hacer efectivo su voto, según la modalidad de votación implementada. En cualquier caso, se garantizará el carácter secreto e inviolable del voto. </w:t>
      </w:r>
    </w:p>
    <w:p w14:paraId="08DA5B3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Depositado el voto o comprobante en la urna, el jurado devolverá el documento de identificación al votante y entregará el certificado electoral, cuando aplique. </w:t>
      </w:r>
    </w:p>
    <w:p w14:paraId="3BEA597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el jurado de votación decida ejercer su derecho al voto, deberá hacerlo únicamente en la mesa de votación en la que ha sido designado para cumplir su función. </w:t>
      </w:r>
    </w:p>
    <w:p w14:paraId="2877408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los casos donde se asigne el ejercicio para ser jurados en diversas mesas, se deberá ejercer el derecho al voto en la última mesa donde se ejecute esta función. </w:t>
      </w:r>
    </w:p>
    <w:p w14:paraId="01F3AFD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Cuando el votante por error dañe una tarjeta electoral o manifieste su voluntad de obtener una nueva, el jurado de votación exigirá la devolución de la tarjeta dañada, procederá a destruirla mediante la marcación sobre ella como inservible, la depositará en el sobre para tarjetas inservibles y, a continuación, le entregará una nueva al votante. Para el caso del voto electrónico, la interfaz preguntará al elector si está seguro de la opción seleccionada y una vez este la confirme no podrá modificar el voto. </w:t>
      </w:r>
    </w:p>
    <w:p w14:paraId="7CADD6C5"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 </w:t>
      </w:r>
    </w:p>
    <w:p w14:paraId="34153396"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le está permitido al jurado recomendar o inducir al elector para que ejerza el derecho al voto respecto de algún candidato, lista u opción de voto. </w:t>
      </w:r>
    </w:p>
    <w:p w14:paraId="2C68E12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reglamentará el procedimiento a seguir ante los errores que cometan los electores en las votaciones tecnológicamente asistidas, incluyendo las causales de reclamación que correspondan y atendiendo los principios orientadores previstos en este código. </w:t>
      </w:r>
    </w:p>
    <w:p w14:paraId="4E93537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167.- Voto con acompañante</w:t>
      </w:r>
      <w:r w:rsidRPr="00222F34">
        <w:rPr>
          <w:rFonts w:ascii="Calibri" w:eastAsia="Times New Roman" w:hAnsi="Calibri" w:cs="Calibri"/>
          <w:color w:val="000000"/>
          <w:lang w:val="es-CO" w:eastAsia="es-CO" w:bidi="ar-SA"/>
        </w:rPr>
        <w:t>. Las personas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w:t>
      </w:r>
    </w:p>
    <w:p w14:paraId="04F5C71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Quien funja como acompañante no podrá prestarle este servicio a más de dos (2) ciudadanos en la misma jornada electoral.</w:t>
      </w:r>
    </w:p>
    <w:p w14:paraId="63E35C1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El jurado de votación deberá dejar constancia en el registro de votantes de la identidad del acompañante en el espacio previsto para las observaciones del documento electoral correspondiente.</w:t>
      </w:r>
    </w:p>
    <w:p w14:paraId="245030E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336FD16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63C10F9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168.- Autorizaciones para votar. </w:t>
      </w:r>
      <w:r w:rsidRPr="00222F34">
        <w:rPr>
          <w:rFonts w:ascii="Calibri" w:eastAsia="Times New Roman" w:hAnsi="Calibri" w:cs="Calibri"/>
          <w:color w:val="000000"/>
          <w:lang w:val="es-CO" w:eastAsia="es-CO" w:bidi="ar-SA"/>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p>
    <w:p w14:paraId="0080166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 autorización se hará constar el motivo por el cual se realiza. Posteriormente, se enviará al nivel central de la Registraduría copia de ella junto con sus soportes, con el propósito de verificar y corregir, de ser necesario, la novedad respectiva y de validar, si existió, una doble votación por parte del ciudadano.</w:t>
      </w:r>
    </w:p>
    <w:p w14:paraId="4CE7711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registradores distritales, especiales, municipales y auxiliares del Estado Civil expedirán la autorización para votar, en las elecciones de circunscripción nacional y departamental, a los delegados de puesto,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w:t>
      </w:r>
    </w:p>
    <w:p w14:paraId="65EB32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w:t>
      </w:r>
    </w:p>
    <w:p w14:paraId="0AF419A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Solo se permitirá la autorización de votación de los servidores públicos en comisión en el ámbito departamental que hagan parte del censo electoral de la respectiva circunscripción.</w:t>
      </w:r>
    </w:p>
    <w:p w14:paraId="5188989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169.- Calificación del voto.</w:t>
      </w:r>
      <w:r w:rsidRPr="00222F34">
        <w:rPr>
          <w:rFonts w:ascii="Calibri" w:eastAsia="Times New Roman" w:hAnsi="Calibri" w:cs="Calibri"/>
          <w:color w:val="000000"/>
          <w:lang w:val="es-CO" w:eastAsia="es-CO" w:bidi="ar-SA"/>
        </w:rPr>
        <w:t xml:space="preserve"> En el curso de los escrutinios, los votos serán calificados de la siguiente manera:</w:t>
      </w:r>
    </w:p>
    <w:p w14:paraId="0052EE4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Voto válido. Es aquel que se expresa a través de la marcación en el medio de votación autorizado y que permite determinar la intención del votante, tanto por candidato, lista, voto en blanco u opción en mecanismo de participación ciudadana.</w:t>
      </w:r>
    </w:p>
    <w:p w14:paraId="088B61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voto marcado, en listas de voto preferente por un candidato o por partido o movimiento político será considerado voto válido.</w:t>
      </w:r>
    </w:p>
    <w:p w14:paraId="66291B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2. Voto en blanco. Es aquel que se marca en la casilla correspondiente de voto en blanco, y como tal constituye voto válido para los efectos previstos en la Constitución Política y en este código.</w:t>
      </w:r>
    </w:p>
    <w:p w14:paraId="5218E8A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Voto nulo. El voto será nulo cuando no se pueda determinar con certeza el sentido de la decisión del sufragante, o cuando no tenga ninguna marcación, así como cuando se marque por un candidato o lista totalmente revocada o candidatos retirados. El voto nulo no será contabilizado como un voto válido.</w:t>
      </w:r>
    </w:p>
    <w:p w14:paraId="20A22D8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voto electrónico mixto no habrá posibilidad de voto nulo.</w:t>
      </w:r>
    </w:p>
    <w:p w14:paraId="08B96C3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el voto no tenga marcación será debidamente identificado como tal por el jurado, mediante el procedimiento que establezca la autoridad electoral.</w:t>
      </w:r>
    </w:p>
    <w:p w14:paraId="4C7A0B9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170.- Transporte en la jornada electoral. </w:t>
      </w:r>
      <w:r w:rsidRPr="00222F34">
        <w:rPr>
          <w:rFonts w:ascii="Calibri" w:eastAsia="Times New Roman" w:hAnsi="Calibri" w:cs="Calibri"/>
          <w:color w:val="000000"/>
          <w:lang w:val="es-CO" w:eastAsia="es-CO" w:bidi="ar-SA"/>
        </w:rPr>
        <w:t>El Estado garantizará el día de las elecciones el funcionamiento del servicio público de transporte masivo y colectivo, y del transporte especial terrestre y fluvial, y demás que la autoridad de transporte habilite el día de las elecciones. El día de las elecciones el transporte público deberá ser prestado garantizando rutas hasta los puestos de votación urbanos y rurales, sin distinción de afinidad o partido político alguno y en igual de condiciones para todos los ciudadanos, en el horario comprendido entre las siete de la mañana (7:00 a. m.) y las seis de la tarde (6:00 p.m.).</w:t>
      </w:r>
    </w:p>
    <w:p w14:paraId="011C93BB"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p w14:paraId="405C0C8E"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p w14:paraId="265A701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Gobierno Nacional implementará con los entes territoriales las disposiciones contenidas en el inciso anterior a la entrada en vigencia de la presente ley y reglamentará las condiciones para la prestación de este servicio.</w:t>
      </w:r>
    </w:p>
    <w:p w14:paraId="768AF2C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partidos, movimientos políticos, grupos significativos de ciudadanos, coaliciones, organizaciones étnicas y candidatos que ofrezcan el servicio de transporte de votantes, deberán reportarlo en el momento de presentar los informes de ingresos y gastos de campañas, de conformidad con la ley.</w:t>
      </w:r>
    </w:p>
    <w:p w14:paraId="4B8FAC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Los partidos políticos, grupos significativos y movimientos ciudadanos de la circunscripción territorial acordarán en la Comisión de seguimiento electoral las rutas a garantizar.</w:t>
      </w:r>
    </w:p>
    <w:p w14:paraId="61CB5BE8"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w:t>
      </w:r>
    </w:p>
    <w:p w14:paraId="5191BF07"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 LOS ESCRUTINIOS Y LA DECLARATORIA DE ELECCIÓN</w:t>
      </w:r>
    </w:p>
    <w:p w14:paraId="5F5A5106"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26E33916"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preconteo</w:t>
      </w:r>
    </w:p>
    <w:p w14:paraId="7611B5A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171.- Definición del sistema de preconteo y su finalidad. </w:t>
      </w:r>
      <w:r w:rsidRPr="00222F34">
        <w:rPr>
          <w:rFonts w:ascii="Calibri" w:eastAsia="Times New Roman" w:hAnsi="Calibri" w:cs="Calibri"/>
          <w:color w:val="000000"/>
          <w:lang w:val="es-CO" w:eastAsia="es-CO" w:bidi="ar-SA"/>
        </w:rPr>
        <w:t xml:space="preserve">El sistema de conteo preliminar o preconteo integra el conjunto de recursos utilizados para la transmisión, recepción y procesamiento de los resultados de las elecciones en Colombia y en el exterior. El preconteo se adelanta de manera ágil, el mismo día de las votaciones, con el propósito de brindar oportunamente, información a la ciudadanía, a los partidos y a los </w:t>
      </w:r>
      <w:r w:rsidRPr="00222F34">
        <w:rPr>
          <w:rFonts w:ascii="Calibri" w:eastAsia="Times New Roman" w:hAnsi="Calibri" w:cs="Calibri"/>
          <w:color w:val="000000"/>
          <w:lang w:val="es-CO" w:eastAsia="es-CO" w:bidi="ar-SA"/>
        </w:rPr>
        <w:lastRenderedPageBreak/>
        <w:t>movimientos políticos con personería jurídica, a los grupos significativos de ciudadanos, a las organizaciones étnicas, a los candidatos y a las autoridades.</w:t>
      </w:r>
    </w:p>
    <w:p w14:paraId="20732F3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sistema de conteo preliminar o preconteo no tiene carácter vinculante ni obligatorio. Su función es meramente informativa. Los únicos datos de resultados oficiales son los derivados de los escrutinios.</w:t>
      </w:r>
    </w:p>
    <w:p w14:paraId="7DE6757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gestión del sistema de conteo preliminar o preconteo integrará componentes para garantizar la seguridad e integridad, calidad y fidelidad de la información, como la adecuación de recursos y capacidades tecnológicas que le permitan dotar de todas las seguridades y publicidad a esta fase, así como modernizar las técnicas y herramientas utilizadas y optimizar su procesamiento, con el fin de que los resultados preliminares sean conocidos por los candidatos, los auditores y delegados de los partidos y movimientos políticos, grupos significativos de ciudadanos, comités promotores del voto en blanco y organizaciones de observación electoral, a medida que se van transmitiendo en tiempo real, y por la ciudadanía en el menor tiempo posible. El sistema debe estar dotado de las seguridades tecnológicas necesarias.</w:t>
      </w:r>
    </w:p>
    <w:p w14:paraId="0D3644E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172.- Sistema de preconteo. </w:t>
      </w:r>
      <w:r w:rsidRPr="00222F34">
        <w:rPr>
          <w:rFonts w:ascii="Calibri" w:eastAsia="Times New Roman" w:hAnsi="Calibri" w:cs="Calibri"/>
          <w:color w:val="000000"/>
          <w:lang w:val="es-CO" w:eastAsia="es-CO" w:bidi="ar-SA"/>
        </w:rPr>
        <w:t>La Registraduría Nacional del Estado Civil organizará un sistema de preconteo que le permita la dirección, control y coordinación del desarrollo de la transmisión confiable, accesible, verificable y auditable, en tiempo oportuno de resultados electorales desde los puestos de votación hacia los puestos de recepción de datos, centros de procesamiento de información, de consolidación de los resultados y de divulgación de los mismos.</w:t>
      </w:r>
    </w:p>
    <w:p w14:paraId="75FF368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 candidatos, los auditores y delegados de los partidos y movimientos políticos, grupos significativos de ciudadanos y comités promotores del voto en blanco, a medida que se van transmitiendo en tiempo real, y por la ciudadanía en el menor tiempo posible. El sistema debe estar dotado de las seguridades tecnológicas necesarias. En esta etapa se aplicarán los mecanismos de auditoría informática electoral y auditoría técnica que contiene este Código.</w:t>
      </w:r>
    </w:p>
    <w:p w14:paraId="5ADAB6B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w:t>
      </w:r>
    </w:p>
    <w:p w14:paraId="13A1AD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173.- Entrega de resultados preliminares. </w:t>
      </w:r>
      <w:r w:rsidRPr="00222F34">
        <w:rPr>
          <w:rFonts w:ascii="Calibri" w:eastAsia="Times New Roman" w:hAnsi="Calibri" w:cs="Calibri"/>
          <w:color w:val="000000"/>
          <w:lang w:val="es-CO" w:eastAsia="es-CO" w:bidi="ar-SA"/>
        </w:rPr>
        <w:t>La Registraduría Nacional del Estado Civil dispondrá los recursos necesarios para garantizar la entrega, a más tardar al día siguiente de las votaciones, de los datos derivados del sistema de preconteo. De igual manera, la Registraduría Nacional del Estado Civil tendrá la obligación de publicar por su página web oficial las actas de escrutinio de mesa, una vez finalizada la jornada electoral y hasta el día siguiente.</w:t>
      </w:r>
    </w:p>
    <w:p w14:paraId="3C7AB7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La Registraduría Nacional del Estado Civil habilitará un canal especial o un repositorio de datos para que los auditores de los partidos y movimientos políticos, grupos significativos de ciudadanos, comités </w:t>
      </w:r>
      <w:r w:rsidRPr="00222F34">
        <w:rPr>
          <w:rFonts w:ascii="Calibri" w:eastAsia="Times New Roman" w:hAnsi="Calibri" w:cs="Calibri"/>
          <w:color w:val="000000"/>
          <w:lang w:val="es-CO" w:eastAsia="es-CO" w:bidi="ar-SA"/>
        </w:rPr>
        <w:lastRenderedPageBreak/>
        <w:t>promotores del voto en blanco y de las diferentes opciones en los mecanismos de participación ciudadana puedan acceder al archivo plano o en formato de datos abiertos a los resultados parciales y finales del preconteo, con el informe de las mesas no transmitidas.</w:t>
      </w:r>
    </w:p>
    <w:p w14:paraId="4AF0E37C"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1653FAF2"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Ámbito de aplicación y definiciones asociadas a los escrutinios</w:t>
      </w:r>
    </w:p>
    <w:p w14:paraId="2ECEC2C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174.- Definición y finalidad del escrutinio.</w:t>
      </w:r>
      <w:r w:rsidRPr="00222F34">
        <w:rPr>
          <w:rFonts w:ascii="Calibri" w:eastAsia="Times New Roman" w:hAnsi="Calibri" w:cs="Calibri"/>
          <w:color w:val="000000"/>
          <w:lang w:val="es-CO" w:eastAsia="es-CO" w:bidi="ar-SA"/>
        </w:rPr>
        <w:t xml:space="preserve"> El escrutinio es la función pública bajo la supervisión del Consejo Nacional Electoral, mediante la cual se verifican y se consolidan los resultados de las votaciones. Consiste en el conteo y consolidación de los votos válidos depositados para cada candidato, lista de candidatos, votos en blanco, votos nulos y opciones en mecanismos de participación ciudadana.</w:t>
      </w:r>
    </w:p>
    <w:p w14:paraId="4D13DE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Estará organizado por un sistema escalonado de etapas preclusivas desde los jurados de votación hasta el Consejo Nacional Electoral, para garantizar la verdad electoral, el derecho de defensa, al debido proceso y contradicción. No podrán presentarse ante una comisión escrutadora reclamaciones o recursos que debieron haber sido tramitadas en una etapa anterior, de conformidad con lo previsto en este Código para los escrutinios de mesa y de comisiones.</w:t>
      </w:r>
    </w:p>
    <w:p w14:paraId="0E471A0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175.- De los acuerdos. </w:t>
      </w:r>
      <w:r w:rsidRPr="00222F34">
        <w:rPr>
          <w:rFonts w:ascii="Calibri" w:eastAsia="Times New Roman" w:hAnsi="Calibri" w:cs="Calibri"/>
          <w:color w:val="000000"/>
          <w:lang w:val="es-CO" w:eastAsia="es-CO" w:bidi="ar-SA"/>
        </w:rPr>
        <w:t>Los actos que dicte el Consejo Nacional Electoral en ejercicio de la atribución de conocer y decidir los recursos que se interpongan contra las decisiones de sus delegados para los escrutinios generales, resolver sus desacuerdos y llenar sus vacíos u omisiones en la decisión de las peticiones que se les hubieren presentado legalmente se denominarán "Acuerdos". Estos actos administrativos deberán ser expedidos con numeración, fecha y motivación. La decisión en ellos contenida no podrá modificarse o revocarse en sede administrativa.</w:t>
      </w:r>
    </w:p>
    <w:p w14:paraId="58BDB8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antes de resolver en ejercicio de dicha atribución, podrá solicitar de urgencia al funcionario correspondiente la prueba documental pública que se requiera en garantía de los principios del derecho electoral.</w:t>
      </w:r>
    </w:p>
    <w:p w14:paraId="0163ECD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w:t>
      </w:r>
    </w:p>
    <w:p w14:paraId="7182D6D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176.- Documentos electorales</w:t>
      </w:r>
      <w:r w:rsidRPr="00222F34">
        <w:rPr>
          <w:rFonts w:ascii="Calibri" w:eastAsia="Times New Roman" w:hAnsi="Calibri" w:cs="Calibri"/>
          <w:color w:val="000000"/>
          <w:lang w:val="es-CO" w:eastAsia="es-CO" w:bidi="ar-SA"/>
        </w:rPr>
        <w:t>. 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p>
    <w:p w14:paraId="4377E56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w:t>
      </w:r>
    </w:p>
    <w:p w14:paraId="69A928F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Registraduría Nacional del Estado Civil diseñará y elaborará los documentos electorales, de tal forma que en ellos se identifiquen los aspectos relevantes de 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w:t>
      </w:r>
    </w:p>
    <w:p w14:paraId="19965A1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Son documentos electorales, entre otros, las tarjetas electorales; las listas de sufragantes; el acta de instalación y el registro general de votantes; la constancia del acta de escrutinio del jurado de votación en cero para las mesas que utilicen sistemas tecnológicos para la 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en cada nivel; el acta de introducción y retiro de documentos del depósito seguro; la resolución que reemplaza la comisión escrutadora; los resultados mesa a mesa de cada nivel de escrutinios; el acta parcial de escrutinio de cada nivel de escrutinios; el acta general de escrutinio; los diferentes tipos de logs de la totalidad del software de escrutinios y los actos administrativos que resuelvan reclamaciones, recursos de apelación o solicitudes de saneamiento de nulidad electoral y en general, todos los documentos que se generen con ocasión del proceso de escrutinios con fines probatorios.</w:t>
      </w:r>
    </w:p>
    <w:p w14:paraId="3809DDB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expedición de los documentos electorales, tanto físicos como electrónicos, deberá cumplir con los siguientes requisitos:</w:t>
      </w:r>
    </w:p>
    <w:p w14:paraId="6D8BC7B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La generación de documentos electorales electrónicos y la digitalización de los medios físicos deberán hacerse con la aplicación de medidas de seguridad que garanticen su integridad y trazabilidad, de acuerdo con la tecnología disponible en cada elección y estarán disponibles para la auditoría de los delegados de los partidos que así lo soliciten.</w:t>
      </w:r>
    </w:p>
    <w:p w14:paraId="267A8D1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Los documentos impresos deberán estar firmados por las autoridades electorales competentes, sin perjuicio del uso de la firma digital, electrónica o medio biométrico.</w:t>
      </w:r>
    </w:p>
    <w:p w14:paraId="4683160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177.- Plataformas tecnológicas para los escrutinios. </w:t>
      </w:r>
      <w:r w:rsidRPr="00222F34">
        <w:rPr>
          <w:rFonts w:ascii="Calibri" w:eastAsia="Times New Roman" w:hAnsi="Calibri" w:cs="Calibri"/>
          <w:color w:val="000000"/>
          <w:lang w:val="es-CO" w:eastAsia="es-CO" w:bidi="ar-SA"/>
        </w:rPr>
        <w:t>La Registraduría Nacional del Estado Civil dispondrá de una plataforma tecnológica para soportar las diligencias de escrutinios adelantadas por las diferentes comisiones, en el ámbito local, municipal, distrital, departamental y del Consejo Nacional Electoral, con todas las garantías de funcionalidad y seguridad.</w:t>
      </w:r>
    </w:p>
    <w:p w14:paraId="2DEFE0C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contará con un módulo de auditoría de las diferentes comisiones de escrutinio, que permitirá monitorear en tiempo real el desarrollo de los escrutinios y consolidar todo lo acontecido en cada uno de los niveles de las comisiones escrutadoras.</w:t>
      </w:r>
    </w:p>
    <w:p w14:paraId="668E356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Organización Electoral garantizará el acceso a este módulo de auditoría de manera permanente y en tiempo real a los partidos, movimientos políticos y grupos significativos de ciudadanos, promotores del voto en blanco, así como a los candidatos y auditores de sistemas, observadores electorales y opciones de mecanismos de participación ciudadana. La Organización Electoral también garantizará a las organizaciones políticas la consulta </w:t>
      </w:r>
      <w:r w:rsidRPr="00222F34">
        <w:rPr>
          <w:rFonts w:ascii="Calibri" w:eastAsia="Times New Roman" w:hAnsi="Calibri" w:cs="Calibri"/>
          <w:color w:val="000000"/>
          <w:lang w:val="es-CO" w:eastAsia="es-CO" w:bidi="ar-SA"/>
        </w:rPr>
        <w:lastRenderedPageBreak/>
        <w:t>de este módulo con posterioridad a los escrutinios para efectos de ejercer el medio de control de nulidad electoral, si fuere el caso.</w:t>
      </w:r>
    </w:p>
    <w:p w14:paraId="78A2F8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plataforma tecnológica de escrutinios también permitirá guardar copias digitales del trabajo y de los resultados de todas las comisiones escrutadoras; copias que deberán ser custodiadas por la Registraduría Nacional del Estado Civil y estar disponibles como mínimo por el tiempo que dure el periodo de los elegidos, según corresponda, para las investigaciones de las autoridades de control y judiciales.</w:t>
      </w:r>
    </w:p>
    <w:p w14:paraId="1F2AB2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441F233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plataforma tecnológica de la que dispondrá la Registraduría Nacional del Estado Civil para los escrutinios deberá ser probada con anterioridad a cada respectiva elección, realizando pruebas, simulacros y auditorías que permitan garantizar que ésta funcione a cabalidad durante la jornada de elecciones y de esta forma las copias digitales de los resultados y la información en vivo sea veraz y actualizada. La comisión asesora para la implementación progresiva de los sistemas de asistencia tecnológica conceptuará acerca de la seguridad, pertinencia e idoneidad, viabilidad técnica, plena funcionalidad y transparencia de la plataforma tecnológica dispuesta. En cada una de las pruebas y simulacros se garantizará el acceso y la participación efectiva de los partidos y movimientos políticos, grupos significativos de ciudadanos y observadores internacionales.</w:t>
      </w:r>
    </w:p>
    <w:p w14:paraId="7996A4C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233C888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Consejo Nacional Electoral vigilará e inspeccionará todo lo relacionado con las plataformas tecnológicas para los escrutinios.</w:t>
      </w:r>
    </w:p>
    <w:p w14:paraId="644DED2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178.- Gestión de los documentos electorales. </w:t>
      </w:r>
      <w:r w:rsidRPr="00222F34">
        <w:rPr>
          <w:rFonts w:ascii="Calibri" w:eastAsia="Times New Roman" w:hAnsi="Calibri" w:cs="Calibri"/>
          <w:color w:val="000000"/>
          <w:lang w:val="es-CO" w:eastAsia="es-CO" w:bidi="ar-SA"/>
        </w:rPr>
        <w:t>El acta de instalación y registro general de votantes; la autorización de voto a ciudadanos que no hacen parte de la 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 para su búsqueda y consulta en formato de datos abiertos en la página web y/o aplicación que disponga la Registraduría Nacional del Estado Civil de manera oportuna.</w:t>
      </w:r>
    </w:p>
    <w:p w14:paraId="1C9073D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w:t>
      </w:r>
    </w:p>
    <w:p w14:paraId="6CB81A0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Todas las personas que tengan contacto con los documentos electorales prestarán la debida diligencia para garantizar la integridad de los mismos, la transparencia en su tratamiento y su cadena de custodia.</w:t>
      </w:r>
    </w:p>
    <w:p w14:paraId="6DCB571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179.- Protección de los documentos electorales.</w:t>
      </w:r>
      <w:r w:rsidRPr="00222F34">
        <w:rPr>
          <w:rFonts w:ascii="Calibri" w:eastAsia="Times New Roman" w:hAnsi="Calibri" w:cs="Calibri"/>
          <w:color w:val="000000"/>
          <w:lang w:val="es-CO" w:eastAsia="es-CO" w:bidi="ar-SA"/>
        </w:rPr>
        <w:t xml:space="preserve"> Una vez recibidos los documentos por parte de los miembros de las comisiones escrutadoras de cualquier nivel se deberán habilitar sistemas físicos y/o tecnológicos de vigilancia permanente de sus instalaciones. De lo anterior, se dejará constancia por parte de los miembros de </w:t>
      </w:r>
      <w:r w:rsidRPr="00222F34">
        <w:rPr>
          <w:rFonts w:ascii="Calibri" w:eastAsia="Times New Roman" w:hAnsi="Calibri" w:cs="Calibri"/>
          <w:color w:val="000000"/>
          <w:lang w:val="es-CO" w:eastAsia="es-CO" w:bidi="ar-SA"/>
        </w:rPr>
        <w:lastRenderedPageBreak/>
        <w:t>las comisiones escrutadoras de cada nivel, ante la presencia de los testigos electorales que se hubieren acreditado.</w:t>
      </w:r>
    </w:p>
    <w:p w14:paraId="2CD99BA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Cada vez que se suspenda la actividad de la comisión escrutadora de cualquier nivel, el material electoral y equipos tecnológicos utilizados en el escrutinio serán colocados en un depósito seguro.</w:t>
      </w:r>
    </w:p>
    <w:p w14:paraId="3334037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documentos electorales deberán conservarse en su formato original por un lapso no inferior al comprendido entre su diligenciamiento, su firma y la terminación del periodo del cargo o corporación electa, mediante el proceso en que el documento fue utilizado.</w:t>
      </w:r>
    </w:p>
    <w:p w14:paraId="6D76E5B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en ejercicio de la secretaría de las comisiones escrutadoras, mantendrá bajo su custodia copias digitales del desarrollo del proceso electoral, tales como los archivos de preconteo, del desarrollo de cada nivel y de los diferentes escrutinios, digitalización de documentos electorales, y de todos los datos que fueren necesarios para las investigaciones que adelantaren las diferentes autoridades en el marco de sus funciones, así como para garantizar la trazabilidad del proceso de escrutinio y la verdad electoral.</w:t>
      </w:r>
    </w:p>
    <w:p w14:paraId="0557A1B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entrega de copias físicas, digitales y en formato de datos abiertos a los partidos y movimientos políticos con personería jurídica, grupos significativos de ciudadanos y comités promotores del voto en blanco, por parte de las comisiones escrutadoras; se efectuará tanto el mismo día del diligenciamiento y firma, incluso si son de carácter provisional o parcial, como cada día en que el respectivo documento sea actualizado o modificado, con indicación de las condiciones de seguridad o autenticidad del mismo, tales como código de barras, código hash, código QR, entre otras.</w:t>
      </w:r>
    </w:p>
    <w:p w14:paraId="0DE44D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En la gestión de documentos electorales, así como en el proceso de escrutinio, se integrará un componente transversal de gestión tecnológica y capacitación para 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w:t>
      </w:r>
    </w:p>
    <w:p w14:paraId="0A77C4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180.- Acta de escrutinios.</w:t>
      </w:r>
      <w:r w:rsidRPr="00222F34">
        <w:rPr>
          <w:rFonts w:ascii="Calibri" w:eastAsia="Times New Roman" w:hAnsi="Calibri" w:cs="Calibri"/>
          <w:color w:val="000000"/>
          <w:lang w:val="es-CO" w:eastAsia="es-CO" w:bidi="ar-SA"/>
        </w:rPr>
        <w:t xml:space="preserve"> 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p>
    <w:p w14:paraId="2FB05C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w:t>
      </w:r>
    </w:p>
    <w:p w14:paraId="1BE731B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III</w:t>
      </w:r>
    </w:p>
    <w:p w14:paraId="0F6A6856"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Del escrutinio de mesa de votación</w:t>
      </w:r>
    </w:p>
    <w:p w14:paraId="0031699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 xml:space="preserve">ARTÍCULO 181.- </w:t>
      </w:r>
      <w:r w:rsidRPr="00222F34">
        <w:rPr>
          <w:rFonts w:ascii="Calibri" w:eastAsia="Times New Roman" w:hAnsi="Calibri" w:cs="Calibri"/>
          <w:color w:val="000000"/>
          <w:lang w:val="es-CO" w:eastAsia="es-CO" w:bidi="ar-SA"/>
        </w:rPr>
        <w:t>Procedimiento del escrutinio de mesa. Las votaciones se cerrarán a las cinco de la tarde (5:00 p. m.). A esa hora, el delegado de puesto anunciará el cierre de las mesas de votación.</w:t>
      </w:r>
    </w:p>
    <w:p w14:paraId="02AC57C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jurados de votación realizarán el escrutinio de mesa con base en los votos depositados en la urna.</w:t>
      </w:r>
    </w:p>
    <w:p w14:paraId="28AFBD7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Enseguida, los jurados, según la distribución de actividades que hubieren realizado entre ellos, procederán, en estricto orden, de la siguiente manera:</w:t>
      </w:r>
    </w:p>
    <w:p w14:paraId="790550F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Destruirán de inmediato las tarjetas y certificados electorales no utilizados, inservibles y el material sobrante, el cual deberá ser entregado con las medidas de seguridad implementadas, al delegado de puesto de la Registraduría Nacional del Estado Civil. De este modo, no se podrá abrir la urna sin que se adelante esta actividad.</w:t>
      </w:r>
    </w:p>
    <w:p w14:paraId="5C001B9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Leerán en voz alta el número total de votantes del formulario de registro de votantes y lo anotarán en el acta de escrutinio de mesa.</w:t>
      </w:r>
    </w:p>
    <w:p w14:paraId="0B302C4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Romperán los sellos y abrirán públicamente las urnas.</w:t>
      </w:r>
    </w:p>
    <w:p w14:paraId="521F7C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Agruparán las tarjetas electorales depositadas en la urna por cada cargo, corporación o mecanismo de participación y sin abrirlas ni verificar el sentido del voto, las contarán en voz alta.</w:t>
      </w:r>
    </w:p>
    <w:p w14:paraId="1CEEA90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Si hubiere un número de tarjetas electorales superior al de personas que votaron en la mesa para la respectiva votación, se actuará de la siguiente manera:</w:t>
      </w:r>
    </w:p>
    <w:p w14:paraId="0AD621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 Nivelar la mesa, para lo cual deberán introducir los votos de nuevo, en forma aleatoria en la urna, alterando su colocación y sacarán al azar un número igual al excedente.</w:t>
      </w:r>
    </w:p>
    <w:p w14:paraId="53C622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ii) Los votos retirados por exceso serán destruidos de inmediato en forma pública, dejando constancia en el acta de escrutinio de mesa de esta circunstancia, indicando, además, el número de destruidos o incinerados.</w:t>
      </w:r>
    </w:p>
    <w:p w14:paraId="73343BD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Si hubiera un número de votos inferior al de personas que votaron en la mesa para la respectiva votación se continuará el escrutinio y se dejará constancia en la respectiva acta.</w:t>
      </w:r>
    </w:p>
    <w:p w14:paraId="35E9AD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Agrupados los votos en la forma señalada, exhibirán y anunciarán los votos en voz alta en presencia de los testigos electorales y procederán a calificar, computar y contabilizar los votos obtenidos a favor de cada lista, candidato u opción. Para el caso de corporaciones públicas podrán usar un documento borrador de apoyo para facilitar la contabilización de los votos. Si se trata de listas con voto preferente, se computarán por separado los votos obtenidos por los candidatos que las integran y los votos a favor de la lista. Finalmente, se contabilizarán los votos en blanco y los votos nulos.</w:t>
      </w:r>
    </w:p>
    <w:p w14:paraId="60B9CE8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Los resultados del escrutinio que realicen los jurados de votación se harán constar en el acta. Del acta se generarán al menos dos (2) copias idénticas de un único documento, que será firmado por los jurados de votación; estos ejemplares serán válidos y se destinarán así: uno para la comisión escrutadora y otro para el Registrador departamental. La Registraduría Nacional del Estado Civil podrá establecer una tercera copia idéntica del mismo documento para efectos de transmisión de resultados y publicación física en el lugar establecido </w:t>
      </w:r>
      <w:r w:rsidRPr="00222F34">
        <w:rPr>
          <w:rFonts w:ascii="Calibri" w:eastAsia="Times New Roman" w:hAnsi="Calibri" w:cs="Calibri"/>
          <w:color w:val="000000"/>
          <w:lang w:val="es-CO" w:eastAsia="es-CO" w:bidi="ar-SA"/>
        </w:rPr>
        <w:lastRenderedPageBreak/>
        <w:t>previamente para tal fin. Los testigos electorales podrán tomar una imagen fotográfica del referido documento previo a su remisión a la comisión escrutadora.</w:t>
      </w:r>
    </w:p>
    <w:p w14:paraId="5335A9E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Procederá la verificación o recuento de los votos, por una sola vez, cuando a juicio de los jurados o a solicitud de los testigos electorales o candidatos, se requieran revisar la calificación, el cómputo o la contabilización de los mismos. De este hecho se dejará constancia en el acta de escrutinio de mesa.</w:t>
      </w:r>
    </w:p>
    <w:p w14:paraId="4CC2C8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Así mismo, deberán recibir y tramitar las reclamaciones que por escrito presenten los testigos electorales, los candidatos o sus apoderados.</w:t>
      </w:r>
    </w:p>
    <w:p w14:paraId="67842D9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Inmediatamente, se introducirán en el sobre dispuesto para tal efecto los votos, el acta de escrutinio y demás documentos que hayan servido para la votación. Así mismo, serán enviados al lugar donde se adelante el escrutinio, de conformidad con lo dispuesto en el presente código.</w:t>
      </w:r>
    </w:p>
    <w:p w14:paraId="54D6F6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Cuando se utilicen sistemas de asistencia tecnológica para el proceso electoral y una vez finalizada la jornada de votación en las mesas, el mecanismo utilizado deberá permitir el cierre de la mesa, el registro de votantes, la generación de resultados y la entrega de los mismos en línea para su consolidación. En todo caso, los jurados de votación deberán asegurar la verdad electoral en su respectiva mesa de votación.</w:t>
      </w:r>
    </w:p>
    <w:p w14:paraId="55C96EC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sistema debe expedir y permitir la impresión del acta de escrutinio de mesa con los resultados y el número de votantes.</w:t>
      </w:r>
    </w:p>
    <w:p w14:paraId="2BAB90C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En ningún caso los jurados de votación de una misma mesa podrán escrutar más de un cargo o una corporación al mismo tiempo.</w:t>
      </w:r>
    </w:p>
    <w:p w14:paraId="6FDCE20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182.- De la custodia del material electoral y proceso de escrutinio en el exterior.</w:t>
      </w:r>
      <w:r w:rsidRPr="00222F34">
        <w:rPr>
          <w:rFonts w:ascii="Calibri" w:eastAsia="Times New Roman" w:hAnsi="Calibri" w:cs="Calibri"/>
          <w:color w:val="000000"/>
          <w:lang w:val="es-CO" w:eastAsia="es-CO" w:bidi="ar-SA"/>
        </w:rPr>
        <w:t xml:space="preserve"> Finalizada la jornada electoral del primer día los jurados de votación sellarán la urna con su firma y con la de los testigos electorales presentes. Las urnas se diseñarán y sellarán de tal forma que permitan verificar cualquier manipulación y dejar registro de las aperturas realizadas.</w:t>
      </w:r>
    </w:p>
    <w:p w14:paraId="07D7FC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p w14:paraId="040F47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w:t>
      </w:r>
    </w:p>
    <w:p w14:paraId="592F0CB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183.- Proceso de escrutinio en el exterior. F</w:t>
      </w:r>
      <w:r w:rsidRPr="00222F34">
        <w:rPr>
          <w:rFonts w:ascii="Calibri" w:eastAsia="Times New Roman" w:hAnsi="Calibri" w:cs="Calibri"/>
          <w:color w:val="000000"/>
          <w:lang w:val="es-CO" w:eastAsia="es-CO" w:bidi="ar-SA"/>
        </w:rPr>
        <w:t>inalizados los días de la jornada electoral, los jurados de votación consignarán diariamente en el registro general de votantes, o el formato que aplique, el número de electores que emitieron su sufragio ese día, en los términos previstos en este Código. Así mismo, diariamente se realizará el escrutinio de los votos, de acuerdo con el proceso de escrutinio de mesa previsto en este código.</w:t>
      </w:r>
    </w:p>
    <w:p w14:paraId="7D07CE1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184.- Causales de reclamación ante los jurados de votación.</w:t>
      </w:r>
      <w:r w:rsidRPr="00222F34">
        <w:rPr>
          <w:rFonts w:ascii="Calibri" w:eastAsia="Times New Roman" w:hAnsi="Calibri" w:cs="Calibri"/>
          <w:color w:val="000000"/>
          <w:lang w:val="es-CO" w:eastAsia="es-CO" w:bidi="ar-SA"/>
        </w:rPr>
        <w:t xml:space="preserve"> Los testigos electorales, los candidatos o sus apoderados podrán presentar reclamaciones ante los jurados de votación por las siguientes causales: </w:t>
      </w:r>
    </w:p>
    <w:p w14:paraId="2F79A9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no se haya registrado el número de votantes en el formulario de registro de votantes o en el acta de escrutinio o el número de votos depositados en la urna. En este caso, se dispondrá obligatoriamente que se realice la sumatoria del registro de votantes y se consigne en el acta de escrutinio. Se hará lo propio cuando se deje de registrar el número de votos depositados en la urna, según corresponda.</w:t>
      </w:r>
    </w:p>
    <w:p w14:paraId="697919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Cuando el acta de escrutinio presente datos ilegibles, enmendaduras, tachaduras, borrones o cualquier otra circunstancia que implique una posible alteración de los resultados. En este caso se dispondrá obligatoriamente por una sola vez el recuento de votos. </w:t>
      </w:r>
    </w:p>
    <w:p w14:paraId="65D62D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Cuando se presenten fallas, durante la jornada electoral, en el funcionamiento de la plataforma que soporta el voto electrónico mixto para la votación. En este caso, el cómputo general de los votos se tomará de la sumatoria de los comprobantes físicos que arroje el medio tecnológico y los votos físicos de contingencia depositados con posterioridad a la falla. Los jurados de votación anotarán los resultados en un acta de escrutinio de mesa. </w:t>
      </w:r>
    </w:p>
    <w:p w14:paraId="6496F4E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Cuando se presenten más votos que número de votantes. En este caso los jurados deberán realizar la nivelación de la mesa de acuerdo al procedimiento de escrutinio de mesa. </w:t>
      </w:r>
    </w:p>
    <w:p w14:paraId="0E3EB4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Cuando se presente error aritmético en la suma de los votos de los respectivos candidatos, listas, votos en blancos y nulos. En este caso los jurados harán el cómputo correcto y anotarán el resultado. </w:t>
      </w:r>
    </w:p>
    <w:p w14:paraId="16A68B3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Cuando falte la firma de al menos dos (2) jurados en el acta de escrutinio. En este caso los jurados de votación procederán a firmar las actas. </w:t>
      </w:r>
    </w:p>
    <w:p w14:paraId="0E36CD0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Cuando exista diferencia entre los testigos electorales y los jurados de votación respecto a la calificación o interpretación de un voto emitido. Si esta persiste será resuelta por la comisión escrutadora respectiva. </w:t>
      </w:r>
    </w:p>
    <w:p w14:paraId="6764C43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reclamaciones anteriores que tuvieren por objeto solicitar el recuento de votos serán atendidas de forma inmediata por los jurados de votación, situación que se hará constar en acta suscrita por los jurados. </w:t>
      </w:r>
    </w:p>
    <w:p w14:paraId="1FC91634"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 escrutadoras. </w:t>
      </w:r>
    </w:p>
    <w:p w14:paraId="00658BA8"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IV</w:t>
      </w:r>
    </w:p>
    <w:p w14:paraId="52AB597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lastRenderedPageBreak/>
        <w:t>De la custodia y recepción de los documentos electorales</w:t>
      </w:r>
    </w:p>
    <w:p w14:paraId="1292FA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185. Remisión y entrega de documentos electorales. </w:t>
      </w:r>
      <w:r w:rsidRPr="00222F34">
        <w:rPr>
          <w:rFonts w:ascii="Calibri" w:eastAsia="Times New Roman" w:hAnsi="Calibri" w:cs="Calibri"/>
          <w:color w:val="000000"/>
          <w:lang w:val="es-CO" w:eastAsia="es-CO" w:bidi="ar-SA"/>
        </w:rPr>
        <w:t>Inmediatamente después de terminado el escrutinio en cada mesa de votación, pero en todo caso hasta las once (11:00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o distritales, al registrador del Estado Civil o su delegado de puesto, y en las zonas rurales, a los delegados de puesto del registrador del Estado Civil.</w:t>
      </w:r>
    </w:p>
    <w:p w14:paraId="2B9C113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w:t>
      </w:r>
    </w:p>
    <w:p w14:paraId="1D4C2F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por causa de alteración al orden público, de fuerza mayor o caso fortuito se incumplan los términos establecidos en el presente artículo, el delegado de la Registraduría deberá justificar lo sucedido aportando certificación de autoridad competente.</w:t>
      </w:r>
    </w:p>
    <w:p w14:paraId="0ED5DB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aplicarán las tecnologías necesarias para garantizar la trazabilidad y la integridad de los documentos electorales digitales o físicos que permitan su remisión con medidas de seguridad.</w:t>
      </w:r>
    </w:p>
    <w:p w14:paraId="3D63D3D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los documentos electorales se expidan mediante actos administrativos físicos sin el uso de tecnologías, le corresponderá al Registrador departamental, en condición de secretario de la comisión escrutadora departamental, entregarlos ante el Consejo Nacional Electoral.</w:t>
      </w:r>
    </w:p>
    <w:p w14:paraId="39C3B64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186. Recepción y registro de documentos electorales. </w:t>
      </w:r>
      <w:r w:rsidRPr="00222F34">
        <w:rPr>
          <w:rFonts w:ascii="Calibri" w:eastAsia="Times New Roman" w:hAnsi="Calibri" w:cs="Calibri"/>
          <w:color w:val="000000"/>
          <w:lang w:val="es-CO" w:eastAsia="es-CO" w:bidi="ar-SA"/>
        </w:rPr>
        <w:t>Los registradores o sus delegados, con el acompañamiento de la Fuerza Pública, harán entrega de los documentos electorales provenientes de los puestos de votación a los miembros de la comisión escrutadora a medida que vayan llegando, quedarán a disposición del escrutinio, y se registrarán en un acta el día, la hora y el estado de los sobres que contienen.</w:t>
      </w:r>
    </w:p>
    <w:p w14:paraId="2434985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puestos de votación en el exterior se coordinará el traslado de los documentos electorales con el Ministerio de Relaciones Exteriores.</w:t>
      </w:r>
    </w:p>
    <w:p w14:paraId="10C4ED3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testigos electorales podrán acompañar el traslado de los documentos electorales desde los puestos de votación hasta el lugar de escrutinios. En ningún caso, los testigos podrán llevar a cabo este acompañamiento en los vehículos que transportan los documentos electorales.</w:t>
      </w:r>
    </w:p>
    <w:p w14:paraId="6DCD25E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187.- Custodia de documentos electorales. </w:t>
      </w:r>
      <w:r w:rsidRPr="00222F34">
        <w:rPr>
          <w:rFonts w:ascii="Calibri" w:eastAsia="Times New Roman" w:hAnsi="Calibri" w:cs="Calibri"/>
          <w:color w:val="000000"/>
          <w:lang w:val="es-CO" w:eastAsia="es-CO" w:bidi="ar-SA"/>
        </w:rPr>
        <w:t>Los documentos electorales se ubicarán en un depósito seguro, que deberá ser un recinto mueble o inmueble almacenamientos electrónicos o digitales destinados a conservar y custodiar los documentos electorales. Estos estarán bajo la custodia de las comisiones escrutadoras en todos los niveles, que para el desarrollo de sus funciones contarán con el apoyo de la Fuerza Pública.</w:t>
      </w:r>
    </w:p>
    <w:p w14:paraId="72330C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el desarrollo de esta función se deberá dejar un acta en la cual se reporte el ingreso o salida de los documentos electorales, utilizando medios físicos o en la plataforma digital dispuesta para el efecto por la </w:t>
      </w:r>
      <w:r w:rsidRPr="00222F34">
        <w:rPr>
          <w:rFonts w:ascii="Calibri" w:eastAsia="Times New Roman" w:hAnsi="Calibri" w:cs="Calibri"/>
          <w:color w:val="000000"/>
          <w:lang w:val="es-CO" w:eastAsia="es-CO" w:bidi="ar-SA"/>
        </w:rPr>
        <w:lastRenderedPageBreak/>
        <w:t>Registraduría Nacional del Estado Civil. La apertura y cierre de los recintos se deberá realizar únicamente en los horarios establecidos para las audiencias de los escrutinios, inclusive en los recesos.</w:t>
      </w:r>
    </w:p>
    <w:p w14:paraId="2B8087B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el traslado de los documentos electorales la Registraduría Nacional del Estado Civil podrá</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en los casos en que se estime conveniente, contratar a un tercero que garantice la seguridad de los documentos.</w:t>
      </w:r>
    </w:p>
    <w:p w14:paraId="7CE3822B"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w:t>
      </w:r>
    </w:p>
    <w:p w14:paraId="3F05B424"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comisiones escrutadoras</w:t>
      </w:r>
    </w:p>
    <w:p w14:paraId="58DCA11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188.- Lugar de los escrutinios a cargo de las comisiones escrutadoras.</w:t>
      </w:r>
      <w:r w:rsidRPr="00222F34">
        <w:rPr>
          <w:rFonts w:ascii="Calibri" w:eastAsia="Times New Roman" w:hAnsi="Calibri" w:cs="Calibri"/>
          <w:color w:val="000000"/>
          <w:lang w:val="es-CO" w:eastAsia="es-CO" w:bidi="ar-SA"/>
        </w:rPr>
        <w:t xml:space="preserve"> El registrador Nacional, distrital, departamental, especial, municipal y auxiliar del Estado Civil y el delegado seccional en lo Electoral establecerá dos (2) meses antes de la elección los lugares en donde se realizarán las audiencias de los escrutinios a cargo de las comisiones escrutadoras, las cuales deben garantizar la accesibilidad, seguridad, publicidad, capacidad y las condiciones idóneas para su funcionamiento.</w:t>
      </w:r>
    </w:p>
    <w:p w14:paraId="231DE6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acto administrativo que así lo indique deberá señalar con claridad la dirección, nombre del establecimiento, sitio, y cualquier otro elemento que identifique con facilidad el lugar. Este será publicado en la página web y/o aplicación de la Registraduría Nacional del Estado Civil y fijado en un lugar público de la respectiva Registraduría.</w:t>
      </w:r>
    </w:p>
    <w:p w14:paraId="4D13090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determinado el lugar de escrutinio, sólo procederá el traslado del mismo por caso fortuito, fuerza mayor o por la evidencia de riesgo que tenga la potencialidad de impedir el normal desarrollo del escrutinio, certificado por autoridad competente. El registrador competente expedirá el acto administrativo modificatorio, que deberá ser publicado en la forma indicada en el inciso precedente.</w:t>
      </w:r>
    </w:p>
    <w:p w14:paraId="6E4D7D5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189.- Composición y designación de las comisiones escrutadoras. </w:t>
      </w:r>
      <w:r w:rsidRPr="00222F34">
        <w:rPr>
          <w:rFonts w:ascii="Calibri" w:eastAsia="Times New Roman" w:hAnsi="Calibri" w:cs="Calibri"/>
          <w:color w:val="000000"/>
          <w:lang w:val="es-CO" w:eastAsia="es-CO" w:bidi="ar-SA"/>
        </w:rPr>
        <w:t>Las comisiones escrutadoras zonales, municipales y distrital de Bogotá D.C., estarán integradas por dos (2) jueces de la República y/o notarios del respectivo distrito judicial y, además, serán designados un (1) mes antes de la correspondiente votación, por los Tribunales Superiores de Distrito Judicial en Sala Plena. En todos los casos, deberán designarse dos miembros de comisión escrutadora remanentes.</w:t>
      </w:r>
    </w:p>
    <w:p w14:paraId="2DCDACB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General de Bogotá y las Comisiones escrutadoras departamentales estarán integradas por dos (2) ciudadanos, que deberán acreditar las mismas calidades y requisitos para ser magistrados del Tribunal Superior del Distrito Judicial, y serán designados por la Sala Plena del Consejo Nacional Electoral. Un (1) mes antes de la correspondiente votación, el Consejo Nacional Electoral conformará una lista de no menos de ochenta (80) ciudadanos, y designará por sorteo público en qué comisión departamental cumplirán su función, quedando como remanentes quienes no fuesen designados en alguna comisión general o departamental.</w:t>
      </w:r>
    </w:p>
    <w:p w14:paraId="466716E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Con el propósito de facilitar el adelantamiento de los escrutinios en los municipios zonificados o no zonificados con un alto número de mesas de votación, el desarrollo de los escrutinios, se podrán crear subcomisiones escrutadoras, sin que ello constituya un nivel diferente de escrutinio.</w:t>
      </w:r>
    </w:p>
    <w:p w14:paraId="7BE5BD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2.</w:t>
      </w:r>
      <w:r w:rsidRPr="00222F34">
        <w:rPr>
          <w:rFonts w:ascii="Calibri" w:eastAsia="Times New Roman" w:hAnsi="Calibri" w:cs="Calibri"/>
          <w:color w:val="000000"/>
          <w:lang w:val="es-CO" w:eastAsia="es-CO" w:bidi="ar-SA"/>
        </w:rPr>
        <w:t xml:space="preserve"> 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habeas corpus.</w:t>
      </w:r>
    </w:p>
    <w:p w14:paraId="379E436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 S</w:t>
      </w:r>
      <w:r w:rsidRPr="00222F34">
        <w:rPr>
          <w:rFonts w:ascii="Calibri" w:eastAsia="Times New Roman" w:hAnsi="Calibri" w:cs="Calibri"/>
          <w:color w:val="000000"/>
          <w:lang w:val="es-CO" w:eastAsia="es-CO" w:bidi="ar-SA"/>
        </w:rPr>
        <w:t>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w:t>
      </w:r>
    </w:p>
    <w:p w14:paraId="4D8D47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4. </w:t>
      </w:r>
      <w:r w:rsidRPr="00222F34">
        <w:rPr>
          <w:rFonts w:ascii="Calibri" w:eastAsia="Times New Roman" w:hAnsi="Calibri" w:cs="Calibri"/>
          <w:color w:val="000000"/>
          <w:lang w:val="es-CO" w:eastAsia="es-CO" w:bidi="ar-SA"/>
        </w:rPr>
        <w:t>La Organización Electoral deberá garantizar la capacitación de los integrantes de las comisiones escrutadoras.</w:t>
      </w:r>
    </w:p>
    <w:p w14:paraId="3FF6F5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Dicha capacitación tendrá como mínimo treinta (30) horas de intensidad y será de obligatoria asistencia.</w:t>
      </w:r>
    </w:p>
    <w:p w14:paraId="002B82E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inasistencia injustificada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p w14:paraId="2048911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190.- Secretaría técnica de la comisión escrutadora</w:t>
      </w:r>
      <w:r w:rsidRPr="00222F34">
        <w:rPr>
          <w:rFonts w:ascii="Calibri" w:eastAsia="Times New Roman" w:hAnsi="Calibri" w:cs="Calibri"/>
          <w:color w:val="000000"/>
          <w:lang w:val="es-CO" w:eastAsia="es-CO" w:bidi="ar-SA"/>
        </w:rPr>
        <w:t>. La secretaría técnica de la comisión escrutadora será ejercida por los registradores correspondientes a cada nivel, la cual tendrá a cargo todo el apoyo logístico, técnico y tecnológico para soportar el escrutinio. El ejercicio de la función pública de secretario técnico no implica asesoría, inducción o direccionamiento alguno frente a las decisiones a cargo de la comisión escrutadora.</w:t>
      </w:r>
    </w:p>
    <w:p w14:paraId="1AF1C37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191.- Inhabilidades de los miembros de las comisiones escrutadoras</w:t>
      </w:r>
      <w:r w:rsidRPr="00222F34">
        <w:rPr>
          <w:rFonts w:ascii="Calibri" w:eastAsia="Times New Roman" w:hAnsi="Calibri" w:cs="Calibri"/>
          <w:color w:val="000000"/>
          <w:lang w:val="es-CO" w:eastAsia="es-CO" w:bidi="ar-SA"/>
        </w:rPr>
        <w:t>. Los candidatos a cargos y corporaciones públicas, sus cónyuges o parientes hasta el tercer grado de consanguinidad o de afinidad o primero civil, no podrán ser miembros de comisiones escrutadoras o secretarios de estas, dentro de la respectiva circunscripción electoral.</w:t>
      </w:r>
    </w:p>
    <w:p w14:paraId="47E3A9D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estarán inhabilitados para ser miembros de las comisiones escrutadoras las personas que tengan como ejercicio laboral, relación directa con los candidatos a cargos y corporaciones públicas en la elección.</w:t>
      </w:r>
    </w:p>
    <w:p w14:paraId="03F80E4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192.- Publicidad de la designación en comisión escrutadora</w:t>
      </w:r>
      <w:r w:rsidRPr="00222F34">
        <w:rPr>
          <w:rFonts w:ascii="Calibri" w:eastAsia="Times New Roman" w:hAnsi="Calibri" w:cs="Calibri"/>
          <w:color w:val="000000"/>
          <w:lang w:val="es-CO" w:eastAsia="es-CO" w:bidi="ar-SA"/>
        </w:rPr>
        <w:t>. 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 escrutadoras.</w:t>
      </w:r>
    </w:p>
    <w:p w14:paraId="5E496E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193- Naturaleza de la designación y sanciones a miembros de las comisiones escrutadoras</w:t>
      </w:r>
      <w:r w:rsidRPr="00222F34">
        <w:rPr>
          <w:rFonts w:ascii="Calibri" w:eastAsia="Times New Roman" w:hAnsi="Calibri" w:cs="Calibri"/>
          <w:color w:val="000000"/>
          <w:lang w:val="es-CO" w:eastAsia="es-CO" w:bidi="ar-SA"/>
        </w:rPr>
        <w:t>. Los miembros de las comisiones escrutadoras ejercen esta función pública de forma transitoria y su designación es de forzosa aceptación.</w:t>
      </w:r>
    </w:p>
    <w:p w14:paraId="421B260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inasistencia injustificada y, por ende, el incumplimiento de la función de miembro de comisión escrutadora será sancionada con multa de uno (1) a tres (3) salarios mínimos legales mensuales vigentes, de conformidad </w:t>
      </w:r>
      <w:r w:rsidRPr="00222F34">
        <w:rPr>
          <w:rFonts w:ascii="Calibri" w:eastAsia="Times New Roman" w:hAnsi="Calibri" w:cs="Calibri"/>
          <w:color w:val="000000"/>
          <w:lang w:val="es-CO" w:eastAsia="es-CO" w:bidi="ar-SA"/>
        </w:rPr>
        <w:lastRenderedPageBreak/>
        <w:t>con el procedimiento administrativo sancionatorio del Código de Procedimiento Administrativo y de lo Contencioso Administrativo, por parte del Consejo Nacional Electoral.</w:t>
      </w:r>
    </w:p>
    <w:p w14:paraId="268E77E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funcionarios de la Organización Electoral informarán a las autoridades disciplinarias y penales sobre las conductas disciplinables y delitos en que pudieran incurrir los miembros de las comisiones escrutadoras en el ejercicio de sus funciones.</w:t>
      </w:r>
    </w:p>
    <w:p w14:paraId="429B2DA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personas designadas como miembros de comisiones escrutadoras podrán ser eximidas del ejercicio de esta función por las mismas causales previstas para los jurados de votación en este código.</w:t>
      </w:r>
    </w:p>
    <w:p w14:paraId="5632BA0E"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w:t>
      </w:r>
    </w:p>
    <w:p w14:paraId="73187DE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escrutinios en comisiones</w:t>
      </w:r>
    </w:p>
    <w:p w14:paraId="0DA215E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194.- Horario</w:t>
      </w:r>
      <w:r w:rsidRPr="00222F34">
        <w:rPr>
          <w:rFonts w:ascii="Calibri" w:eastAsia="Times New Roman" w:hAnsi="Calibri" w:cs="Calibri"/>
          <w:color w:val="000000"/>
          <w:lang w:val="es-CO" w:eastAsia="es-CO" w:bidi="ar-SA"/>
        </w:rPr>
        <w:t>. 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p>
    <w:p w14:paraId="1E3002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miembros de las comisiones escrutadoras deberán estar presentes en la sede del escrutinio desde las cuatro y treinta de la tarde (4:30 p. m.) del día de la votación. Las comisiones escrutadoras se instalarán el día de las votaciones a las cinco de la tarde (5:00 p. m.) y funcionarán hasta las once y cincuenta y nueve de la noche (11:59 p. m.) del mismo día.</w:t>
      </w:r>
    </w:p>
    <w:p w14:paraId="32D2892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no sea posible terminar el escrutinio antes de la hora señalada en el día de las votaciones, la audiencia de escrutinio continuará a las nueve de la mañana (9:00 a.m.) del día siguiente, hasta las nueve de la noche (9:00 p.m.), y así, sucesivamente, hasta terminar el correspondiente escrutinio.</w:t>
      </w:r>
    </w:p>
    <w:p w14:paraId="51E51A8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están facultadas para solicitar a la Registraduría Nacional del Estado Civil, los documentos que se requieran para el desarrollo del escrutinio.</w:t>
      </w:r>
    </w:p>
    <w:p w14:paraId="5D367F3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195</w:t>
      </w:r>
      <w:r w:rsidRPr="00222F34">
        <w:rPr>
          <w:rFonts w:ascii="Calibri" w:eastAsia="Times New Roman" w:hAnsi="Calibri" w:cs="Calibri"/>
          <w:color w:val="000000"/>
          <w:lang w:val="es-CO" w:eastAsia="es-CO" w:bidi="ar-SA"/>
        </w:rPr>
        <w:t xml:space="preserve">.- </w:t>
      </w:r>
      <w:r w:rsidRPr="00222F34">
        <w:rPr>
          <w:rFonts w:ascii="Calibri" w:eastAsia="Times New Roman" w:hAnsi="Calibri" w:cs="Calibri"/>
          <w:b/>
          <w:bCs/>
          <w:color w:val="000000"/>
          <w:lang w:val="es-CO" w:eastAsia="es-CO" w:bidi="ar-SA"/>
        </w:rPr>
        <w:t>Publicación de actas de escrutinio de mesa</w:t>
      </w:r>
      <w:r w:rsidRPr="00222F34">
        <w:rPr>
          <w:rFonts w:ascii="Calibri" w:eastAsia="Times New Roman" w:hAnsi="Calibri" w:cs="Calibri"/>
          <w:color w:val="000000"/>
          <w:lang w:val="es-CO" w:eastAsia="es-CO" w:bidi="ar-SA"/>
        </w:rPr>
        <w:t>. La Registraduría Nacional del Estado Civil implementará todas las medidas tecnológicas y procedimentales necesarias para que se publiquen, con la mayor brevedad, las imágenes y los archivos planos de las actas de escrutinio de mesa dirigidas a las comisiones escrutadoras, estando obligada a la publicación en su página web de la totalidad de las actas de escrutinio de mesa el mismo día de las votaciones; salvo que sea imposible en razón a que los jurados de votación depositarán todos los ejemplares del acta de escrutinio en el sobre dirigido a la comisión escrutadora o por fuerza mayor o caso fortuito.</w:t>
      </w:r>
    </w:p>
    <w:p w14:paraId="0EBB04E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En el caso en que todos los ejemplares del acta hayan sido depositados en el sobre dirigido a la Comisión Escrutadora, esta procederá a escanearlos para ser publicado en la página de la Registraduría, de lo cual se dejará constancia en el acta general de escrutinio. </w:t>
      </w:r>
    </w:p>
    <w:p w14:paraId="37B6B91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Registraduría Nacional del Estado Civil podrá de manera progresiva implementar la digitalización de las actas de escrutinio desde el puesto de votación y cargar estas actas en el sitio web de la entidad y, eventualmente, utilizarlas para el preconteo.</w:t>
      </w:r>
    </w:p>
    <w:p w14:paraId="77E6F47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196.- Procedimiento para el escrutinio en comisiones.</w:t>
      </w:r>
      <w:r w:rsidRPr="00222F34">
        <w:rPr>
          <w:rFonts w:ascii="Calibri" w:eastAsia="Times New Roman" w:hAnsi="Calibri" w:cs="Calibri"/>
          <w:color w:val="000000"/>
          <w:lang w:val="es-CO" w:eastAsia="es-CO" w:bidi="ar-SA"/>
        </w:rPr>
        <w:t xml:space="preserve"> Con el fin de garantizar el debido proceso administrativo electoral, ninguna actuación de la comisión será efectuada por fuera de audiencia pública ni de sus lapsos de sesión. Ninguna reclamación o recurso podrá ser resuelto de fondo por auto de trámite. El recurso de apelación podrá ser rechazado cuando no se cumpla con los requisitos establecidos en el presente Código, de ser concedido debe ser tramitado ante el superior, quien decidirá sobre su procedencia y solución de fondo. </w:t>
      </w:r>
    </w:p>
    <w:p w14:paraId="723DDF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escrutinio de las comisiones se efectuará de la siguiente manera:</w:t>
      </w:r>
    </w:p>
    <w:p w14:paraId="4ABC187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1.Los miembros de las comisiones escrutadoras zonales, municipales no zonificadas y del exterior darán inicio al escrutinio tomando como base las actas de escrutinio de mesa dirigida a la comisión escrutadora.</w:t>
      </w:r>
    </w:p>
    <w:p w14:paraId="2D0374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En los municipios zonificados y en el Distrito Capital se realizará el escrutinio con base en las actas de escrutinio emitidas por las comisiones escrutadoras zonales.</w:t>
      </w:r>
    </w:p>
    <w:p w14:paraId="78A6D76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escrutinio departamental se realizará con base en las actas de escrutinio municipales.</w:t>
      </w:r>
    </w:p>
    <w:p w14:paraId="33A2DFE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El escrutinio nacional se realizará con base en las actas de escrutinio de las comisiones departamentales, distrital de Bogotá D.C. y del exterior.</w:t>
      </w:r>
    </w:p>
    <w:p w14:paraId="0A73F4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comisión escrutadora dará lectura al registro de documentos por ella recibida y a los resultados contenidos en cada una de las actas que deberán proyectarse en lugar visible durante la audiencia para efectos de publicidad y procederá a registrarlos en el aplicativo que para tal fin disponga la Registraduría Nacional del Estado Civil. Los resultados en el aplicativo de escrutinio no podrán ser precargados, deben iniciar desde cero.</w:t>
      </w:r>
    </w:p>
    <w:p w14:paraId="1D715E2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comisión escrutadora de manera especial observará si las actas de escrutinio de mesa fueron recibidas dentro de los términos establecidos en este Código y si están firmadas por al menos dos (2) de los jurados de votación.</w:t>
      </w:r>
    </w:p>
    <w:p w14:paraId="213619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Si en la comisión escrutadora zonal o municipal no zonificada existiese la anotación sobre reclamaciones de mesa, procederá a abrir los sobres, si a ello hubiere lugar, y entrará a resolver las reclamaciones y los recursos oportunamente presentados. Si faltaren documentos electorales, de ser necesario, se suspenderá el cómputo de la mesa en el escrutinio de ésta hasta que se reciban los documentos faltantes.</w:t>
      </w:r>
    </w:p>
    <w:p w14:paraId="337725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Cuando la comisión escrutadora encuentre que existen enmendaduras, tachaduras o cualquier otra anomalía que implique una posible alteración de los resultados o errores aritméticos en el acta de escrutinio, procederá de oficio a verificar y, si fuere necesario, a corregir la inconsistencia detectada. Si hecha la verificación persiste la duda en la comisión esta deberá realizar el recuento de votos. Si esas irregularidades no se advierten, el cómputo se hará con base en las actas de los jurados de votación, al tiempo de anotar los resultados de la votación en la respectiva acta.</w:t>
      </w:r>
    </w:p>
    <w:p w14:paraId="7CEB51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9. Una vez se culmine en audiencia pública la lectura de la totalidad de los datos electorales y se hayan entregado o publicado los archivos planos del acta E-24 del respectivo escrutinio, la comisión escrutadora competente otorgará un término de 24 horas siguientes para que las personas legitimadas presenten reclamaciones, recursos o solicitudes objeto del escrutinio en cada nivel, los cuales serán resueltos de fondo mediante resolución motivada que se notificará en estrados, susceptibles de recursos. Las reclamaciones, recursos o solicitudes aquí previstos deberán respetar el principio de preclusividad.</w:t>
      </w:r>
    </w:p>
    <w:p w14:paraId="6A93347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Las reclamaciones presentadas sin el lleno de los requisitos, extemporáneamente o con fundamento en causales no previstas en este Código, serán rechazadas de plano mediante resolución motivada.</w:t>
      </w:r>
    </w:p>
    <w:p w14:paraId="2C50101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Contra las decisiones de las comisiones escrutadoras sobre las reclamaciones, distintas de las señaladas en el numeral anterior, procederá el recurso de apelación en el efecto suspensivo. El recurso de queja en materia de escrutinios podrá interponerse de manera inmediata a la notificación en estrados de la decisión que no concedió la apelación.</w:t>
      </w:r>
    </w:p>
    <w:p w14:paraId="16864D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Decididas las reclamaciones y demás cuestiones pendientes, la comisión competente declarará los resultados o la elección y expedirá las correspondientes credenciales, cuando corresponda.</w:t>
      </w:r>
    </w:p>
    <w:p w14:paraId="394F47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Contra la declaratoria de elección no procede recurso alguno.</w:t>
      </w:r>
    </w:p>
    <w:p w14:paraId="3168888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En las audiencias de escrutinios participará el Ministerio Público.</w:t>
      </w:r>
    </w:p>
    <w:p w14:paraId="124A0D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Las Comisiones Escrutadoras, según el caso, entregarán a un testigo por partido, movimiento político o grupos significativo de ciudadanos, en medio físico o magnético, una copia de las actas parciales de escrutinio en cada jornada. Para iniciar la nueva jornada la Comisión Escrutadora, verificará junto con los Testigos Electorales, que los datos parciales de escrutinio coincidan con la información entregada en la jornada anterior.</w:t>
      </w:r>
    </w:p>
    <w:p w14:paraId="3DF07C3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igual manera, las Comisiones Escrutadoras deberán entregar, según el caso, en medio físico o magnético, una copia del acta final de escrutinio.</w:t>
      </w:r>
    </w:p>
    <w:p w14:paraId="4DD9F70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197.- Competencia de las comisiones escrutadoras zonales. </w:t>
      </w:r>
      <w:r w:rsidRPr="00222F34">
        <w:rPr>
          <w:rFonts w:ascii="Calibri" w:eastAsia="Times New Roman" w:hAnsi="Calibri" w:cs="Calibri"/>
          <w:color w:val="000000"/>
          <w:lang w:val="es-CO" w:eastAsia="es-CO" w:bidi="ar-SA"/>
        </w:rPr>
        <w:t>Es competencia de las comisiones zonales, por una parte, realizar el escrutinio y cómputo de votos para los cargos y corporaciones de elección popular, con base en las actas de escrutinio de mesa remitidas desde los puestos de votación y, por otra, declarar la elección de todos los miembros de juntas administradoras locales o ediles, salvo que se concedan apelaciones presentadas ante estas. Las comisiones zonales, además, se encargarán de:</w:t>
      </w:r>
    </w:p>
    <w:p w14:paraId="3DE60E4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Verificar las inconsistencias,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 y cuando las actas de escrutinio de mesa dirigidas a la comisión escrutadora y al Registrador Departamental no coincidan con el resultado de la votación.</w:t>
      </w:r>
    </w:p>
    <w:p w14:paraId="3DBF5C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de fondo las reclamaciones y apelaciones que se hayan presentado ante los jurados de votación.</w:t>
      </w:r>
    </w:p>
    <w:p w14:paraId="713EA57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3. Decidir sobre la concesión de los recursos de apelación que se presenten contra sus decisiones y remitirlo inmediatamente al superior jerárquico junto con los demás documentos.</w:t>
      </w:r>
    </w:p>
    <w:p w14:paraId="0B5DF47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p w14:paraId="2E790C7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Cuando existan desacuerdos entre los integrantes de las comisiones escrutadoras, estas serán resueltas por la instancia superior.</w:t>
      </w:r>
    </w:p>
    <w:p w14:paraId="74DF2B4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198.- Competencia de las comisiones escrutadoras de municipios no zonificados.</w:t>
      </w:r>
      <w:r w:rsidRPr="00222F34">
        <w:rPr>
          <w:rFonts w:ascii="Calibri" w:eastAsia="Times New Roman" w:hAnsi="Calibri" w:cs="Calibri"/>
          <w:color w:val="000000"/>
          <w:lang w:val="es-CO" w:eastAsia="es-CO" w:bidi="ar-SA"/>
        </w:rPr>
        <w:t xml:space="preserve"> Es competencia de las comisiones de municipios no zonificados, por un lado, realizar el escrutinio y cómputo de votos para los cargos y corporaciones de elección popular, con base en las actas de escrutinio de mesa y documentos electorales, remitidos desde los puestos de votación, y, por otro, declarar la elección de alcaldes y concejales en la respectiva circunscripción, salvo que se concedan las apelaciones presentadas ante estas. Las comisiones escrutadoras de municipios no zonificados, además, se encargarán de:</w:t>
      </w:r>
    </w:p>
    <w:p w14:paraId="308B65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Verificar la inconsistencia, y en caso de persistir, recontar los votos cuando haya tachaduras, enmendaduras y no se haya dejado constancia en el acta de la razón en el espacio previsto para observaciones, como inconsistencia en el número de sufragantes ente el registro de votantes y el acta de escrutinio de mesa, errores aritméticos en los formularios recibidos o dudas razonables.</w:t>
      </w:r>
    </w:p>
    <w:p w14:paraId="6EC200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y apelaciones presentadas ante los jurados de votación.</w:t>
      </w:r>
    </w:p>
    <w:p w14:paraId="23A0952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 y remitirlo inmediatamente al superior jerárquico junto con los demás documentos.</w:t>
      </w:r>
    </w:p>
    <w:p w14:paraId="628715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p w14:paraId="7346D31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199.- Competencia de las comisiones escrutadoras de municipios zonificados y distrital de Bogotá D.C. </w:t>
      </w:r>
      <w:r w:rsidRPr="00222F34">
        <w:rPr>
          <w:rFonts w:ascii="Calibri" w:eastAsia="Times New Roman" w:hAnsi="Calibri" w:cs="Calibri"/>
          <w:color w:val="000000"/>
          <w:lang w:val="es-CO" w:eastAsia="es-CO" w:bidi="ar-SA"/>
        </w:rPr>
        <w:t>Es competencia de las comisiones de municipios zonificados y distrital de Bogotá D. C., realizar el escrutinio y cómputo de votos para los cargos y corporaciones de elección popular, con base en las actas de escrutinio de las comisiones zonales, y declarar la elección de alcaldes y concejales municipales en la respectiva circunscripción, alcalde mayor de Bogotá D.C</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concejales distritales de Bogotá D. C., salvo que se concedan apelaciones presentadas ante estas. Así mismo, declararán la elección de juntas administradoras locales, cuando resuelvan las apelaciones presentadas ante las comisiones zonales.</w:t>
      </w:r>
    </w:p>
    <w:p w14:paraId="7F1C5AC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de municipios zonificados y distrital de Bogotá D.C., además, se encargarán de:</w:t>
      </w:r>
    </w:p>
    <w:p w14:paraId="7DD3DD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las apelaciones presentadas ante las comisiones zonales; en tal caso la competencia versará exclusivamente sobre el asunto apelado.</w:t>
      </w:r>
    </w:p>
    <w:p w14:paraId="43F6F37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ellas en relación con dicho escrutinio y sobre los documentos objeto de verificación.</w:t>
      </w:r>
    </w:p>
    <w:p w14:paraId="73E718F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3. Resolver los desacuerdos, vacíos u omisiones que se hayan presentado en la instancia inmediatamente anterior.</w:t>
      </w:r>
    </w:p>
    <w:p w14:paraId="03B665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Decidir sobre la concesión de los recursos de apelación que se presenten contra sus decisiones.</w:t>
      </w:r>
    </w:p>
    <w:p w14:paraId="0771CC0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el recurso de queja en materia de escrutinios que se presente en esta instancia.</w:t>
      </w:r>
    </w:p>
    <w:p w14:paraId="33AE187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w:t>
      </w:r>
    </w:p>
    <w:p w14:paraId="38EC7B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p w14:paraId="6344C61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200. Competencia de las comisiones escrutadoras departamentales.</w:t>
      </w:r>
      <w:r w:rsidRPr="00222F34">
        <w:rPr>
          <w:rFonts w:ascii="Calibri" w:eastAsia="Times New Roman" w:hAnsi="Calibri" w:cs="Calibri"/>
          <w:color w:val="000000"/>
          <w:lang w:val="es-CO" w:eastAsia="es-CO" w:bidi="ar-SA"/>
        </w:rPr>
        <w:t xml:space="preserve"> Es competencia de las comisiones departamentales realizar el escrutinio y cómputo de votos para los cargos y corporaciones de elección popular, con base en las actas de escrutinio de las comisiones municipales remitidas, y declarar la elección de representantes a la 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 municipales.</w:t>
      </w:r>
    </w:p>
    <w:p w14:paraId="606F77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comisiones escrutadoras departamentales, además, se encargarán de:</w:t>
      </w:r>
    </w:p>
    <w:p w14:paraId="2F5AB1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presentadas contra las decisiones de las comisiones escrutadoras municipales. En tal caso, la competencia versará exclusivamente sobre el asunto apelado.</w:t>
      </w:r>
    </w:p>
    <w:p w14:paraId="4547038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ellas en relación con dicho escrutinio y sobre los documentos objeto de verificación.</w:t>
      </w:r>
    </w:p>
    <w:p w14:paraId="505F610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Decidir sobre la concesión de los recursos de apelación que se presenten contra sus decisiones.</w:t>
      </w:r>
    </w:p>
    <w:p w14:paraId="7619531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el recurso de queja en materia de escrutinios que se presente en esta instancia.</w:t>
      </w:r>
    </w:p>
    <w:p w14:paraId="44951F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los desacuerdos, vacíos u omisiones que se hayan presentado en la instancia inmediatamente anterior.</w:t>
      </w:r>
    </w:p>
    <w:p w14:paraId="27F1C6E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Resolver las solicitudes de saneamiento de nulidad. Cuando sea procedente acoger la solicitud, la resolverá garantizando la verdad electoral en las actas que escrute.</w:t>
      </w:r>
    </w:p>
    <w:p w14:paraId="0169489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p w14:paraId="3F11ADA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201. Competencia de la comisión escrutadora general de Bogotá D. C. </w:t>
      </w:r>
      <w:r w:rsidRPr="00222F34">
        <w:rPr>
          <w:rFonts w:ascii="Calibri" w:eastAsia="Times New Roman" w:hAnsi="Calibri" w:cs="Calibri"/>
          <w:color w:val="000000"/>
          <w:lang w:val="es-CO" w:eastAsia="es-CO" w:bidi="ar-SA"/>
        </w:rPr>
        <w:t>Es competencia de la comisión escrutadora General de Bogotá D. C. realizar el escrutinio y cómputo de votos para los cargos y corporaciones de elección popular, con base en las actas de escrutinio de la comisión distrital de Bogotá D. C., y declarar la elección de alcalde Mayor y concejales distritales de Bogotá D. C. en caso de apelación, así como los representantes a la Cámara de la respectiva circunscripción, salvo que se concedan apelaciones presentadas ante estas.</w:t>
      </w:r>
    </w:p>
    <w:p w14:paraId="2440BF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La comisión escrutadora general de Bogota D.C., además, se encargará de:</w:t>
      </w:r>
    </w:p>
    <w:p w14:paraId="62F529A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presentadas ante las comisiones zonales distrital. La competencia versará exclusivamente sobre el asunto apelado.</w:t>
      </w:r>
    </w:p>
    <w:p w14:paraId="724ACE3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ellas en relación con dicho escrutinio y sobre los documentos objeto de verificación.</w:t>
      </w:r>
    </w:p>
    <w:p w14:paraId="3AD708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Resolver los desacuerdos, vacíos u omisiones que se hayan presentado en la instancia inmediatamente anterior.</w:t>
      </w:r>
    </w:p>
    <w:p w14:paraId="66749A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Decidir sobre la concesión de los recursos de apelación que se presenten contra sus decisiones.</w:t>
      </w:r>
    </w:p>
    <w:p w14:paraId="226789C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Resolver el recurso de queja en materia de escrutinios que se presente en esta instancia.</w:t>
      </w:r>
    </w:p>
    <w:p w14:paraId="791C71E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Declarar la elección o los resultados de la correspondiente votación, salvo en aquellos casos en los que se haya concedido el recurso de apelación.</w:t>
      </w:r>
    </w:p>
    <w:p w14:paraId="534B6F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Resolver las solicitudes de saneamiento de nulidad. Cuando sea procedente acoger la solicitud, la resolverá garantizando la verdad electoral en las actas que escrute.</w:t>
      </w:r>
    </w:p>
    <w:p w14:paraId="1001A2F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Expedir las credenciales a que hubiere lugar.</w:t>
      </w:r>
    </w:p>
    <w:p w14:paraId="29D5EEA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202. Competencia de la comisión escrutadora del exterior. </w:t>
      </w:r>
      <w:r w:rsidRPr="00222F34">
        <w:rPr>
          <w:rFonts w:ascii="Calibri" w:eastAsia="Times New Roman" w:hAnsi="Calibri" w:cs="Calibri"/>
          <w:color w:val="000000"/>
          <w:lang w:val="es-CO" w:eastAsia="es-CO" w:bidi="ar-SA"/>
        </w:rPr>
        <w:t>Es competencia del Consejo Nacional Electoral, a través de las comisiones designadas para el efecto, realizar el escrutinio y cómputo de votos para los cargos y corporaciones de elección popular, con base en las actas de escrutinio de los jurados de votación remitidas desde los puestos de votación de las embajadas o consulados y declarar la elección de representantes a la Cámara en la circunscripción de colombianos residentes en el exterior.</w:t>
      </w:r>
    </w:p>
    <w:p w14:paraId="0F30EEA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actuando como comisión escrutadora del exterior, además, se encargarán de:</w:t>
      </w:r>
    </w:p>
    <w:p w14:paraId="63407E2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reclamaciones presentadas ante los jurados de votación y ante ella.</w:t>
      </w:r>
    </w:p>
    <w:p w14:paraId="3C3426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w:t>
      </w:r>
    </w:p>
    <w:p w14:paraId="37B5431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Declarar la elección de la circunscripción del exterior.</w:t>
      </w:r>
    </w:p>
    <w:p w14:paraId="3FDC376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Expedir las credenciales a que hubiere lugar.</w:t>
      </w:r>
    </w:p>
    <w:p w14:paraId="7E4647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691FC4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El Consejo Nacional Electoral practicará el escrutinio para presidente y vicepresidente de la República, de los votos depositados por los ciudadanos colombianos residentes en el exterior, con base en los resultados </w:t>
      </w:r>
      <w:r w:rsidRPr="00222F34">
        <w:rPr>
          <w:rFonts w:ascii="Calibri" w:eastAsia="Times New Roman" w:hAnsi="Calibri" w:cs="Calibri"/>
          <w:color w:val="000000"/>
          <w:lang w:val="es-CO" w:eastAsia="es-CO" w:bidi="ar-SA"/>
        </w:rPr>
        <w:lastRenderedPageBreak/>
        <w:t>consolidados de la respectiva embajada o consulado, enviados por cualquier medio viable para transmisión de datos que el registrador Nacional del Estado Civil considere confiable, según el estado actual de la tecnología.</w:t>
      </w:r>
    </w:p>
    <w:p w14:paraId="02D02CB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203. Competencia del Consejo Nacional Electoral en materia de escrutinios.</w:t>
      </w:r>
      <w:r w:rsidRPr="00222F34">
        <w:rPr>
          <w:rFonts w:ascii="Calibri" w:eastAsia="Times New Roman" w:hAnsi="Calibri" w:cs="Calibri"/>
          <w:color w:val="000000"/>
          <w:lang w:val="es-CO" w:eastAsia="es-CO" w:bidi="ar-SA"/>
        </w:rPr>
        <w:t xml:space="preserve"> 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w:t>
      </w:r>
    </w:p>
    <w:p w14:paraId="0750984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Resolver de fondo las apelaciones que se hubieren presentado contra las decisiones de las comisiones escrutadoras departamentales y del Distrito Capital de Bogotá y, dado el caso, los desacuerdos, vacíos u omisiones que se hubieren presentado en estas.</w:t>
      </w:r>
    </w:p>
    <w:p w14:paraId="39EE21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Resolver las reclamaciones que por primera vez se presenten ante este, en relación con las elecciones de la circunscripción internacional y sobre los documentos objeto de verificación.</w:t>
      </w:r>
    </w:p>
    <w:p w14:paraId="7F79B0D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Resolver las solicitudes de saneamiento de nulidad. Cuando sea procedente acoger la solicitud, la resolverá garantizando la verdad electoral en las actas que escrute.</w:t>
      </w:r>
    </w:p>
    <w:p w14:paraId="7A820C0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Resolver el recurso de queja en materia de escrutinios que se presente en esta instancia.</w:t>
      </w:r>
    </w:p>
    <w:p w14:paraId="6A1581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Declarar la elección o los resultados de la correspondiente votación.</w:t>
      </w:r>
    </w:p>
    <w:p w14:paraId="560D54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Declarar la elección de representantes a la Cámara, alcalde mayor de Bogotá D.C., gobernadores y diputados cuando resuelva las apelaciones y quejas en materia de escrutinios interpuestas contra las decisiones de las respectivas comisiones escrutadoras o se presenten desacuerdos entre los integrantes de la comisión escrutadora departamental.</w:t>
      </w:r>
    </w:p>
    <w:p w14:paraId="5880545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Expedir las credenciales a que hubiere lugar.</w:t>
      </w:r>
    </w:p>
    <w:p w14:paraId="4E30E0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Trasladar por solicitud de los gobernadores, los partidos o movimientos políticos o los candidatos, la revisión del escrutinio desde el municipio a las capitales de departamento, cuando se requiera por fuerza mayor o por graves alteraciones de orden público.</w:t>
      </w:r>
    </w:p>
    <w:p w14:paraId="441CC1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204. Revisión de escrutinios por el Consejo Nacional Electoral. </w:t>
      </w:r>
      <w:r w:rsidRPr="00222F34">
        <w:rPr>
          <w:rFonts w:ascii="Calibri" w:eastAsia="Times New Roman" w:hAnsi="Calibri" w:cs="Calibri"/>
          <w:color w:val="000000"/>
          <w:lang w:val="es-CO" w:eastAsia="es-CO" w:bidi="ar-SA"/>
        </w:rPr>
        <w:t>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w:t>
      </w:r>
    </w:p>
    <w:p w14:paraId="1E328AE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Esta facultad la asumirá cuando evidencie el incumplimiento de las obligaciones asignadas a las comisiones escrutadoras en el presente código, o cuando a su juicio existan elementos o hechos que puedan alterar la voluntad del elector; como también en aquellos procesos de participación ciudadana, y únicamente en los </w:t>
      </w:r>
      <w:r w:rsidRPr="00222F34">
        <w:rPr>
          <w:rFonts w:ascii="Calibri" w:eastAsia="Times New Roman" w:hAnsi="Calibri" w:cs="Calibri"/>
          <w:color w:val="000000"/>
          <w:lang w:val="es-CO" w:eastAsia="es-CO" w:bidi="ar-SA"/>
        </w:rPr>
        <w:lastRenderedPageBreak/>
        <w:t>escrutinios de su competencia y cuando resuelva los recursos de apelación y de queja en materia de escrutinios debidamente interpuestos.</w:t>
      </w:r>
    </w:p>
    <w:p w14:paraId="1407F81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revisión procederá de oficio o a solicitud de los candidatos o de sus apoderados, los testigos electorales que ellos designen en dicha instancia, los representantes legales de los partidos y movimientos políticos con personería jurídica o sus apoderados, el comité inscriptor de los grupos significativos de ciudadanos y comité promotor del voto en blanco o la Procuraduría General de la Nación.</w:t>
      </w:r>
    </w:p>
    <w:p w14:paraId="10C5765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Tratándose de los mecanismos de participación ciudadana, las solicitudes podrán ser presentadas por los respectivos promotores.</w:t>
      </w:r>
    </w:p>
    <w:p w14:paraId="0259448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resueltos los trámites de revisión oficiosa o por solicitud de parte, será declarada la elección por el Consejo Nacional Electoral y contra sus decisiones no procederá recurso alguno.</w:t>
      </w:r>
    </w:p>
    <w:p w14:paraId="35A73BA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la revisión prevista del presente artículo, se deberá garantizar la presencia de testigos electorales acreditados y/o los candidatos, así como la del Ministerio Público.</w:t>
      </w:r>
    </w:p>
    <w:p w14:paraId="6BA911A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El Consejo Nacional Electoral podrá reglamentar aspectos no contemplados en el presente artículo.</w:t>
      </w:r>
    </w:p>
    <w:p w14:paraId="5016E7D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decisión de revisión de escrutinios deberá ser tomada por la unanimidad de los miembros del Consejo Nacional Electoral.</w:t>
      </w:r>
    </w:p>
    <w:p w14:paraId="19C826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205.- Causales de reclamación ante las comisiones escrutadoras.</w:t>
      </w:r>
      <w:r w:rsidRPr="00222F34">
        <w:rPr>
          <w:rFonts w:ascii="Calibri" w:eastAsia="Times New Roman" w:hAnsi="Calibri" w:cs="Calibri"/>
          <w:color w:val="000000"/>
          <w:lang w:val="es-CO" w:eastAsia="es-CO" w:bidi="ar-SA"/>
        </w:rPr>
        <w:t xml:space="preserve"> Ante las comisiones escrutadoras se podrán presentar reclamaciones por las siguientes causales:</w:t>
      </w:r>
    </w:p>
    <w:p w14:paraId="2E8B12F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Cuando el acta presente datos ilegibles, enmendaduras, tachaduras, borrones o cualquier otra circunstancia que implique una posible alteración de los resultados, salvo constancia aclaratoria de quienes la suscribieron.</w:t>
      </w:r>
    </w:p>
    <w:p w14:paraId="286279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Cuando existan variaciones injustificadas entre los datos anotados en las actas y los registrados en las actas de las etapas anteriores, sin que se haya advertido que la variación obedece a un recuento de votos.</w:t>
      </w:r>
    </w:p>
    <w:p w14:paraId="64CE793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Cuando aparezca que, en el acta de escrutinio de la mesa de votación o de la comisión escrutadora, se incurrió en un error aritmético o en un error al anotar las cifras.</w:t>
      </w:r>
    </w:p>
    <w:p w14:paraId="600D786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Cuando los jurados hayan omitido el deber de contrastar el número de votantes registrados con el número de votos depositados en la urna para nivelar la mesa.</w:t>
      </w:r>
    </w:p>
    <w:p w14:paraId="7FD16C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Cuando exista diferencia entre los resultados electorales precargados en el aplicativo de escrutinios y los consignados en las actas objeto de escrutinio.</w:t>
      </w:r>
    </w:p>
    <w:p w14:paraId="2032A2C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Cuando se presenten fallas, durante la jornada electoral, en el funcionamiento de la plataforma que soporta el voto electrónico mixto para la votación.</w:t>
      </w:r>
    </w:p>
    <w:p w14:paraId="519A6E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Cuando una mesa o un puesto de votación hubieren funcionado en sitio no autorizado legalmente.</w:t>
      </w:r>
    </w:p>
    <w:p w14:paraId="2C9F39E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8. Cuando el escrutinio de mesa se hubiere realizado y las actas se hubieren firmado por menos de dos (2) jurados de votación.</w:t>
      </w:r>
    </w:p>
    <w:p w14:paraId="737CC2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Cuando se hubieren destruido o perdido los votos y no existiere acta de escrutinio de mesa.</w:t>
      </w:r>
    </w:p>
    <w:p w14:paraId="145016C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Cuando los documentos electorales hubieren sido recibidos de forma extemporánea, de conformidad con los términos establecidos en este código para la entrega del material electoral, salvo que medie justificación expedida por autoridad competente.</w:t>
      </w:r>
    </w:p>
    <w:p w14:paraId="5F85DDB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Cuando el acta de escrutinio se hubiere extendido o firmado en sitio distinto de aquel autorizado por la Registraduría Nacional del Estado Civil.</w:t>
      </w:r>
    </w:p>
    <w:p w14:paraId="2D980CD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w:t>
      </w:r>
    </w:p>
    <w:p w14:paraId="3D30D5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w:t>
      </w:r>
    </w:p>
    <w:p w14:paraId="1588751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 S</w:t>
      </w:r>
      <w:r w:rsidRPr="00222F34">
        <w:rPr>
          <w:rFonts w:ascii="Calibri" w:eastAsia="Times New Roman" w:hAnsi="Calibri" w:cs="Calibri"/>
          <w:color w:val="000000"/>
          <w:lang w:val="es-CO" w:eastAsia="es-CO" w:bidi="ar-SA"/>
        </w:rPr>
        <w:t>i se encontraren fundadas las causales de reclamación de los numerales 1, 2, 3, y 13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w:t>
      </w:r>
    </w:p>
    <w:p w14:paraId="2F01DBD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configure la causal 4, la comisión deberá hacer la nivelación conforme al procedimiento de mesa de votación a cargo de los jurados.</w:t>
      </w:r>
    </w:p>
    <w:p w14:paraId="755B75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configure la causal 5, prevalecerá el resultado consignado en el acta objeto de escrutinio.</w:t>
      </w:r>
    </w:p>
    <w:p w14:paraId="50BFA03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se configure la causal 6, el cómputo general de los votos se tomará de la sumatoria de los comprobantes físicos que arroje el medio tecnológico y los votos físicos de contingencia depositados con posterioridad a la falla.</w:t>
      </w:r>
    </w:p>
    <w:p w14:paraId="6271EA0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w:t>
      </w:r>
    </w:p>
    <w:p w14:paraId="472C8B3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w:t>
      </w:r>
    </w:p>
    <w:p w14:paraId="12E5104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206.- Legitimación para reclamaciones y apelaciones.</w:t>
      </w:r>
      <w:r w:rsidRPr="00222F34">
        <w:rPr>
          <w:rFonts w:ascii="Calibri" w:eastAsia="Times New Roman" w:hAnsi="Calibri" w:cs="Calibri"/>
          <w:color w:val="000000"/>
          <w:lang w:val="es-CO" w:eastAsia="es-CO" w:bidi="ar-SA"/>
        </w:rPr>
        <w:t xml:space="preserve"> Las reclamaciones 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w:t>
      </w:r>
    </w:p>
    <w:p w14:paraId="78AD303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207.- Requisitos de las reclamaciones y recursos. </w:t>
      </w:r>
      <w:r w:rsidRPr="00222F34">
        <w:rPr>
          <w:rFonts w:ascii="Calibri" w:eastAsia="Times New Roman" w:hAnsi="Calibri" w:cs="Calibri"/>
          <w:color w:val="000000"/>
          <w:lang w:val="es-CO" w:eastAsia="es-CO" w:bidi="ar-SA"/>
        </w:rPr>
        <w:t>Las reclamaciones,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precisión las mesas presuntamente afectadas, así como las razones de hecho y de derecho que las fundamentan.</w:t>
      </w:r>
    </w:p>
    <w:p w14:paraId="27201E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208.- Acta de la diligencia de escrutinio</w:t>
      </w:r>
      <w:r w:rsidRPr="00222F34">
        <w:rPr>
          <w:rFonts w:ascii="Calibri" w:eastAsia="Times New Roman" w:hAnsi="Calibri" w:cs="Calibri"/>
          <w:color w:val="000000"/>
          <w:lang w:val="es-CO" w:eastAsia="es-CO" w:bidi="ar-SA"/>
        </w:rPr>
        <w:t>. En todas las comisiones escrutadoras se dejará constancia de la totalidad de las actuaciones realizadas en la audiencia de escrutinio. Dicha información quedará consignada en el acta general de escrutinio, que será firmada por los miembros de la comisión y por el respectivo registrador.</w:t>
      </w:r>
    </w:p>
    <w:p w14:paraId="1630919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actas de la diligencia de escrutinio deberán contener de manera detallada como mínimo la siguiente información:</w:t>
      </w:r>
    </w:p>
    <w:p w14:paraId="604EDB4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Mesas con recuento. </w:t>
      </w:r>
    </w:p>
    <w:p w14:paraId="4C3FD3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Detalle de la votación con los datos antes y después de la modificación. </w:t>
      </w:r>
    </w:p>
    <w:p w14:paraId="479B9D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Si hubo nivelación de la mesa. </w:t>
      </w:r>
    </w:p>
    <w:p w14:paraId="37F808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Si se contrastó el número de votantes con el número de votos depositados en la urna. </w:t>
      </w:r>
    </w:p>
    <w:p w14:paraId="415BE48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Relación de las reclamaciones presentadas y sus respectivas decisiones que deberán anexarse al acta. </w:t>
      </w:r>
    </w:p>
    <w:p w14:paraId="7D59E3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Relación de los recursos de apelación presentados y sus respectivas decisiones, así como las solicitudes de saneamiento de nulidad electoral. </w:t>
      </w:r>
    </w:p>
    <w:p w14:paraId="7C7ABAD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acta general de escrutinio, junto con los demás documentos electorales que se tuvieron en cuenta, comprenden una unidad que refleja los hechos ocurridos en el escrutinio y sus resultados.</w:t>
      </w:r>
    </w:p>
    <w:p w14:paraId="0B5F7D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209. Acta de escrutinio en comisión. </w:t>
      </w:r>
      <w:r w:rsidRPr="00222F34">
        <w:rPr>
          <w:rFonts w:ascii="Calibri" w:eastAsia="Times New Roman" w:hAnsi="Calibri" w:cs="Calibri"/>
          <w:color w:val="000000"/>
          <w:lang w:val="es-CO" w:eastAsia="es-CO" w:bidi="ar-SA"/>
        </w:rPr>
        <w:t>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w:t>
      </w:r>
    </w:p>
    <w:p w14:paraId="696B549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210.- Declaratoria de la elección.</w:t>
      </w:r>
      <w:r w:rsidRPr="00222F34">
        <w:rPr>
          <w:rFonts w:ascii="Calibri" w:eastAsia="Times New Roman" w:hAnsi="Calibri" w:cs="Calibri"/>
          <w:color w:val="000000"/>
          <w:lang w:val="es-CO" w:eastAsia="es-CO" w:bidi="ar-SA"/>
        </w:rPr>
        <w:t xml:space="preserve"> La autoridad competente declarará la elección o los resultados de los mecanismos de participación ciudadana, mediante acto administrativo, previa aplicación de la fórmula </w:t>
      </w:r>
      <w:r w:rsidRPr="00222F34">
        <w:rPr>
          <w:rFonts w:ascii="Calibri" w:eastAsia="Times New Roman" w:hAnsi="Calibri" w:cs="Calibri"/>
          <w:color w:val="000000"/>
          <w:lang w:val="es-CO" w:eastAsia="es-CO" w:bidi="ar-SA"/>
        </w:rPr>
        <w:lastRenderedPageBreak/>
        <w:t>electoral señalada por la Constitución Política y la ley. Contra este acto administrativo no procederán recursos ni la revocatoria directa; tan solo será susceptible de anulación por la Jurisdicción Contenciosa Administrativa.</w:t>
      </w:r>
    </w:p>
    <w:p w14:paraId="5598A9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211. Fórmula electoral.</w:t>
      </w:r>
      <w:r w:rsidRPr="00222F34">
        <w:rPr>
          <w:rFonts w:ascii="Calibri" w:eastAsia="Times New Roman" w:hAnsi="Calibri" w:cs="Calibri"/>
          <w:color w:val="000000"/>
          <w:lang w:val="es-CO" w:eastAsia="es-CO" w:bidi="ar-SA"/>
        </w:rPr>
        <w:t xml:space="preserve"> Será elegido gobernador y alcalde el candidato que obtenga la mayoría simple de los votos, salvo lo dispuesto en los artículos 258 y 323 de la Constitución Política.</w:t>
      </w:r>
    </w:p>
    <w:p w14:paraId="5CB6F6DC"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212.- Aplicación del estatuto de la oposición.</w:t>
      </w:r>
      <w:r w:rsidRPr="00222F34">
        <w:rPr>
          <w:rFonts w:ascii="Calibri" w:eastAsia="Times New Roman" w:hAnsi="Calibri" w:cs="Calibri"/>
          <w:color w:val="000000"/>
          <w:lang w:val="es-CO" w:eastAsia="es-CO" w:bidi="ar-SA"/>
        </w:rPr>
        <w:t xml:space="preserve"> 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 En todos los casos, quien en ejercicio del derecho personal decida aceptar la curul en la corporación respectiva deberán declararse en oposición. </w:t>
      </w:r>
    </w:p>
    <w:p w14:paraId="72294A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comisión escrutadora dejará constancia en el acta general de quien deba ser llamado a asumir la curul cuando el candidato que haya seguido en votación para alcaldía o gobernación acepte el derecho personal de ocupar la curul en la corporación, aplicando para tal efecto el umbral y la cifra repartidora sobre la totalidad de curules de la Corporación. Ante la no posesión, o que se presente una falta absoluta o temporal que, de lugar a reemplazo, el presidente de la respectiva corporación llamará inmediatamente al candidato que indique el acta general. </w:t>
      </w:r>
    </w:p>
    <w:p w14:paraId="351C4F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que el voto en blanco o promotores de este, obtengan la segunda votación en las elecciones de cargos uninominales, la misma se asignará de acuerdo con la regla general prevista en el artículo 263 de la Constitución Política.</w:t>
      </w:r>
    </w:p>
    <w:p w14:paraId="1A1CAF06"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p w14:paraId="59733AA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213. Sorteo ante resultados iguales en el escrutinio. S</w:t>
      </w:r>
      <w:r w:rsidRPr="00222F34">
        <w:rPr>
          <w:rFonts w:ascii="Calibri" w:eastAsia="Times New Roman" w:hAnsi="Calibri" w:cs="Calibri"/>
          <w:color w:val="000000"/>
          <w:lang w:val="es-CO" w:eastAsia="es-CO" w:bidi="ar-SA"/>
        </w:rPr>
        <w:t>i el número de votos a favor de dos o más candidatos del mismo género fuere igual, la elección se decidirá a la suerte. Para ello, se escribirán en hojas de papel el nombre de cada uno de los candidatos que hubieren obtenido igual número de votos y se introducirán dobladas en un sobre. Acto seguido, un ciudadano designado por la comisión escrutadora extraerá del sobre una de las hojas de papel con el nombre de un candidato, el cual será así el elegido y se procederá a declarar su respectiva elección.</w:t>
      </w:r>
    </w:p>
    <w:p w14:paraId="349E828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cifra repartidora, se decidirá con el decimal que haga la diferencia y, de persistir el empate, mediante el sistema de sorteo aquí señalado.</w:t>
      </w:r>
    </w:p>
    <w:p w14:paraId="4001FE5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Durante los diez (10) años siguientes a la expedición de esta Ley, en caso de que el número de votos a favor de dos o más candidatos sea igual entre un hombre y una mujer, se elegirá a la mujer.</w:t>
      </w:r>
    </w:p>
    <w:p w14:paraId="2786F0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214. Notificaciones en los escrutinios.</w:t>
      </w:r>
      <w:r w:rsidRPr="00222F34">
        <w:rPr>
          <w:rFonts w:ascii="Calibri" w:eastAsia="Times New Roman" w:hAnsi="Calibri" w:cs="Calibri"/>
          <w:color w:val="000000"/>
          <w:lang w:val="es-CO" w:eastAsia="es-CO" w:bidi="ar-SA"/>
        </w:rPr>
        <w:t xml:space="preserve"> Las decisiones adoptadas durante los escrutinios se notificarán en estrados.</w:t>
      </w:r>
    </w:p>
    <w:p w14:paraId="7ED0AD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215.- Traslado y custodia de documentos electorales.</w:t>
      </w:r>
      <w:r w:rsidRPr="00222F34">
        <w:rPr>
          <w:rFonts w:ascii="Calibri" w:eastAsia="Times New Roman" w:hAnsi="Calibri" w:cs="Calibri"/>
          <w:color w:val="000000"/>
          <w:lang w:val="es-CO" w:eastAsia="es-CO" w:bidi="ar-SA"/>
        </w:rPr>
        <w:t xml:space="preserve"> Los registradores del Estado Civil, en su calidad de secretarios técnicos de las comisiones escrutadoras, coordinarán con el apoyo de los alcaldes y la fuerza </w:t>
      </w:r>
      <w:r w:rsidRPr="00222F34">
        <w:rPr>
          <w:rFonts w:ascii="Calibri" w:eastAsia="Times New Roman" w:hAnsi="Calibri" w:cs="Calibri"/>
          <w:color w:val="000000"/>
          <w:lang w:val="es-CO" w:eastAsia="es-CO" w:bidi="ar-SA"/>
        </w:rPr>
        <w:lastRenderedPageBreak/>
        <w:t>pública, el traslado y custodia de los documentos electorales resultantes de las elecciones una vez concluidos los escrutinios respectivos, de modo que se encuentren a disposición para un eventual requerimiento.</w:t>
      </w:r>
    </w:p>
    <w:p w14:paraId="26AA8C0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216.- Publicación de resultados y estadísticas electorales. </w:t>
      </w:r>
      <w:r w:rsidRPr="00222F34">
        <w:rPr>
          <w:rFonts w:ascii="Calibri" w:eastAsia="Times New Roman" w:hAnsi="Calibri" w:cs="Calibri"/>
          <w:color w:val="000000"/>
          <w:lang w:val="es-CO" w:eastAsia="es-CO" w:bidi="ar-SA"/>
        </w:rPr>
        <w:t>La Registraduría Nacional del Estado Civil deberá mantener en su página web los resultados electorales de cada elección en formato de datos abiertos y dispondrá un sistema de estadísticas electorales histórico que integre los comicios realizados, acorde con el Sistema Nacional de Estadísticas, para que puedan ser consultados por cualquier particular o autoridad pública.</w:t>
      </w:r>
    </w:p>
    <w:p w14:paraId="77CB419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contará con una dirección de analítica de datos e implementación de tecnologías de inteligencia artificial. El ejercicio de esta dirección, en todo caso, deberá cumplir con los estándares de protección del derecho al habeas data.</w:t>
      </w:r>
    </w:p>
    <w:p w14:paraId="4BA0DF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Registraduría Nacional del Estado Civil deberá garantizar la presentación de datos desagregados como mínimo por sexo y grupo etario.</w:t>
      </w:r>
    </w:p>
    <w:p w14:paraId="75B1E02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deberá garantizar que todos los formularios que se emitan en el proceso electoral sean públicos, respetando la reserva legal de los datos contenidos según las reglas de habeas data previstas en la Ley 1581 de 2012 o norma que la modifique, derogue o sustituya.</w:t>
      </w:r>
    </w:p>
    <w:p w14:paraId="43F18FD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2526EF6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217.- Denuncia por doble o múltiple votación.</w:t>
      </w:r>
      <w:r w:rsidRPr="00222F34">
        <w:rPr>
          <w:rFonts w:ascii="Calibri" w:eastAsia="Times New Roman" w:hAnsi="Calibri" w:cs="Calibri"/>
          <w:color w:val="000000"/>
          <w:lang w:val="es-CO" w:eastAsia="es-CO" w:bidi="ar-SA"/>
        </w:rPr>
        <w:t xml:space="preserve"> Concluidos los escrutinios, la Registraduría Nacional del Estado Civil revisará cuidadosamente los registros de votantes y las listas de sufragantes, para establecer entre estos la doble o múltiple votación. Comprobado tal hecho, formulará la denuncia correspondiente ante autoridad competente.</w:t>
      </w:r>
    </w:p>
    <w:p w14:paraId="61BB689B"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VII</w:t>
      </w:r>
    </w:p>
    <w:p w14:paraId="6DA8FDDD"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Procedimiento para atender solicitudes de saneamiento de vicios de nulidad</w:t>
      </w:r>
    </w:p>
    <w:p w14:paraId="071FF54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218.- Competencia.</w:t>
      </w:r>
      <w:r w:rsidRPr="00222F34">
        <w:rPr>
          <w:rFonts w:ascii="Calibri" w:eastAsia="Times New Roman" w:hAnsi="Calibri" w:cs="Calibri"/>
          <w:color w:val="000000"/>
          <w:lang w:val="es-CO" w:eastAsia="es-CO" w:bidi="ar-SA"/>
        </w:rPr>
        <w:t xml:space="preserve"> El Consejo Nacional Electoral y las comisiones escrutadoras del Distrito Capital, distrital y general de Bogotá D.C., departamentales, municipales y zonales son competentes para atender las solicitudes de saneamiento de vicios de nulidad electoral.</w:t>
      </w:r>
    </w:p>
    <w:p w14:paraId="7011978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219. Solicitud de saneamiento de nulidades. </w:t>
      </w:r>
      <w:r w:rsidRPr="00222F34">
        <w:rPr>
          <w:rFonts w:ascii="Calibri" w:eastAsia="Times New Roman" w:hAnsi="Calibri" w:cs="Calibri"/>
          <w:color w:val="000000"/>
          <w:lang w:val="es-CO" w:eastAsia="es-CO" w:bidi="ar-SA"/>
        </w:rPr>
        <w:t>Cualquier persona o el Ministerio Público podrán solicitar el saneamiento de nulidades en el proceso de votación y escrutinio con base en hechos, que puedan afectar la validez de la declaración de elección y/o la verdad de los resultados.</w:t>
      </w:r>
    </w:p>
    <w:p w14:paraId="6DEE339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solicitud del saneamiento de nulidades deberá fundarse en las causales previstas en los numerales 3 y 4 del artículo 275 del Código de Procedimiento Administrativo y de lo Contencioso Administrativo, o norma que lo modifique, sustituya o complemente y que correspondan a hechos distintos a los de las causales de reclamación consagradas en el presente código.</w:t>
      </w:r>
    </w:p>
    <w:p w14:paraId="663DE7E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En ningún caso se podrá impedir el ingreso de cualquier persona a la audiencia de escrutinio para formular la solicitud de saneamiento de nulidad.</w:t>
      </w:r>
    </w:p>
    <w:p w14:paraId="6FF707E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220. Requisitos de la solicitud.</w:t>
      </w:r>
      <w:r w:rsidRPr="00222F34">
        <w:rPr>
          <w:rFonts w:ascii="Calibri" w:eastAsia="Times New Roman" w:hAnsi="Calibri" w:cs="Calibri"/>
          <w:color w:val="000000"/>
          <w:lang w:val="es-CO" w:eastAsia="es-CO" w:bidi="ar-SA"/>
        </w:rPr>
        <w:t xml:space="preserve"> La solicitud deberá ser presentada por escrito, antes de la declaratoria de elección, con indicación precisa del departamento, municipio, zona, puesto y mesa de votación, así como la descripción de los hechos, medios de prueba y fundamentos de derecho en que se sustenta la petición.</w:t>
      </w:r>
    </w:p>
    <w:p w14:paraId="72F6E11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221.- Rechazo de la solicitud</w:t>
      </w:r>
      <w:r w:rsidRPr="00222F34">
        <w:rPr>
          <w:rFonts w:ascii="Calibri" w:eastAsia="Times New Roman" w:hAnsi="Calibri" w:cs="Calibri"/>
          <w:color w:val="000000"/>
          <w:lang w:val="es-CO" w:eastAsia="es-CO" w:bidi="ar-SA"/>
        </w:rPr>
        <w:t>. Si el escrito con el cual se formula la solicitud no se presenta con los requisitos previstos en el artículo anterior, la comisión escrutadora o el funcionario competente deberán rechazarla.</w:t>
      </w:r>
    </w:p>
    <w:p w14:paraId="0426F8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222.- De la procedibilidad, oportunidad y notificación.</w:t>
      </w:r>
      <w:r w:rsidRPr="00222F34">
        <w:rPr>
          <w:rFonts w:ascii="Calibri" w:eastAsia="Times New Roman" w:hAnsi="Calibri" w:cs="Calibri"/>
          <w:color w:val="000000"/>
          <w:lang w:val="es-CO" w:eastAsia="es-CO" w:bidi="ar-SA"/>
        </w:rPr>
        <w:t xml:space="preserve"> La decisión adoptada por la respectiva comisión escrutadora, se notificará en la misma audiencia pública de escrutinios, antes de la declaratoria de elección.</w:t>
      </w:r>
    </w:p>
    <w:p w14:paraId="6612F81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la verificación de los hechos en que se basa esta solicitud requiera de pruebas técnicas que no estén disponibles de manera inmediata para los escrutadores, estos se abstendrán de tramitarla, y así lo declararán.</w:t>
      </w:r>
    </w:p>
    <w:p w14:paraId="1C1EEAB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VII</w:t>
      </w:r>
    </w:p>
    <w:p w14:paraId="691EA08E"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 Y ELECCIONES ATÍPICAS</w:t>
      </w:r>
    </w:p>
    <w:p w14:paraId="57025086"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0ED7FA4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Provisión de faltas</w:t>
      </w:r>
    </w:p>
    <w:p w14:paraId="0EA82D5D"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223.- Faltas absolutas de cargos uninominales.</w:t>
      </w:r>
      <w:r w:rsidRPr="00222F34">
        <w:rPr>
          <w:rFonts w:ascii="Calibri" w:eastAsia="Times New Roman" w:hAnsi="Calibri" w:cs="Calibri"/>
          <w:color w:val="000000"/>
          <w:lang w:val="es-CO" w:eastAsia="es-CO" w:bidi="ar-SA"/>
        </w:rPr>
        <w:t xml:space="preserve"> Son faltas  absolutas de los gobernadores y alcaldes: </w:t>
      </w:r>
    </w:p>
    <w:p w14:paraId="64E1008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p w14:paraId="26DE40A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o enfermedad superior a 180 días. </w:t>
      </w:r>
    </w:p>
    <w:p w14:paraId="3762A83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p w14:paraId="5EDD5C7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renuncia debidamente aceptada. </w:t>
      </w:r>
    </w:p>
    <w:p w14:paraId="6D312A6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del cargo, declarada por autoridad judicial, del Presidente de la República o del gobernador. </w:t>
      </w:r>
    </w:p>
    <w:p w14:paraId="123598B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interdicción judicial y la inhabilitación para el ejercicio de derechos y funciones públicas declarada por autoridad judicial.</w:t>
      </w:r>
    </w:p>
    <w:p w14:paraId="2D2FE3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revocatoria del mandato. </w:t>
      </w:r>
    </w:p>
    <w:p w14:paraId="213DEC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 condena a pena privativa de la libertad debidamente ejecutoriada. </w:t>
      </w:r>
    </w:p>
    <w:p w14:paraId="5FA286E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224.- Faltas temporales de cargos uninominales.</w:t>
      </w:r>
      <w:r w:rsidRPr="00222F34">
        <w:rPr>
          <w:rFonts w:ascii="Calibri" w:eastAsia="Times New Roman" w:hAnsi="Calibri" w:cs="Calibri"/>
          <w:color w:val="000000"/>
          <w:lang w:val="es-CO" w:eastAsia="es-CO" w:bidi="ar-SA"/>
        </w:rPr>
        <w:t xml:space="preserve"> Son faltas temporales de los gobernadores y alcaldes:</w:t>
      </w:r>
    </w:p>
    <w:p w14:paraId="791F20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Las vacaciones. </w:t>
      </w:r>
    </w:p>
    <w:p w14:paraId="3A36040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Los permisos y licencias debidamente conferidos. </w:t>
      </w:r>
    </w:p>
    <w:p w14:paraId="4545B01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incapacidad física transitoria. </w:t>
      </w:r>
    </w:p>
    <w:p w14:paraId="1D819F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del cargo por decisión de autoridad penal. </w:t>
      </w:r>
    </w:p>
    <w:p w14:paraId="10CA10B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suspensión provisional del acto de elección por decisión judicial. </w:t>
      </w:r>
    </w:p>
    <w:p w14:paraId="32F0F77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ausencia forzada e involuntaria.  </w:t>
      </w:r>
    </w:p>
    <w:p w14:paraId="6152F4D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225. Encargo ante faltas de gobernadores y alcaldes. </w:t>
      </w:r>
      <w:r w:rsidRPr="00222F34">
        <w:rPr>
          <w:rFonts w:ascii="Calibri" w:eastAsia="Times New Roman" w:hAnsi="Calibri" w:cs="Calibri"/>
          <w:color w:val="000000"/>
          <w:lang w:val="es-CO" w:eastAsia="es-CO" w:bidi="ar-SA"/>
        </w:rPr>
        <w:t>Siempre que se presente falta absoluta a menos de dieciocho (18) meses de la terminación del período, el presidente de la República, para el caso de los gobernadores y alcaldes distritales; y los gobernadores, para el caso de los alcaldes municipales del respectivo departamento; dentro de los dos (2) días siguientes a la ocurrencia de la causal, solicitarán al representante legal del 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hábiles siguientes al día en que fue recibida la solicitud, no presentaren la terna, se encargará a un ciudadano respetando su procedencia política.</w:t>
      </w:r>
    </w:p>
    <w:p w14:paraId="468796B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faltas temporales de gobernadores y alcaldes, distintas a la suspensión en el cargo, serán provistas por el mismo mandatario mediante encargo a alguno de sus secretarios y si no pudiere hacerlo, asumirá el secretario de Gobierno departamental o municipal, o el secretario único municipal. Cuando la falta temporal se genere por suspensión en el cargo o suspensión provisional de la elección por decisión judicial, el presidente de la República respecto de los gobernadores y alcaldes distritales, y los gobernadores frente a los alcaldes municipales del departamento, solicitarán dentro de los dos días siguientes a la suspensión una terna de ciudadanos a la organización política que inscribió al elegido, conforme al procedimiento previsto para las faltas absolutas en este código.</w:t>
      </w:r>
    </w:p>
    <w:p w14:paraId="5AAD2C8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226.- Reemplazo de miembros de corporaciones de elección popular.</w:t>
      </w:r>
      <w:r w:rsidRPr="00222F34">
        <w:rPr>
          <w:rFonts w:ascii="Calibri" w:eastAsia="Times New Roman" w:hAnsi="Calibri" w:cs="Calibri"/>
          <w:color w:val="000000"/>
          <w:lang w:val="es-CO" w:eastAsia="es-CO" w:bidi="ar-SA"/>
        </w:rPr>
        <w:t xml:space="preserve"> De conformidad con lo dispuesto en el artículo 134 de la Constitución Política, los miembros de las corporaciones públicas de elección popular podrán ser reemplazados en los casos de faltas absolutas o temporales que determine la ley.</w:t>
      </w:r>
    </w:p>
    <w:p w14:paraId="4091957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Son faltas absolutas de los miembros de corporaciones públicas de elección popular:</w:t>
      </w:r>
    </w:p>
    <w:p w14:paraId="2C2034C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muerte. </w:t>
      </w:r>
    </w:p>
    <w:p w14:paraId="6A95666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incapacidad física permanente. </w:t>
      </w:r>
    </w:p>
    <w:p w14:paraId="0086221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La nulidad de la elección. </w:t>
      </w:r>
    </w:p>
    <w:p w14:paraId="34D56C7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4. La renuncia aceptada. </w:t>
      </w:r>
    </w:p>
    <w:p w14:paraId="7AAF1B5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sanción de destitución el cargo, decretada por autoridad judicial. </w:t>
      </w:r>
    </w:p>
    <w:p w14:paraId="2AB81B6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La no posesión en el cargo. </w:t>
      </w:r>
    </w:p>
    <w:p w14:paraId="740105C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7. La pérdida de investidura. </w:t>
      </w:r>
    </w:p>
    <w:p w14:paraId="664793A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8. La condena a pena privativa de la libertad debidamente ejecutoriada.  </w:t>
      </w:r>
    </w:p>
    <w:p w14:paraId="62F98C1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14:paraId="1A8067A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Son faltas temporales de los miembros de corporaciones públicas de elección popular que dan lugar a reemplazo:</w:t>
      </w:r>
    </w:p>
    <w:p w14:paraId="4B158A4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La licencia de maternidad. </w:t>
      </w:r>
    </w:p>
    <w:p w14:paraId="14675F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La medida de aseguramiento por delitos distintos a los señalados en el artículo 134 de la Constitución Política. </w:t>
      </w:r>
    </w:p>
    <w:p w14:paraId="5CC8705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3. Suspensión en el cargo por decisión de autoridad judicial penal. </w:t>
      </w:r>
    </w:p>
    <w:p w14:paraId="1089CF1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La suspensión provisional del acto de elección por decisión judicial. </w:t>
      </w:r>
    </w:p>
    <w:p w14:paraId="11D941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5. La ausencia forzada e involuntaria. </w:t>
      </w:r>
    </w:p>
    <w:p w14:paraId="56A157F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La suspensión de la condición Congresional que desarrolla la ley 1828 de 2017, en el art. 14, lit. c).</w:t>
      </w:r>
    </w:p>
    <w:p w14:paraId="06B8096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reemplazos se proveerán con los candidatos no elegidos que, según el orden de inscripción para listas sin voto preferente o votación obtenida para lista con voto preferente, le sigan en forma sucesiva y descendente en la misma lista electoral al elegido que produjo la falta.</w:t>
      </w:r>
    </w:p>
    <w:p w14:paraId="5D4C8A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 En todo caso, cuando el empate se produzca entre un hombre y una mujer se deberá tener en cuenta la acción afirmativa prevista en el presente Código.</w:t>
      </w:r>
    </w:p>
    <w:p w14:paraId="5C6F2BC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2FEEB98C"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Elecciones atípicas</w:t>
      </w:r>
    </w:p>
    <w:p w14:paraId="7451044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227. Definición de elecciones atípicas.</w:t>
      </w:r>
      <w:r w:rsidRPr="00222F34">
        <w:rPr>
          <w:rFonts w:ascii="Calibri" w:eastAsia="Times New Roman" w:hAnsi="Calibri" w:cs="Calibri"/>
          <w:color w:val="000000"/>
          <w:lang w:val="es-CO" w:eastAsia="es-CO" w:bidi="ar-SA"/>
        </w:rPr>
        <w:t xml:space="preserve"> Las elecciones atípicas son las que se realizan por fuera de las fechas ordinarias previstas en este código, para elegir autoridades uninominales y corporaciones públicas, por las causales consagradas en la Constitución Política y la ley.</w:t>
      </w:r>
    </w:p>
    <w:p w14:paraId="631EF30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Ministerio de Hacienda y Crédito Público destinará una partida anual para que la Registraduría Nacional del Estado Civil y el Consejo Nacional Electoral puedan llevar a cabo las elecciones. En caso de no haber elecciones atípicas durante la vigencia fiscal respectiva, la Registraduría Nacional del Estado Civil y el Consejo Nacional Electoral devolverán al Ministerio de Hacienda y Crédito Público los recursos destinados para tal fin.</w:t>
      </w:r>
    </w:p>
    <w:p w14:paraId="355D897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228. Por vacancia absoluta. </w:t>
      </w:r>
      <w:r w:rsidRPr="00222F34">
        <w:rPr>
          <w:rFonts w:ascii="Calibri" w:eastAsia="Times New Roman" w:hAnsi="Calibri" w:cs="Calibri"/>
          <w:color w:val="000000"/>
          <w:lang w:val="es-CO" w:eastAsia="es-CO" w:bidi="ar-SA"/>
        </w:rPr>
        <w:t>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p>
    <w:p w14:paraId="606E753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vacancia absoluta por muerte, el término para realizar la elección se contará a partir de los cinco (5) días siguientes a la muerte.</w:t>
      </w:r>
    </w:p>
    <w:p w14:paraId="089480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vacancia absoluta por renuncia, el término para realizar la elección se contará a partir de los cinco (5) días siguientes a la fecha en que quede en firme el acto administrativo que contenga la decisión de aceptación.</w:t>
      </w:r>
    </w:p>
    <w:p w14:paraId="440132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destitución, por decisión judicial, inhabilitación que no sea por discapacidad y declaratoria de nulidad electoral, se contará a partir de los cinco (5) días siguientes a la fecha en que quede en firme el acto administrativo o la decisión respectiva.</w:t>
      </w:r>
    </w:p>
    <w:p w14:paraId="7D090E5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incapacidad física permanente o incapacidad médica por enfermedad superior a ciento ochenta (180 días), se contará a partir de los cinco (5) días siguientes a la fecha de la certificación emitida por la autoridad competente.</w:t>
      </w:r>
    </w:p>
    <w:p w14:paraId="5F78197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p w14:paraId="1D74C50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revocatoria de mandato, se contará a partir de los cinco (5) días después de la fecha en que se certifiquen los resultados de la votación, siempre y cuando, no falte menos de dieciocho (18) meses para la finalización del respectivo periodo constitucional.</w:t>
      </w:r>
    </w:p>
    <w:p w14:paraId="23B6F07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229.- Por voto en blanco</w:t>
      </w:r>
      <w:r w:rsidRPr="00222F34">
        <w:rPr>
          <w:rFonts w:ascii="Calibri" w:eastAsia="Times New Roman" w:hAnsi="Calibri" w:cs="Calibri"/>
          <w:color w:val="000000"/>
          <w:lang w:val="es-CO" w:eastAsia="es-CO" w:bidi="ar-SA"/>
        </w:rPr>
        <w:t>. Cuando en elecciones uninominales y de corporaciones públicas el voto en blanco alcance la mayoría simple de la 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w:t>
      </w:r>
    </w:p>
    <w:p w14:paraId="3C32C53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230.- Por no tomar posesión del cargo.</w:t>
      </w:r>
      <w:r w:rsidRPr="00222F34">
        <w:rPr>
          <w:rFonts w:ascii="Calibri" w:eastAsia="Times New Roman" w:hAnsi="Calibri" w:cs="Calibri"/>
          <w:color w:val="000000"/>
          <w:lang w:val="es-CO" w:eastAsia="es-CO" w:bidi="ar-SA"/>
        </w:rPr>
        <w:t xml:space="preserve"> Cuando un candidato electo para un cargo uninominal no toma posesión del cargo sin justa causa dentro de los ocho (8) días siguientes al inicio del periodo constitucional </w:t>
      </w:r>
      <w:r w:rsidRPr="00222F34">
        <w:rPr>
          <w:rFonts w:ascii="Calibri" w:eastAsia="Times New Roman" w:hAnsi="Calibri" w:cs="Calibri"/>
          <w:color w:val="000000"/>
          <w:lang w:val="es-CO" w:eastAsia="es-CO" w:bidi="ar-SA"/>
        </w:rPr>
        <w:lastRenderedPageBreak/>
        <w:t>para el cual fue elegido; la nueva elección se realizará a los sesenta (60) días calendario siguientes al pronunciamiento de la Procuraduría General de la Nación, en el que realice la respectiva calificación. Si la fecha de la votación no corresponde al día domingo, la misma se realizará el domingo siguiente.</w:t>
      </w:r>
    </w:p>
    <w:p w14:paraId="02C3ADB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231.- Elecciones complementarias</w:t>
      </w:r>
      <w:r w:rsidRPr="00222F34">
        <w:rPr>
          <w:rFonts w:ascii="Calibri" w:eastAsia="Times New Roman" w:hAnsi="Calibri" w:cs="Calibri"/>
          <w:color w:val="000000"/>
          <w:lang w:val="es-CO" w:eastAsia="es-CO" w:bidi="ar-SA"/>
        </w:rPr>
        <w:t>. 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la misma se realizará el domingo inmediatamente siguiente.</w:t>
      </w:r>
    </w:p>
    <w:p w14:paraId="27ECE35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Si por faltas absolutas que no den lugar a reemplazo, los miembros de cuerpos colegiados elegidos, en una misma circunscripción electoral, quedan reducidos a la mitad o menos, se procederá conforme a la regla prevista en el artículo 134 de la Constitución Política.</w:t>
      </w:r>
    </w:p>
    <w:p w14:paraId="45DA0C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232.- Por no declaratoria de elección. </w:t>
      </w:r>
      <w:r w:rsidRPr="00222F34">
        <w:rPr>
          <w:rFonts w:ascii="Calibri" w:eastAsia="Times New Roman" w:hAnsi="Calibri" w:cs="Calibri"/>
          <w:color w:val="000000"/>
          <w:lang w:val="es-CO" w:eastAsia="es-CO" w:bidi="ar-SA"/>
        </w:rPr>
        <w:t>Cuando en elecciones a cargos uninominales y de corporaciones públicas, la comisión escrutadora respectiva o el Consejo Nacional Electoral no le haya podido declarar la respectiva elección por violencia, destrucción del material o la información electoral, se repetirá la jornada de votación a los sesenta (60) días calendario después de la fecha en que la comisión escrutadora notificó la decisión. Si la fecha de la votación no corresponde al día domingo, la misma se realizará el domingo inmediatamente siguiente.</w:t>
      </w:r>
    </w:p>
    <w:p w14:paraId="5910D7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233.- Convocatoria de elecciones atípicas.</w:t>
      </w:r>
      <w:r w:rsidRPr="00222F34">
        <w:rPr>
          <w:rFonts w:ascii="Calibri" w:eastAsia="Times New Roman" w:hAnsi="Calibri" w:cs="Calibri"/>
          <w:color w:val="000000"/>
          <w:lang w:val="es-CO" w:eastAsia="es-CO" w:bidi="ar-SA"/>
        </w:rPr>
        <w:t xml:space="preserve"> Para las elecciones señaladas en este título, la convocatoria le corresponderá a la Organización Electoral. La mencionada convocatoria deberá ser ampliamente divulgada y apoyada por el Gobierno Nacional y los entes territoriales respectivos.</w:t>
      </w:r>
    </w:p>
    <w:p w14:paraId="761DF2EF"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VIII</w:t>
      </w:r>
    </w:p>
    <w:p w14:paraId="75FDA85E"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REGLAS PARA LAS ORGANIZACIONES POLÍTICAS</w:t>
      </w:r>
    </w:p>
    <w:p w14:paraId="1F310D92"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37E25169"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las consultas</w:t>
      </w:r>
    </w:p>
    <w:p w14:paraId="005A0BE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234.- Definición y tipos de consultas</w:t>
      </w:r>
      <w:r w:rsidRPr="00222F34">
        <w:rPr>
          <w:rFonts w:ascii="Calibri" w:eastAsia="Times New Roman" w:hAnsi="Calibri" w:cs="Calibri"/>
          <w:color w:val="000000"/>
          <w:lang w:val="es-CO" w:eastAsia="es-CO" w:bidi="ar-SA"/>
        </w:rPr>
        <w:t>. Las consultas son mecanismos de democracia interna que las organizaciones políticas pueden utilizar con la finalidad de adoptar sus decisiones, escoger sus candidatos o el orden en la lista a cargos de elección popular, propios o de coalición.</w:t>
      </w:r>
    </w:p>
    <w:p w14:paraId="19875FD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w:t>
      </w:r>
    </w:p>
    <w:p w14:paraId="797429B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Se denominarán consultas interpartidistas las que se convoquen entre los partidos, movimientos políticos con personería jurídica, grupos significativos de ciudadanos y/o coaliciones para escoger candidatos a cargos uninominales o de corporaciones públicas.</w:t>
      </w:r>
    </w:p>
    <w:p w14:paraId="7871810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w:t>
      </w:r>
    </w:p>
    <w:p w14:paraId="356F6E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235.- Términos</w:t>
      </w:r>
      <w:r w:rsidRPr="00222F34">
        <w:rPr>
          <w:rFonts w:ascii="Calibri" w:eastAsia="Times New Roman" w:hAnsi="Calibri" w:cs="Calibri"/>
          <w:color w:val="000000"/>
          <w:lang w:val="es-CO" w:eastAsia="es-CO" w:bidi="ar-SA"/>
        </w:rPr>
        <w:t>. La realización de las consultas podrá coincidir con las elecciones ordinarias. Cada año el Consejo Nacional Electoral señalará una fecha para la realización de las consultas, cuando deban realizarse en día distinto al señalado para las elecciones ordinarias.</w:t>
      </w:r>
    </w:p>
    <w:p w14:paraId="0EF16AC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deberán ofertar las tarjetas electorales y sólo suministrarán la tarjeta electoral de la consulta que los votantes soliciten.</w:t>
      </w:r>
    </w:p>
    <w:p w14:paraId="5E98F27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campaña de proselitismo en el marco de las consultas internas, iniciará al menos dentro de los treinta (30) días anteriores a la fecha de votación de la consulta.</w:t>
      </w:r>
    </w:p>
    <w:p w14:paraId="2C9A60E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y coaliciones deberán comunicar por escrito, al Consejo Nacional Electoral, por lo menos cinco (5) meses antes de la fecha establecida por dicha autoridad, la decisión de realizar consultas para la toma de decisiones y la escogencia de sus candidatos para elecciones populares.</w:t>
      </w:r>
    </w:p>
    <w:p w14:paraId="39833A3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las consultas para la escogencia de candidatos, los precandidatos deberán ser inscritos ante la Registraduría Nacional del Estado Civil, en la forma en que esta señale, cuatro (4) meses antes de la fecha de la realización de la respectiva consulta, vencido este periodo</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las organizaciones y partidos políticos no </w:t>
      </w:r>
      <w:r w:rsidRPr="0081594B">
        <w:rPr>
          <w:rFonts w:ascii="Calibri" w:eastAsia="Times New Roman" w:hAnsi="Calibri" w:cs="Calibri"/>
          <w:bCs/>
          <w:color w:val="000000"/>
          <w:lang w:val="es-CO" w:eastAsia="es-CO" w:bidi="ar-SA"/>
        </w:rPr>
        <w:t>tendrán</w:t>
      </w:r>
      <w:r w:rsidRPr="0081594B">
        <w:rPr>
          <w:rFonts w:ascii="Calibri" w:eastAsia="Times New Roman" w:hAnsi="Calibri" w:cs="Calibri"/>
          <w:b/>
          <w:bCs/>
          <w:color w:val="000000"/>
          <w:lang w:val="es-CO" w:eastAsia="es-CO" w:bidi="ar-SA"/>
        </w:rPr>
        <w:t xml:space="preserve"> </w:t>
      </w:r>
      <w:r w:rsidRPr="00222F34">
        <w:rPr>
          <w:rFonts w:ascii="Calibri" w:eastAsia="Times New Roman" w:hAnsi="Calibri" w:cs="Calibri"/>
          <w:color w:val="000000"/>
          <w:lang w:val="es-CO" w:eastAsia="es-CO" w:bidi="ar-SA"/>
        </w:rPr>
        <w:t>posibilidad de retractarse.</w:t>
      </w:r>
    </w:p>
    <w:p w14:paraId="7A5CCC0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236. De la formulación de la pregunta</w:t>
      </w:r>
      <w:r w:rsidRPr="00222F34">
        <w:rPr>
          <w:rFonts w:ascii="Calibri" w:eastAsia="Times New Roman" w:hAnsi="Calibri" w:cs="Calibri"/>
          <w:color w:val="000000"/>
          <w:lang w:val="es-CO" w:eastAsia="es-CO" w:bidi="ar-SA"/>
        </w:rPr>
        <w:t>. En cuanto a las consultas que se 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se pronunciará sobre si las mismas se ajustan a los principios constitucionales, legales, y estatutarios de los partidos y movimientos políticos. Cumplido lo anterior, remitirá de forma inmediata a la Registraduría Nacional del Estado Civil para los fines pertinentes. En caso contrario, se devolverán al partido o movimiento político con personería jurídica para que sean subsanadas, en el término de cinco (5) días calendario. De no hacerlo, se entenderá que se desiste de la realización de la respectiva consulta.</w:t>
      </w:r>
    </w:p>
    <w:p w14:paraId="550B50E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El Consejo Nacional Electoral tendrá en cuenta para su pronunciamiento que las preguntas que se formulen sean cerradas y que se encuentren presentadas en forma clara a la ciudadanía.</w:t>
      </w:r>
    </w:p>
    <w:p w14:paraId="2E2A8DC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237.- Normas aplicables a las consultas internas. </w:t>
      </w:r>
      <w:r w:rsidRPr="00222F34">
        <w:rPr>
          <w:rFonts w:ascii="Calibri" w:eastAsia="Times New Roman" w:hAnsi="Calibri" w:cs="Calibri"/>
          <w:color w:val="000000"/>
          <w:lang w:val="es-CO" w:eastAsia="es-CO" w:bidi="ar-SA"/>
        </w:rPr>
        <w:t>Las consultas internas seguirán las siguientes reglas:</w:t>
      </w:r>
    </w:p>
    <w:p w14:paraId="318E9E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 Tres (3) meses antes de la fecha de la consulta se realizará un corte en el registro de los militantes a cargo del Consejo Nacional Electoral.</w:t>
      </w:r>
    </w:p>
    <w:p w14:paraId="47667AF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La Organización Electoral colaborará en la realización de las consultas mediante el suministro de tarjetas electorales y cubículos individuales instalados en cada mesa de votación, la recolección de los votos y la realización del escrutinio. Para tal efecto, el Estado financiará el costo correspondiente. Se podrán utilizar sistemas de asistencia tecnológica para este proceso electoral.</w:t>
      </w:r>
    </w:p>
    <w:p w14:paraId="41874D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La votación podrá coincidir con la elección popular de corporaciones públicas. No obstante, el Consejo Nacional Electoral señalará una fecha para la votación de las consultas correspondientes al año en que por razón de su naturaleza u oportunidad no puedan coincidir con la elección de las corporaciones públicas. En todo caso, las consultas internas se realizarán en la misma fecha para todos los partidos y movimientos políticos con personería jurídica que decidan acudir a este mecanismo.</w:t>
      </w:r>
    </w:p>
    <w:p w14:paraId="7EC6AB1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Los partidos podrán escoger si utilizan las disposiciones internas sobre escrutinios o si resuelven aplicar las normas relativas a los escrutinios que contiene esta ley. Deberán informarlo a la Registraduría Nacional del Estado Civil y al Consejo Nacional Electoral, con una antelación de dos (2) meses a la fecha de la consulta.</w:t>
      </w:r>
    </w:p>
    <w:p w14:paraId="269F3BB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La Registraduría Nacional del Estado Civil podrá fusionar puestos de votación, fijar el potencial de votantes por mesa y adoptar cualquier otra medida conducente a optimizar los recursos, de acuerdo con el número de partidos y movimientos políticos, al tipo de consulta y al comportamiento estadístico de las consultas anteriores.</w:t>
      </w:r>
    </w:p>
    <w:p w14:paraId="45C2E71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con personería jurídica, así como las coaliciones de estos, podrán solicitar anticipos para estas consultas, de acuerdo con la reglamentación que expida el Consejo Nacional Electoral.</w:t>
      </w:r>
      <w:r w:rsidRPr="00222F34">
        <w:rPr>
          <w:rFonts w:ascii="Calibri" w:eastAsia="Times New Roman" w:hAnsi="Calibri" w:cs="Calibri"/>
          <w:color w:val="000000"/>
          <w:lang w:val="es-CO" w:eastAsia="es-CO" w:bidi="ar-SA"/>
        </w:rPr>
        <w:br/>
        <w:t>Los partidos, movimientos políticos con personería jurídica y coaliciones deben presentar los respectivos informes sobre ingresos y gastos de campaña de las consultas internas a la autoridad electoral, de conformidad con la Ley.</w:t>
      </w:r>
    </w:p>
    <w:p w14:paraId="6127869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A las consultas se aplicarán, en lo pertinente, las normas sobre financiación, el acceso a medios, la propaganda electoral y el escrutinio que rige las elecciones ordinarias.</w:t>
      </w:r>
    </w:p>
    <w:p w14:paraId="44631BA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En cuanto a los asuntos no reglados en el presente artículo de manera subsidiaria, el Consejo Nacional Electoral reglamentará las consultas garantizando la igualdad entre los partidos, movimientos políticos y grupos significativos de ciudadanos que participen en ellas.</w:t>
      </w:r>
    </w:p>
    <w:p w14:paraId="2928DCD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238. Obligatoriedad de los resultados de las consultas. </w:t>
      </w:r>
      <w:r w:rsidRPr="00222F34">
        <w:rPr>
          <w:rFonts w:ascii="Calibri" w:eastAsia="Times New Roman" w:hAnsi="Calibri" w:cs="Calibri"/>
          <w:color w:val="000000"/>
          <w:lang w:val="es-CO" w:eastAsia="es-CO" w:bidi="ar-SA"/>
        </w:rPr>
        <w:t>El resultado de las consultas será vinculante y obligatorio para los partidos, movimientos políticos con personería jurídica y grupos significativos de ciudadanos que las hubieren convocado, así como para los precandidatos que hubieren participado en ellas.</w:t>
      </w:r>
    </w:p>
    <w:p w14:paraId="1FACF1A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w:t>
      </w:r>
    </w:p>
    <w:p w14:paraId="48BF93C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w:t>
      </w:r>
    </w:p>
    <w:p w14:paraId="7895C3C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239. Consultas interpartidarias. </w:t>
      </w:r>
      <w:r w:rsidRPr="00222F34">
        <w:rPr>
          <w:rFonts w:ascii="Calibri" w:eastAsia="Times New Roman" w:hAnsi="Calibri" w:cs="Calibri"/>
          <w:color w:val="000000"/>
          <w:lang w:val="es-CO" w:eastAsia="es-CO" w:bidi="ar-SA"/>
        </w:rPr>
        <w:t>Las reglas anteriores, en lo pertinente, también se aplicarán a las consultas interpartidarias.</w:t>
      </w:r>
    </w:p>
    <w:p w14:paraId="2485E01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IX</w:t>
      </w:r>
    </w:p>
    <w:p w14:paraId="3EF206C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LOS SISTEMAS DE ASISTENCIA TECNOLÓGICA A LOS PROCESOS ELECTORALES</w:t>
      </w:r>
    </w:p>
    <w:p w14:paraId="65F9E96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3F7B5B8C"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generales</w:t>
      </w:r>
    </w:p>
    <w:p w14:paraId="7A73E8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240.- Definición. </w:t>
      </w:r>
      <w:r w:rsidRPr="00222F34">
        <w:rPr>
          <w:rFonts w:ascii="Calibri" w:eastAsia="Times New Roman" w:hAnsi="Calibri" w:cs="Calibri"/>
          <w:color w:val="000000"/>
          <w:lang w:val="es-CO" w:eastAsia="es-CO" w:bidi="ar-SA"/>
        </w:rPr>
        <w:t>Para facilitar el desarrollo de las votaciones, contribuir con la gestión, el seguimiento y la consolidación de la información de los procesos electorales,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w:t>
      </w:r>
    </w:p>
    <w:p w14:paraId="4BB972C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w:t>
      </w:r>
    </w:p>
    <w:p w14:paraId="247505F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las otras modalidades de votación se establecerán mecanismos tecnológicos que permitan garantizar el secreto al voto sin trazabilidad de la elección del elector, la integridad, disponibilidad, seguridad del voto y la generación del equivalente funcional de los documentos electorales; así como la transmisión de los resultados electorales y la auditoría.</w:t>
      </w:r>
    </w:p>
    <w:p w14:paraId="387203F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consolidación de los resultados de mesa podrán realizarla los jurados de votación con la ayuda del dispositivo electrónico previsto para el desarrollo de las elecciones.</w:t>
      </w:r>
    </w:p>
    <w:p w14:paraId="090EAF3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Toda implementación será gradual previo al desarrollo de los planes piloto necesarios, ejecutados por la Registraduría Nacional del Estado Civil y debidamente auditados y monitoreados.</w:t>
      </w:r>
    </w:p>
    <w:p w14:paraId="13638E7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241.- Medios tecnológicos para la votación.</w:t>
      </w:r>
      <w:r w:rsidRPr="00222F34">
        <w:rPr>
          <w:rFonts w:ascii="Calibri" w:eastAsia="Times New Roman" w:hAnsi="Calibri" w:cs="Calibri"/>
          <w:color w:val="000000"/>
          <w:lang w:val="es-CO" w:eastAsia="es-CO" w:bidi="ar-SA"/>
        </w:rPr>
        <w:t xml:space="preserve"> Los medios tecnológicos utilizados en los procesos electorales por parte de la Organización Electoral deberán asegurar la trazabilidad de los procesos, el debido </w:t>
      </w:r>
      <w:r w:rsidRPr="00222F34">
        <w:rPr>
          <w:rFonts w:ascii="Calibri" w:eastAsia="Times New Roman" w:hAnsi="Calibri" w:cs="Calibri"/>
          <w:color w:val="000000"/>
          <w:lang w:val="es-CO" w:eastAsia="es-CO" w:bidi="ar-SA"/>
        </w:rPr>
        <w:lastRenderedPageBreak/>
        <w:t>tratamiento de la información en condiciones de integridad, seguridad, disponibilidad, garantizando que sea confiable, viable técnicamente, plenamente funcional y accesible para todas las personas sin discriminación, verificable, auditable, transparente y garantizar el carácter secreto del voto sin trazabilidad ni constreñimiento de la voluntad del elector.</w:t>
      </w:r>
    </w:p>
    <w:p w14:paraId="6D5D56C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integración de tecnologías para el voto, deben observar mecanismos que garanticen la separación de los actos de autenticación del votante, el acto de sufragio y el acto de conteo para evitar la identificación del sufragante con su voto.  </w:t>
      </w:r>
    </w:p>
    <w:p w14:paraId="30D5F6B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w:t>
      </w:r>
    </w:p>
    <w:p w14:paraId="1B65B05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242.- Progresividad. </w:t>
      </w:r>
      <w:r w:rsidRPr="00222F34">
        <w:rPr>
          <w:rFonts w:ascii="Calibri" w:eastAsia="Times New Roman" w:hAnsi="Calibri" w:cs="Calibri"/>
          <w:color w:val="000000"/>
          <w:lang w:val="es-CO" w:eastAsia="es-CO" w:bidi="ar-SA"/>
        </w:rPr>
        <w:t>La Registraduría Nacional del Estado Civil implementará, en las circunscripciones que ella defina, de manera progresiva, los sistemas de asistencia tecnológica en los procesos electorales. Estos sistemas existirán simultáneamente con la votación tradicional.</w:t>
      </w:r>
    </w:p>
    <w:p w14:paraId="272B548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p w14:paraId="44574F4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implementación de los sistemas de asistencia tecnológica en los procesos electorales, luego de adelantar las pruebas técnicas y las etapas de preparación tecnológica y de seguridad, se socializará con los partidos, movimientos políticos con personería jurídica, grupos significativos de ciudadanos, auditores, observadores electorales, instituciones de educación superior y las organizaciones de la sociedad civil, para que puedan expresar por escrito, y en la etapa preelectoral, sus recomendaciones con el objeto de mejorar constantemente los sistemas utilizados en las diferentes elecciones que se realicen, las recomendaciones deberán socializarse con la ciudadanía como parte del ejercicio de veeduría y transparencia.</w:t>
      </w:r>
    </w:p>
    <w:p w14:paraId="64886CF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Para facilitar la participación en las elecciones de presidente y vicepresidente de la República, los mecanismos de identificación biométrica y de voto electrónico mixto permitirán de manera progresiva y complementaria, la votación de los ciudadanos en cualquier puesto.</w:t>
      </w:r>
    </w:p>
    <w:p w14:paraId="60CA3A3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w:t>
      </w:r>
    </w:p>
    <w:p w14:paraId="4927558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3. </w:t>
      </w:r>
      <w:r w:rsidRPr="00222F34">
        <w:rPr>
          <w:rFonts w:ascii="Calibri" w:eastAsia="Times New Roman" w:hAnsi="Calibri" w:cs="Calibri"/>
          <w:color w:val="000000"/>
          <w:lang w:val="es-CO" w:eastAsia="es-CO" w:bidi="ar-SA"/>
        </w:rPr>
        <w:t>La Comisión Asesora para la Implementación Progresiva de los Sistemas de Asistencia Tecnológica en los Procesos Electorales podrá advertir sobre los inconvenientes que pudiera observar en la implementación del voto electrónico mixto de una herramienta tecnológica o sistema, y pedir sea considerada la suspensión de nuevos aumentos en los planes pilotos, hasta que sean superadas las anomalías indicadas.</w:t>
      </w:r>
    </w:p>
    <w:p w14:paraId="0509BD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Organización Electoral regulará aspectos técnicos y operativos de los procesos no previstos en este Código, cuando del uso de medios tecnológicos se trate.</w:t>
      </w:r>
    </w:p>
    <w:p w14:paraId="61B1988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 5.</w:t>
      </w:r>
      <w:r w:rsidRPr="00222F34">
        <w:rPr>
          <w:rFonts w:ascii="Calibri" w:eastAsia="Times New Roman" w:hAnsi="Calibri" w:cs="Calibri"/>
          <w:color w:val="000000"/>
          <w:lang w:val="es-CO" w:eastAsia="es-CO" w:bidi="ar-SA"/>
        </w:rPr>
        <w:t xml:space="preserve"> Para garantizar la progresividad, la Registraduría Nacional del Estado Civil deberá establecer un procedimiento que permita en cada proceso electoral la implementación de planes piloto vinculantes del modelo de voto presencial electrónico mixto.</w:t>
      </w:r>
    </w:p>
    <w:p w14:paraId="75348E4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implementación de los planes pilotos vinculantes se tendrán en cuenta los Programas de Desarrollo con Enfoque Territorial como prioritarios, como forma de avanzar en la presencia integral del Estado.</w:t>
      </w:r>
    </w:p>
    <w:p w14:paraId="7C4294C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Transitorio. </w:t>
      </w:r>
      <w:r w:rsidRPr="00222F34">
        <w:rPr>
          <w:rFonts w:ascii="Calibri" w:eastAsia="Times New Roman" w:hAnsi="Calibri" w:cs="Calibri"/>
          <w:color w:val="000000"/>
          <w:lang w:val="es-CO" w:eastAsia="es-CO" w:bidi="ar-SA"/>
        </w:rPr>
        <w:t>Los planes piloto vinculantes podrán implementarse a partir de las elecciones atípicas, de juventudes o las previstas en el calendario electoral ordinario a partir del año 2026.</w:t>
      </w:r>
    </w:p>
    <w:p w14:paraId="21527AA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243.- Comisión Asesora para la Implementación Progresiva de los Sistemas de Asistencia Tecnológica en los Procesos Electorale</w:t>
      </w:r>
      <w:r w:rsidRPr="00222F34">
        <w:rPr>
          <w:rFonts w:ascii="Calibri" w:eastAsia="Times New Roman" w:hAnsi="Calibri" w:cs="Calibri"/>
          <w:color w:val="000000"/>
          <w:lang w:val="es-CO" w:eastAsia="es-CO" w:bidi="ar-SA"/>
        </w:rPr>
        <w:t>s. Créase la Comisión Asesora para la Implementación Progresiva de los Sistemas de Asistencia Tecnológica en los Procesos Electorales, con el fin de realizar recomendaciones a la Organización Electoral sobre la viabilidad técnica en aspectos relacionados con el escrutinio, el voto electrónico mixto, la contratación de software, el preconteo y los demás temas que aludan a los medios de asistencia tecnológica contenidos en la presente ley y realizar actividades de acompañamiento y seguimiento en la eventual implementación de las nuevas tecnologías en el sistema electoral.</w:t>
      </w:r>
    </w:p>
    <w:p w14:paraId="743707F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Comisión estará conformada por los siguientes expertos:</w:t>
      </w:r>
    </w:p>
    <w:p w14:paraId="7E3A7A2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El Registrador Nacional del Estado Civil o el Registrador Delegado en los Asuntos Electorales de la Registraduría Nacional del Estado Civil o quien se considere pertinente.</w:t>
      </w:r>
    </w:p>
    <w:p w14:paraId="246C42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El Ministro del Interior o el Director de Democracia, Participación Ciudadana y la Acción Comunal o quien haga sus veces.</w:t>
      </w:r>
    </w:p>
    <w:p w14:paraId="6847602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El Ministro de Hacienda y Crédito Público o un delegado de la Dirección o Viceministerio que considere pertinente.</w:t>
      </w:r>
    </w:p>
    <w:p w14:paraId="153FDE6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El Ministro de las Tecnologías de la Información y las Comunicaciones o un delegado de la Dirección o Viceministerio que se considere pertinente.</w:t>
      </w:r>
    </w:p>
    <w:p w14:paraId="4E43FE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El Director del Departamento Administrativo Nacional de Planeación o su delegado.</w:t>
      </w:r>
    </w:p>
    <w:p w14:paraId="21832E8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6. El Presidente del Consejo Nacional Electoral y un (1) </w:t>
      </w:r>
      <w:r w:rsidRPr="00222F34">
        <w:rPr>
          <w:rFonts w:ascii="Calibri" w:eastAsia="Times New Roman" w:hAnsi="Calibri" w:cs="Calibri"/>
          <w:b/>
          <w:bCs/>
          <w:color w:val="000000"/>
          <w:u w:val="single"/>
          <w:lang w:val="es-CO" w:eastAsia="es-CO" w:bidi="ar-SA"/>
        </w:rPr>
        <w:t>M</w:t>
      </w:r>
      <w:r w:rsidRPr="00222F34">
        <w:rPr>
          <w:rFonts w:ascii="Calibri" w:eastAsia="Times New Roman" w:hAnsi="Calibri" w:cs="Calibri"/>
          <w:color w:val="000000"/>
          <w:lang w:val="es-CO" w:eastAsia="es-CO" w:bidi="ar-SA"/>
        </w:rPr>
        <w:t>agistrado designado por su Sala Plena.</w:t>
      </w:r>
    </w:p>
    <w:p w14:paraId="409CAF9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Los Presidentes de las Comisiones Especiales de Vigilancia y Seguimiento al Organismo Electoral del Congreso de la República.</w:t>
      </w:r>
    </w:p>
    <w:p w14:paraId="5609C0D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 persona encargada de la Oficina de Tecnologías de la Información del Consejo Nacional Electoral.</w:t>
      </w:r>
    </w:p>
    <w:p w14:paraId="4F38221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El Gerente de Informática de la Registraduría Nacional del Estado Civil.</w:t>
      </w:r>
    </w:p>
    <w:p w14:paraId="3781B83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Tres (3) Representantes de las Universidades Públicas y Privadas de las facultades de Ingeniería y Tecnologías de la Información o disciplina afines.</w:t>
      </w:r>
    </w:p>
    <w:p w14:paraId="0684A4E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11. Tres (3) Representantes de las organizaciones de la sociedad civil y expertos en asuntos electorales, temas informáticos y digitales.</w:t>
      </w:r>
    </w:p>
    <w:p w14:paraId="29B69E4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Cinco (5) representantes de los partidos y movimientos políticos con personería jurídica escogidos por sorteo.</w:t>
      </w:r>
    </w:p>
    <w:p w14:paraId="5DE34018"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w:t>
      </w:r>
    </w:p>
    <w:p w14:paraId="721EAFE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La Comisión será presidida por la persona que designen los integrantes de la Comisión mediante elección democrática. Se dará su propio reglamento, se reunirá presencial o virtualmente por derecho propio al menos una vez por semestre.</w:t>
      </w:r>
    </w:p>
    <w:p w14:paraId="1E504E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Serán invitados permanentes los representantes legales de cada partido o movimiento político con personería jurídica, y representantes de cada grupo significativo de ciudadanos con representación en el Congreso, o su delegado, las Misiones de Observación Electoral Nacionales e Internacionales y aquellas entidades u organizaciones especializados en la materia, quienes intervendrán con voz en la Comisión para formular recomendaciones. La participación de invitados permanentes no será tenida en cuenta para la conformación del quórum. A sus sesiones podrán asistir servidores públicos y particulares invitados por la misma.</w:t>
      </w:r>
    </w:p>
    <w:p w14:paraId="09D2D80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La Comisión será convocada por la Organización Electoral quien se encargará de reglamentar, dentro de los seis (6) meses siguientes a la promulgación de esta ley, el procedimiento para la elección de los representantes de la academia y de las organizaciones de sociedad civil, bajo los principios de publicidad, transparencia y criterios de mérito para su elección.</w:t>
      </w:r>
    </w:p>
    <w:p w14:paraId="78B7592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244.- Mecanismos de contingencia.</w:t>
      </w:r>
      <w:r w:rsidRPr="00222F34">
        <w:rPr>
          <w:rFonts w:ascii="Calibri" w:eastAsia="Times New Roman" w:hAnsi="Calibri" w:cs="Calibri"/>
          <w:color w:val="000000"/>
          <w:lang w:val="es-CO" w:eastAsia="es-CO" w:bidi="ar-SA"/>
        </w:rPr>
        <w:t xml:space="preserve"> 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p>
    <w:p w14:paraId="2CE4966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245. Seguridad nacional y protección del proceso electoral. </w:t>
      </w:r>
      <w:r w:rsidRPr="00222F34">
        <w:rPr>
          <w:rFonts w:ascii="Calibri" w:eastAsia="Times New Roman" w:hAnsi="Calibri" w:cs="Calibri"/>
          <w:color w:val="000000"/>
          <w:lang w:val="es-CO" w:eastAsia="es-CO" w:bidi="ar-SA"/>
        </w:rPr>
        <w:t>Las actividades que tengan como objetivo el cumplimiento de la misión de la Registraduría Nacional del Estado Civil que son consideradas como seguridad y defensa nacional serán exclusivamente aquellas que se ejecuten directamente para la realización de la función de registro civil, la identificación, los procesos electorales y mecanismos de participación ciudadana.</w:t>
      </w:r>
    </w:p>
    <w:p w14:paraId="586B71F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fuerzas militares y de la policía bajo la dirección del Presidente de la República, prestarán su apoyo en la custodia de los documentos electorales y la infraestructura tecnológica. Adicionalmente, cuando las circunstancias así lo obliguen colaborarán en el transporte del material electoral y de los servidores públicos.</w:t>
      </w:r>
    </w:p>
    <w:p w14:paraId="2CFF1A0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transmisión de resultados se realizará conforme al protocolo de seguridad y de ciberseguridad que diseñe la Registraduría Nacional del Estado Civil con el apoyo de los organismos de seguridad del Estado y con observancia de las organizaciones internacionales de veeduría y transparencia electoral acreditadas.</w:t>
      </w:r>
    </w:p>
    <w:p w14:paraId="5196FCA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Las condiciones de seguridad no pueden usarse en ningún momento para limitar la veeduría, auditoría y la observación al proceso electoral de organizaciones nacionales o internacionales debidamente </w:t>
      </w:r>
      <w:r w:rsidRPr="00222F34">
        <w:rPr>
          <w:rFonts w:ascii="Calibri" w:eastAsia="Times New Roman" w:hAnsi="Calibri" w:cs="Calibri"/>
          <w:color w:val="000000"/>
          <w:lang w:val="es-CO" w:eastAsia="es-CO" w:bidi="ar-SA"/>
        </w:rPr>
        <w:lastRenderedPageBreak/>
        <w:t>acreditadas, , así como el desarrollo de las auditorías a Asistencia Tecnológica en los procesos electorales, para permitir la transparencia del proceso.</w:t>
      </w:r>
    </w:p>
    <w:p w14:paraId="28665DC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Una vez se suscriban los respectivos contratos bajo la modalidad de seguridad nacional, la Registraduría Nacional del Estado Civil deberá garantizar su total publicidad y acceso, con excepción de los datos sensibles que contengan.</w:t>
      </w:r>
    </w:p>
    <w:p w14:paraId="7A28FC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246. Régimen contractual.</w:t>
      </w:r>
      <w:r w:rsidRPr="00222F34">
        <w:rPr>
          <w:rFonts w:ascii="Calibri" w:eastAsia="Times New Roman" w:hAnsi="Calibri" w:cs="Calibri"/>
          <w:color w:val="000000"/>
          <w:lang w:val="es-CO" w:eastAsia="es-CO" w:bidi="ar-SA"/>
        </w:rPr>
        <w:t xml:space="preserve"> Las entidades estatales que conforman la Organización electoral se regirán en su integridad por el Estatuto General de la Contratación de la Administración Pública y sus normas complementarias o reglamentarias. Sus actuaciones estarán enmarcadas en el cumplimiento de los fines y postulados estatales, así como los principios de la función administrativa.</w:t>
      </w:r>
    </w:p>
    <w:p w14:paraId="115E41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247.- Infraestructura de conectividad para las elecciones</w:t>
      </w:r>
      <w:r w:rsidRPr="00222F34">
        <w:rPr>
          <w:rFonts w:ascii="Calibri" w:eastAsia="Times New Roman" w:hAnsi="Calibri" w:cs="Calibri"/>
          <w:color w:val="000000"/>
          <w:lang w:val="es-CO" w:eastAsia="es-CO" w:bidi="ar-SA"/>
        </w:rPr>
        <w:t>. La implementación de todas las etapas del proceso electoral deberá ser acorde con las 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w:t>
      </w:r>
    </w:p>
    <w:p w14:paraId="6815FD8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Los operadores de redes y servicios de telecomunicaciones y las entidades que presten la infraestructura tecnológica y/o los servicios para soportar el proceso electoral deberán garantizar la seguridad digital.</w:t>
      </w:r>
    </w:p>
    <w:p w14:paraId="2EACA2A7"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2FE89C6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Auditoría informática electoral</w:t>
      </w:r>
    </w:p>
    <w:p w14:paraId="0A1A643D" w14:textId="77777777"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NUEVO. Auditorías técnicas</w:t>
      </w:r>
      <w:r w:rsidRPr="00222F34">
        <w:rPr>
          <w:rFonts w:ascii="Calibri" w:eastAsia="Times New Roman" w:hAnsi="Calibri" w:cs="Calibri"/>
          <w:color w:val="000000"/>
          <w:lang w:val="es-CO" w:eastAsia="es-CO" w:bidi="ar-SA"/>
        </w:rPr>
        <w:t>. Con el fin de garantizar la integridad y la transparencia de los procesos electorales, se establecerá un plan de auditoría técnica imparcial para las tecnologías utilizadas en cada elección. Este plan abarcará al menos, las auditorías de funcionalidad, seguridad digital y revisión del código fuente. Se promoverá una socialización activa y vinculante del plan con la participación de los partidos políticos, movimientos políticos, grupos significativos de ciudadanos, coaliciones y organizaciones de observación electoral. El plan deberá implementarse a más tardar seis (6) meses antes de la respectiva elección.</w:t>
      </w:r>
    </w:p>
    <w:p w14:paraId="3184281E" w14:textId="77777777"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Durante la implementación del plan de auditoría informática electoral se fomentará la participación del Ministerio Público así como la intervención de auditores de los partidos políticos. movimientos políticos con personería jurídica, grupos significativos de ciudadanos y expertos nacionales o internacionales acreditados por la Organización Electoral.</w:t>
      </w:r>
    </w:p>
    <w:p w14:paraId="3603C3F7" w14:textId="77777777"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La Registraduría Nacional del Estado Civil y el Consejo Nacional Electoral elaborarán un compromiso de confidencialidad que deberán suscribir los expertos nacionales e internacionales y los auditores de sistemas que participen en estas auditorías. Este compromiso garantizará la seguridad y reserva de la información del proceso </w:t>
      </w:r>
      <w:r w:rsidRPr="00222F34">
        <w:rPr>
          <w:rFonts w:ascii="Calibri" w:eastAsia="Times New Roman" w:hAnsi="Calibri" w:cs="Calibri"/>
          <w:color w:val="000000"/>
          <w:lang w:val="es-CO" w:eastAsia="es-CO" w:bidi="ar-SA"/>
        </w:rPr>
        <w:lastRenderedPageBreak/>
        <w:t>electoral. No obstante, se permitirá que los expertos y auditores informen sobre los hallazgos y realicen seguimiento a las respuestas implementadas, de acuerdo con lo establecido en esta ley.</w:t>
      </w:r>
    </w:p>
    <w:p w14:paraId="4981B5FE" w14:textId="77777777"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establecerá un mecanismo de acreditación para los expertos nacionales e internacionales y los auditores, el cual estará listo a más tardar seis (6) meses antes de la implementación del plan.</w:t>
      </w:r>
    </w:p>
    <w:p w14:paraId="102FB442" w14:textId="77777777"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expertos nacionales e internacionales acreditados, así como los auditores de los partidos políticos, movimientos políticos con personería jurídica y grupos significativos de ciudadanos, elaborarán un informe de auditoría siguiendo estándares internacionales. el cual se presentará ante la Organización Electoral. En caso de que el informe contenga hallazgos, la Organizació</w:t>
      </w:r>
      <w:r>
        <w:rPr>
          <w:rFonts w:ascii="Calibri" w:eastAsia="Times New Roman" w:hAnsi="Calibri" w:cs="Calibri"/>
          <w:color w:val="000000"/>
          <w:lang w:val="es-CO" w:eastAsia="es-CO" w:bidi="ar-SA"/>
        </w:rPr>
        <w:t>n Electoral deberá responderlos</w:t>
      </w:r>
      <w:r w:rsidRPr="00222F34">
        <w:rPr>
          <w:rFonts w:ascii="Calibri" w:eastAsia="Times New Roman" w:hAnsi="Calibri" w:cs="Calibri"/>
          <w:color w:val="000000"/>
          <w:lang w:val="es-CO" w:eastAsia="es-CO" w:bidi="ar-SA"/>
        </w:rPr>
        <w:t xml:space="preserve"> y ejecutar los planes de acción correspondientes, de ser necesario.</w:t>
      </w:r>
    </w:p>
    <w:p w14:paraId="1122F96F" w14:textId="77777777"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emitirá y publicará en sus páginas web un informe final que especifique cómo se han abordado los hallazgos y las razones técnicas que respaldan las respuestas implementadas.</w:t>
      </w:r>
    </w:p>
    <w:p w14:paraId="09C452E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248.- Auditoría informática electoral</w:t>
      </w:r>
      <w:r w:rsidRPr="00222F34">
        <w:rPr>
          <w:rFonts w:ascii="Calibri" w:eastAsia="Times New Roman" w:hAnsi="Calibri" w:cs="Calibri"/>
          <w:color w:val="000000"/>
          <w:lang w:val="es-CO" w:eastAsia="es-CO" w:bidi="ar-SA"/>
        </w:rPr>
        <w:t>. Es el conjunto de técnicas, procedimientos y actividades, destinado a analizar, evaluar, probar, verificar y hacer las recomendaciones que sean del caso, en aspectos relacionados con la planificación, control, eficacia y seguridad de los sistemas tecnológicos utilizados por la Organización Electoral, en particular en relación con los mecanismos que permitan garantizar la integridad de las votaciones.</w:t>
      </w:r>
    </w:p>
    <w:p w14:paraId="4BACAEE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Comprende un examen metódico y pormenorizado de los servicios informáticos que están involucrados en el proceso electoral, y el seguimiento en tiempo oportuno de los procesos de inscripción de ciudadanos, sorteo de jurados y postulación de testigos, preconteo, y escrutinio y cualquier otro sistema tecnológico que intervenga o participe en el sistema electoral. Esto con el fin de evaluar la funcionalidad, la trazabilidad, la seguridad de los mismos y la veracidad de los resultados electorales.</w:t>
      </w:r>
    </w:p>
    <w:p w14:paraId="3ABE7EA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auditoría se realizará en todas las plataformas tecnológicas incluyendo, revisiones de la parte documental, funcional, de todo el código fuente tanto del lado de los equipos como de los servidores (“front end” y “back end”), de las bases de datos, sistemas operativos, mecanismos criptográficos de entrada y salida, hardware y cualquier otro sistema o herramienta tecnológica que intervenga o participe en el sistema electoral, para lo cual se llevarán a cabo las pruebas, simulacros, test de seguridad, y demás actividades necesarias.</w:t>
      </w:r>
    </w:p>
    <w:p w14:paraId="390CAE7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Plan de Auditorías será dado a conocer a los auditores acreditados, misiones de observación electoral nacional e internacional y organizaciones políticas a más tardar siete (7) meses antes del inicio de funcionamiento de los sistemas. Los tiempos para la presentación de resultados y hallazgos y su adopción seguirá las reglas y tiempos establecidos en el siguiente artículo.</w:t>
      </w:r>
    </w:p>
    <w:p w14:paraId="368F06F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xml:space="preserve">. Para efectos de la financiación y de la rendición pública de cuentas, entiéndase por campaña electoral como el conjunto de actividades realizadas con el propósito de convocar y consolidar la voluntad de los ciudadanos a través del voto, iniciando con la inscripción de la candidatura y culminando con el acto de </w:t>
      </w:r>
      <w:r w:rsidRPr="00222F34">
        <w:rPr>
          <w:rFonts w:ascii="Calibri" w:eastAsia="Times New Roman" w:hAnsi="Calibri" w:cs="Calibri"/>
          <w:color w:val="000000"/>
          <w:lang w:val="es-CO" w:eastAsia="es-CO" w:bidi="ar-SA"/>
        </w:rPr>
        <w:lastRenderedPageBreak/>
        <w:t>declaración de la elección, incluyendo los gastos inherentes al ejercicio de los auditores de sistemas durante las jornadas de escrutinio en mesa y en comisión.</w:t>
      </w:r>
    </w:p>
    <w:p w14:paraId="280B20D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249.- Auditorías de funcionalidad. </w:t>
      </w:r>
      <w:r w:rsidRPr="00222F34">
        <w:rPr>
          <w:rFonts w:ascii="Calibri" w:eastAsia="Times New Roman" w:hAnsi="Calibri" w:cs="Calibri"/>
          <w:color w:val="000000"/>
          <w:lang w:val="es-CO" w:eastAsia="es-CO" w:bidi="ar-SA"/>
        </w:rPr>
        <w:t>Además de lo establecido en el artículo anterior, los auditores de sistemas y expertos nacionales e internacionales de misiones electorales acreditados podrán conocer, acompañar e inspeccionar la funcionalidad de todos los procesos de sistematización de datos que utilice, la Organización Electoral para el cumplimiento de sus fines y que guarden estrecha relación con los resultados electorales, con el propósito de presentar las observaciones correspondientes. La Organización Electoral deberá proporcionarles la información correspondiente desde la etapa de contratación de los mencionados procesos.</w:t>
      </w:r>
    </w:p>
    <w:p w14:paraId="4DF80CF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Por consiguiente, tendrán entre otros los siguientes derechos y garantías especiales:</w:t>
      </w:r>
    </w:p>
    <w:p w14:paraId="4016E57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Auditar la funcionalidad del proceso desarrollado por el software utilizado para la escogencia de jurados de votación y la inscripción de ciudadanos.</w:t>
      </w:r>
    </w:p>
    <w:p w14:paraId="496D7F0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Auditar la funcionalidad del proceso de captura de datos y la contabilización y el manejo de la información relacionada con los resultados de las votaciones de los procesos electorales.</w:t>
      </w:r>
    </w:p>
    <w:p w14:paraId="08AF6BB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Auditar la funcionalidad del proceso de captura del resultado de la votación de cada una de las mesas de votación.</w:t>
      </w:r>
    </w:p>
    <w:p w14:paraId="4CC31C9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Auditar la funcionalidad del procesamiento y la consolidación de los resultados consignados en las actas de jurados de votación.</w:t>
      </w:r>
    </w:p>
    <w:p w14:paraId="742CF55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Participar en el registro y verificación de la información técnica del código fuente y ejecutables del software de inscripción de ciudadanos, sorteo de jurados de votación, preconteo, escrutinio, digitalización, consolidación y divulgación, que para tal efecto realice la Organización Electoral.</w:t>
      </w:r>
    </w:p>
    <w:p w14:paraId="7BCE048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Solicitar la entrega del Log completo de auditoría que genere el software de escrutinio.</w:t>
      </w:r>
    </w:p>
    <w:p w14:paraId="299129D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Formular observaciones o recomendaciones sobre los documentos contractuales.</w:t>
      </w:r>
    </w:p>
    <w:p w14:paraId="40FE820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Las funciones que se deriven de los protocolos de observación electoral y del Plan de Auditorías.</w:t>
      </w:r>
    </w:p>
    <w:p w14:paraId="7ED03D5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Para el ejercicio de estas facultades, los auditores de sistemas tendrán en cuenta los instructivos elaborados por la Organización Electoral, previo conocimiento de los partidos, movimientos políticos, de grupos significativos de ciudadanos y coaliciones, así como de organizaciones de observación electoral acreditadas. Los instructivos considerarán las normas legales y reglamentarias sobre la materia, las cuales deben ser razonables y proporcionales para que no limiten injustificadamente el ejercicio de velar por la transparencia del proceso.  </w:t>
      </w:r>
    </w:p>
    <w:p w14:paraId="15CDD57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Plan de Auditorías tanto para las auditorías informática electoral y las auditorías de funcionalidad será dado a conocer a los auditores acreditados, misiones de observación electoral nacional e internacional y organizaciones políticas a más tardar siete (7) meses antes del inicio de funcionamiento de los sistemas. Los resultados y hallazgos de las auditorias deberán presentarse antes de los tres (3) meses de la utilización de cualquier sistema </w:t>
      </w:r>
      <w:r w:rsidRPr="00222F34">
        <w:rPr>
          <w:rFonts w:ascii="Calibri" w:eastAsia="Times New Roman" w:hAnsi="Calibri" w:cs="Calibri"/>
          <w:color w:val="000000"/>
          <w:lang w:val="es-CO" w:eastAsia="es-CO" w:bidi="ar-SA"/>
        </w:rPr>
        <w:lastRenderedPageBreak/>
        <w:t>tecnológico utilizado por la Organización Electoral. La Organización Electoral publicará el consolidado de los resultados, hallazgos y medidas correctivas adoptadas dentro de un plazo máximo de un (1) mes antes del funcionamiento de los sistemas auditados.</w:t>
      </w:r>
    </w:p>
    <w:p w14:paraId="14826217"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auditores previstos para las clases de auditoría dispuestos en el presente Código, pueden ser personas naturales o jurídicas presentadas por los partidos y movimientos políticos con personería jurídica o los grupos significativos.</w:t>
      </w:r>
    </w:p>
    <w:p w14:paraId="68F9C081"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La Registraduría Nacional del Estado Civil y el Consejo Nacional Electoral diseñarán el compromiso de confidencialidad que deberán suscribir los auditores para garantizar la seguridad y reserva de la información del proceso electoral. Este compromiso en ningún caso podrá evitar que los auditores acreditados informen sobre los hallazgos y hagan seguimiento a las soluciones implementadas en los términos de esta ley.  </w:t>
      </w:r>
    </w:p>
    <w:p w14:paraId="505AFEE3"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xml:space="preserve"> El Consejo Nacional Electoral establecerá el mecanismo de acreditación para los auditores, a más tardar dos meses antes de que se socialice el Plan de Auditorías. La responsabilidad sobre la idoneidad de los auditores es de las organizaciones políticas, razón por la cual no se exigirán requisitos para su acreditación, a parte de ser profesional en ingeniería de sistemas o carreras afines. </w:t>
      </w:r>
    </w:p>
    <w:p w14:paraId="4DF12521"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X</w:t>
      </w:r>
    </w:p>
    <w:p w14:paraId="372A3496"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FINALES</w:t>
      </w:r>
    </w:p>
    <w:p w14:paraId="693030E9"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w:t>
      </w:r>
    </w:p>
    <w:p w14:paraId="78D1535A"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De la capacitación electoral y la promoción de la democracia</w:t>
      </w:r>
    </w:p>
    <w:p w14:paraId="1177957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250.- De la promoción de la democracia y la participación ciudadana</w:t>
      </w:r>
      <w:r w:rsidRPr="00222F34">
        <w:rPr>
          <w:rFonts w:ascii="Calibri" w:eastAsia="Times New Roman" w:hAnsi="Calibri" w:cs="Calibri"/>
          <w:color w:val="000000"/>
          <w:lang w:val="es-CO" w:eastAsia="es-CO" w:bidi="ar-SA"/>
        </w:rPr>
        <w:t>. 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en especial para la población mayor, en situación de discapacidad y grupos étnicos, sobre los procedimientos y la logística electoral, así como de los candidatos inscritos para cada elección con el fin de hacer efectiva la participación ciudadana.</w:t>
      </w:r>
    </w:p>
    <w:p w14:paraId="33ACB95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así como de las personas trans y no binarias y de las personas con discapacidad y la capacitación de sus directivos.</w:t>
      </w:r>
    </w:p>
    <w:p w14:paraId="044EF54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Igualmente diseñará e implementará programas y proyectos destinados a promover la veeduría y control social de la Organización Electoral, los procesos electorales y el funcionamiento de la Registraduría Nacional del Estado Civil.</w:t>
      </w:r>
    </w:p>
    <w:p w14:paraId="64257BB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Parágrafo</w:t>
      </w:r>
      <w:r w:rsidRPr="00222F34">
        <w:rPr>
          <w:rFonts w:ascii="Calibri" w:eastAsia="Times New Roman" w:hAnsi="Calibri" w:cs="Calibri"/>
          <w:color w:val="000000"/>
          <w:lang w:val="es-CO" w:eastAsia="es-CO" w:bidi="ar-SA"/>
        </w:rPr>
        <w:t>. La Registraduría Nacional del Estado Civil en articulación con los entes territoriales apoyarán las Organizaciones de Acción Comunal, de las elecciones de sus dignatarios, en el suministro de los cubículos de votación y capacitación, en aras de promover el ejercicio de la democracia y la participación ciudadana.</w:t>
      </w:r>
    </w:p>
    <w:p w14:paraId="0D08E9A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251. Formación en democracia y cultura ciudadana</w:t>
      </w:r>
      <w:r w:rsidRPr="00222F34">
        <w:rPr>
          <w:rFonts w:ascii="Calibri" w:eastAsia="Times New Roman" w:hAnsi="Calibri" w:cs="Calibri"/>
          <w:color w:val="000000"/>
          <w:lang w:val="es-CO" w:eastAsia="es-CO" w:bidi="ar-SA"/>
        </w:rPr>
        <w:t>. Los establecimientos educativos deberán incentivar la formación en democracia, participación ciudadana y cultura política, de conformidad con lo dispuesto en el artículo 67 de la Constitución Política.</w:t>
      </w:r>
    </w:p>
    <w:p w14:paraId="29F8D6B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establecimientos educativos implementarán estrategias de formación y sensibilización en los procesos de elección a través de voto de instancias del Gobierno Escolar, mediante ejercicios prácticos de participación democrática, entre otras medidas.</w:t>
      </w:r>
    </w:p>
    <w:p w14:paraId="4A5291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p w14:paraId="5CACBB6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p w14:paraId="699F02F0"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CAPÍTULO II</w:t>
      </w:r>
    </w:p>
    <w:p w14:paraId="14408FD3"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Disposiciones varias</w:t>
      </w:r>
    </w:p>
    <w:p w14:paraId="0BDA54F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252. Reserva legal de la información de la Registraduría Nacional del Estado Civil.</w:t>
      </w:r>
      <w:r w:rsidRPr="00222F34">
        <w:rPr>
          <w:rFonts w:ascii="Calibri" w:eastAsia="Times New Roman" w:hAnsi="Calibri" w:cs="Calibri"/>
          <w:color w:val="000000"/>
          <w:lang w:val="es-CO" w:eastAsia="es-CO" w:bidi="ar-SA"/>
        </w:rPr>
        <w:t xml:space="preserve"> Toda persona tiene derecho a que la Registraduría le informe sobre el número, lugar y fecha de expedición de documentos de identidad pertenecientes a terceros</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previo cumplimiento de la política de tratamiento y protección de datos personales de los titulares.</w:t>
      </w:r>
    </w:p>
    <w:p w14:paraId="51F9595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Tienen carácter reservado las informaciones que reposen en las bases de datos de la Registraduría referentes a la identidad de las personas, como son sus datos biográficos, biométricos, morfológicos y su filiación, así como, los datos que conforman el censo electoral. </w:t>
      </w:r>
    </w:p>
    <w:p w14:paraId="65E677B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 información reservada sólo podrá hacerse uso por orden judicial en ejercicio de su función de acuerdo con los estándares establecidos por la Registraduría que aseguren la integridad, disponibilidad y confidencialidad de los datos.</w:t>
      </w:r>
    </w:p>
    <w:p w14:paraId="558B78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Las autoridades administrativas podrán hacer uso de la información reservada previa orden judicial.</w:t>
      </w:r>
    </w:p>
    <w:p w14:paraId="6288887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autorizados por la ley, podrán consultar las bases de datos, previo cumplimiento de las condiciones jurídico técnicas establecidas por la Registraduría Nacional del Estado Civil que permitan garantizar la integridad, disponibilidad y confidencialidad de los datos.</w:t>
      </w:r>
    </w:p>
    <w:p w14:paraId="2AE955D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Cualquier persona podrá inspeccionar en todo tiempo los censos electorales, pero la expedición de copia procederá sólo en los casos que la ley permita, cumpliendo previamente con las condiciones de integridad, disponibilidad y confidencialidad de la información.</w:t>
      </w:r>
    </w:p>
    <w:p w14:paraId="548DF90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Las entidades públicas y privadas deberán permitir a la Registraduría Nacional del Estado Civil la consulta sin costo de sus datos a través de mecanismos de interoperabilidad con miras a asegurar la depuración permanente del censo electoral.</w:t>
      </w:r>
    </w:p>
    <w:p w14:paraId="65988E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253.- Definición de violencia contra las mujeres y personas trans y no binarias en la vida política.</w:t>
      </w:r>
      <w:r w:rsidRPr="00222F34">
        <w:rPr>
          <w:rFonts w:ascii="Calibri" w:eastAsia="Times New Roman" w:hAnsi="Calibri" w:cs="Calibri"/>
          <w:color w:val="000000"/>
          <w:lang w:val="es-CO" w:eastAsia="es-CO" w:bidi="ar-SA"/>
        </w:rPr>
        <w:t xml:space="preserve"> Se entiende por violencia contra las mujeres y personas trans y no binarias en ejercicio de su derecho a la participación política, toda acción, conducta u omisión, realizada de forma directa o a través de terceros en el ámbito público o privado que, basada en su género, cause daño o sufrimiento a una o varias mujeres y personas trans y no binarias o a sus familias, sin distinción de su afinidad política o ideológica. Así mismo, que tengan por objeto o resultado menoscabar, impedir, desestimular y dificultar o anular el reconocimiento, goce o ejercicio de sus derechos políticos, en el marco de los procesos electorales y el ejercicio del cargo, de participación ciudadana y representación democrática y el ejercicio de la función pública.</w:t>
      </w:r>
    </w:p>
    <w:p w14:paraId="28AE7D8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violencia contra las mujeres y personas trans y no binarias en la vida política puede incluir, entre otras, violencia física, sexual, psicológica, moral, económica o patrimonial, digital y simbólica.</w:t>
      </w:r>
    </w:p>
    <w:p w14:paraId="4912361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Se configuran como violencia política contra las mujeres y personas trans y no binarias, aquellas acciones, conductas u omisiones en contra de las mujeres y personas trans y no binarias que, basadas en su género:</w:t>
      </w:r>
    </w:p>
    <w:p w14:paraId="5AB254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Aquellas conductas que atenten contra la vida e integridad personal de las mujeres y personas trans y no binarias con el objeto de limitar, anular a restringir sus derechos políticos o electorales, tales como: las agresiones físicas, el homicidio, el secuestro, el feminicidio, actos discriminatorios, hostigamiento, extorsión, constreñimiento ilegal entre otras.</w:t>
      </w:r>
    </w:p>
    <w:p w14:paraId="0666FA1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Aquellas conductas que atenten contra la libertad, integridad y formación sexual con el objeto de limitar, anular o restringir sus derechos políticos o electorales, tales como: acoso, proposiciones, tocamientos, agresiones, o invitaciones sexuales que influyan en sus aspiraciones políticas o las condiciones de su actividad política, entre otras.</w:t>
      </w:r>
    </w:p>
    <w:p w14:paraId="37941EC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Aquellas conductas que atenten contra la integridad moral con el objeto de limitar, anular o restringir sus derechos políticos o electorales, tales como: injuriar, calumniar, reproducir mensajes de odio, realizar expresiones que denigren, desacrediten o desclasifiquen, restringir los canales de comunicación en cualquiera medio virtual o físico, divulgar material o información íntima o privada, entre otras.</w:t>
      </w:r>
    </w:p>
    <w:p w14:paraId="486D0EB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4. Aquellas conductas que atenten contra los Derechos políticos, mecanismos de participación democrática o aquellas que atenten la Seguridad Pública, las cuales se encuentran consagradas en el Capítulo 1 del Título XII del Código Penal, que se lleven a cabo con el objeto de limitar, anular o restringir sus derechos político o electorales, tales como: restringir o anular el derecho al voto libre y secreto, proporcionar intencionalmente a las mujeres y personas trans y no binarias, a las autoridades administrativas, electorales información falsa, </w:t>
      </w:r>
      <w:r w:rsidRPr="00222F34">
        <w:rPr>
          <w:rFonts w:ascii="Calibri" w:eastAsia="Times New Roman" w:hAnsi="Calibri" w:cs="Calibri"/>
          <w:color w:val="000000"/>
          <w:lang w:val="es-CO" w:eastAsia="es-CO" w:bidi="ar-SA"/>
        </w:rPr>
        <w:lastRenderedPageBreak/>
        <w:t>errónea o incompleta, obstaculizar en razón del género, los derechos de asociación y afiliación a todo tipo de organizaciones políticas y civiles, entre otras.</w:t>
      </w:r>
    </w:p>
    <w:p w14:paraId="1ADA16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Aquellas conductas que atenten contra la debida administración de justicia de las mujeres y personas trans y no binarias con el objeto de limitar, anular o restringir sus derechos políticos o electorales, tales como: usar indebida o temerariamente usar las acciones judiciales de forma temeraria o de mala fe en un proceso administrativo o judicial, obstaculizar o impedir el acceso a la justicia para proteger sus derechos políticos, electorales o desconocer las decisiones adoptadas, imponer sanciones injustificadas o abusivas, entre otras.</w:t>
      </w:r>
    </w:p>
    <w:p w14:paraId="3BABDF5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Aquellas conductas que atenten contra la libertad de expresión con el objeto de limitar, anular o restringir sus derechos políticos o electorales, tales como: restringir o anular su libertad de expresión en los canales de comunicación, entre otras.</w:t>
      </w:r>
    </w:p>
    <w:p w14:paraId="4BA4229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Suministrar intencionalmente a las mujeres y personas trans y no binarias que aspiran u ocupan un cargo de elección popular o en el ejercicio de sus derechos políticos, información falsa, errada, incompleta o imprecisa u omitir información a la mujer, que impida o induzca al incorrecto ejercicio de sus atribuciones o de sus derechos políticos o electorales en condiciones de igualdad e impedir que asistan a cualquier actividad que implique toma de decisiones.</w:t>
      </w:r>
    </w:p>
    <w:p w14:paraId="72D0AD3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8. Limitar o negar arbitrariamente el uso de cualquier recurso y/o atribución inherente al cargo político que ocupa la mujer y personas trans y no binarias, incluido el pago de salarios y de prestaciones asociadas al ejercicio del cargo en condiciones de igualdad;</w:t>
      </w:r>
    </w:p>
    <w:p w14:paraId="4A92CC9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9. Restringir el uso de la palabra de las mujeres y personas trans y no binarias en ejercicio de sus derechos políticos o electorales, impidiendo el derecho a voz de acuerdo a la normativa aplicable y en condiciones de igualdad;</w:t>
      </w:r>
    </w:p>
    <w:p w14:paraId="7CBF5EA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10. Discriminar a las mujeres y personas trans y no binarias en el ejercicio de sus derechos políticos, por encontrarse en estado de embarazo, parto, puerperio, o el ejercicio de la maternidad, impedir o restringir su reincorporación al cargo tras hacer uso de la licencia de maternidad, o de cualquier otra licencia contemplada en la normatividad relacionada;</w:t>
      </w:r>
    </w:p>
    <w:p w14:paraId="549EDD1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11. Imponer con base en estereotipos de género la realización de actividades y tareas ajenas a las funciones y atribuciones de su cargo o posición, o que tengan como resultado la limitación del ejercicio de la función política;</w:t>
      </w:r>
    </w:p>
    <w:p w14:paraId="6D93E2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12. lnstrumentalizar a la mujer y personas trans y no binarias a permanecer dentro del proceso electoral en contra de su voluntad, incluyendo la continuación de trámites sin su consentimiento y que comprometan sus derechos políticos;</w:t>
      </w:r>
    </w:p>
    <w:p w14:paraId="5D67A52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13. Obstaculizar en razón del género, los derechos de asociación y afiliación a todo tipo de organizaciones políticas y civiles;</w:t>
      </w:r>
    </w:p>
    <w:p w14:paraId="6C377FF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14. Suplantar la identidad de una mujer y personas trans y no binarias por cualquier medio incluyendo entornos digitales con el objetivo o el resultado de menoscabar o afectar negativamente su candidatura, imagen pública y/o limitar o anular sus derechos políticos o electorales como parte de su función política.</w:t>
      </w:r>
    </w:p>
    <w:p w14:paraId="283411E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1. </w:t>
      </w:r>
      <w:r w:rsidRPr="00222F34">
        <w:rPr>
          <w:rFonts w:ascii="Calibri" w:eastAsia="Times New Roman" w:hAnsi="Calibri" w:cs="Calibri"/>
          <w:color w:val="000000"/>
          <w:lang w:val="es-CO" w:eastAsia="es-CO" w:bidi="ar-SA"/>
        </w:rPr>
        <w:t>El incumplimiento de las reglas sobre violencia contra las mujeres y personas trans y no binarias en política será investigado y sancionado por el Consejo Nacional Electoral de conformidad con lo previsto en el artículo 1O numeral 7 y el artículo 12 de la Ley 1475 de 2011 y en el artículo 39 de la Ley 130 de 1994 o normas que los modifiquen, adicionen o sustituyan, sin perjuicio de las investigaciones penales y disciplinarias a que tengan lugar.</w:t>
      </w:r>
    </w:p>
    <w:p w14:paraId="70A06EC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xml:space="preserve"> El Consejo Nacional Electoral podrá solicitar a las autoridades competentes el otorgamiento de las medidas preventivas y de protección a que haya lugar en los casos de violencia contra mujeres y personas trans y no binarias en política. También podrá ordenar el desmonte de información extemporánea, de apología al delito o por desinformación.</w:t>
      </w:r>
    </w:p>
    <w:p w14:paraId="55C61B7C"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3</w:t>
      </w:r>
      <w:r w:rsidRPr="00222F34">
        <w:rPr>
          <w:rFonts w:ascii="Calibri" w:eastAsia="Times New Roman" w:hAnsi="Calibri" w:cs="Calibri"/>
          <w:color w:val="000000"/>
          <w:lang w:val="es-CO" w:eastAsia="es-CO" w:bidi="ar-SA"/>
        </w:rPr>
        <w:t>. Los partidos y movimientos políticos deberán adoptar disposiciones en sus estatutos para prevenir, sancionar y eliminar la violencia política contra las mujeres y personas trans y no binarias.</w:t>
      </w:r>
    </w:p>
    <w:p w14:paraId="2C194C9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4.</w:t>
      </w:r>
      <w:r w:rsidRPr="00222F34">
        <w:rPr>
          <w:rFonts w:ascii="Calibri" w:eastAsia="Times New Roman" w:hAnsi="Calibri" w:cs="Calibri"/>
          <w:color w:val="000000"/>
          <w:lang w:val="es-CO" w:eastAsia="es-CO" w:bidi="ar-SA"/>
        </w:rPr>
        <w:t xml:space="preserve"> La atribución sancionatoria aquí establecida y atribuida al Consejo Nacional Electoral no excluye la competencia de la justicia penal o de los demás Jueces.</w:t>
      </w:r>
    </w:p>
    <w:p w14:paraId="619B65C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254.- Horario de cierre de actuaciones electorales.</w:t>
      </w:r>
      <w:r w:rsidRPr="00222F34">
        <w:rPr>
          <w:rFonts w:ascii="Calibri" w:eastAsia="Times New Roman" w:hAnsi="Calibri" w:cs="Calibri"/>
          <w:color w:val="000000"/>
          <w:lang w:val="es-CO" w:eastAsia="es-CO" w:bidi="ar-SA"/>
        </w:rPr>
        <w:t xml:space="preserve"> 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p>
    <w:p w14:paraId="219CCDA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255.- Sedes para actividades electorales. </w:t>
      </w:r>
      <w:r w:rsidRPr="00222F34">
        <w:rPr>
          <w:rFonts w:ascii="Calibri" w:eastAsia="Times New Roman" w:hAnsi="Calibri" w:cs="Calibri"/>
          <w:color w:val="000000"/>
          <w:lang w:val="es-CO" w:eastAsia="es-CO" w:bidi="ar-SA"/>
        </w:rPr>
        <w:t>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w:t>
      </w:r>
    </w:p>
    <w:p w14:paraId="178B30C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En todo caso la Registraduría Nacional del Estado Civil podrá implementar el uso de mecanismos tecnológicos para adelantar las actividades que trata el presente artículo.</w:t>
      </w:r>
    </w:p>
    <w:p w14:paraId="51DB0E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256.- Requisitos para convocatoria y votación de revocatorias del mandato.</w:t>
      </w:r>
      <w:r w:rsidRPr="00222F34">
        <w:rPr>
          <w:rFonts w:ascii="Calibri" w:eastAsia="Times New Roman" w:hAnsi="Calibri" w:cs="Calibri"/>
          <w:color w:val="000000"/>
          <w:lang w:val="es-CO" w:eastAsia="es-CO" w:bidi="ar-SA"/>
        </w:rPr>
        <w:t xml:space="preserve"> Cualquier ciudadano, organización social, partido o movimiento político, podrá solicitar a la Registraduría Nacional del Estado Civil correspondiente su inscripción como promotor de una revocatoria de mandato desde el año siguiente a la aprobación del plan de desarrollo del alcalde o gobernador y hasta dieciocho (18) meses antes de la terminación del periodo constitucional del mandatario. Para el trámite de revocatoria se deberá seguir el procedimiento establecido en la Ley 1757 de 2015 en lo que no contraríe la presente ley.</w:t>
      </w:r>
    </w:p>
    <w:p w14:paraId="5BC22DD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Con posterioridad a la inscripción y como prerrequisito para que el comité promotor de la revocatoria del mandato solicite los formularios de recolección de apoyo ante la Registraduría del Estado Civil respectiva, deberán solicitar ante esta institución la celebración de una audiencia pública sobre el cumplimiento del programa de gobierno.</w:t>
      </w:r>
    </w:p>
    <w:p w14:paraId="4364A1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que la revocatoria de mandato supere la etapa de recolección de apoyos, se requiere el apoyo de un número de ciudadanos, que hagan parte del censo electoral departamental, municipal o distrital correspondiente, de no menos del cuarenta por ciento (40%) de los votos obtenidos por el elegido.</w:t>
      </w:r>
    </w:p>
    <w:p w14:paraId="069BB2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votación será obligatoria cuando esta sea aprobada por la mitad más uno de los votos ciudadanos que participen en la respectiva convocatoria, siempre que el número de sufragios no sea inferior al cincuenta y uno (51%) de la votación total válida registrada el día en que se eligió al respectivo mandatario. Si como resultado de la votación no se revoca el mandato del gobernador o del alcalde, no podrá volver a intentarse en lo que resta de su período.</w:t>
      </w:r>
    </w:p>
    <w:p w14:paraId="1E2D289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257.- Audiencia pública de revocatoria del mandato</w:t>
      </w:r>
      <w:r w:rsidRPr="00222F34">
        <w:rPr>
          <w:rFonts w:ascii="Calibri" w:eastAsia="Times New Roman" w:hAnsi="Calibri" w:cs="Calibri"/>
          <w:color w:val="000000"/>
          <w:lang w:val="es-CO" w:eastAsia="es-CO" w:bidi="ar-SA"/>
        </w:rPr>
        <w:t>. A solicitud de los promotores de la Revocatoria del Mandato la Registraduría Nacional del Estado Civil informará al Consejo Nacional Electoral para que convoque a Audiencia Pública de Revocatoria del Mandato y, por intermedio de la registraduría respectiva, causará las comunicaciones al alcalde o gobernador, comité promotor, jefe de planeación del ente territorial, concejales o diputados, e interesados.</w:t>
      </w:r>
    </w:p>
    <w:p w14:paraId="4579E1B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Consejo Nacional Electoral presidirá la audiencia pública, destinará hasta treinta minutos al promotor y al alcalde o gobernador para que hagan su intervención, y garantizará el cumplimiento del derecho al debido proceso. Los demás intervinientes podrán participar hasta por quince minutos en la audiencia.</w:t>
      </w:r>
    </w:p>
    <w:p w14:paraId="6FD44B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caso de que el alcalde o gobernador no pueda asistir personalmente, mediando excusa debidamente justificada, la audiencia se aplazará por una única vez y se fijará una fecha dentro de los 15 días siguientes para su realización. La asistencia del Alcalde o Gobernador será indelegable.</w:t>
      </w:r>
    </w:p>
    <w:p w14:paraId="3E53B05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que se surta el trámite de la audiencia pública de revocatoria del mandato se deberá tener en cuenta la fundamentación, por parte de los promotores, de las razones objetivas y hechos referidos al incumplimiento de los puntos específicos del programa de gobierno o la acreditación de la insatisfacción general de la ciudadanía, que justifican la solicitud de revocatoria, la cual deberá probarse. En esta etapa, también se admitirá la participación de otros ciudadanos quienes podrán referirse solamente sobre los fundamentos expuestos por los promotores, los argumentos y pruebas del mandatario que se pretende revocar destinados a controvertir solamente las razones de los promotores de la revocatoria. En esta etapa, también se admitirá la participación de otros ciudadanos en defensa del cumplimiento del programa de gobierno por parte del mandatario que se quiere revocar quienes no podrán controvertir hechos diferentes a los alegados por los promotores.</w:t>
      </w:r>
    </w:p>
    <w:p w14:paraId="2BA0FB0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El Consejo Nacional Electoral decidirá si se cumplen los requisitos formales que debe satisfacer el promotor de la revocatoria del mandato. En ningún caso, la autoridad electoral valorará las pruebas presentadas por el promotor. En caso de hallar incumplidos los requisitos, el promotor no podrá solicitar los formularios de </w:t>
      </w:r>
      <w:r w:rsidRPr="00222F34">
        <w:rPr>
          <w:rFonts w:ascii="Calibri" w:eastAsia="Times New Roman" w:hAnsi="Calibri" w:cs="Calibri"/>
          <w:color w:val="000000"/>
          <w:lang w:val="es-CO" w:eastAsia="es-CO" w:bidi="ar-SA"/>
        </w:rPr>
        <w:lastRenderedPageBreak/>
        <w:t>recolección de apoyo ante la Registraduría del Estado Civil respectiva. Sobre la decisión que niega la satisfacción de los requisitos, procederá el recurso de reposición.</w:t>
      </w:r>
    </w:p>
    <w:p w14:paraId="59CA49C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De la audiencia se levantará un acta donde se dejará constancia de las comunicaciones de la convocatoria, de su realización, de quienes participaron en ella y de cada una de las intervenciones.</w:t>
      </w:r>
    </w:p>
    <w:p w14:paraId="407E21A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Registraduría Nacional del Estado Civil, el Consejo Nacional Electoral, el Departamento o Municipio en donde gobierna el mandatario y la Asamblea Departamental o el Concejo Municipal o Distrital, publicarán en sus páginas web copia de la audiencia pública, del acta y los documentos allegados por sus participantes, desde el día siguiente a la celebración de esta y hasta el día siguiente a la votación de la revocatoria del mandato.</w:t>
      </w:r>
    </w:p>
    <w:p w14:paraId="41DDD7E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En caso de que el proceso de revocatoria no cumpla los requisitos para convocar a la jornada de votación, los documentos de la audiencia deberán mantenerse publicados en las páginas web de las respectivas entidades hasta el día siguiente a la terminación del proceso de revocatoria.</w:t>
      </w:r>
    </w:p>
    <w:p w14:paraId="76AFFF9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Parágrafo 2. </w:t>
      </w:r>
      <w:r w:rsidRPr="00222F34">
        <w:rPr>
          <w:rFonts w:ascii="Calibri" w:eastAsia="Times New Roman" w:hAnsi="Calibri" w:cs="Calibri"/>
          <w:color w:val="000000"/>
          <w:lang w:val="es-CO" w:eastAsia="es-CO" w:bidi="ar-SA"/>
        </w:rPr>
        <w:t>De ninguna manera se considerarán razones objetivas y expresas aquellas que se encargan de reabrir el debate electoral concluido con la designación del mandatario local.</w:t>
      </w:r>
    </w:p>
    <w:p w14:paraId="58ED6C2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258.- Respeto del medio ambiente dentro de los procesos electorales.</w:t>
      </w:r>
      <w:r w:rsidRPr="00222F34">
        <w:rPr>
          <w:rFonts w:ascii="Calibri" w:eastAsia="Times New Roman" w:hAnsi="Calibri" w:cs="Calibri"/>
          <w:color w:val="000000"/>
          <w:lang w:val="es-CO" w:eastAsia="es-CO" w:bidi="ar-SA"/>
        </w:rPr>
        <w:t xml:space="preserve"> La Organización Electoral implementará las acciones, mecanismos y métodos para generar el menor impacto negativo en el medio ambiente en cuanto a los procesos electorales; promoverá entre todos los actores del proceso electoral el respeto ambiental en el desarrollo de sus campañas y en las jornadas electorales, de conformidad con la reglamentación que para el efecto expida con anterioridad a cada proceso electoral. Para ello procurará utilizar tecnologías limpias y seguras y reutilizar materiales.</w:t>
      </w:r>
    </w:p>
    <w:p w14:paraId="275AA01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Para las fijaciones de decisiones de las autoridades electorales que ordena este código, los funcionarios procurarán el menor uso de papel y el apoyo de medios tecnológicos amigables con el medio ambiente.</w:t>
      </w:r>
    </w:p>
    <w:p w14:paraId="5ABC1AE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se concluya cada elección, la Registraduría Nacional del Estado Civil por intermedio de los delegados departamentales adelantará un plan de manejo ambiental sobre el material electoral sobrante, distinto a las tarjetas electorales, reutilizando el que se conserve en buen estado y procurando el manejo adecuado de residuos sólidos y procesos de reciclaje del restante.</w:t>
      </w:r>
    </w:p>
    <w:p w14:paraId="7D60B82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Concluidos los escrutinios y transcurridos dos meses después de declarada la elección, la Registraduría Nacional del Estado Civil podrá destruir los votos excluyendo los que se encuentren vinculados a procesos judiciales. Así mismo, sólo conservará las actas y demás documentos diligenciados por los jurados de votación, las comisiones escrutadoras y el Consejo Nacional Electoral de manera física o en archivo digital. Una vez destruidos los votos, dicho material también deberá ser reciclado.</w:t>
      </w:r>
    </w:p>
    <w:p w14:paraId="02859EC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259.- Procesos de colaboración con terceros.</w:t>
      </w:r>
      <w:r w:rsidRPr="00222F34">
        <w:rPr>
          <w:rFonts w:ascii="Calibri" w:eastAsia="Times New Roman" w:hAnsi="Calibri" w:cs="Calibri"/>
          <w:color w:val="000000"/>
          <w:lang w:val="es-CO" w:eastAsia="es-CO" w:bidi="ar-SA"/>
        </w:rPr>
        <w:t xml:space="preserve"> Las entidades públicas o privadas podrán suscribir contratos o convenios interadministrativos con la Registraduría Nacional del Estado Civil para la realización de </w:t>
      </w:r>
      <w:r w:rsidRPr="00222F34">
        <w:rPr>
          <w:rFonts w:ascii="Calibri" w:eastAsia="Times New Roman" w:hAnsi="Calibri" w:cs="Calibri"/>
          <w:color w:val="000000"/>
          <w:lang w:val="es-CO" w:eastAsia="es-CO" w:bidi="ar-SA"/>
        </w:rPr>
        <w:lastRenderedPageBreak/>
        <w:t>certámenes electorales internos que adelante para procesos de consultas, elecciones, asambleas o votaciones de sus órganos colegiados, entre otros.</w:t>
      </w:r>
    </w:p>
    <w:p w14:paraId="5B287C9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La Organización Electoral podrá celebrar contratos y convenios de cooperación con otros organismos electorales e instituciones internacionales para fortalecer sus áreas misionales.</w:t>
      </w:r>
    </w:p>
    <w:p w14:paraId="3B3FF62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órganos de control deberán establecer rutas de permanente seguimiento para la veeduría y control durante la selección y ejecución de los contratos y convenios interadministrativos señalados en el presente artículo.</w:t>
      </w:r>
    </w:p>
    <w:p w14:paraId="1FD35CD0"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260.- Software de escrutinios.</w:t>
      </w:r>
      <w:r w:rsidRPr="00222F34">
        <w:rPr>
          <w:rFonts w:ascii="Calibri" w:eastAsia="Times New Roman" w:hAnsi="Calibri" w:cs="Calibri"/>
          <w:color w:val="000000"/>
          <w:lang w:val="es-CO" w:eastAsia="es-CO" w:bidi="ar-SA"/>
        </w:rPr>
        <w:t xml:space="preserve"> El software dispuesto para la consolidación nacional del escrutinio será de propiedad de la Registraduría Nacional del Estado Civil y administrado por el Consejo Nacional Electoral. El software podrá ser auditado por las delegaciones de auditoría, partidos, movimientos políticos, grupos significativos de ciudadanos y demás organizaciones debidamente acreditadas. </w:t>
      </w:r>
    </w:p>
    <w:p w14:paraId="0A9C49D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código fuente del software de escrutinios debe ser de conocimiento del Consejo Nacional Electoral, promoviendo el uso de herramientas de software de código abierto.</w:t>
      </w:r>
    </w:p>
    <w:p w14:paraId="28C99260"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 xml:space="preserve">Parágrafo.  </w:t>
      </w:r>
      <w:r w:rsidRPr="00222F34">
        <w:rPr>
          <w:rFonts w:ascii="Calibri" w:eastAsia="Times New Roman" w:hAnsi="Calibri" w:cs="Calibri"/>
          <w:color w:val="000000"/>
          <w:lang w:val="es-CO" w:eastAsia="es-CO" w:bidi="ar-SA"/>
        </w:rPr>
        <w:t>Previo a cada jornada electoral se deberán realizar simulacros y/o pruebas al software de escrutinio para de esta forma certificar el adecuado, oportuno y rápido funcionamiento del sistema.</w:t>
      </w:r>
    </w:p>
    <w:p w14:paraId="58013B7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261.- Acceso al software de consolidación de escrutinios. </w:t>
      </w:r>
      <w:r w:rsidRPr="00222F34">
        <w:rPr>
          <w:rFonts w:ascii="Calibri" w:eastAsia="Times New Roman" w:hAnsi="Calibri" w:cs="Calibri"/>
          <w:color w:val="000000"/>
          <w:lang w:val="es-CO" w:eastAsia="es-CO" w:bidi="ar-SA"/>
        </w:rPr>
        <w:t>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w:t>
      </w:r>
      <w:r w:rsidRPr="00222F34">
        <w:rPr>
          <w:rFonts w:ascii="Calibri" w:eastAsia="Times New Roman" w:hAnsi="Calibri" w:cs="Calibri"/>
          <w:b/>
          <w:bCs/>
          <w:color w:val="000000"/>
          <w:u w:val="single"/>
          <w:lang w:val="es-CO" w:eastAsia="es-CO" w:bidi="ar-SA"/>
        </w:rPr>
        <w:t>,</w:t>
      </w:r>
      <w:r w:rsidRPr="00222F34">
        <w:rPr>
          <w:rFonts w:ascii="Calibri" w:eastAsia="Times New Roman" w:hAnsi="Calibri" w:cs="Calibri"/>
          <w:color w:val="000000"/>
          <w:lang w:val="es-CO" w:eastAsia="es-CO" w:bidi="ar-SA"/>
        </w:rPr>
        <w:t xml:space="preserve"> el Registrador Nacional del Estado Civil o su delegado, deberán realizar los cambios correspondientes. Para ello, ingresarán con identificación biométrica y claves simultáneas que deberán estar conforme a los estándares de seguridad digital vigentes.</w:t>
      </w:r>
    </w:p>
    <w:p w14:paraId="42537F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Una vez adelantado cualquier tipo de cambio en el software de escrutinio; esta deberá ser aceptada por cada uno de los usuarios anteriormente señalados dentro de la plataforma.</w:t>
      </w:r>
    </w:p>
    <w:p w14:paraId="185121F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todas las modificaciones u operaciones deberá existir un log que identifique usuario, acción, operación y ubicación.</w:t>
      </w:r>
    </w:p>
    <w:p w14:paraId="7B9096C2"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Una vez realizada la modificación de que trata este artículo, por parte de los Magistrados del Consejo Nacional Electoral en el software de consolidación de escrutinios, se emitirán las copias físicas a que hubiere lugar con el fin, de que el Registrador Nacional del Estado Civil como Secretario Técnico de la Comisión Escrutadora de fe pública de su modificación.</w:t>
      </w:r>
    </w:p>
    <w:p w14:paraId="74F479B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262.- Uso de medios tecnológicos por parte de las organizaciones políticas. </w:t>
      </w:r>
      <w:r w:rsidRPr="00222F34">
        <w:rPr>
          <w:rFonts w:ascii="Calibri" w:eastAsia="Times New Roman" w:hAnsi="Calibri" w:cs="Calibri"/>
          <w:color w:val="000000"/>
          <w:lang w:val="es-CO" w:eastAsia="es-CO" w:bidi="ar-SA"/>
        </w:rPr>
        <w:t>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p>
    <w:p w14:paraId="61EF9C8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lastRenderedPageBreak/>
        <w:t>ARTÍCULO 263.- Implementación.</w:t>
      </w:r>
      <w:r w:rsidRPr="00222F34">
        <w:rPr>
          <w:rFonts w:ascii="Calibri" w:eastAsia="Times New Roman" w:hAnsi="Calibri" w:cs="Calibri"/>
          <w:color w:val="000000"/>
          <w:lang w:val="es-CO" w:eastAsia="es-CO" w:bidi="ar-SA"/>
        </w:rPr>
        <w:t xml:space="preserve"> Cada Proyecto de ley anual de Presupuesto General de la Nación que se presente al Congreso de la República podrá contener apropiaciones para el cumplimiento de esta Ley, las cuales estarán sujetas a las disponibilidades fiscales y al Marco de Gasto de Mediano Plazo y se incorporarán progresivamente conforme a las restricciones en las proyecciones de gasto del sector Registraduría Nacional del Estado Civil.</w:t>
      </w:r>
    </w:p>
    <w:p w14:paraId="4054E8E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264. Comité de seguimiento y vigilancia electrónica del proceso electoral. </w:t>
      </w:r>
      <w:r w:rsidRPr="00222F34">
        <w:rPr>
          <w:rFonts w:ascii="Calibri" w:eastAsia="Times New Roman" w:hAnsi="Calibri" w:cs="Calibri"/>
          <w:color w:val="000000"/>
          <w:lang w:val="es-CO" w:eastAsia="es-CO" w:bidi="ar-SA"/>
        </w:rPr>
        <w:t>Créese el Comité de Seguimiento y Vigilancia Electrónica del Proceso Electoral para que realice el seguimiento y vigilancia electrónica del software establecido para el proceso electoral que estará conformado por:</w:t>
      </w:r>
    </w:p>
    <w:p w14:paraId="14776AB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Un (1) delegado de cada uno de los Partidos o Movimientos Políticos con personería jurídica.</w:t>
      </w:r>
    </w:p>
    <w:p w14:paraId="4445B9E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Un (1) miembro de Asociaciones Civiles que manejen temas de Seguridad Informática; escogido entre ellas.</w:t>
      </w:r>
    </w:p>
    <w:p w14:paraId="41FADC4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Un (1) representante de las Universidades que cuente con programas acreditados de Ingeniería de Sistemas y de especializaciones en seguridad informática.</w:t>
      </w:r>
    </w:p>
    <w:p w14:paraId="4FE1F44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1.</w:t>
      </w:r>
      <w:r w:rsidRPr="00222F34">
        <w:rPr>
          <w:rFonts w:ascii="Calibri" w:eastAsia="Times New Roman" w:hAnsi="Calibri" w:cs="Calibri"/>
          <w:color w:val="000000"/>
          <w:lang w:val="es-CO" w:eastAsia="es-CO" w:bidi="ar-SA"/>
        </w:rPr>
        <w:t xml:space="preserve"> Los delegados que determinen los partidos deberán ser Ingenieros de Sistemas con formación en seguridad informática.</w:t>
      </w:r>
    </w:p>
    <w:p w14:paraId="2A640E4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El desarrollo, implementación y administración del software será responsabilidad del Consejo Nacional Electoral.</w:t>
      </w:r>
    </w:p>
    <w:p w14:paraId="5B8450C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2</w:t>
      </w:r>
      <w:r w:rsidRPr="00222F34">
        <w:rPr>
          <w:rFonts w:ascii="Calibri" w:eastAsia="Times New Roman" w:hAnsi="Calibri" w:cs="Calibri"/>
          <w:color w:val="000000"/>
          <w:lang w:val="es-CO" w:eastAsia="es-CO" w:bidi="ar-SA"/>
        </w:rPr>
        <w:t>. El Comité de Seguimiento y Vigilancia del Software deberá exigir que se hagan las pruebas pertinentes de funcionamiento de este, previo a la jornada electoral, realizando un informe de las fallas o sucesos extraordinarios que se presenten en la prueba, dejando una serie de recomendaciones y sugerencias de cambio y asegurándose que éstas se realicen antes de la jornada.</w:t>
      </w:r>
    </w:p>
    <w:p w14:paraId="7E1C72E1"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265.- Implementación</w:t>
      </w:r>
      <w:r w:rsidRPr="00222F34">
        <w:rPr>
          <w:rFonts w:ascii="Calibri" w:eastAsia="Times New Roman" w:hAnsi="Calibri" w:cs="Calibri"/>
          <w:color w:val="000000"/>
          <w:lang w:val="es-CO" w:eastAsia="es-CO" w:bidi="ar-SA"/>
        </w:rPr>
        <w:t>. La implementación de las disposiciones contenidas en el presente código, no podrán implicar la realización de despidos masivos, ni violaciones a derechos laborales de los trabajadores actuales de la Registraduría Nacional del Estado Civil.</w:t>
      </w:r>
    </w:p>
    <w:p w14:paraId="24701A9A"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ARTÍCULO 266.- Financiación participativa de las campañas políticas.</w:t>
      </w:r>
      <w:r w:rsidRPr="00222F34">
        <w:rPr>
          <w:rFonts w:ascii="Calibri" w:eastAsia="Times New Roman" w:hAnsi="Calibri" w:cs="Calibri"/>
          <w:color w:val="000000"/>
          <w:lang w:val="es-CO" w:eastAsia="es-CO" w:bidi="ar-SA"/>
        </w:rPr>
        <w:t xml:space="preserve"> Las campañas políticas, podrán ser financiadas por personas naturales residentes en el país a través de plataformas de recolección de donaciones. La financiación participativa se sujetará a las siguientes reglas:</w:t>
      </w:r>
    </w:p>
    <w:p w14:paraId="7BB938F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1. Se garantizará la identificación del aportante y el registro de una certificación electrónica del aporte, con el fin de ser incluido en la información financiera de la respectiva campaña. </w:t>
      </w:r>
    </w:p>
    <w:p w14:paraId="0BCB76B0"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 xml:space="preserve">2. Los aportantes deberán declarar bajo la gravedad de juramento que no están inmersos en las prohibiciones legales o constitucionales para la financiación de campañas políticas. En caso de que el aportante se encuentre inmerso en una prohibición legal o constitucional y este no lo haya manifestado, se eximirá de responsabilidad al candidato. </w:t>
      </w:r>
    </w:p>
    <w:p w14:paraId="1794E35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lastRenderedPageBreak/>
        <w:t xml:space="preserve">3. Los aportes individualmente considerados no podrán exceder el 0,1% del tope de gastos de la respectiva campaña, ni exceder el valor correspondiente a 30 unidades de valor tributarios (UVT). </w:t>
      </w:r>
    </w:p>
    <w:p w14:paraId="45E1D97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267-</w:t>
      </w:r>
      <w:r w:rsidRPr="00222F34">
        <w:rPr>
          <w:rFonts w:ascii="Calibri" w:eastAsia="Times New Roman" w:hAnsi="Calibri" w:cs="Calibri"/>
          <w:color w:val="000000"/>
          <w:lang w:val="es-CO" w:eastAsia="es-CO" w:bidi="ar-SA"/>
        </w:rPr>
        <w:t xml:space="preserve"> Modifíquese el parágrafo del artículo 18 de la Ley 130 de 1994, el cual quedará así:</w:t>
      </w:r>
    </w:p>
    <w:p w14:paraId="046197A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w:t>
      </w:r>
      <w:r w:rsidRPr="00222F34">
        <w:rPr>
          <w:rFonts w:ascii="Calibri" w:eastAsia="Times New Roman" w:hAnsi="Calibri" w:cs="Calibri"/>
          <w:color w:val="000000"/>
          <w:lang w:val="es-CO" w:eastAsia="es-CO" w:bidi="ar-SA"/>
        </w:rPr>
        <w:t>. Todos los informes serán publicados después de haber sido certificados por la autoridad competente en su página web y en el sitio web de la organización política, por un término de quince (15) días contados a partir de su aprobación.</w:t>
      </w:r>
    </w:p>
    <w:p w14:paraId="2F03DC8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el caso de los grupos significativos de ciudadanos, los informes serán publicados en la página web de la autoridad electoral.</w:t>
      </w:r>
    </w:p>
    <w:p w14:paraId="4230E2DE"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Para la presentación de los informes de ingresos y gastos de las campañas el aplicativo cuentas claras o quien haga sus veces deberá permitir la migración masiva de datos de los aplicativos que usen las organizaciones políticas para rendición de cuentas.</w:t>
      </w:r>
    </w:p>
    <w:p w14:paraId="687C29B9" w14:textId="77777777" w:rsidR="00CD4925" w:rsidRPr="00222F34" w:rsidRDefault="00CD4925" w:rsidP="00CD4925">
      <w:pPr>
        <w:widowControl/>
        <w:autoSpaceDE/>
        <w:autoSpaceDN/>
        <w:spacing w:beforeLines="80" w:before="192" w:line="276" w:lineRule="auto"/>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ARTICULO 268.-</w:t>
      </w:r>
      <w:r w:rsidRPr="00222F34">
        <w:rPr>
          <w:rFonts w:ascii="Calibri" w:eastAsia="Times New Roman" w:hAnsi="Calibri" w:cs="Calibri"/>
          <w:color w:val="000000"/>
          <w:lang w:val="es-CO" w:eastAsia="es-CO" w:bidi="ar-SA"/>
        </w:rPr>
        <w:t xml:space="preserve"> Los partidos políticos podrán auditar el software utilizado para la escogencia de jurados de votación, el software de preconteo, el software de escrutinio, el software de consolidación de escrutinios y todos los softwares que llegase a usar en el desarrollo de todo el proceso electoral.  </w:t>
      </w:r>
    </w:p>
    <w:p w14:paraId="5B139F11" w14:textId="1FF34906"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269. Cuota de género en propaganda electoral.</w:t>
      </w:r>
      <w:r w:rsidRPr="00222F34">
        <w:rPr>
          <w:rFonts w:ascii="Calibri" w:eastAsia="Times New Roman" w:hAnsi="Calibri" w:cs="Calibri"/>
          <w:color w:val="000000"/>
          <w:lang w:val="es-CO" w:eastAsia="es-CO" w:bidi="ar-SA"/>
        </w:rPr>
        <w:t xml:space="preserve"> Salvo en los municipios categoría 4, 5 y 6 los partidos, movimientos políticos y grupos significativos de ciudadanos en las campañas para elección de corporaciones públicas propenderán a asignar los espacios de propaganda electoral habilitados por el Consejo Nacional Electoral de forma proporcional e incluyente de hombres, mujeres, trans y no binarios; garantizando una asignación paritaria a las mujeres que conforman la lista de inscritos.</w:t>
      </w:r>
    </w:p>
    <w:p w14:paraId="1ACA371B" w14:textId="77777777"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el caso de no contar con personas trans y no binarias, el porcentaje de participación será paritario entre hombres y mujeres.</w:t>
      </w:r>
    </w:p>
    <w:p w14:paraId="7C4C5603" w14:textId="008DD08E" w:rsidR="00FA7D22" w:rsidRPr="00222F34" w:rsidRDefault="00FA7D22" w:rsidP="00FA7D22">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NUEVO. Inclusión de la comunidad diversa</w:t>
      </w:r>
      <w:r w:rsidRPr="00222F34">
        <w:rPr>
          <w:rFonts w:ascii="Calibri" w:eastAsia="Times New Roman" w:hAnsi="Calibri" w:cs="Calibri"/>
          <w:color w:val="000000"/>
          <w:lang w:val="es-CO" w:eastAsia="es-CO" w:bidi="ar-SA"/>
        </w:rPr>
        <w:t>. Con el fin de garantizar el derecho a la participación política libre de discriminación y en condiciones de igualdad, las organizaciones políticas, de conformidad con sus estatutos, podrán propiciar mecanismos de democracia interna que promuevan la inclusión de las personas con discapacidad, de la comunidad LGBTIQ+ y cualquier otra población que el partido político considere, en la selección de sus candidaturas, así como en sus órganos de gobierno, dirección, control y administración.</w:t>
      </w:r>
    </w:p>
    <w:p w14:paraId="3D1C902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270. Garantías de acceso a la información en materia electoral. </w:t>
      </w:r>
      <w:r w:rsidRPr="00222F34">
        <w:rPr>
          <w:rFonts w:ascii="Calibri" w:eastAsia="Times New Roman" w:hAnsi="Calibri" w:cs="Calibri"/>
          <w:color w:val="000000"/>
          <w:lang w:val="es-CO" w:eastAsia="es-CO" w:bidi="ar-SA"/>
        </w:rPr>
        <w:t>La Organización Electoral garantizará el derecho de acceso a la información pública relacionada con la gestión en cada una de las etapas del proceso electoral, incluida aquella producida y administrada por privados y que no sean objeto de reserva, lo anterior de acuerdo con los parámetros generales establecidos en la Ley 1712 de 2014 y lo contemplado en el presente capítulo.</w:t>
      </w:r>
    </w:p>
    <w:p w14:paraId="0BD33E07"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271. Mecanismos de articulación interinstitucional para el seguimiento y vigilancia de las donaciones: l</w:t>
      </w:r>
      <w:r w:rsidRPr="00222F34">
        <w:rPr>
          <w:rFonts w:ascii="Calibri" w:eastAsia="Times New Roman" w:hAnsi="Calibri" w:cs="Calibri"/>
          <w:color w:val="000000"/>
          <w:lang w:val="es-CO" w:eastAsia="es-CO" w:bidi="ar-SA"/>
        </w:rPr>
        <w:t xml:space="preserve">a DIAN en coordinación con Fiscalía General de la Nación, la Unidad de Información y Análisis Financiero (UIAF), la Superintendencia Financiera y las entidades bancarias del país, en un plazo no mayor a seis </w:t>
      </w:r>
      <w:r w:rsidRPr="00222F34">
        <w:rPr>
          <w:rFonts w:ascii="Calibri" w:eastAsia="Times New Roman" w:hAnsi="Calibri" w:cs="Calibri"/>
          <w:color w:val="000000"/>
          <w:lang w:val="es-CO" w:eastAsia="es-CO" w:bidi="ar-SA"/>
        </w:rPr>
        <w:lastRenderedPageBreak/>
        <w:t>(6) meses definirán una hoja de ruta para el intercambio de información pertinente entre estas, para que de esta forma se recopilen los datos necesarios para poder investigar y ejercer control sobre el uso de los recursos, verificar el patrimonio de las personas naturales que hacen aportes a las campañas y que de la misma forma les permita a las autoridades financieras y electorales tener información suficiente para completar los procesos de seguridad.</w:t>
      </w:r>
    </w:p>
    <w:p w14:paraId="41FF50CF"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272</w:t>
      </w:r>
      <w:r w:rsidRPr="00222F34">
        <w:rPr>
          <w:rFonts w:ascii="Calibri" w:eastAsia="Times New Roman" w:hAnsi="Calibri" w:cs="Calibri"/>
          <w:color w:val="000000"/>
          <w:lang w:val="es-CO" w:eastAsia="es-CO" w:bidi="ar-SA"/>
        </w:rPr>
        <w:t>. Modifíquese el artículo 18 de la Ley 1475 de 2011, el cual quedará así:</w:t>
      </w:r>
    </w:p>
    <w:p w14:paraId="7ACBEC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 xml:space="preserve">Artículo 18. DESTINACIÓN DE LOS RECURSOS. </w:t>
      </w:r>
      <w:r w:rsidRPr="00222F34">
        <w:rPr>
          <w:rFonts w:ascii="Calibri" w:eastAsia="Times New Roman" w:hAnsi="Calibri" w:cs="Calibri"/>
          <w:color w:val="000000"/>
          <w:lang w:val="es-CO" w:eastAsia="es-CO" w:bidi="ar-SA"/>
        </w:rPr>
        <w:t>Los recursos provenientes de la financiación estatal se destinarán a financiar las actividades que realicen para el cumplimiento de sus fines y el logro de sus propósitos y, en particular, para las siguientes finalidades, de conformidad con los estatutos, plataforma programática, planes, programas y proyectos:</w:t>
      </w:r>
    </w:p>
    <w:p w14:paraId="7C4AC8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1. Para el funcionamiento de sus estructuras regionales, locales y sectoriales.</w:t>
      </w:r>
    </w:p>
    <w:p w14:paraId="5BE99EF8"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2. Para la inclusión efectiva de mujeres, jóvenes y minorías étnicas en el proceso político.</w:t>
      </w:r>
    </w:p>
    <w:p w14:paraId="2C8480D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3. Para el funcionamiento de los centros y fundaciones de estudio, investigación y capacitación.</w:t>
      </w:r>
    </w:p>
    <w:p w14:paraId="72505FE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4. Para dar apoyo y asistencia a sus bancadas.</w:t>
      </w:r>
    </w:p>
    <w:p w14:paraId="107CBF13"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5. Para educación, formación y capacitación política y electoral.</w:t>
      </w:r>
    </w:p>
    <w:p w14:paraId="1CBAE364"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6. Para la divulgación de sus programas y propuestas políticas.</w:t>
      </w:r>
    </w:p>
    <w:p w14:paraId="48B2429A"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7. Para el ejercicio de mecanismos de democracia interna previstos en sus estatutos.</w:t>
      </w:r>
    </w:p>
    <w:p w14:paraId="79B1EE8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todo caso, para las actividades de sus centros de pensamiento, la realización de cursos de formación y capacitación política y electoral, y para la inclusión efectiva de jóvenes, mujeres y minorías étnicas en el proceso político, los partidos y movimientos destinarán en sus presupuestos anuales una suma no inferior al quince por ciento (15%) de los aportes estatales que le correspondieren.  En lo específico a la inclusión efectiva de mujeres en el proceso político, la destinación no podrá ser inferior al 3%.</w:t>
      </w:r>
    </w:p>
    <w:p w14:paraId="3A18900D"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Los partidos y movimientos políticos con personería jurídica están obligados a debatir y a aprobar democráticamente sus presupuestos, y a ofrecer completa información pública sobre las decisiones adoptadas en esta materia, de conformidad con la reglamentación que expida el Consejo Nacional Electoral.</w:t>
      </w:r>
    </w:p>
    <w:p w14:paraId="5B5B28D9"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color w:val="000000"/>
          <w:lang w:val="es-CO" w:eastAsia="es-CO" w:bidi="ar-SA"/>
        </w:rPr>
        <w:t>En cada una de las actividades que se deben realizar para el cumplimiento de los fines y el logro de los propósitos de las colectividades, deberá adoptarse el principio de paridad como tema de formación.</w:t>
      </w:r>
    </w:p>
    <w:p w14:paraId="533AFCC6"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TÍTULO XI</w:t>
      </w:r>
    </w:p>
    <w:p w14:paraId="19002002" w14:textId="77777777" w:rsidR="00CD4925" w:rsidRPr="00222F34" w:rsidRDefault="00CD4925" w:rsidP="00CD4925">
      <w:pPr>
        <w:widowControl/>
        <w:autoSpaceDE/>
        <w:autoSpaceDN/>
        <w:spacing w:beforeLines="80" w:before="192" w:line="276" w:lineRule="auto"/>
        <w:jc w:val="center"/>
        <w:rPr>
          <w:rFonts w:ascii="Calibri" w:eastAsia="Times New Roman" w:hAnsi="Calibri" w:cs="Calibri"/>
          <w:b/>
          <w:bCs/>
          <w:color w:val="000000"/>
          <w:lang w:val="es-CO" w:eastAsia="es-CO" w:bidi="ar-SA"/>
        </w:rPr>
      </w:pPr>
      <w:r w:rsidRPr="00222F34">
        <w:rPr>
          <w:rFonts w:ascii="Calibri" w:eastAsia="Times New Roman" w:hAnsi="Calibri" w:cs="Calibri"/>
          <w:b/>
          <w:bCs/>
          <w:color w:val="000000"/>
          <w:lang w:val="es-CO" w:eastAsia="es-CO" w:bidi="ar-SA"/>
        </w:rPr>
        <w:t>REMISIÓN NORMATIVA, DEROGATORIA Y VIGENCIA</w:t>
      </w:r>
    </w:p>
    <w:p w14:paraId="34D8ABAB"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273.- Remisión normativa.</w:t>
      </w:r>
      <w:r w:rsidRPr="00222F34">
        <w:rPr>
          <w:rFonts w:ascii="Calibri" w:eastAsia="Times New Roman" w:hAnsi="Calibri" w:cs="Calibri"/>
          <w:color w:val="000000"/>
          <w:lang w:val="es-CO" w:eastAsia="es-CO" w:bidi="ar-SA"/>
        </w:rPr>
        <w:t xml:space="preserve"> En lo no previsto en la presente ley se aplicarán el Código de Procedimiento Administrativo y de lo Contencioso Administrativo, o en las normas que lo deroguen, modifiquen </w:t>
      </w:r>
      <w:r w:rsidRPr="00222F34">
        <w:rPr>
          <w:rFonts w:ascii="Calibri" w:eastAsia="Times New Roman" w:hAnsi="Calibri" w:cs="Calibri"/>
          <w:color w:val="000000"/>
          <w:lang w:val="es-CO" w:eastAsia="es-CO" w:bidi="ar-SA"/>
        </w:rPr>
        <w:lastRenderedPageBreak/>
        <w:t>o sustituyan, y en lo no regulado en este, el Código General del Proceso, en lo que sea compatible con la función y los procedimientos electorales.</w:t>
      </w:r>
    </w:p>
    <w:p w14:paraId="773E88C6"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274.- Régimen de transición.</w:t>
      </w:r>
      <w:r w:rsidRPr="00222F34">
        <w:rPr>
          <w:rFonts w:ascii="Calibri" w:eastAsia="Times New Roman" w:hAnsi="Calibri" w:cs="Calibri"/>
          <w:color w:val="000000"/>
          <w:lang w:val="es-CO" w:eastAsia="es-CO" w:bidi="ar-SA"/>
        </w:rPr>
        <w:t xml:space="preserve"> Los partidos y movimientos políticos con personería jurídica tendrán dos años a partir de la entrada en vigencia de la presente ley para ajustar sus estatutos y celebrar las respectivas convenciones y congresos.</w:t>
      </w:r>
    </w:p>
    <w:p w14:paraId="1828655D" w14:textId="19233B8A"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ARTÍCULO 27</w:t>
      </w:r>
      <w:r w:rsidR="004B42EC">
        <w:rPr>
          <w:rFonts w:ascii="Calibri" w:eastAsia="Times New Roman" w:hAnsi="Calibri" w:cs="Calibri"/>
          <w:b/>
          <w:bCs/>
          <w:color w:val="000000"/>
          <w:lang w:val="es-CO" w:eastAsia="es-CO" w:bidi="ar-SA"/>
        </w:rPr>
        <w:t>5</w:t>
      </w:r>
      <w:r w:rsidRPr="00222F34">
        <w:rPr>
          <w:rFonts w:ascii="Calibri" w:eastAsia="Times New Roman" w:hAnsi="Calibri" w:cs="Calibri"/>
          <w:b/>
          <w:bCs/>
          <w:color w:val="000000"/>
          <w:lang w:val="es-CO" w:eastAsia="es-CO" w:bidi="ar-SA"/>
        </w:rPr>
        <w:t xml:space="preserve">.- Vigencia. </w:t>
      </w:r>
      <w:r w:rsidRPr="00222F34">
        <w:rPr>
          <w:rFonts w:ascii="Calibri" w:eastAsia="Times New Roman" w:hAnsi="Calibri" w:cs="Calibri"/>
          <w:color w:val="000000"/>
          <w:lang w:val="es-CO" w:eastAsia="es-CO" w:bidi="ar-SA"/>
        </w:rPr>
        <w:t xml:space="preserve">El presente Código Electoral rige a partir de su promulgación y deroga las disposiciones que le sean contrarias. </w:t>
      </w:r>
    </w:p>
    <w:p w14:paraId="60C565A5" w14:textId="77777777" w:rsidR="00CD4925" w:rsidRPr="00222F34" w:rsidRDefault="00CD4925" w:rsidP="00CD4925">
      <w:pPr>
        <w:widowControl/>
        <w:autoSpaceDE/>
        <w:autoSpaceDN/>
        <w:spacing w:beforeLines="80" w:before="192" w:line="276" w:lineRule="auto"/>
        <w:rPr>
          <w:rFonts w:ascii="Calibri" w:eastAsia="Times New Roman" w:hAnsi="Calibri" w:cs="Calibri"/>
          <w:color w:val="000000"/>
          <w:lang w:val="es-CO" w:eastAsia="es-CO" w:bidi="ar-SA"/>
        </w:rPr>
      </w:pPr>
      <w:r w:rsidRPr="00222F34">
        <w:rPr>
          <w:rFonts w:ascii="Calibri" w:eastAsia="Times New Roman" w:hAnsi="Calibri" w:cs="Calibri"/>
          <w:b/>
          <w:bCs/>
          <w:color w:val="000000"/>
          <w:lang w:val="es-CO" w:eastAsia="es-CO" w:bidi="ar-SA"/>
        </w:rPr>
        <w:t>Parágrafo transitorio.</w:t>
      </w:r>
      <w:r w:rsidRPr="00222F34">
        <w:rPr>
          <w:rFonts w:ascii="Calibri" w:eastAsia="Times New Roman" w:hAnsi="Calibri" w:cs="Calibri"/>
          <w:color w:val="000000"/>
          <w:lang w:val="es-CO" w:eastAsia="es-CO" w:bidi="ar-SA"/>
        </w:rPr>
        <w:t xml:space="preserve"> La presente Ley no será aplicable para las elecciones que se lleven a cabo en el año 2023.</w:t>
      </w:r>
    </w:p>
    <w:p w14:paraId="731D2685" w14:textId="2A95C47E" w:rsidR="00123519" w:rsidRPr="00ED461D" w:rsidRDefault="00123519" w:rsidP="00894BC9">
      <w:pPr>
        <w:widowControl/>
        <w:autoSpaceDE/>
        <w:autoSpaceDN/>
        <w:spacing w:line="276" w:lineRule="auto"/>
        <w:jc w:val="left"/>
        <w:rPr>
          <w:rFonts w:ascii="Calibri" w:hAnsi="Calibri" w:cs="Calibri"/>
        </w:rPr>
      </w:pPr>
    </w:p>
    <w:p w14:paraId="5B01194D" w14:textId="6D0D34F4" w:rsidR="00123519" w:rsidRPr="00ED461D" w:rsidRDefault="00123519" w:rsidP="00F94BB9">
      <w:pPr>
        <w:widowControl/>
        <w:autoSpaceDE/>
        <w:autoSpaceDN/>
        <w:spacing w:line="276" w:lineRule="auto"/>
        <w:jc w:val="left"/>
        <w:rPr>
          <w:rFonts w:ascii="Calibri" w:hAnsi="Calibri" w:cs="Calibri"/>
        </w:rPr>
      </w:pPr>
      <w:r w:rsidRPr="00ED461D">
        <w:rPr>
          <w:rFonts w:ascii="Calibri" w:hAnsi="Calibri" w:cs="Calibri"/>
        </w:rPr>
        <w:t>De los H. Congresistas,</w:t>
      </w:r>
    </w:p>
    <w:tbl>
      <w:tblPr>
        <w:tblW w:w="0" w:type="auto"/>
        <w:jc w:val="center"/>
        <w:tblLook w:val="04A0" w:firstRow="1" w:lastRow="0" w:firstColumn="1" w:lastColumn="0" w:noHBand="0" w:noVBand="1"/>
      </w:tblPr>
      <w:tblGrid>
        <w:gridCol w:w="4419"/>
        <w:gridCol w:w="4409"/>
      </w:tblGrid>
      <w:tr w:rsidR="00510AD9" w:rsidRPr="00ED461D" w14:paraId="3D8845D1" w14:textId="77777777" w:rsidTr="00CA11B1">
        <w:trPr>
          <w:trHeight w:val="1928"/>
          <w:jc w:val="center"/>
        </w:trPr>
        <w:tc>
          <w:tcPr>
            <w:tcW w:w="4419" w:type="dxa"/>
            <w:shd w:val="clear" w:color="auto" w:fill="auto"/>
            <w:vAlign w:val="bottom"/>
          </w:tcPr>
          <w:p w14:paraId="76F8B294" w14:textId="1781F230" w:rsidR="00510AD9" w:rsidRPr="00ED461D" w:rsidRDefault="000E2F42" w:rsidP="00CA11B1">
            <w:pPr>
              <w:jc w:val="center"/>
              <w:rPr>
                <w:rFonts w:ascii="Calibri" w:hAnsi="Calibri" w:cs="Calibri"/>
                <w:b/>
                <w:bCs/>
                <w:spacing w:val="-2"/>
              </w:rPr>
            </w:pPr>
            <w:r>
              <w:rPr>
                <w:rFonts w:ascii="Calibri" w:hAnsi="Calibri" w:cs="Calibri"/>
                <w:b/>
                <w:bCs/>
                <w:spacing w:val="-2"/>
              </w:rPr>
              <w:t>ALEJANDRO VEGA PÉ</w:t>
            </w:r>
            <w:r w:rsidR="00510AD9" w:rsidRPr="00ED461D">
              <w:rPr>
                <w:rFonts w:ascii="Calibri" w:hAnsi="Calibri" w:cs="Calibri"/>
                <w:b/>
                <w:bCs/>
                <w:spacing w:val="-2"/>
              </w:rPr>
              <w:t>REZ</w:t>
            </w:r>
          </w:p>
          <w:p w14:paraId="3DE7CF47" w14:textId="35E25A40" w:rsidR="00CB0531" w:rsidRPr="002C7B2A" w:rsidRDefault="00510AD9" w:rsidP="002C7B2A">
            <w:pPr>
              <w:jc w:val="center"/>
              <w:rPr>
                <w:rFonts w:ascii="Calibri" w:hAnsi="Calibri" w:cs="Calibri"/>
                <w:b/>
                <w:szCs w:val="20"/>
              </w:rPr>
            </w:pPr>
            <w:r w:rsidRPr="00ED461D">
              <w:rPr>
                <w:rFonts w:ascii="Calibri" w:hAnsi="Calibri" w:cs="Calibri"/>
                <w:b/>
                <w:bCs/>
                <w:spacing w:val="-2"/>
              </w:rPr>
              <w:t>Senador</w:t>
            </w:r>
            <w:r>
              <w:rPr>
                <w:rFonts w:ascii="Calibri" w:hAnsi="Calibri" w:cs="Calibri"/>
                <w:b/>
                <w:bCs/>
                <w:spacing w:val="-2"/>
              </w:rPr>
              <w:t xml:space="preserve"> de </w:t>
            </w:r>
            <w:r w:rsidRPr="00684C1C">
              <w:rPr>
                <w:rFonts w:ascii="Calibri" w:hAnsi="Calibri" w:cs="Calibri"/>
                <w:b/>
                <w:szCs w:val="20"/>
              </w:rPr>
              <w:t>la República</w:t>
            </w:r>
          </w:p>
        </w:tc>
        <w:tc>
          <w:tcPr>
            <w:tcW w:w="4409" w:type="dxa"/>
            <w:shd w:val="clear" w:color="auto" w:fill="auto"/>
            <w:vAlign w:val="bottom"/>
          </w:tcPr>
          <w:p w14:paraId="0107A5D9" w14:textId="39B003A3" w:rsidR="00510AD9" w:rsidRPr="00ED461D" w:rsidRDefault="00510AD9" w:rsidP="00CA11B1">
            <w:pPr>
              <w:pStyle w:val="Normal1"/>
              <w:spacing w:after="0" w:line="240" w:lineRule="auto"/>
              <w:jc w:val="center"/>
              <w:rPr>
                <w:rFonts w:eastAsia="Arial"/>
                <w:b/>
              </w:rPr>
            </w:pPr>
            <w:r w:rsidRPr="002527DF">
              <w:rPr>
                <w:rFonts w:eastAsia="Arial"/>
                <w:b/>
              </w:rPr>
              <w:t>ALFREDO RAFAEL DELUQUE ZULETA</w:t>
            </w:r>
          </w:p>
          <w:p w14:paraId="1D721B26" w14:textId="7C710267" w:rsidR="00CB0531" w:rsidRPr="002C7B2A" w:rsidRDefault="00510AD9" w:rsidP="002C7B2A">
            <w:pPr>
              <w:pStyle w:val="Normal1"/>
              <w:spacing w:after="0" w:line="240" w:lineRule="auto"/>
              <w:jc w:val="center"/>
              <w:rPr>
                <w:b/>
                <w:szCs w:val="20"/>
              </w:rPr>
            </w:pPr>
            <w:r w:rsidRPr="00ED461D">
              <w:rPr>
                <w:rFonts w:eastAsia="Arial"/>
                <w:b/>
              </w:rPr>
              <w:t>Senador</w:t>
            </w:r>
            <w:r>
              <w:rPr>
                <w:b/>
                <w:bCs/>
                <w:spacing w:val="-2"/>
              </w:rPr>
              <w:t xml:space="preserve"> de </w:t>
            </w:r>
            <w:r w:rsidRPr="00684C1C">
              <w:rPr>
                <w:b/>
                <w:szCs w:val="20"/>
              </w:rPr>
              <w:t>la República</w:t>
            </w:r>
            <w:bookmarkStart w:id="1" w:name="_GoBack"/>
            <w:bookmarkEnd w:id="1"/>
            <w:r w:rsidR="00CB0531" w:rsidRPr="005F730D">
              <w:rPr>
                <w:spacing w:val="-2"/>
                <w:sz w:val="18"/>
                <w:szCs w:val="16"/>
              </w:rPr>
              <w:t xml:space="preserve"> </w:t>
            </w:r>
          </w:p>
        </w:tc>
      </w:tr>
      <w:tr w:rsidR="00510AD9" w:rsidRPr="00ED461D" w14:paraId="41BF1963" w14:textId="77777777" w:rsidTr="00CA11B1">
        <w:trPr>
          <w:trHeight w:val="1928"/>
          <w:jc w:val="center"/>
        </w:trPr>
        <w:tc>
          <w:tcPr>
            <w:tcW w:w="4419" w:type="dxa"/>
            <w:shd w:val="clear" w:color="auto" w:fill="auto"/>
            <w:vAlign w:val="bottom"/>
          </w:tcPr>
          <w:p w14:paraId="2FEB2D12" w14:textId="1352CFA7" w:rsidR="00510AD9" w:rsidRPr="00ED461D" w:rsidRDefault="00510AD9" w:rsidP="00CA11B1">
            <w:pPr>
              <w:jc w:val="center"/>
              <w:rPr>
                <w:rFonts w:ascii="Calibri" w:hAnsi="Calibri" w:cs="Calibri"/>
                <w:b/>
                <w:bCs/>
                <w:spacing w:val="-2"/>
              </w:rPr>
            </w:pPr>
          </w:p>
          <w:p w14:paraId="6C2CC7EE" w14:textId="77777777" w:rsidR="00510AD9" w:rsidRPr="00ED461D" w:rsidRDefault="00510AD9" w:rsidP="00CA11B1">
            <w:pPr>
              <w:jc w:val="center"/>
              <w:rPr>
                <w:rFonts w:ascii="Calibri" w:hAnsi="Calibri" w:cs="Calibri"/>
                <w:b/>
                <w:bCs/>
                <w:spacing w:val="-2"/>
              </w:rPr>
            </w:pPr>
            <w:r w:rsidRPr="002527DF">
              <w:rPr>
                <w:rFonts w:ascii="Calibri" w:hAnsi="Calibri" w:cs="Calibri"/>
                <w:b/>
                <w:bCs/>
                <w:spacing w:val="-2"/>
              </w:rPr>
              <w:t>JUAN DANIEL PEÑUELA</w:t>
            </w:r>
            <w:r>
              <w:rPr>
                <w:rFonts w:ascii="Calibri" w:hAnsi="Calibri" w:cs="Calibri"/>
                <w:b/>
                <w:bCs/>
                <w:spacing w:val="-2"/>
              </w:rPr>
              <w:t xml:space="preserve"> CALVACHE</w:t>
            </w:r>
          </w:p>
          <w:p w14:paraId="0CFEDEBD" w14:textId="77777777" w:rsidR="00510AD9" w:rsidRPr="00ED461D" w:rsidRDefault="00510AD9" w:rsidP="00CA11B1">
            <w:pPr>
              <w:jc w:val="center"/>
              <w:rPr>
                <w:rFonts w:ascii="Calibri" w:hAnsi="Calibri" w:cs="Calibri"/>
                <w:b/>
                <w:bCs/>
                <w:spacing w:val="-2"/>
              </w:rPr>
            </w:pPr>
            <w:r w:rsidRPr="00ED461D">
              <w:rPr>
                <w:rFonts w:ascii="Calibri" w:hAnsi="Calibri" w:cs="Calibri"/>
                <w:b/>
                <w:bCs/>
                <w:spacing w:val="-2"/>
              </w:rPr>
              <w:t xml:space="preserve">Representante </w:t>
            </w:r>
            <w:r w:rsidRPr="00ED461D">
              <w:rPr>
                <w:rFonts w:ascii="Calibri" w:hAnsi="Calibri" w:cs="Calibri"/>
                <w:b/>
              </w:rPr>
              <w:t>a la Cámara</w:t>
            </w:r>
          </w:p>
        </w:tc>
        <w:tc>
          <w:tcPr>
            <w:tcW w:w="4409" w:type="dxa"/>
            <w:shd w:val="clear" w:color="auto" w:fill="auto"/>
            <w:vAlign w:val="bottom"/>
          </w:tcPr>
          <w:p w14:paraId="28B3B414" w14:textId="2EE8A3AC" w:rsidR="00510AD9" w:rsidRPr="00ED461D" w:rsidRDefault="00510AD9" w:rsidP="00CA11B1">
            <w:pPr>
              <w:pStyle w:val="Normal1"/>
              <w:spacing w:after="0" w:line="240" w:lineRule="auto"/>
              <w:jc w:val="center"/>
              <w:rPr>
                <w:rFonts w:eastAsia="Arial"/>
                <w:b/>
              </w:rPr>
            </w:pPr>
          </w:p>
          <w:p w14:paraId="11103EAE" w14:textId="67F7C85F" w:rsidR="00510AD9" w:rsidRPr="00ED461D" w:rsidRDefault="00510AD9" w:rsidP="00CA11B1">
            <w:pPr>
              <w:pStyle w:val="Normal1"/>
              <w:spacing w:after="0" w:line="240" w:lineRule="auto"/>
              <w:jc w:val="center"/>
              <w:rPr>
                <w:rFonts w:eastAsia="Arial"/>
                <w:b/>
              </w:rPr>
            </w:pPr>
          </w:p>
          <w:p w14:paraId="374163C4" w14:textId="61BCA38F" w:rsidR="00510AD9" w:rsidRPr="00ED461D" w:rsidRDefault="00510AD9" w:rsidP="00CA11B1">
            <w:pPr>
              <w:pStyle w:val="Normal1"/>
              <w:spacing w:after="0" w:line="240" w:lineRule="auto"/>
              <w:jc w:val="center"/>
              <w:rPr>
                <w:rFonts w:eastAsia="Arial"/>
                <w:b/>
              </w:rPr>
            </w:pPr>
            <w:r w:rsidRPr="002527DF">
              <w:rPr>
                <w:rFonts w:eastAsia="Arial"/>
                <w:b/>
              </w:rPr>
              <w:t>JORGE ELIÉCER TAMAYO MARULANDA</w:t>
            </w:r>
          </w:p>
          <w:p w14:paraId="629D25C6" w14:textId="77777777" w:rsidR="00510AD9" w:rsidRPr="00ED461D" w:rsidRDefault="00510AD9" w:rsidP="00CA11B1">
            <w:pPr>
              <w:pStyle w:val="Normal1"/>
              <w:spacing w:after="0" w:line="240" w:lineRule="auto"/>
              <w:jc w:val="center"/>
              <w:rPr>
                <w:rFonts w:eastAsia="Arial"/>
              </w:rPr>
            </w:pPr>
            <w:r w:rsidRPr="00ED461D">
              <w:rPr>
                <w:rFonts w:eastAsia="Arial"/>
                <w:b/>
              </w:rPr>
              <w:t>Representante a la Cámara</w:t>
            </w:r>
          </w:p>
        </w:tc>
      </w:tr>
    </w:tbl>
    <w:p w14:paraId="4DF88B3F" w14:textId="6CC3CE81" w:rsidR="0042095F" w:rsidRPr="00ED461D" w:rsidRDefault="0042095F" w:rsidP="00894BC9">
      <w:pPr>
        <w:spacing w:line="276" w:lineRule="auto"/>
        <w:rPr>
          <w:rFonts w:ascii="Calibri" w:hAnsi="Calibri" w:cs="Calibri"/>
        </w:rPr>
      </w:pPr>
    </w:p>
    <w:sectPr w:rsidR="0042095F" w:rsidRPr="00ED461D" w:rsidSect="00CD4925">
      <w:pgSz w:w="12242" w:h="15842" w:code="1"/>
      <w:pgMar w:top="2268" w:right="1134" w:bottom="1134" w:left="1134" w:header="851" w:footer="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181AB" w14:textId="77777777" w:rsidR="009D7F04" w:rsidRDefault="009D7F04">
      <w:r>
        <w:separator/>
      </w:r>
    </w:p>
  </w:endnote>
  <w:endnote w:type="continuationSeparator" w:id="0">
    <w:p w14:paraId="65BCD215" w14:textId="77777777" w:rsidR="009D7F04" w:rsidRDefault="009D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Lucida Grande">
    <w:altName w:val="Arial"/>
    <w:charset w:val="00"/>
    <w:family w:val="swiss"/>
    <w:pitch w:val="variable"/>
    <w:sig w:usb0="00000000"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ZUQBV+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3278" w14:textId="32E11B94" w:rsidR="001D2583" w:rsidRDefault="001D2583" w:rsidP="0042095F">
    <w:pPr>
      <w:pStyle w:val="Piedepgina"/>
      <w:jc w:val="right"/>
    </w:pPr>
    <w:r>
      <w:fldChar w:fldCharType="begin"/>
    </w:r>
    <w:r>
      <w:instrText>PAGE   \* MERGEFORMAT</w:instrText>
    </w:r>
    <w:r>
      <w:fldChar w:fldCharType="separate"/>
    </w:r>
    <w:r w:rsidR="002C7B2A">
      <w:rPr>
        <w:noProof/>
      </w:rPr>
      <w:t>583</w:t>
    </w:r>
    <w:r>
      <w:fldChar w:fldCharType="end"/>
    </w:r>
  </w:p>
  <w:p w14:paraId="7F4AFD66" w14:textId="190C225D" w:rsidR="001D2583" w:rsidRPr="00CA11B1" w:rsidRDefault="001D2583">
    <w:pPr>
      <w:pStyle w:val="Piedepgina"/>
      <w:rPr>
        <w:color w:val="40404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AE70" w14:textId="77777777" w:rsidR="009D7F04" w:rsidRDefault="009D7F04">
      <w:r>
        <w:separator/>
      </w:r>
    </w:p>
  </w:footnote>
  <w:footnote w:type="continuationSeparator" w:id="0">
    <w:p w14:paraId="01E24CBD" w14:textId="77777777" w:rsidR="009D7F04" w:rsidRDefault="009D7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FC2A" w14:textId="4538CE72" w:rsidR="001D2583" w:rsidRDefault="001D2583" w:rsidP="0042095F">
    <w:pPr>
      <w:pStyle w:val="Encabezado"/>
      <w:jc w:val="center"/>
    </w:pPr>
    <w:r w:rsidRPr="00CA11B1">
      <w:rPr>
        <w:noProof/>
        <w:lang w:val="es-CO" w:eastAsia="es-CO" w:bidi="ar-SA"/>
      </w:rPr>
      <w:drawing>
        <wp:anchor distT="0" distB="0" distL="114300" distR="114300" simplePos="0" relativeHeight="251658240" behindDoc="0" locked="0" layoutInCell="1" allowOverlap="1" wp14:anchorId="7F12B2CE" wp14:editId="07761D01">
          <wp:simplePos x="0" y="0"/>
          <wp:positionH relativeFrom="margin">
            <wp:posOffset>1930485</wp:posOffset>
          </wp:positionH>
          <wp:positionV relativeFrom="paragraph">
            <wp:posOffset>-160823</wp:posOffset>
          </wp:positionV>
          <wp:extent cx="2250266" cy="847595"/>
          <wp:effectExtent l="0" t="0" r="0" b="0"/>
          <wp:wrapNone/>
          <wp:docPr id="11" name="Imagen 11" descr="C:\Users\Nathalie\AppData\Local\Packages\5319275A.WhatsAppDesktop_cv1g1gvanyjgm\TempState\C5A8C45BB92B22B295A2E79AFDC26280\Imagen de WhatsApp 2023-06-18 a las 23.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lie\AppData\Local\Packages\5319275A.WhatsAppDesktop_cv1g1gvanyjgm\TempState\C5A8C45BB92B22B295A2E79AFDC26280\Imagen de WhatsApp 2023-06-18 a las 23.19.0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286" cy="853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CD0A4" w14:textId="77777777" w:rsidR="001D2583" w:rsidRDefault="001D2583" w:rsidP="0042095F">
    <w:pPr>
      <w:pStyle w:val="Encabezad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2C89" w14:textId="77777777" w:rsidR="001D2583" w:rsidRDefault="001D2583" w:rsidP="0042095F">
    <w:pPr>
      <w:pStyle w:val="Encabezado"/>
      <w:jc w:val="center"/>
    </w:pPr>
    <w:r w:rsidRPr="00CA11B1">
      <w:rPr>
        <w:noProof/>
        <w:lang w:val="es-CO" w:eastAsia="es-CO" w:bidi="ar-SA"/>
      </w:rPr>
      <w:drawing>
        <wp:anchor distT="0" distB="0" distL="114300" distR="114300" simplePos="0" relativeHeight="251660288" behindDoc="0" locked="0" layoutInCell="1" allowOverlap="1" wp14:anchorId="41CD8838" wp14:editId="29B95ED0">
          <wp:simplePos x="0" y="0"/>
          <wp:positionH relativeFrom="page">
            <wp:posOffset>4077335</wp:posOffset>
          </wp:positionH>
          <wp:positionV relativeFrom="paragraph">
            <wp:posOffset>-375920</wp:posOffset>
          </wp:positionV>
          <wp:extent cx="1897812" cy="714838"/>
          <wp:effectExtent l="0" t="0" r="7620" b="9525"/>
          <wp:wrapNone/>
          <wp:docPr id="8" name="Imagen 8" descr="C:\Users\Nathalie\AppData\Local\Packages\5319275A.WhatsAppDesktop_cv1g1gvanyjgm\TempState\C5A8C45BB92B22B295A2E79AFDC26280\Imagen de WhatsApp 2023-06-18 a las 23.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halie\AppData\Local\Packages\5319275A.WhatsAppDesktop_cv1g1gvanyjgm\TempState\C5A8C45BB92B22B295A2E79AFDC26280\Imagen de WhatsApp 2023-06-18 a las 23.19.0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812" cy="7148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B439C" w14:textId="77777777" w:rsidR="001D2583" w:rsidRDefault="001D2583" w:rsidP="0042095F">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A69"/>
    <w:multiLevelType w:val="multilevel"/>
    <w:tmpl w:val="7FDE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C73AC"/>
    <w:multiLevelType w:val="multilevel"/>
    <w:tmpl w:val="F37A1A92"/>
    <w:lvl w:ilvl="0">
      <w:start w:val="1"/>
      <w:numFmt w:val="decimal"/>
      <w:lvlText w:val="%1."/>
      <w:lvlJc w:val="left"/>
      <w:pPr>
        <w:ind w:left="360" w:hanging="360"/>
      </w:pPr>
      <w:rPr>
        <w:rFonts w:hint="default"/>
        <w:smallCaps w:val="0"/>
        <w:strike w:val="0"/>
        <w:color w:val="000000"/>
        <w:shd w:val="clear" w:color="auto" w:fill="auto"/>
        <w:vertAlign w:val="baseline"/>
      </w:rPr>
    </w:lvl>
    <w:lvl w:ilvl="1">
      <w:start w:val="1"/>
      <w:numFmt w:val="lowerLetter"/>
      <w:lvlText w:val="%2)"/>
      <w:lvlJc w:val="left"/>
      <w:pPr>
        <w:ind w:left="1080" w:hanging="360"/>
      </w:pPr>
      <w:rPr>
        <w:rFonts w:hint="default"/>
        <w:b w:val="0"/>
        <w:bCs w:val="0"/>
        <w:smallCaps w:val="0"/>
        <w:strike w:val="0"/>
        <w:color w:val="auto"/>
        <w:shd w:val="clear" w:color="auto" w:fill="auto"/>
        <w:vertAlign w:val="baseline"/>
      </w:rPr>
    </w:lvl>
    <w:lvl w:ilvl="2">
      <w:start w:val="1"/>
      <w:numFmt w:val="lowerRoman"/>
      <w:lvlText w:val="%3."/>
      <w:lvlJc w:val="left"/>
      <w:pPr>
        <w:ind w:left="1800" w:hanging="294"/>
      </w:pPr>
      <w:rPr>
        <w:rFonts w:hint="default"/>
        <w:smallCaps w:val="0"/>
        <w:strike w:val="0"/>
        <w:color w:val="000000"/>
        <w:shd w:val="clear" w:color="auto" w:fill="auto"/>
        <w:vertAlign w:val="baseline"/>
      </w:rPr>
    </w:lvl>
    <w:lvl w:ilvl="3">
      <w:start w:val="1"/>
      <w:numFmt w:val="decimal"/>
      <w:lvlText w:val="%4."/>
      <w:lvlJc w:val="left"/>
      <w:pPr>
        <w:ind w:left="2520" w:hanging="360"/>
      </w:pPr>
      <w:rPr>
        <w:rFonts w:hint="default"/>
        <w:smallCaps w:val="0"/>
        <w:strike w:val="0"/>
        <w:color w:val="000000"/>
        <w:shd w:val="clear" w:color="auto" w:fill="auto"/>
        <w:vertAlign w:val="baseline"/>
      </w:rPr>
    </w:lvl>
    <w:lvl w:ilvl="4">
      <w:start w:val="1"/>
      <w:numFmt w:val="lowerLetter"/>
      <w:lvlText w:val="%5."/>
      <w:lvlJc w:val="left"/>
      <w:pPr>
        <w:ind w:left="3240" w:hanging="360"/>
      </w:pPr>
      <w:rPr>
        <w:rFonts w:hint="default"/>
        <w:smallCaps w:val="0"/>
        <w:strike w:val="0"/>
        <w:color w:val="000000"/>
        <w:shd w:val="clear" w:color="auto" w:fill="auto"/>
        <w:vertAlign w:val="baseline"/>
      </w:rPr>
    </w:lvl>
    <w:lvl w:ilvl="5">
      <w:start w:val="1"/>
      <w:numFmt w:val="lowerRoman"/>
      <w:lvlText w:val="%6."/>
      <w:lvlJc w:val="left"/>
      <w:pPr>
        <w:ind w:left="3960" w:hanging="294"/>
      </w:pPr>
      <w:rPr>
        <w:rFonts w:hint="default"/>
        <w:smallCaps w:val="0"/>
        <w:strike w:val="0"/>
        <w:color w:val="000000"/>
        <w:shd w:val="clear" w:color="auto" w:fill="auto"/>
        <w:vertAlign w:val="baseline"/>
      </w:rPr>
    </w:lvl>
    <w:lvl w:ilvl="6">
      <w:start w:val="1"/>
      <w:numFmt w:val="decimal"/>
      <w:lvlText w:val="%7."/>
      <w:lvlJc w:val="left"/>
      <w:pPr>
        <w:ind w:left="4680" w:hanging="360"/>
      </w:pPr>
      <w:rPr>
        <w:rFonts w:hint="default"/>
        <w:smallCaps w:val="0"/>
        <w:strike w:val="0"/>
        <w:color w:val="000000"/>
        <w:shd w:val="clear" w:color="auto" w:fill="auto"/>
        <w:vertAlign w:val="baseline"/>
      </w:rPr>
    </w:lvl>
    <w:lvl w:ilvl="7">
      <w:start w:val="1"/>
      <w:numFmt w:val="lowerLetter"/>
      <w:lvlText w:val="%8."/>
      <w:lvlJc w:val="left"/>
      <w:pPr>
        <w:ind w:left="5400" w:hanging="360"/>
      </w:pPr>
      <w:rPr>
        <w:rFonts w:hint="default"/>
        <w:smallCaps w:val="0"/>
        <w:strike w:val="0"/>
        <w:color w:val="000000"/>
        <w:shd w:val="clear" w:color="auto" w:fill="auto"/>
        <w:vertAlign w:val="baseline"/>
      </w:rPr>
    </w:lvl>
    <w:lvl w:ilvl="8">
      <w:start w:val="1"/>
      <w:numFmt w:val="lowerRoman"/>
      <w:lvlText w:val="%9."/>
      <w:lvlJc w:val="left"/>
      <w:pPr>
        <w:ind w:left="6120" w:hanging="294"/>
      </w:pPr>
      <w:rPr>
        <w:rFonts w:hint="default"/>
        <w:smallCaps w:val="0"/>
        <w:strike w:val="0"/>
        <w:color w:val="000000"/>
        <w:shd w:val="clear" w:color="auto" w:fill="auto"/>
        <w:vertAlign w:val="baseline"/>
      </w:rPr>
    </w:lvl>
  </w:abstractNum>
  <w:abstractNum w:abstractNumId="2" w15:restartNumberingAfterBreak="0">
    <w:nsid w:val="00D065E9"/>
    <w:multiLevelType w:val="hybridMultilevel"/>
    <w:tmpl w:val="5B36A61C"/>
    <w:lvl w:ilvl="0" w:tplc="B080C27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0E466BF"/>
    <w:multiLevelType w:val="multilevel"/>
    <w:tmpl w:val="36885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6657DE"/>
    <w:multiLevelType w:val="multilevel"/>
    <w:tmpl w:val="AB42A97C"/>
    <w:lvl w:ilvl="0">
      <w:start w:val="10"/>
      <w:numFmt w:val="decimal"/>
      <w:lvlText w:val="(%1)"/>
      <w:lvlJc w:val="left"/>
      <w:pPr>
        <w:ind w:left="448" w:hanging="562"/>
      </w:pPr>
      <w:rPr>
        <w:rFonts w:ascii="Arial" w:eastAsia="Arial" w:hAnsi="Arial" w:cs="Arial"/>
        <w:sz w:val="24"/>
        <w:szCs w:val="24"/>
      </w:rPr>
    </w:lvl>
    <w:lvl w:ilvl="1">
      <w:start w:val="1"/>
      <w:numFmt w:val="decimal"/>
      <w:lvlText w:val="%2."/>
      <w:lvlJc w:val="left"/>
      <w:pPr>
        <w:ind w:left="1096" w:hanging="360"/>
      </w:pPr>
      <w:rPr>
        <w:rFonts w:ascii="Arial" w:eastAsia="Arial" w:hAnsi="Arial" w:cs="Arial"/>
        <w:b w:val="0"/>
        <w:bCs/>
        <w:sz w:val="20"/>
        <w:szCs w:val="20"/>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5" w15:restartNumberingAfterBreak="0">
    <w:nsid w:val="01DA482D"/>
    <w:multiLevelType w:val="hybridMultilevel"/>
    <w:tmpl w:val="11CAB48C"/>
    <w:lvl w:ilvl="0" w:tplc="DD2A4168">
      <w:start w:val="1"/>
      <w:numFmt w:val="decimal"/>
      <w:lvlText w:val="%1."/>
      <w:lvlJc w:val="left"/>
      <w:pPr>
        <w:ind w:left="1096" w:hanging="360"/>
      </w:pPr>
      <w:rPr>
        <w:rFonts w:ascii="Arial" w:eastAsia="Arial" w:hAnsi="Arial" w:cs="Arial" w:hint="default"/>
        <w:w w:val="100"/>
        <w:sz w:val="24"/>
        <w:szCs w:val="24"/>
      </w:rPr>
    </w:lvl>
    <w:lvl w:ilvl="1" w:tplc="886AEEDA">
      <w:numFmt w:val="bullet"/>
      <w:lvlText w:val="•"/>
      <w:lvlJc w:val="left"/>
      <w:pPr>
        <w:ind w:left="1974" w:hanging="360"/>
      </w:pPr>
      <w:rPr>
        <w:rFonts w:hint="default"/>
      </w:rPr>
    </w:lvl>
    <w:lvl w:ilvl="2" w:tplc="DEC00EDA">
      <w:numFmt w:val="bullet"/>
      <w:lvlText w:val="•"/>
      <w:lvlJc w:val="left"/>
      <w:pPr>
        <w:ind w:left="2848" w:hanging="360"/>
      </w:pPr>
      <w:rPr>
        <w:rFonts w:hint="default"/>
      </w:rPr>
    </w:lvl>
    <w:lvl w:ilvl="3" w:tplc="127A4E9E">
      <w:numFmt w:val="bullet"/>
      <w:lvlText w:val="•"/>
      <w:lvlJc w:val="left"/>
      <w:pPr>
        <w:ind w:left="3722" w:hanging="360"/>
      </w:pPr>
      <w:rPr>
        <w:rFonts w:hint="default"/>
      </w:rPr>
    </w:lvl>
    <w:lvl w:ilvl="4" w:tplc="76900BDC">
      <w:numFmt w:val="bullet"/>
      <w:lvlText w:val="•"/>
      <w:lvlJc w:val="left"/>
      <w:pPr>
        <w:ind w:left="4596" w:hanging="360"/>
      </w:pPr>
      <w:rPr>
        <w:rFonts w:hint="default"/>
      </w:rPr>
    </w:lvl>
    <w:lvl w:ilvl="5" w:tplc="3FECB972">
      <w:numFmt w:val="bullet"/>
      <w:lvlText w:val="•"/>
      <w:lvlJc w:val="left"/>
      <w:pPr>
        <w:ind w:left="5470" w:hanging="360"/>
      </w:pPr>
      <w:rPr>
        <w:rFonts w:hint="default"/>
      </w:rPr>
    </w:lvl>
    <w:lvl w:ilvl="6" w:tplc="C7FECE46">
      <w:numFmt w:val="bullet"/>
      <w:lvlText w:val="•"/>
      <w:lvlJc w:val="left"/>
      <w:pPr>
        <w:ind w:left="6344" w:hanging="360"/>
      </w:pPr>
      <w:rPr>
        <w:rFonts w:hint="default"/>
      </w:rPr>
    </w:lvl>
    <w:lvl w:ilvl="7" w:tplc="CBA2A4D8">
      <w:numFmt w:val="bullet"/>
      <w:lvlText w:val="•"/>
      <w:lvlJc w:val="left"/>
      <w:pPr>
        <w:ind w:left="7218" w:hanging="360"/>
      </w:pPr>
      <w:rPr>
        <w:rFonts w:hint="default"/>
      </w:rPr>
    </w:lvl>
    <w:lvl w:ilvl="8" w:tplc="7D7C634A">
      <w:numFmt w:val="bullet"/>
      <w:lvlText w:val="•"/>
      <w:lvlJc w:val="left"/>
      <w:pPr>
        <w:ind w:left="8092" w:hanging="360"/>
      </w:pPr>
      <w:rPr>
        <w:rFonts w:hint="default"/>
      </w:rPr>
    </w:lvl>
  </w:abstractNum>
  <w:abstractNum w:abstractNumId="6" w15:restartNumberingAfterBreak="0">
    <w:nsid w:val="03447B1C"/>
    <w:multiLevelType w:val="hybridMultilevel"/>
    <w:tmpl w:val="61124306"/>
    <w:lvl w:ilvl="0" w:tplc="AEF47D66">
      <w:start w:val="1"/>
      <w:numFmt w:val="decimal"/>
      <w:lvlText w:val="%1."/>
      <w:lvlJc w:val="left"/>
      <w:pPr>
        <w:ind w:left="736" w:hanging="360"/>
      </w:pPr>
      <w:rPr>
        <w:rFonts w:ascii="Arial" w:eastAsia="Arial" w:hAnsi="Arial" w:cs="Arial" w:hint="default"/>
        <w:spacing w:val="-14"/>
        <w:w w:val="100"/>
        <w:sz w:val="20"/>
        <w:szCs w:val="20"/>
      </w:rPr>
    </w:lvl>
    <w:lvl w:ilvl="1" w:tplc="A286824E">
      <w:start w:val="1"/>
      <w:numFmt w:val="decimal"/>
      <w:lvlText w:val="%2."/>
      <w:lvlJc w:val="left"/>
      <w:pPr>
        <w:ind w:left="1096" w:hanging="360"/>
      </w:pPr>
      <w:rPr>
        <w:rFonts w:ascii="Arial" w:eastAsia="Arial" w:hAnsi="Arial" w:cs="Arial" w:hint="default"/>
        <w:spacing w:val="-4"/>
        <w:w w:val="100"/>
        <w:sz w:val="24"/>
        <w:szCs w:val="24"/>
      </w:rPr>
    </w:lvl>
    <w:lvl w:ilvl="2" w:tplc="53A2CFC4">
      <w:numFmt w:val="bullet"/>
      <w:lvlText w:val="•"/>
      <w:lvlJc w:val="left"/>
      <w:pPr>
        <w:ind w:left="2071" w:hanging="360"/>
      </w:pPr>
      <w:rPr>
        <w:rFonts w:hint="default"/>
      </w:rPr>
    </w:lvl>
    <w:lvl w:ilvl="3" w:tplc="52C4A1C4">
      <w:numFmt w:val="bullet"/>
      <w:lvlText w:val="•"/>
      <w:lvlJc w:val="left"/>
      <w:pPr>
        <w:ind w:left="3042" w:hanging="360"/>
      </w:pPr>
      <w:rPr>
        <w:rFonts w:hint="default"/>
      </w:rPr>
    </w:lvl>
    <w:lvl w:ilvl="4" w:tplc="464C4CD6">
      <w:numFmt w:val="bullet"/>
      <w:lvlText w:val="•"/>
      <w:lvlJc w:val="left"/>
      <w:pPr>
        <w:ind w:left="4013" w:hanging="360"/>
      </w:pPr>
      <w:rPr>
        <w:rFonts w:hint="default"/>
      </w:rPr>
    </w:lvl>
    <w:lvl w:ilvl="5" w:tplc="18503DB4">
      <w:numFmt w:val="bullet"/>
      <w:lvlText w:val="•"/>
      <w:lvlJc w:val="left"/>
      <w:pPr>
        <w:ind w:left="4984" w:hanging="360"/>
      </w:pPr>
      <w:rPr>
        <w:rFonts w:hint="default"/>
      </w:rPr>
    </w:lvl>
    <w:lvl w:ilvl="6" w:tplc="996E94A8">
      <w:numFmt w:val="bullet"/>
      <w:lvlText w:val="•"/>
      <w:lvlJc w:val="left"/>
      <w:pPr>
        <w:ind w:left="5955" w:hanging="360"/>
      </w:pPr>
      <w:rPr>
        <w:rFonts w:hint="default"/>
      </w:rPr>
    </w:lvl>
    <w:lvl w:ilvl="7" w:tplc="75524F06">
      <w:numFmt w:val="bullet"/>
      <w:lvlText w:val="•"/>
      <w:lvlJc w:val="left"/>
      <w:pPr>
        <w:ind w:left="6926" w:hanging="360"/>
      </w:pPr>
      <w:rPr>
        <w:rFonts w:hint="default"/>
      </w:rPr>
    </w:lvl>
    <w:lvl w:ilvl="8" w:tplc="F342DDAE">
      <w:numFmt w:val="bullet"/>
      <w:lvlText w:val="•"/>
      <w:lvlJc w:val="left"/>
      <w:pPr>
        <w:ind w:left="7897" w:hanging="360"/>
      </w:pPr>
      <w:rPr>
        <w:rFonts w:hint="default"/>
      </w:rPr>
    </w:lvl>
  </w:abstractNum>
  <w:abstractNum w:abstractNumId="7" w15:restartNumberingAfterBreak="0">
    <w:nsid w:val="04A60E4B"/>
    <w:multiLevelType w:val="multilevel"/>
    <w:tmpl w:val="A8A0A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52227BE"/>
    <w:multiLevelType w:val="multilevel"/>
    <w:tmpl w:val="F11EAC66"/>
    <w:lvl w:ilvl="0">
      <w:start w:val="1"/>
      <w:numFmt w:val="decimal"/>
      <w:lvlText w:val="%1."/>
      <w:lvlJc w:val="left"/>
      <w:pPr>
        <w:ind w:left="360" w:hanging="360"/>
      </w:pPr>
      <w:rPr>
        <w:rFonts w:ascii="Arial" w:eastAsia="Arial" w:hAnsi="Arial" w:cs="Arial"/>
        <w:sz w:val="20"/>
        <w:szCs w:val="20"/>
      </w:rPr>
    </w:lvl>
    <w:lvl w:ilvl="1">
      <w:start w:val="1"/>
      <w:numFmt w:val="bullet"/>
      <w:lvlText w:val="•"/>
      <w:lvlJc w:val="left"/>
      <w:pPr>
        <w:ind w:left="1238" w:hanging="360"/>
      </w:pPr>
    </w:lvl>
    <w:lvl w:ilvl="2">
      <w:start w:val="1"/>
      <w:numFmt w:val="bullet"/>
      <w:lvlText w:val="•"/>
      <w:lvlJc w:val="left"/>
      <w:pPr>
        <w:ind w:left="2112" w:hanging="360"/>
      </w:pPr>
    </w:lvl>
    <w:lvl w:ilvl="3">
      <w:start w:val="1"/>
      <w:numFmt w:val="bullet"/>
      <w:lvlText w:val="•"/>
      <w:lvlJc w:val="left"/>
      <w:pPr>
        <w:ind w:left="2986" w:hanging="360"/>
      </w:pPr>
    </w:lvl>
    <w:lvl w:ilvl="4">
      <w:start w:val="1"/>
      <w:numFmt w:val="bullet"/>
      <w:lvlText w:val="•"/>
      <w:lvlJc w:val="left"/>
      <w:pPr>
        <w:ind w:left="3860" w:hanging="360"/>
      </w:pPr>
    </w:lvl>
    <w:lvl w:ilvl="5">
      <w:start w:val="1"/>
      <w:numFmt w:val="bullet"/>
      <w:lvlText w:val="•"/>
      <w:lvlJc w:val="left"/>
      <w:pPr>
        <w:ind w:left="4734" w:hanging="360"/>
      </w:pPr>
    </w:lvl>
    <w:lvl w:ilvl="6">
      <w:start w:val="1"/>
      <w:numFmt w:val="bullet"/>
      <w:lvlText w:val="•"/>
      <w:lvlJc w:val="left"/>
      <w:pPr>
        <w:ind w:left="5608" w:hanging="360"/>
      </w:pPr>
    </w:lvl>
    <w:lvl w:ilvl="7">
      <w:start w:val="1"/>
      <w:numFmt w:val="bullet"/>
      <w:lvlText w:val="•"/>
      <w:lvlJc w:val="left"/>
      <w:pPr>
        <w:ind w:left="6482" w:hanging="360"/>
      </w:pPr>
    </w:lvl>
    <w:lvl w:ilvl="8">
      <w:start w:val="1"/>
      <w:numFmt w:val="bullet"/>
      <w:lvlText w:val="•"/>
      <w:lvlJc w:val="left"/>
      <w:pPr>
        <w:ind w:left="7356" w:hanging="360"/>
      </w:pPr>
    </w:lvl>
  </w:abstractNum>
  <w:abstractNum w:abstractNumId="9" w15:restartNumberingAfterBreak="0">
    <w:nsid w:val="05A5445A"/>
    <w:multiLevelType w:val="multilevel"/>
    <w:tmpl w:val="CC2ADFE4"/>
    <w:lvl w:ilvl="0">
      <w:start w:val="1"/>
      <w:numFmt w:val="decimal"/>
      <w:lvlText w:val="%1."/>
      <w:lvlJc w:val="left"/>
      <w:pPr>
        <w:ind w:left="360"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Roman"/>
      <w:lvlText w:val="%3."/>
      <w:lvlJc w:val="left"/>
      <w:pPr>
        <w:ind w:left="1800" w:hanging="294"/>
      </w:pPr>
      <w:rPr>
        <w:smallCaps w:val="0"/>
        <w:strike w:val="0"/>
        <w:color w:val="000000"/>
        <w:shd w:val="clear" w:color="auto" w:fill="auto"/>
        <w:vertAlign w:val="baseline"/>
      </w:rPr>
    </w:lvl>
    <w:lvl w:ilvl="3">
      <w:start w:val="1"/>
      <w:numFmt w:val="decimal"/>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Roman"/>
      <w:lvlText w:val="%6."/>
      <w:lvlJc w:val="left"/>
      <w:pPr>
        <w:ind w:left="3960" w:hanging="294"/>
      </w:pPr>
      <w:rPr>
        <w:smallCaps w:val="0"/>
        <w:strike w:val="0"/>
        <w:color w:val="000000"/>
        <w:shd w:val="clear" w:color="auto" w:fill="auto"/>
        <w:vertAlign w:val="baseline"/>
      </w:rPr>
    </w:lvl>
    <w:lvl w:ilvl="6">
      <w:start w:val="1"/>
      <w:numFmt w:val="decimal"/>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Roman"/>
      <w:lvlText w:val="%9."/>
      <w:lvlJc w:val="left"/>
      <w:pPr>
        <w:ind w:left="6120" w:hanging="294"/>
      </w:pPr>
      <w:rPr>
        <w:smallCaps w:val="0"/>
        <w:strike w:val="0"/>
        <w:color w:val="000000"/>
        <w:shd w:val="clear" w:color="auto" w:fill="auto"/>
        <w:vertAlign w:val="baseline"/>
      </w:rPr>
    </w:lvl>
  </w:abstractNum>
  <w:abstractNum w:abstractNumId="10" w15:restartNumberingAfterBreak="0">
    <w:nsid w:val="05D97EF5"/>
    <w:multiLevelType w:val="hybridMultilevel"/>
    <w:tmpl w:val="AFA01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732CA9"/>
    <w:multiLevelType w:val="hybridMultilevel"/>
    <w:tmpl w:val="2392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9711C3"/>
    <w:multiLevelType w:val="multilevel"/>
    <w:tmpl w:val="62A01B72"/>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06D66E8D"/>
    <w:multiLevelType w:val="multilevel"/>
    <w:tmpl w:val="796ECD6E"/>
    <w:lvl w:ilvl="0">
      <w:start w:val="10"/>
      <w:numFmt w:val="decimal"/>
      <w:lvlText w:val="(%1)"/>
      <w:lvlJc w:val="left"/>
      <w:pPr>
        <w:ind w:left="448" w:hanging="562"/>
      </w:pPr>
      <w:rPr>
        <w:rFonts w:ascii="Arial" w:eastAsia="Arial" w:hAnsi="Arial" w:cs="Arial"/>
        <w:sz w:val="24"/>
        <w:szCs w:val="24"/>
      </w:rPr>
    </w:lvl>
    <w:lvl w:ilvl="1">
      <w:start w:val="1"/>
      <w:numFmt w:val="decimal"/>
      <w:lvlText w:val="%2."/>
      <w:lvlJc w:val="left"/>
      <w:pPr>
        <w:ind w:left="1096" w:hanging="360"/>
      </w:pPr>
      <w:rPr>
        <w:rFonts w:ascii="Arial" w:eastAsia="Arial" w:hAnsi="Arial" w:cs="Arial"/>
        <w:b w:val="0"/>
        <w:bCs/>
        <w:sz w:val="20"/>
        <w:szCs w:val="20"/>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14" w15:restartNumberingAfterBreak="0">
    <w:nsid w:val="09EA7B6F"/>
    <w:multiLevelType w:val="hybridMultilevel"/>
    <w:tmpl w:val="E95043BA"/>
    <w:lvl w:ilvl="0" w:tplc="AC606F3C">
      <w:start w:val="1"/>
      <w:numFmt w:val="decimal"/>
      <w:lvlText w:val="%1."/>
      <w:lvlJc w:val="left"/>
      <w:pPr>
        <w:ind w:left="1096" w:hanging="360"/>
      </w:pPr>
      <w:rPr>
        <w:rFonts w:ascii="Arial" w:eastAsia="Arial" w:hAnsi="Arial" w:cs="Arial" w:hint="default"/>
        <w:spacing w:val="-24"/>
        <w:w w:val="100"/>
        <w:sz w:val="20"/>
        <w:szCs w:val="20"/>
      </w:rPr>
    </w:lvl>
    <w:lvl w:ilvl="1" w:tplc="B2EA5B7A">
      <w:numFmt w:val="bullet"/>
      <w:lvlText w:val="•"/>
      <w:lvlJc w:val="left"/>
      <w:pPr>
        <w:ind w:left="1974" w:hanging="360"/>
      </w:pPr>
      <w:rPr>
        <w:rFonts w:hint="default"/>
      </w:rPr>
    </w:lvl>
    <w:lvl w:ilvl="2" w:tplc="F2CE579C">
      <w:numFmt w:val="bullet"/>
      <w:lvlText w:val="•"/>
      <w:lvlJc w:val="left"/>
      <w:pPr>
        <w:ind w:left="2848" w:hanging="360"/>
      </w:pPr>
      <w:rPr>
        <w:rFonts w:hint="default"/>
      </w:rPr>
    </w:lvl>
    <w:lvl w:ilvl="3" w:tplc="91CE2DCC">
      <w:numFmt w:val="bullet"/>
      <w:lvlText w:val="•"/>
      <w:lvlJc w:val="left"/>
      <w:pPr>
        <w:ind w:left="3722" w:hanging="360"/>
      </w:pPr>
      <w:rPr>
        <w:rFonts w:hint="default"/>
      </w:rPr>
    </w:lvl>
    <w:lvl w:ilvl="4" w:tplc="5AE6C720">
      <w:numFmt w:val="bullet"/>
      <w:lvlText w:val="•"/>
      <w:lvlJc w:val="left"/>
      <w:pPr>
        <w:ind w:left="4596" w:hanging="360"/>
      </w:pPr>
      <w:rPr>
        <w:rFonts w:hint="default"/>
      </w:rPr>
    </w:lvl>
    <w:lvl w:ilvl="5" w:tplc="8902985C">
      <w:numFmt w:val="bullet"/>
      <w:lvlText w:val="•"/>
      <w:lvlJc w:val="left"/>
      <w:pPr>
        <w:ind w:left="5470" w:hanging="360"/>
      </w:pPr>
      <w:rPr>
        <w:rFonts w:hint="default"/>
      </w:rPr>
    </w:lvl>
    <w:lvl w:ilvl="6" w:tplc="85E05EB6">
      <w:numFmt w:val="bullet"/>
      <w:lvlText w:val="•"/>
      <w:lvlJc w:val="left"/>
      <w:pPr>
        <w:ind w:left="6344" w:hanging="360"/>
      </w:pPr>
      <w:rPr>
        <w:rFonts w:hint="default"/>
      </w:rPr>
    </w:lvl>
    <w:lvl w:ilvl="7" w:tplc="DDBCF45A">
      <w:numFmt w:val="bullet"/>
      <w:lvlText w:val="•"/>
      <w:lvlJc w:val="left"/>
      <w:pPr>
        <w:ind w:left="7218" w:hanging="360"/>
      </w:pPr>
      <w:rPr>
        <w:rFonts w:hint="default"/>
      </w:rPr>
    </w:lvl>
    <w:lvl w:ilvl="8" w:tplc="E3E6823E">
      <w:numFmt w:val="bullet"/>
      <w:lvlText w:val="•"/>
      <w:lvlJc w:val="left"/>
      <w:pPr>
        <w:ind w:left="8092" w:hanging="360"/>
      </w:pPr>
      <w:rPr>
        <w:rFonts w:hint="default"/>
      </w:rPr>
    </w:lvl>
  </w:abstractNum>
  <w:abstractNum w:abstractNumId="15" w15:restartNumberingAfterBreak="0">
    <w:nsid w:val="0AA34155"/>
    <w:multiLevelType w:val="hybridMultilevel"/>
    <w:tmpl w:val="BBF2E226"/>
    <w:lvl w:ilvl="0" w:tplc="6F12733C">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F05C75"/>
    <w:multiLevelType w:val="hybridMultilevel"/>
    <w:tmpl w:val="DB38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990C38"/>
    <w:multiLevelType w:val="hybridMultilevel"/>
    <w:tmpl w:val="CE32F61E"/>
    <w:lvl w:ilvl="0" w:tplc="94120A28">
      <w:start w:val="1"/>
      <w:numFmt w:val="decimal"/>
      <w:lvlText w:val="%1."/>
      <w:lvlJc w:val="left"/>
      <w:pPr>
        <w:ind w:left="1096" w:hanging="360"/>
      </w:pPr>
      <w:rPr>
        <w:rFonts w:ascii="Arial" w:eastAsia="Arial" w:hAnsi="Arial" w:cs="Arial" w:hint="default"/>
        <w:w w:val="100"/>
        <w:sz w:val="20"/>
        <w:szCs w:val="20"/>
      </w:rPr>
    </w:lvl>
    <w:lvl w:ilvl="1" w:tplc="886AEEDA">
      <w:numFmt w:val="bullet"/>
      <w:lvlText w:val="•"/>
      <w:lvlJc w:val="left"/>
      <w:pPr>
        <w:ind w:left="1974" w:hanging="360"/>
      </w:pPr>
      <w:rPr>
        <w:rFonts w:hint="default"/>
      </w:rPr>
    </w:lvl>
    <w:lvl w:ilvl="2" w:tplc="DEC00EDA">
      <w:numFmt w:val="bullet"/>
      <w:lvlText w:val="•"/>
      <w:lvlJc w:val="left"/>
      <w:pPr>
        <w:ind w:left="2848" w:hanging="360"/>
      </w:pPr>
      <w:rPr>
        <w:rFonts w:hint="default"/>
      </w:rPr>
    </w:lvl>
    <w:lvl w:ilvl="3" w:tplc="127A4E9E">
      <w:numFmt w:val="bullet"/>
      <w:lvlText w:val="•"/>
      <w:lvlJc w:val="left"/>
      <w:pPr>
        <w:ind w:left="3722" w:hanging="360"/>
      </w:pPr>
      <w:rPr>
        <w:rFonts w:hint="default"/>
      </w:rPr>
    </w:lvl>
    <w:lvl w:ilvl="4" w:tplc="76900BDC">
      <w:numFmt w:val="bullet"/>
      <w:lvlText w:val="•"/>
      <w:lvlJc w:val="left"/>
      <w:pPr>
        <w:ind w:left="4596" w:hanging="360"/>
      </w:pPr>
      <w:rPr>
        <w:rFonts w:hint="default"/>
      </w:rPr>
    </w:lvl>
    <w:lvl w:ilvl="5" w:tplc="3FECB972">
      <w:numFmt w:val="bullet"/>
      <w:lvlText w:val="•"/>
      <w:lvlJc w:val="left"/>
      <w:pPr>
        <w:ind w:left="5470" w:hanging="360"/>
      </w:pPr>
      <w:rPr>
        <w:rFonts w:hint="default"/>
      </w:rPr>
    </w:lvl>
    <w:lvl w:ilvl="6" w:tplc="C7FECE46">
      <w:numFmt w:val="bullet"/>
      <w:lvlText w:val="•"/>
      <w:lvlJc w:val="left"/>
      <w:pPr>
        <w:ind w:left="6344" w:hanging="360"/>
      </w:pPr>
      <w:rPr>
        <w:rFonts w:hint="default"/>
      </w:rPr>
    </w:lvl>
    <w:lvl w:ilvl="7" w:tplc="CBA2A4D8">
      <w:numFmt w:val="bullet"/>
      <w:lvlText w:val="•"/>
      <w:lvlJc w:val="left"/>
      <w:pPr>
        <w:ind w:left="7218" w:hanging="360"/>
      </w:pPr>
      <w:rPr>
        <w:rFonts w:hint="default"/>
      </w:rPr>
    </w:lvl>
    <w:lvl w:ilvl="8" w:tplc="7D7C634A">
      <w:numFmt w:val="bullet"/>
      <w:lvlText w:val="•"/>
      <w:lvlJc w:val="left"/>
      <w:pPr>
        <w:ind w:left="8092" w:hanging="360"/>
      </w:pPr>
      <w:rPr>
        <w:rFonts w:hint="default"/>
      </w:rPr>
    </w:lvl>
  </w:abstractNum>
  <w:abstractNum w:abstractNumId="18" w15:restartNumberingAfterBreak="0">
    <w:nsid w:val="0BAD1EF9"/>
    <w:multiLevelType w:val="hybridMultilevel"/>
    <w:tmpl w:val="36782484"/>
    <w:lvl w:ilvl="0" w:tplc="29D4EF38">
      <w:start w:val="1"/>
      <w:numFmt w:val="decimal"/>
      <w:lvlText w:val="%1."/>
      <w:lvlJc w:val="left"/>
      <w:pPr>
        <w:ind w:left="736" w:hanging="360"/>
      </w:pPr>
      <w:rPr>
        <w:rFonts w:ascii="Arial" w:eastAsia="Arial" w:hAnsi="Arial" w:cs="Arial" w:hint="default"/>
        <w:spacing w:val="-19"/>
        <w:w w:val="100"/>
        <w:sz w:val="24"/>
        <w:szCs w:val="24"/>
      </w:rPr>
    </w:lvl>
    <w:lvl w:ilvl="1" w:tplc="B5E25294">
      <w:numFmt w:val="bullet"/>
      <w:lvlText w:val="•"/>
      <w:lvlJc w:val="left"/>
      <w:pPr>
        <w:ind w:left="1650" w:hanging="360"/>
      </w:pPr>
      <w:rPr>
        <w:rFonts w:hint="default"/>
      </w:rPr>
    </w:lvl>
    <w:lvl w:ilvl="2" w:tplc="79C6078C">
      <w:numFmt w:val="bullet"/>
      <w:lvlText w:val="•"/>
      <w:lvlJc w:val="left"/>
      <w:pPr>
        <w:ind w:left="2560" w:hanging="360"/>
      </w:pPr>
      <w:rPr>
        <w:rFonts w:hint="default"/>
      </w:rPr>
    </w:lvl>
    <w:lvl w:ilvl="3" w:tplc="FF261E3C">
      <w:numFmt w:val="bullet"/>
      <w:lvlText w:val="•"/>
      <w:lvlJc w:val="left"/>
      <w:pPr>
        <w:ind w:left="3470" w:hanging="360"/>
      </w:pPr>
      <w:rPr>
        <w:rFonts w:hint="default"/>
      </w:rPr>
    </w:lvl>
    <w:lvl w:ilvl="4" w:tplc="48FEA6AE">
      <w:numFmt w:val="bullet"/>
      <w:lvlText w:val="•"/>
      <w:lvlJc w:val="left"/>
      <w:pPr>
        <w:ind w:left="4380" w:hanging="360"/>
      </w:pPr>
      <w:rPr>
        <w:rFonts w:hint="default"/>
      </w:rPr>
    </w:lvl>
    <w:lvl w:ilvl="5" w:tplc="0DF271FC">
      <w:numFmt w:val="bullet"/>
      <w:lvlText w:val="•"/>
      <w:lvlJc w:val="left"/>
      <w:pPr>
        <w:ind w:left="5290" w:hanging="360"/>
      </w:pPr>
      <w:rPr>
        <w:rFonts w:hint="default"/>
      </w:rPr>
    </w:lvl>
    <w:lvl w:ilvl="6" w:tplc="6346EE2E">
      <w:numFmt w:val="bullet"/>
      <w:lvlText w:val="•"/>
      <w:lvlJc w:val="left"/>
      <w:pPr>
        <w:ind w:left="6200" w:hanging="360"/>
      </w:pPr>
      <w:rPr>
        <w:rFonts w:hint="default"/>
      </w:rPr>
    </w:lvl>
    <w:lvl w:ilvl="7" w:tplc="128035B8">
      <w:numFmt w:val="bullet"/>
      <w:lvlText w:val="•"/>
      <w:lvlJc w:val="left"/>
      <w:pPr>
        <w:ind w:left="7110" w:hanging="360"/>
      </w:pPr>
      <w:rPr>
        <w:rFonts w:hint="default"/>
      </w:rPr>
    </w:lvl>
    <w:lvl w:ilvl="8" w:tplc="1C70615E">
      <w:numFmt w:val="bullet"/>
      <w:lvlText w:val="•"/>
      <w:lvlJc w:val="left"/>
      <w:pPr>
        <w:ind w:left="8020" w:hanging="360"/>
      </w:pPr>
      <w:rPr>
        <w:rFonts w:hint="default"/>
      </w:rPr>
    </w:lvl>
  </w:abstractNum>
  <w:abstractNum w:abstractNumId="19" w15:restartNumberingAfterBreak="0">
    <w:nsid w:val="0CB350A6"/>
    <w:multiLevelType w:val="multilevel"/>
    <w:tmpl w:val="127C9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CCC118F"/>
    <w:multiLevelType w:val="hybridMultilevel"/>
    <w:tmpl w:val="26FE3D0C"/>
    <w:lvl w:ilvl="0" w:tplc="60367258">
      <w:start w:val="1"/>
      <w:numFmt w:val="decimal"/>
      <w:lvlText w:val="%1."/>
      <w:lvlJc w:val="left"/>
      <w:pPr>
        <w:ind w:left="736" w:hanging="360"/>
      </w:pPr>
      <w:rPr>
        <w:rFonts w:ascii="Arial" w:eastAsia="Arial" w:hAnsi="Arial" w:cs="Arial" w:hint="default"/>
        <w:spacing w:val="-19"/>
        <w:w w:val="100"/>
        <w:sz w:val="20"/>
        <w:szCs w:val="20"/>
      </w:rPr>
    </w:lvl>
    <w:lvl w:ilvl="1" w:tplc="B5E25294">
      <w:numFmt w:val="bullet"/>
      <w:lvlText w:val="•"/>
      <w:lvlJc w:val="left"/>
      <w:pPr>
        <w:ind w:left="1650" w:hanging="360"/>
      </w:pPr>
      <w:rPr>
        <w:rFonts w:hint="default"/>
      </w:rPr>
    </w:lvl>
    <w:lvl w:ilvl="2" w:tplc="79C6078C">
      <w:numFmt w:val="bullet"/>
      <w:lvlText w:val="•"/>
      <w:lvlJc w:val="left"/>
      <w:pPr>
        <w:ind w:left="2560" w:hanging="360"/>
      </w:pPr>
      <w:rPr>
        <w:rFonts w:hint="default"/>
      </w:rPr>
    </w:lvl>
    <w:lvl w:ilvl="3" w:tplc="FF261E3C">
      <w:numFmt w:val="bullet"/>
      <w:lvlText w:val="•"/>
      <w:lvlJc w:val="left"/>
      <w:pPr>
        <w:ind w:left="3470" w:hanging="360"/>
      </w:pPr>
      <w:rPr>
        <w:rFonts w:hint="default"/>
      </w:rPr>
    </w:lvl>
    <w:lvl w:ilvl="4" w:tplc="48FEA6AE">
      <w:numFmt w:val="bullet"/>
      <w:lvlText w:val="•"/>
      <w:lvlJc w:val="left"/>
      <w:pPr>
        <w:ind w:left="4380" w:hanging="360"/>
      </w:pPr>
      <w:rPr>
        <w:rFonts w:hint="default"/>
      </w:rPr>
    </w:lvl>
    <w:lvl w:ilvl="5" w:tplc="0DF271FC">
      <w:numFmt w:val="bullet"/>
      <w:lvlText w:val="•"/>
      <w:lvlJc w:val="left"/>
      <w:pPr>
        <w:ind w:left="5290" w:hanging="360"/>
      </w:pPr>
      <w:rPr>
        <w:rFonts w:hint="default"/>
      </w:rPr>
    </w:lvl>
    <w:lvl w:ilvl="6" w:tplc="6346EE2E">
      <w:numFmt w:val="bullet"/>
      <w:lvlText w:val="•"/>
      <w:lvlJc w:val="left"/>
      <w:pPr>
        <w:ind w:left="6200" w:hanging="360"/>
      </w:pPr>
      <w:rPr>
        <w:rFonts w:hint="default"/>
      </w:rPr>
    </w:lvl>
    <w:lvl w:ilvl="7" w:tplc="128035B8">
      <w:numFmt w:val="bullet"/>
      <w:lvlText w:val="•"/>
      <w:lvlJc w:val="left"/>
      <w:pPr>
        <w:ind w:left="7110" w:hanging="360"/>
      </w:pPr>
      <w:rPr>
        <w:rFonts w:hint="default"/>
      </w:rPr>
    </w:lvl>
    <w:lvl w:ilvl="8" w:tplc="1C70615E">
      <w:numFmt w:val="bullet"/>
      <w:lvlText w:val="•"/>
      <w:lvlJc w:val="left"/>
      <w:pPr>
        <w:ind w:left="8020" w:hanging="360"/>
      </w:pPr>
      <w:rPr>
        <w:rFonts w:hint="default"/>
      </w:rPr>
    </w:lvl>
  </w:abstractNum>
  <w:abstractNum w:abstractNumId="21" w15:restartNumberingAfterBreak="0">
    <w:nsid w:val="0D800EDA"/>
    <w:multiLevelType w:val="hybridMultilevel"/>
    <w:tmpl w:val="2620FB86"/>
    <w:lvl w:ilvl="0" w:tplc="10363CD2">
      <w:start w:val="1"/>
      <w:numFmt w:val="decimal"/>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0D907FB2"/>
    <w:multiLevelType w:val="hybridMultilevel"/>
    <w:tmpl w:val="BBF2E226"/>
    <w:lvl w:ilvl="0" w:tplc="6F12733C">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55641A"/>
    <w:multiLevelType w:val="hybridMultilevel"/>
    <w:tmpl w:val="AFA01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FE907FD"/>
    <w:multiLevelType w:val="hybridMultilevel"/>
    <w:tmpl w:val="C5D8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73BDD"/>
    <w:multiLevelType w:val="hybridMultilevel"/>
    <w:tmpl w:val="7BDE9574"/>
    <w:lvl w:ilvl="0" w:tplc="14C88492">
      <w:start w:val="1"/>
      <w:numFmt w:val="decimal"/>
      <w:lvlText w:val="%1."/>
      <w:lvlJc w:val="left"/>
      <w:pPr>
        <w:ind w:left="1096" w:hanging="360"/>
      </w:pPr>
      <w:rPr>
        <w:rFonts w:ascii="Arial" w:eastAsia="Arial" w:hAnsi="Arial" w:cs="Arial" w:hint="default"/>
        <w:spacing w:val="-14"/>
        <w:w w:val="100"/>
        <w:sz w:val="24"/>
        <w:szCs w:val="24"/>
      </w:rPr>
    </w:lvl>
    <w:lvl w:ilvl="1" w:tplc="392C9AB6">
      <w:numFmt w:val="bullet"/>
      <w:lvlText w:val="•"/>
      <w:lvlJc w:val="left"/>
      <w:pPr>
        <w:ind w:left="1974" w:hanging="360"/>
      </w:pPr>
      <w:rPr>
        <w:rFonts w:hint="default"/>
      </w:rPr>
    </w:lvl>
    <w:lvl w:ilvl="2" w:tplc="C5D28AC0">
      <w:numFmt w:val="bullet"/>
      <w:lvlText w:val="•"/>
      <w:lvlJc w:val="left"/>
      <w:pPr>
        <w:ind w:left="2848" w:hanging="360"/>
      </w:pPr>
      <w:rPr>
        <w:rFonts w:hint="default"/>
      </w:rPr>
    </w:lvl>
    <w:lvl w:ilvl="3" w:tplc="54189B10">
      <w:numFmt w:val="bullet"/>
      <w:lvlText w:val="•"/>
      <w:lvlJc w:val="left"/>
      <w:pPr>
        <w:ind w:left="3722" w:hanging="360"/>
      </w:pPr>
      <w:rPr>
        <w:rFonts w:hint="default"/>
      </w:rPr>
    </w:lvl>
    <w:lvl w:ilvl="4" w:tplc="6012116A">
      <w:numFmt w:val="bullet"/>
      <w:lvlText w:val="•"/>
      <w:lvlJc w:val="left"/>
      <w:pPr>
        <w:ind w:left="4596" w:hanging="360"/>
      </w:pPr>
      <w:rPr>
        <w:rFonts w:hint="default"/>
      </w:rPr>
    </w:lvl>
    <w:lvl w:ilvl="5" w:tplc="84E6CB4A">
      <w:numFmt w:val="bullet"/>
      <w:lvlText w:val="•"/>
      <w:lvlJc w:val="left"/>
      <w:pPr>
        <w:ind w:left="5470" w:hanging="360"/>
      </w:pPr>
      <w:rPr>
        <w:rFonts w:hint="default"/>
      </w:rPr>
    </w:lvl>
    <w:lvl w:ilvl="6" w:tplc="59B60D76">
      <w:numFmt w:val="bullet"/>
      <w:lvlText w:val="•"/>
      <w:lvlJc w:val="left"/>
      <w:pPr>
        <w:ind w:left="6344" w:hanging="360"/>
      </w:pPr>
      <w:rPr>
        <w:rFonts w:hint="default"/>
      </w:rPr>
    </w:lvl>
    <w:lvl w:ilvl="7" w:tplc="D41025DC">
      <w:numFmt w:val="bullet"/>
      <w:lvlText w:val="•"/>
      <w:lvlJc w:val="left"/>
      <w:pPr>
        <w:ind w:left="7218" w:hanging="360"/>
      </w:pPr>
      <w:rPr>
        <w:rFonts w:hint="default"/>
      </w:rPr>
    </w:lvl>
    <w:lvl w:ilvl="8" w:tplc="E69A2996">
      <w:numFmt w:val="bullet"/>
      <w:lvlText w:val="•"/>
      <w:lvlJc w:val="left"/>
      <w:pPr>
        <w:ind w:left="8092" w:hanging="360"/>
      </w:pPr>
      <w:rPr>
        <w:rFonts w:hint="default"/>
      </w:rPr>
    </w:lvl>
  </w:abstractNum>
  <w:abstractNum w:abstractNumId="26" w15:restartNumberingAfterBreak="0">
    <w:nsid w:val="119707FF"/>
    <w:multiLevelType w:val="hybridMultilevel"/>
    <w:tmpl w:val="926E2B52"/>
    <w:lvl w:ilvl="0" w:tplc="48963A72">
      <w:start w:val="1"/>
      <w:numFmt w:val="decimal"/>
      <w:lvlText w:val="%1."/>
      <w:lvlJc w:val="left"/>
      <w:pPr>
        <w:ind w:left="736" w:hanging="360"/>
      </w:pPr>
      <w:rPr>
        <w:rFonts w:ascii="Arial" w:eastAsia="Arial" w:hAnsi="Arial" w:cs="Arial" w:hint="default"/>
        <w:spacing w:val="-14"/>
        <w:w w:val="100"/>
        <w:sz w:val="24"/>
        <w:szCs w:val="24"/>
      </w:rPr>
    </w:lvl>
    <w:lvl w:ilvl="1" w:tplc="A286824E">
      <w:start w:val="1"/>
      <w:numFmt w:val="decimal"/>
      <w:lvlText w:val="%2."/>
      <w:lvlJc w:val="left"/>
      <w:pPr>
        <w:ind w:left="1096" w:hanging="360"/>
      </w:pPr>
      <w:rPr>
        <w:rFonts w:ascii="Arial" w:eastAsia="Arial" w:hAnsi="Arial" w:cs="Arial" w:hint="default"/>
        <w:spacing w:val="-4"/>
        <w:w w:val="100"/>
        <w:sz w:val="24"/>
        <w:szCs w:val="24"/>
      </w:rPr>
    </w:lvl>
    <w:lvl w:ilvl="2" w:tplc="53A2CFC4">
      <w:numFmt w:val="bullet"/>
      <w:lvlText w:val="•"/>
      <w:lvlJc w:val="left"/>
      <w:pPr>
        <w:ind w:left="2071" w:hanging="360"/>
      </w:pPr>
      <w:rPr>
        <w:rFonts w:hint="default"/>
      </w:rPr>
    </w:lvl>
    <w:lvl w:ilvl="3" w:tplc="52C4A1C4">
      <w:numFmt w:val="bullet"/>
      <w:lvlText w:val="•"/>
      <w:lvlJc w:val="left"/>
      <w:pPr>
        <w:ind w:left="3042" w:hanging="360"/>
      </w:pPr>
      <w:rPr>
        <w:rFonts w:hint="default"/>
      </w:rPr>
    </w:lvl>
    <w:lvl w:ilvl="4" w:tplc="464C4CD6">
      <w:numFmt w:val="bullet"/>
      <w:lvlText w:val="•"/>
      <w:lvlJc w:val="left"/>
      <w:pPr>
        <w:ind w:left="4013" w:hanging="360"/>
      </w:pPr>
      <w:rPr>
        <w:rFonts w:hint="default"/>
      </w:rPr>
    </w:lvl>
    <w:lvl w:ilvl="5" w:tplc="18503DB4">
      <w:numFmt w:val="bullet"/>
      <w:lvlText w:val="•"/>
      <w:lvlJc w:val="left"/>
      <w:pPr>
        <w:ind w:left="4984" w:hanging="360"/>
      </w:pPr>
      <w:rPr>
        <w:rFonts w:hint="default"/>
      </w:rPr>
    </w:lvl>
    <w:lvl w:ilvl="6" w:tplc="996E94A8">
      <w:numFmt w:val="bullet"/>
      <w:lvlText w:val="•"/>
      <w:lvlJc w:val="left"/>
      <w:pPr>
        <w:ind w:left="5955" w:hanging="360"/>
      </w:pPr>
      <w:rPr>
        <w:rFonts w:hint="default"/>
      </w:rPr>
    </w:lvl>
    <w:lvl w:ilvl="7" w:tplc="75524F06">
      <w:numFmt w:val="bullet"/>
      <w:lvlText w:val="•"/>
      <w:lvlJc w:val="left"/>
      <w:pPr>
        <w:ind w:left="6926" w:hanging="360"/>
      </w:pPr>
      <w:rPr>
        <w:rFonts w:hint="default"/>
      </w:rPr>
    </w:lvl>
    <w:lvl w:ilvl="8" w:tplc="F342DDAE">
      <w:numFmt w:val="bullet"/>
      <w:lvlText w:val="•"/>
      <w:lvlJc w:val="left"/>
      <w:pPr>
        <w:ind w:left="7897" w:hanging="360"/>
      </w:pPr>
      <w:rPr>
        <w:rFonts w:hint="default"/>
      </w:rPr>
    </w:lvl>
  </w:abstractNum>
  <w:abstractNum w:abstractNumId="27" w15:restartNumberingAfterBreak="0">
    <w:nsid w:val="11CA1CD8"/>
    <w:multiLevelType w:val="multilevel"/>
    <w:tmpl w:val="1BB8B132"/>
    <w:lvl w:ilvl="0">
      <w:start w:val="1"/>
      <w:numFmt w:val="decimal"/>
      <w:lvlText w:val="%1."/>
      <w:lvlJc w:val="left"/>
      <w:pPr>
        <w:ind w:left="736" w:hanging="360"/>
      </w:pPr>
      <w:rPr>
        <w:rFonts w:ascii="Arial" w:eastAsia="Arial" w:hAnsi="Arial" w:cs="Arial"/>
        <w:sz w:val="24"/>
        <w:szCs w:val="24"/>
      </w:rPr>
    </w:lvl>
    <w:lvl w:ilvl="1">
      <w:start w:val="1"/>
      <w:numFmt w:val="bullet"/>
      <w:lvlText w:val="•"/>
      <w:lvlJc w:val="left"/>
      <w:pPr>
        <w:ind w:left="1650" w:hanging="360"/>
      </w:pPr>
    </w:lvl>
    <w:lvl w:ilvl="2">
      <w:start w:val="1"/>
      <w:numFmt w:val="bullet"/>
      <w:lvlText w:val="•"/>
      <w:lvlJc w:val="left"/>
      <w:pPr>
        <w:ind w:left="2560" w:hanging="360"/>
      </w:pPr>
    </w:lvl>
    <w:lvl w:ilvl="3">
      <w:start w:val="1"/>
      <w:numFmt w:val="bullet"/>
      <w:lvlText w:val="•"/>
      <w:lvlJc w:val="left"/>
      <w:pPr>
        <w:ind w:left="3470" w:hanging="360"/>
      </w:pPr>
    </w:lvl>
    <w:lvl w:ilvl="4">
      <w:start w:val="1"/>
      <w:numFmt w:val="bullet"/>
      <w:lvlText w:val="•"/>
      <w:lvlJc w:val="left"/>
      <w:pPr>
        <w:ind w:left="4380" w:hanging="360"/>
      </w:pPr>
    </w:lvl>
    <w:lvl w:ilvl="5">
      <w:start w:val="1"/>
      <w:numFmt w:val="bullet"/>
      <w:lvlText w:val="•"/>
      <w:lvlJc w:val="left"/>
      <w:pPr>
        <w:ind w:left="5290" w:hanging="360"/>
      </w:pPr>
    </w:lvl>
    <w:lvl w:ilvl="6">
      <w:start w:val="1"/>
      <w:numFmt w:val="bullet"/>
      <w:lvlText w:val="•"/>
      <w:lvlJc w:val="left"/>
      <w:pPr>
        <w:ind w:left="6200" w:hanging="360"/>
      </w:pPr>
    </w:lvl>
    <w:lvl w:ilvl="7">
      <w:start w:val="1"/>
      <w:numFmt w:val="bullet"/>
      <w:lvlText w:val="•"/>
      <w:lvlJc w:val="left"/>
      <w:pPr>
        <w:ind w:left="7110" w:hanging="360"/>
      </w:pPr>
    </w:lvl>
    <w:lvl w:ilvl="8">
      <w:start w:val="1"/>
      <w:numFmt w:val="bullet"/>
      <w:lvlText w:val="•"/>
      <w:lvlJc w:val="left"/>
      <w:pPr>
        <w:ind w:left="8020" w:hanging="360"/>
      </w:pPr>
    </w:lvl>
  </w:abstractNum>
  <w:abstractNum w:abstractNumId="28" w15:restartNumberingAfterBreak="0">
    <w:nsid w:val="121444F8"/>
    <w:multiLevelType w:val="hybridMultilevel"/>
    <w:tmpl w:val="7BDE9574"/>
    <w:lvl w:ilvl="0" w:tplc="14C88492">
      <w:start w:val="1"/>
      <w:numFmt w:val="decimal"/>
      <w:lvlText w:val="%1."/>
      <w:lvlJc w:val="left"/>
      <w:pPr>
        <w:ind w:left="1096" w:hanging="360"/>
      </w:pPr>
      <w:rPr>
        <w:rFonts w:ascii="Arial" w:eastAsia="Arial" w:hAnsi="Arial" w:cs="Arial" w:hint="default"/>
        <w:spacing w:val="-14"/>
        <w:w w:val="100"/>
        <w:sz w:val="24"/>
        <w:szCs w:val="24"/>
      </w:rPr>
    </w:lvl>
    <w:lvl w:ilvl="1" w:tplc="392C9AB6">
      <w:numFmt w:val="bullet"/>
      <w:lvlText w:val="•"/>
      <w:lvlJc w:val="left"/>
      <w:pPr>
        <w:ind w:left="1974" w:hanging="360"/>
      </w:pPr>
      <w:rPr>
        <w:rFonts w:hint="default"/>
      </w:rPr>
    </w:lvl>
    <w:lvl w:ilvl="2" w:tplc="C5D28AC0">
      <w:numFmt w:val="bullet"/>
      <w:lvlText w:val="•"/>
      <w:lvlJc w:val="left"/>
      <w:pPr>
        <w:ind w:left="2848" w:hanging="360"/>
      </w:pPr>
      <w:rPr>
        <w:rFonts w:hint="default"/>
      </w:rPr>
    </w:lvl>
    <w:lvl w:ilvl="3" w:tplc="54189B10">
      <w:numFmt w:val="bullet"/>
      <w:lvlText w:val="•"/>
      <w:lvlJc w:val="left"/>
      <w:pPr>
        <w:ind w:left="3722" w:hanging="360"/>
      </w:pPr>
      <w:rPr>
        <w:rFonts w:hint="default"/>
      </w:rPr>
    </w:lvl>
    <w:lvl w:ilvl="4" w:tplc="6012116A">
      <w:numFmt w:val="bullet"/>
      <w:lvlText w:val="•"/>
      <w:lvlJc w:val="left"/>
      <w:pPr>
        <w:ind w:left="4596" w:hanging="360"/>
      </w:pPr>
      <w:rPr>
        <w:rFonts w:hint="default"/>
      </w:rPr>
    </w:lvl>
    <w:lvl w:ilvl="5" w:tplc="84E6CB4A">
      <w:numFmt w:val="bullet"/>
      <w:lvlText w:val="•"/>
      <w:lvlJc w:val="left"/>
      <w:pPr>
        <w:ind w:left="5470" w:hanging="360"/>
      </w:pPr>
      <w:rPr>
        <w:rFonts w:hint="default"/>
      </w:rPr>
    </w:lvl>
    <w:lvl w:ilvl="6" w:tplc="59B60D76">
      <w:numFmt w:val="bullet"/>
      <w:lvlText w:val="•"/>
      <w:lvlJc w:val="left"/>
      <w:pPr>
        <w:ind w:left="6344" w:hanging="360"/>
      </w:pPr>
      <w:rPr>
        <w:rFonts w:hint="default"/>
      </w:rPr>
    </w:lvl>
    <w:lvl w:ilvl="7" w:tplc="D41025DC">
      <w:numFmt w:val="bullet"/>
      <w:lvlText w:val="•"/>
      <w:lvlJc w:val="left"/>
      <w:pPr>
        <w:ind w:left="7218" w:hanging="360"/>
      </w:pPr>
      <w:rPr>
        <w:rFonts w:hint="default"/>
      </w:rPr>
    </w:lvl>
    <w:lvl w:ilvl="8" w:tplc="E69A2996">
      <w:numFmt w:val="bullet"/>
      <w:lvlText w:val="•"/>
      <w:lvlJc w:val="left"/>
      <w:pPr>
        <w:ind w:left="8092" w:hanging="360"/>
      </w:pPr>
      <w:rPr>
        <w:rFonts w:hint="default"/>
      </w:rPr>
    </w:lvl>
  </w:abstractNum>
  <w:abstractNum w:abstractNumId="29" w15:restartNumberingAfterBreak="0">
    <w:nsid w:val="122B3E87"/>
    <w:multiLevelType w:val="multilevel"/>
    <w:tmpl w:val="4CCA4E72"/>
    <w:lvl w:ilvl="0">
      <w:start w:val="2"/>
      <w:numFmt w:val="decimal"/>
      <w:lvlText w:val="(%1)"/>
      <w:lvlJc w:val="left"/>
      <w:pPr>
        <w:ind w:left="448" w:hanging="346"/>
      </w:pPr>
      <w:rPr>
        <w:rFonts w:ascii="Arial" w:eastAsia="Arial" w:hAnsi="Arial" w:cs="Arial"/>
        <w:sz w:val="24"/>
        <w:szCs w:val="24"/>
      </w:rPr>
    </w:lvl>
    <w:lvl w:ilvl="1">
      <w:start w:val="1"/>
      <w:numFmt w:val="decimal"/>
      <w:lvlText w:val="%2."/>
      <w:lvlJc w:val="left"/>
      <w:pPr>
        <w:ind w:left="1096" w:hanging="360"/>
      </w:pPr>
      <w:rPr>
        <w:rFonts w:ascii="Arial" w:eastAsia="Arial" w:hAnsi="Arial" w:cs="Arial"/>
        <w:b/>
        <w:sz w:val="20"/>
        <w:szCs w:val="20"/>
      </w:rPr>
    </w:lvl>
    <w:lvl w:ilvl="2">
      <w:start w:val="1"/>
      <w:numFmt w:val="lowerLetter"/>
      <w:lvlText w:val="%3."/>
      <w:lvlJc w:val="left"/>
      <w:pPr>
        <w:ind w:left="1442" w:hanging="360"/>
      </w:pPr>
      <w:rPr>
        <w:rFonts w:ascii="Arial" w:eastAsia="Arial" w:hAnsi="Arial" w:cs="Arial"/>
        <w:b w:val="0"/>
        <w:bCs/>
        <w:sz w:val="20"/>
        <w:szCs w:val="20"/>
      </w:rPr>
    </w:lvl>
    <w:lvl w:ilvl="3">
      <w:start w:val="1"/>
      <w:numFmt w:val="bullet"/>
      <w:lvlText w:val="•"/>
      <w:lvlJc w:val="left"/>
      <w:pPr>
        <w:ind w:left="2490" w:hanging="360"/>
      </w:pPr>
    </w:lvl>
    <w:lvl w:ilvl="4">
      <w:start w:val="1"/>
      <w:numFmt w:val="bullet"/>
      <w:lvlText w:val="•"/>
      <w:lvlJc w:val="left"/>
      <w:pPr>
        <w:ind w:left="3540" w:hanging="360"/>
      </w:pPr>
    </w:lvl>
    <w:lvl w:ilvl="5">
      <w:start w:val="1"/>
      <w:numFmt w:val="bullet"/>
      <w:lvlText w:val="•"/>
      <w:lvlJc w:val="left"/>
      <w:pPr>
        <w:ind w:left="4590" w:hanging="360"/>
      </w:pPr>
    </w:lvl>
    <w:lvl w:ilvl="6">
      <w:start w:val="1"/>
      <w:numFmt w:val="bullet"/>
      <w:lvlText w:val="•"/>
      <w:lvlJc w:val="left"/>
      <w:pPr>
        <w:ind w:left="5640" w:hanging="360"/>
      </w:pPr>
    </w:lvl>
    <w:lvl w:ilvl="7">
      <w:start w:val="1"/>
      <w:numFmt w:val="bullet"/>
      <w:lvlText w:val="•"/>
      <w:lvlJc w:val="left"/>
      <w:pPr>
        <w:ind w:left="6690" w:hanging="360"/>
      </w:pPr>
    </w:lvl>
    <w:lvl w:ilvl="8">
      <w:start w:val="1"/>
      <w:numFmt w:val="bullet"/>
      <w:lvlText w:val="•"/>
      <w:lvlJc w:val="left"/>
      <w:pPr>
        <w:ind w:left="7740" w:hanging="360"/>
      </w:pPr>
    </w:lvl>
  </w:abstractNum>
  <w:abstractNum w:abstractNumId="30" w15:restartNumberingAfterBreak="0">
    <w:nsid w:val="12D80C2E"/>
    <w:multiLevelType w:val="hybridMultilevel"/>
    <w:tmpl w:val="DCC4C3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2E455B4"/>
    <w:multiLevelType w:val="hybridMultilevel"/>
    <w:tmpl w:val="6AAE21EC"/>
    <w:lvl w:ilvl="0" w:tplc="C25A9D06">
      <w:start w:val="1"/>
      <w:numFmt w:val="decimal"/>
      <w:lvlText w:val="%1."/>
      <w:lvlJc w:val="left"/>
      <w:pPr>
        <w:ind w:left="920" w:hanging="5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4B64F05"/>
    <w:multiLevelType w:val="hybridMultilevel"/>
    <w:tmpl w:val="7B8C4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0F0FF4"/>
    <w:multiLevelType w:val="multilevel"/>
    <w:tmpl w:val="64569518"/>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34" w15:restartNumberingAfterBreak="0">
    <w:nsid w:val="16154632"/>
    <w:multiLevelType w:val="hybridMultilevel"/>
    <w:tmpl w:val="901C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2843C8"/>
    <w:multiLevelType w:val="multilevel"/>
    <w:tmpl w:val="36885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80D5148"/>
    <w:multiLevelType w:val="hybridMultilevel"/>
    <w:tmpl w:val="90164774"/>
    <w:lvl w:ilvl="0" w:tplc="B27EFF80">
      <w:start w:val="1"/>
      <w:numFmt w:val="decimal"/>
      <w:lvlText w:val="%1."/>
      <w:lvlJc w:val="left"/>
      <w:pPr>
        <w:ind w:left="1068" w:hanging="362"/>
      </w:pPr>
      <w:rPr>
        <w:rFonts w:ascii="Arial" w:eastAsia="Arial" w:hAnsi="Arial" w:cs="Arial" w:hint="default"/>
        <w:spacing w:val="-32"/>
        <w:w w:val="100"/>
        <w:sz w:val="22"/>
        <w:szCs w:val="22"/>
        <w:lang w:val="es-ES" w:eastAsia="es-ES" w:bidi="es-ES"/>
      </w:rPr>
    </w:lvl>
    <w:lvl w:ilvl="1" w:tplc="93F24AFC">
      <w:numFmt w:val="bullet"/>
      <w:lvlText w:val="•"/>
      <w:lvlJc w:val="left"/>
      <w:pPr>
        <w:ind w:left="1655" w:hanging="362"/>
      </w:pPr>
      <w:rPr>
        <w:rFonts w:hint="default"/>
        <w:lang w:val="es-ES" w:eastAsia="es-ES" w:bidi="es-ES"/>
      </w:rPr>
    </w:lvl>
    <w:lvl w:ilvl="2" w:tplc="119E5D14">
      <w:numFmt w:val="bullet"/>
      <w:lvlText w:val="•"/>
      <w:lvlJc w:val="left"/>
      <w:pPr>
        <w:ind w:left="2251" w:hanging="362"/>
      </w:pPr>
      <w:rPr>
        <w:rFonts w:hint="default"/>
        <w:lang w:val="es-ES" w:eastAsia="es-ES" w:bidi="es-ES"/>
      </w:rPr>
    </w:lvl>
    <w:lvl w:ilvl="3" w:tplc="6520F38E">
      <w:numFmt w:val="bullet"/>
      <w:lvlText w:val="•"/>
      <w:lvlJc w:val="left"/>
      <w:pPr>
        <w:ind w:left="2847" w:hanging="362"/>
      </w:pPr>
      <w:rPr>
        <w:rFonts w:hint="default"/>
        <w:lang w:val="es-ES" w:eastAsia="es-ES" w:bidi="es-ES"/>
      </w:rPr>
    </w:lvl>
    <w:lvl w:ilvl="4" w:tplc="38C2FC10">
      <w:numFmt w:val="bullet"/>
      <w:lvlText w:val="•"/>
      <w:lvlJc w:val="left"/>
      <w:pPr>
        <w:ind w:left="3442" w:hanging="362"/>
      </w:pPr>
      <w:rPr>
        <w:rFonts w:hint="default"/>
        <w:lang w:val="es-ES" w:eastAsia="es-ES" w:bidi="es-ES"/>
      </w:rPr>
    </w:lvl>
    <w:lvl w:ilvl="5" w:tplc="A032477A">
      <w:numFmt w:val="bullet"/>
      <w:lvlText w:val="•"/>
      <w:lvlJc w:val="left"/>
      <w:pPr>
        <w:ind w:left="4038" w:hanging="362"/>
      </w:pPr>
      <w:rPr>
        <w:rFonts w:hint="default"/>
        <w:lang w:val="es-ES" w:eastAsia="es-ES" w:bidi="es-ES"/>
      </w:rPr>
    </w:lvl>
    <w:lvl w:ilvl="6" w:tplc="A73ACBAE">
      <w:numFmt w:val="bullet"/>
      <w:lvlText w:val="•"/>
      <w:lvlJc w:val="left"/>
      <w:pPr>
        <w:ind w:left="4634" w:hanging="362"/>
      </w:pPr>
      <w:rPr>
        <w:rFonts w:hint="default"/>
        <w:lang w:val="es-ES" w:eastAsia="es-ES" w:bidi="es-ES"/>
      </w:rPr>
    </w:lvl>
    <w:lvl w:ilvl="7" w:tplc="751E9E9C">
      <w:numFmt w:val="bullet"/>
      <w:lvlText w:val="•"/>
      <w:lvlJc w:val="left"/>
      <w:pPr>
        <w:ind w:left="5229" w:hanging="362"/>
      </w:pPr>
      <w:rPr>
        <w:rFonts w:hint="default"/>
        <w:lang w:val="es-ES" w:eastAsia="es-ES" w:bidi="es-ES"/>
      </w:rPr>
    </w:lvl>
    <w:lvl w:ilvl="8" w:tplc="58AACBCA">
      <w:numFmt w:val="bullet"/>
      <w:lvlText w:val="•"/>
      <w:lvlJc w:val="left"/>
      <w:pPr>
        <w:ind w:left="5825" w:hanging="362"/>
      </w:pPr>
      <w:rPr>
        <w:rFonts w:hint="default"/>
        <w:lang w:val="es-ES" w:eastAsia="es-ES" w:bidi="es-ES"/>
      </w:rPr>
    </w:lvl>
  </w:abstractNum>
  <w:abstractNum w:abstractNumId="37" w15:restartNumberingAfterBreak="0">
    <w:nsid w:val="181E5C63"/>
    <w:multiLevelType w:val="hybridMultilevel"/>
    <w:tmpl w:val="32B823C6"/>
    <w:lvl w:ilvl="0" w:tplc="E64EE9B6">
      <w:start w:val="1"/>
      <w:numFmt w:val="decimal"/>
      <w:lvlText w:val="%1."/>
      <w:lvlJc w:val="left"/>
      <w:pPr>
        <w:ind w:left="736" w:hanging="360"/>
      </w:pPr>
      <w:rPr>
        <w:rFonts w:ascii="Arial" w:eastAsia="Arial" w:hAnsi="Arial" w:cs="Arial" w:hint="default"/>
        <w:spacing w:val="-14"/>
        <w:w w:val="100"/>
        <w:sz w:val="20"/>
        <w:szCs w:val="20"/>
      </w:rPr>
    </w:lvl>
    <w:lvl w:ilvl="1" w:tplc="A286824E">
      <w:start w:val="1"/>
      <w:numFmt w:val="decimal"/>
      <w:lvlText w:val="%2."/>
      <w:lvlJc w:val="left"/>
      <w:pPr>
        <w:ind w:left="1096" w:hanging="360"/>
      </w:pPr>
      <w:rPr>
        <w:rFonts w:ascii="Arial" w:eastAsia="Arial" w:hAnsi="Arial" w:cs="Arial" w:hint="default"/>
        <w:spacing w:val="-4"/>
        <w:w w:val="100"/>
        <w:sz w:val="24"/>
        <w:szCs w:val="24"/>
      </w:rPr>
    </w:lvl>
    <w:lvl w:ilvl="2" w:tplc="53A2CFC4">
      <w:numFmt w:val="bullet"/>
      <w:lvlText w:val="•"/>
      <w:lvlJc w:val="left"/>
      <w:pPr>
        <w:ind w:left="2071" w:hanging="360"/>
      </w:pPr>
      <w:rPr>
        <w:rFonts w:hint="default"/>
      </w:rPr>
    </w:lvl>
    <w:lvl w:ilvl="3" w:tplc="52C4A1C4">
      <w:numFmt w:val="bullet"/>
      <w:lvlText w:val="•"/>
      <w:lvlJc w:val="left"/>
      <w:pPr>
        <w:ind w:left="3042" w:hanging="360"/>
      </w:pPr>
      <w:rPr>
        <w:rFonts w:hint="default"/>
      </w:rPr>
    </w:lvl>
    <w:lvl w:ilvl="4" w:tplc="464C4CD6">
      <w:numFmt w:val="bullet"/>
      <w:lvlText w:val="•"/>
      <w:lvlJc w:val="left"/>
      <w:pPr>
        <w:ind w:left="4013" w:hanging="360"/>
      </w:pPr>
      <w:rPr>
        <w:rFonts w:hint="default"/>
      </w:rPr>
    </w:lvl>
    <w:lvl w:ilvl="5" w:tplc="18503DB4">
      <w:numFmt w:val="bullet"/>
      <w:lvlText w:val="•"/>
      <w:lvlJc w:val="left"/>
      <w:pPr>
        <w:ind w:left="4984" w:hanging="360"/>
      </w:pPr>
      <w:rPr>
        <w:rFonts w:hint="default"/>
      </w:rPr>
    </w:lvl>
    <w:lvl w:ilvl="6" w:tplc="996E94A8">
      <w:numFmt w:val="bullet"/>
      <w:lvlText w:val="•"/>
      <w:lvlJc w:val="left"/>
      <w:pPr>
        <w:ind w:left="5955" w:hanging="360"/>
      </w:pPr>
      <w:rPr>
        <w:rFonts w:hint="default"/>
      </w:rPr>
    </w:lvl>
    <w:lvl w:ilvl="7" w:tplc="75524F06">
      <w:numFmt w:val="bullet"/>
      <w:lvlText w:val="•"/>
      <w:lvlJc w:val="left"/>
      <w:pPr>
        <w:ind w:left="6926" w:hanging="360"/>
      </w:pPr>
      <w:rPr>
        <w:rFonts w:hint="default"/>
      </w:rPr>
    </w:lvl>
    <w:lvl w:ilvl="8" w:tplc="F342DDAE">
      <w:numFmt w:val="bullet"/>
      <w:lvlText w:val="•"/>
      <w:lvlJc w:val="left"/>
      <w:pPr>
        <w:ind w:left="7897" w:hanging="360"/>
      </w:pPr>
      <w:rPr>
        <w:rFonts w:hint="default"/>
      </w:rPr>
    </w:lvl>
  </w:abstractNum>
  <w:abstractNum w:abstractNumId="38" w15:restartNumberingAfterBreak="0">
    <w:nsid w:val="189B3764"/>
    <w:multiLevelType w:val="multilevel"/>
    <w:tmpl w:val="F11EAC66"/>
    <w:lvl w:ilvl="0">
      <w:start w:val="1"/>
      <w:numFmt w:val="decimal"/>
      <w:lvlText w:val="%1."/>
      <w:lvlJc w:val="left"/>
      <w:pPr>
        <w:ind w:left="1096" w:hanging="360"/>
      </w:pPr>
      <w:rPr>
        <w:rFonts w:ascii="Arial" w:eastAsia="Arial" w:hAnsi="Arial" w:cs="Arial"/>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39" w15:restartNumberingAfterBreak="0">
    <w:nsid w:val="19CB4288"/>
    <w:multiLevelType w:val="hybridMultilevel"/>
    <w:tmpl w:val="8430C5FA"/>
    <w:lvl w:ilvl="0" w:tplc="A21C740C">
      <w:start w:val="1"/>
      <w:numFmt w:val="decimal"/>
      <w:lvlText w:val="%1."/>
      <w:lvlJc w:val="left"/>
      <w:pPr>
        <w:ind w:left="736" w:hanging="360"/>
      </w:pPr>
      <w:rPr>
        <w:rFonts w:ascii="Arial" w:eastAsia="Arial" w:hAnsi="Arial" w:cs="Arial" w:hint="default"/>
        <w:spacing w:val="-14"/>
        <w:w w:val="100"/>
        <w:sz w:val="20"/>
        <w:szCs w:val="20"/>
      </w:rPr>
    </w:lvl>
    <w:lvl w:ilvl="1" w:tplc="43268616">
      <w:numFmt w:val="bullet"/>
      <w:lvlText w:val="•"/>
      <w:lvlJc w:val="left"/>
      <w:pPr>
        <w:ind w:left="1650" w:hanging="360"/>
      </w:pPr>
      <w:rPr>
        <w:rFonts w:hint="default"/>
      </w:rPr>
    </w:lvl>
    <w:lvl w:ilvl="2" w:tplc="60143AF6">
      <w:numFmt w:val="bullet"/>
      <w:lvlText w:val="•"/>
      <w:lvlJc w:val="left"/>
      <w:pPr>
        <w:ind w:left="2560" w:hanging="360"/>
      </w:pPr>
      <w:rPr>
        <w:rFonts w:hint="default"/>
      </w:rPr>
    </w:lvl>
    <w:lvl w:ilvl="3" w:tplc="650E4886">
      <w:numFmt w:val="bullet"/>
      <w:lvlText w:val="•"/>
      <w:lvlJc w:val="left"/>
      <w:pPr>
        <w:ind w:left="3470" w:hanging="360"/>
      </w:pPr>
      <w:rPr>
        <w:rFonts w:hint="default"/>
      </w:rPr>
    </w:lvl>
    <w:lvl w:ilvl="4" w:tplc="BE52CCB0">
      <w:numFmt w:val="bullet"/>
      <w:lvlText w:val="•"/>
      <w:lvlJc w:val="left"/>
      <w:pPr>
        <w:ind w:left="4380" w:hanging="360"/>
      </w:pPr>
      <w:rPr>
        <w:rFonts w:hint="default"/>
      </w:rPr>
    </w:lvl>
    <w:lvl w:ilvl="5" w:tplc="FE7A44D2">
      <w:numFmt w:val="bullet"/>
      <w:lvlText w:val="•"/>
      <w:lvlJc w:val="left"/>
      <w:pPr>
        <w:ind w:left="5290" w:hanging="360"/>
      </w:pPr>
      <w:rPr>
        <w:rFonts w:hint="default"/>
      </w:rPr>
    </w:lvl>
    <w:lvl w:ilvl="6" w:tplc="AC2201C8">
      <w:numFmt w:val="bullet"/>
      <w:lvlText w:val="•"/>
      <w:lvlJc w:val="left"/>
      <w:pPr>
        <w:ind w:left="6200" w:hanging="360"/>
      </w:pPr>
      <w:rPr>
        <w:rFonts w:hint="default"/>
      </w:rPr>
    </w:lvl>
    <w:lvl w:ilvl="7" w:tplc="C1545F4A">
      <w:numFmt w:val="bullet"/>
      <w:lvlText w:val="•"/>
      <w:lvlJc w:val="left"/>
      <w:pPr>
        <w:ind w:left="7110" w:hanging="360"/>
      </w:pPr>
      <w:rPr>
        <w:rFonts w:hint="default"/>
      </w:rPr>
    </w:lvl>
    <w:lvl w:ilvl="8" w:tplc="FB64B6F0">
      <w:numFmt w:val="bullet"/>
      <w:lvlText w:val="•"/>
      <w:lvlJc w:val="left"/>
      <w:pPr>
        <w:ind w:left="8020" w:hanging="360"/>
      </w:pPr>
      <w:rPr>
        <w:rFonts w:hint="default"/>
      </w:rPr>
    </w:lvl>
  </w:abstractNum>
  <w:abstractNum w:abstractNumId="40" w15:restartNumberingAfterBreak="0">
    <w:nsid w:val="19FC0C7A"/>
    <w:multiLevelType w:val="multilevel"/>
    <w:tmpl w:val="05726798"/>
    <w:lvl w:ilvl="0">
      <w:start w:val="1"/>
      <w:numFmt w:val="decimal"/>
      <w:lvlText w:val="%1."/>
      <w:lvlJc w:val="left"/>
      <w:pPr>
        <w:ind w:left="736" w:hanging="288"/>
      </w:pPr>
      <w:rPr>
        <w:rFonts w:ascii="Arial" w:eastAsia="Arial" w:hAnsi="Arial" w:cs="Arial"/>
        <w:sz w:val="20"/>
        <w:szCs w:val="20"/>
      </w:rPr>
    </w:lvl>
    <w:lvl w:ilvl="1">
      <w:start w:val="1"/>
      <w:numFmt w:val="decimal"/>
      <w:lvlText w:val="%2."/>
      <w:lvlJc w:val="left"/>
      <w:pPr>
        <w:ind w:left="1096" w:hanging="360"/>
      </w:pPr>
      <w:rPr>
        <w:rFonts w:ascii="Arial" w:eastAsia="Arial" w:hAnsi="Arial" w:cs="Arial"/>
        <w:sz w:val="20"/>
        <w:szCs w:val="20"/>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41" w15:restartNumberingAfterBreak="0">
    <w:nsid w:val="1AB667F5"/>
    <w:multiLevelType w:val="hybridMultilevel"/>
    <w:tmpl w:val="EBA0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3A44AA"/>
    <w:multiLevelType w:val="hybridMultilevel"/>
    <w:tmpl w:val="D8AE42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1B890308"/>
    <w:multiLevelType w:val="multilevel"/>
    <w:tmpl w:val="84E4849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4" w15:restartNumberingAfterBreak="0">
    <w:nsid w:val="1C1A4E01"/>
    <w:multiLevelType w:val="hybridMultilevel"/>
    <w:tmpl w:val="D6BEE422"/>
    <w:lvl w:ilvl="0" w:tplc="7D64099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1D3648D4"/>
    <w:multiLevelType w:val="hybridMultilevel"/>
    <w:tmpl w:val="EE5A8F92"/>
    <w:lvl w:ilvl="0" w:tplc="13E6D622">
      <w:start w:val="28"/>
      <w:numFmt w:val="decimal"/>
      <w:lvlText w:val="%1."/>
      <w:lvlJc w:val="left"/>
      <w:pPr>
        <w:ind w:left="720" w:hanging="360"/>
      </w:pPr>
      <w:rPr>
        <w:rFonts w:hint="default"/>
        <w:b w:val="0"/>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1D3820C9"/>
    <w:multiLevelType w:val="multilevel"/>
    <w:tmpl w:val="84E4849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7" w15:restartNumberingAfterBreak="0">
    <w:nsid w:val="1DEE6CD0"/>
    <w:multiLevelType w:val="hybridMultilevel"/>
    <w:tmpl w:val="B6A20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E03C51"/>
    <w:multiLevelType w:val="multilevel"/>
    <w:tmpl w:val="93B4C4A4"/>
    <w:lvl w:ilvl="0">
      <w:start w:val="4"/>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1EEF6168"/>
    <w:multiLevelType w:val="multilevel"/>
    <w:tmpl w:val="65BA2ECA"/>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50" w15:restartNumberingAfterBreak="0">
    <w:nsid w:val="20F64787"/>
    <w:multiLevelType w:val="hybridMultilevel"/>
    <w:tmpl w:val="92ECF9B8"/>
    <w:lvl w:ilvl="0" w:tplc="B58A17AA">
      <w:start w:val="5"/>
      <w:numFmt w:val="decimal"/>
      <w:lvlText w:val="%1."/>
      <w:lvlJc w:val="left"/>
      <w:pPr>
        <w:ind w:left="250" w:hanging="143"/>
      </w:pPr>
      <w:rPr>
        <w:rFonts w:ascii="Arial" w:eastAsia="Arial" w:hAnsi="Arial" w:cs="Arial" w:hint="default"/>
        <w:spacing w:val="-1"/>
        <w:w w:val="101"/>
        <w:sz w:val="24"/>
        <w:szCs w:val="24"/>
        <w:lang w:val="es-ES" w:eastAsia="es-ES" w:bidi="es-ES"/>
      </w:rPr>
    </w:lvl>
    <w:lvl w:ilvl="1" w:tplc="67688586">
      <w:numFmt w:val="bullet"/>
      <w:lvlText w:val="•"/>
      <w:lvlJc w:val="left"/>
      <w:pPr>
        <w:ind w:left="728" w:hanging="143"/>
      </w:pPr>
      <w:rPr>
        <w:rFonts w:hint="default"/>
        <w:lang w:val="es-ES" w:eastAsia="es-ES" w:bidi="es-ES"/>
      </w:rPr>
    </w:lvl>
    <w:lvl w:ilvl="2" w:tplc="F75668BC">
      <w:numFmt w:val="bullet"/>
      <w:lvlText w:val="•"/>
      <w:lvlJc w:val="left"/>
      <w:pPr>
        <w:ind w:left="1197" w:hanging="143"/>
      </w:pPr>
      <w:rPr>
        <w:rFonts w:hint="default"/>
        <w:lang w:val="es-ES" w:eastAsia="es-ES" w:bidi="es-ES"/>
      </w:rPr>
    </w:lvl>
    <w:lvl w:ilvl="3" w:tplc="8744BC22">
      <w:numFmt w:val="bullet"/>
      <w:lvlText w:val="•"/>
      <w:lvlJc w:val="left"/>
      <w:pPr>
        <w:ind w:left="1665" w:hanging="143"/>
      </w:pPr>
      <w:rPr>
        <w:rFonts w:hint="default"/>
        <w:lang w:val="es-ES" w:eastAsia="es-ES" w:bidi="es-ES"/>
      </w:rPr>
    </w:lvl>
    <w:lvl w:ilvl="4" w:tplc="102A9BCE">
      <w:numFmt w:val="bullet"/>
      <w:lvlText w:val="•"/>
      <w:lvlJc w:val="left"/>
      <w:pPr>
        <w:ind w:left="2134" w:hanging="143"/>
      </w:pPr>
      <w:rPr>
        <w:rFonts w:hint="default"/>
        <w:lang w:val="es-ES" w:eastAsia="es-ES" w:bidi="es-ES"/>
      </w:rPr>
    </w:lvl>
    <w:lvl w:ilvl="5" w:tplc="933E541E">
      <w:numFmt w:val="bullet"/>
      <w:lvlText w:val="•"/>
      <w:lvlJc w:val="left"/>
      <w:pPr>
        <w:ind w:left="2602" w:hanging="143"/>
      </w:pPr>
      <w:rPr>
        <w:rFonts w:hint="default"/>
        <w:lang w:val="es-ES" w:eastAsia="es-ES" w:bidi="es-ES"/>
      </w:rPr>
    </w:lvl>
    <w:lvl w:ilvl="6" w:tplc="9A787BC8">
      <w:numFmt w:val="bullet"/>
      <w:lvlText w:val="•"/>
      <w:lvlJc w:val="left"/>
      <w:pPr>
        <w:ind w:left="3071" w:hanging="143"/>
      </w:pPr>
      <w:rPr>
        <w:rFonts w:hint="default"/>
        <w:lang w:val="es-ES" w:eastAsia="es-ES" w:bidi="es-ES"/>
      </w:rPr>
    </w:lvl>
    <w:lvl w:ilvl="7" w:tplc="2004B49A">
      <w:numFmt w:val="bullet"/>
      <w:lvlText w:val="•"/>
      <w:lvlJc w:val="left"/>
      <w:pPr>
        <w:ind w:left="3539" w:hanging="143"/>
      </w:pPr>
      <w:rPr>
        <w:rFonts w:hint="default"/>
        <w:lang w:val="es-ES" w:eastAsia="es-ES" w:bidi="es-ES"/>
      </w:rPr>
    </w:lvl>
    <w:lvl w:ilvl="8" w:tplc="18EEE442">
      <w:numFmt w:val="bullet"/>
      <w:lvlText w:val="•"/>
      <w:lvlJc w:val="left"/>
      <w:pPr>
        <w:ind w:left="4008" w:hanging="143"/>
      </w:pPr>
      <w:rPr>
        <w:rFonts w:hint="default"/>
        <w:lang w:val="es-ES" w:eastAsia="es-ES" w:bidi="es-ES"/>
      </w:rPr>
    </w:lvl>
  </w:abstractNum>
  <w:abstractNum w:abstractNumId="51" w15:restartNumberingAfterBreak="0">
    <w:nsid w:val="220008BF"/>
    <w:multiLevelType w:val="hybridMultilevel"/>
    <w:tmpl w:val="51B055BE"/>
    <w:lvl w:ilvl="0" w:tplc="C23AB580">
      <w:start w:val="1"/>
      <w:numFmt w:val="decimal"/>
      <w:lvlText w:val="%1."/>
      <w:lvlJc w:val="left"/>
      <w:pPr>
        <w:ind w:left="1096" w:hanging="360"/>
      </w:pPr>
      <w:rPr>
        <w:rFonts w:ascii="Arial" w:eastAsia="Arial" w:hAnsi="Arial" w:cs="Arial" w:hint="default"/>
        <w:w w:val="100"/>
        <w:sz w:val="20"/>
        <w:szCs w:val="20"/>
      </w:rPr>
    </w:lvl>
    <w:lvl w:ilvl="1" w:tplc="886AEEDA">
      <w:numFmt w:val="bullet"/>
      <w:lvlText w:val="•"/>
      <w:lvlJc w:val="left"/>
      <w:pPr>
        <w:ind w:left="1974" w:hanging="360"/>
      </w:pPr>
      <w:rPr>
        <w:rFonts w:hint="default"/>
      </w:rPr>
    </w:lvl>
    <w:lvl w:ilvl="2" w:tplc="DEC00EDA">
      <w:numFmt w:val="bullet"/>
      <w:lvlText w:val="•"/>
      <w:lvlJc w:val="left"/>
      <w:pPr>
        <w:ind w:left="2848" w:hanging="360"/>
      </w:pPr>
      <w:rPr>
        <w:rFonts w:hint="default"/>
      </w:rPr>
    </w:lvl>
    <w:lvl w:ilvl="3" w:tplc="127A4E9E">
      <w:numFmt w:val="bullet"/>
      <w:lvlText w:val="•"/>
      <w:lvlJc w:val="left"/>
      <w:pPr>
        <w:ind w:left="3722" w:hanging="360"/>
      </w:pPr>
      <w:rPr>
        <w:rFonts w:hint="default"/>
      </w:rPr>
    </w:lvl>
    <w:lvl w:ilvl="4" w:tplc="76900BDC">
      <w:numFmt w:val="bullet"/>
      <w:lvlText w:val="•"/>
      <w:lvlJc w:val="left"/>
      <w:pPr>
        <w:ind w:left="4596" w:hanging="360"/>
      </w:pPr>
      <w:rPr>
        <w:rFonts w:hint="default"/>
      </w:rPr>
    </w:lvl>
    <w:lvl w:ilvl="5" w:tplc="3FECB972">
      <w:numFmt w:val="bullet"/>
      <w:lvlText w:val="•"/>
      <w:lvlJc w:val="left"/>
      <w:pPr>
        <w:ind w:left="5470" w:hanging="360"/>
      </w:pPr>
      <w:rPr>
        <w:rFonts w:hint="default"/>
      </w:rPr>
    </w:lvl>
    <w:lvl w:ilvl="6" w:tplc="C7FECE46">
      <w:numFmt w:val="bullet"/>
      <w:lvlText w:val="•"/>
      <w:lvlJc w:val="left"/>
      <w:pPr>
        <w:ind w:left="6344" w:hanging="360"/>
      </w:pPr>
      <w:rPr>
        <w:rFonts w:hint="default"/>
      </w:rPr>
    </w:lvl>
    <w:lvl w:ilvl="7" w:tplc="CBA2A4D8">
      <w:numFmt w:val="bullet"/>
      <w:lvlText w:val="•"/>
      <w:lvlJc w:val="left"/>
      <w:pPr>
        <w:ind w:left="7218" w:hanging="360"/>
      </w:pPr>
      <w:rPr>
        <w:rFonts w:hint="default"/>
      </w:rPr>
    </w:lvl>
    <w:lvl w:ilvl="8" w:tplc="7D7C634A">
      <w:numFmt w:val="bullet"/>
      <w:lvlText w:val="•"/>
      <w:lvlJc w:val="left"/>
      <w:pPr>
        <w:ind w:left="8092" w:hanging="360"/>
      </w:pPr>
      <w:rPr>
        <w:rFonts w:hint="default"/>
      </w:rPr>
    </w:lvl>
  </w:abstractNum>
  <w:abstractNum w:abstractNumId="52" w15:restartNumberingAfterBreak="0">
    <w:nsid w:val="22240343"/>
    <w:multiLevelType w:val="hybridMultilevel"/>
    <w:tmpl w:val="4006B44C"/>
    <w:lvl w:ilvl="0" w:tplc="4964DB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3807D2"/>
    <w:multiLevelType w:val="hybridMultilevel"/>
    <w:tmpl w:val="EFB699B2"/>
    <w:lvl w:ilvl="0" w:tplc="E624AC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874967"/>
    <w:multiLevelType w:val="hybridMultilevel"/>
    <w:tmpl w:val="A3125814"/>
    <w:lvl w:ilvl="0" w:tplc="74D0CBE4">
      <w:start w:val="1"/>
      <w:numFmt w:val="decimal"/>
      <w:lvlText w:val="%1."/>
      <w:lvlJc w:val="left"/>
      <w:pPr>
        <w:ind w:left="1096" w:hanging="360"/>
      </w:pPr>
      <w:rPr>
        <w:rFonts w:ascii="Arial" w:eastAsia="Arial" w:hAnsi="Arial" w:cs="Arial" w:hint="default"/>
        <w:spacing w:val="-4"/>
        <w:w w:val="10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23551DDD"/>
    <w:multiLevelType w:val="hybridMultilevel"/>
    <w:tmpl w:val="C5D8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FF1EAC"/>
    <w:multiLevelType w:val="hybridMultilevel"/>
    <w:tmpl w:val="CC66ED5E"/>
    <w:lvl w:ilvl="0" w:tplc="ACFE3D22">
      <w:start w:val="1"/>
      <w:numFmt w:val="decimal"/>
      <w:lvlText w:val="%1."/>
      <w:lvlJc w:val="left"/>
      <w:pPr>
        <w:ind w:left="1096" w:hanging="360"/>
      </w:pPr>
      <w:rPr>
        <w:rFonts w:ascii="Arial" w:eastAsia="Arial" w:hAnsi="Arial" w:cs="Arial" w:hint="default"/>
        <w:spacing w:val="-24"/>
        <w:w w:val="100"/>
        <w:sz w:val="20"/>
        <w:szCs w:val="20"/>
      </w:rPr>
    </w:lvl>
    <w:lvl w:ilvl="1" w:tplc="B2EA5B7A">
      <w:numFmt w:val="bullet"/>
      <w:lvlText w:val="•"/>
      <w:lvlJc w:val="left"/>
      <w:pPr>
        <w:ind w:left="1974" w:hanging="360"/>
      </w:pPr>
      <w:rPr>
        <w:rFonts w:hint="default"/>
      </w:rPr>
    </w:lvl>
    <w:lvl w:ilvl="2" w:tplc="F2CE579C">
      <w:numFmt w:val="bullet"/>
      <w:lvlText w:val="•"/>
      <w:lvlJc w:val="left"/>
      <w:pPr>
        <w:ind w:left="2848" w:hanging="360"/>
      </w:pPr>
      <w:rPr>
        <w:rFonts w:hint="default"/>
      </w:rPr>
    </w:lvl>
    <w:lvl w:ilvl="3" w:tplc="91CE2DCC">
      <w:numFmt w:val="bullet"/>
      <w:lvlText w:val="•"/>
      <w:lvlJc w:val="left"/>
      <w:pPr>
        <w:ind w:left="3722" w:hanging="360"/>
      </w:pPr>
      <w:rPr>
        <w:rFonts w:hint="default"/>
      </w:rPr>
    </w:lvl>
    <w:lvl w:ilvl="4" w:tplc="5AE6C720">
      <w:numFmt w:val="bullet"/>
      <w:lvlText w:val="•"/>
      <w:lvlJc w:val="left"/>
      <w:pPr>
        <w:ind w:left="4596" w:hanging="360"/>
      </w:pPr>
      <w:rPr>
        <w:rFonts w:hint="default"/>
      </w:rPr>
    </w:lvl>
    <w:lvl w:ilvl="5" w:tplc="8902985C">
      <w:numFmt w:val="bullet"/>
      <w:lvlText w:val="•"/>
      <w:lvlJc w:val="left"/>
      <w:pPr>
        <w:ind w:left="5470" w:hanging="360"/>
      </w:pPr>
      <w:rPr>
        <w:rFonts w:hint="default"/>
      </w:rPr>
    </w:lvl>
    <w:lvl w:ilvl="6" w:tplc="85E05EB6">
      <w:numFmt w:val="bullet"/>
      <w:lvlText w:val="•"/>
      <w:lvlJc w:val="left"/>
      <w:pPr>
        <w:ind w:left="6344" w:hanging="360"/>
      </w:pPr>
      <w:rPr>
        <w:rFonts w:hint="default"/>
      </w:rPr>
    </w:lvl>
    <w:lvl w:ilvl="7" w:tplc="DDBCF45A">
      <w:numFmt w:val="bullet"/>
      <w:lvlText w:val="•"/>
      <w:lvlJc w:val="left"/>
      <w:pPr>
        <w:ind w:left="7218" w:hanging="360"/>
      </w:pPr>
      <w:rPr>
        <w:rFonts w:hint="default"/>
      </w:rPr>
    </w:lvl>
    <w:lvl w:ilvl="8" w:tplc="E3E6823E">
      <w:numFmt w:val="bullet"/>
      <w:lvlText w:val="•"/>
      <w:lvlJc w:val="left"/>
      <w:pPr>
        <w:ind w:left="8092" w:hanging="360"/>
      </w:pPr>
      <w:rPr>
        <w:rFonts w:hint="default"/>
      </w:rPr>
    </w:lvl>
  </w:abstractNum>
  <w:abstractNum w:abstractNumId="57" w15:restartNumberingAfterBreak="0">
    <w:nsid w:val="245506A4"/>
    <w:multiLevelType w:val="hybridMultilevel"/>
    <w:tmpl w:val="8ED2B07C"/>
    <w:lvl w:ilvl="0" w:tplc="F7946C22">
      <w:start w:val="1"/>
      <w:numFmt w:val="decimal"/>
      <w:lvlText w:val="%1."/>
      <w:lvlJc w:val="left"/>
      <w:pPr>
        <w:ind w:left="957" w:hanging="360"/>
      </w:pPr>
      <w:rPr>
        <w:rFonts w:ascii="Arial" w:eastAsia="Arial" w:hAnsi="Arial" w:cs="Arial" w:hint="default"/>
        <w:w w:val="100"/>
        <w:sz w:val="20"/>
        <w:szCs w:val="20"/>
      </w:rPr>
    </w:lvl>
    <w:lvl w:ilvl="1" w:tplc="E9363E48">
      <w:numFmt w:val="bullet"/>
      <w:lvlText w:val="•"/>
      <w:lvlJc w:val="left"/>
      <w:pPr>
        <w:ind w:left="1848" w:hanging="360"/>
      </w:pPr>
      <w:rPr>
        <w:rFonts w:hint="default"/>
      </w:rPr>
    </w:lvl>
    <w:lvl w:ilvl="2" w:tplc="C8527BEC">
      <w:numFmt w:val="bullet"/>
      <w:lvlText w:val="•"/>
      <w:lvlJc w:val="left"/>
      <w:pPr>
        <w:ind w:left="2736" w:hanging="360"/>
      </w:pPr>
      <w:rPr>
        <w:rFonts w:hint="default"/>
      </w:rPr>
    </w:lvl>
    <w:lvl w:ilvl="3" w:tplc="79008836">
      <w:numFmt w:val="bullet"/>
      <w:lvlText w:val="•"/>
      <w:lvlJc w:val="left"/>
      <w:pPr>
        <w:ind w:left="3624" w:hanging="360"/>
      </w:pPr>
      <w:rPr>
        <w:rFonts w:hint="default"/>
      </w:rPr>
    </w:lvl>
    <w:lvl w:ilvl="4" w:tplc="FE084484">
      <w:numFmt w:val="bullet"/>
      <w:lvlText w:val="•"/>
      <w:lvlJc w:val="left"/>
      <w:pPr>
        <w:ind w:left="4512" w:hanging="360"/>
      </w:pPr>
      <w:rPr>
        <w:rFonts w:hint="default"/>
      </w:rPr>
    </w:lvl>
    <w:lvl w:ilvl="5" w:tplc="F9EC8F08">
      <w:numFmt w:val="bullet"/>
      <w:lvlText w:val="•"/>
      <w:lvlJc w:val="left"/>
      <w:pPr>
        <w:ind w:left="5400" w:hanging="360"/>
      </w:pPr>
      <w:rPr>
        <w:rFonts w:hint="default"/>
      </w:rPr>
    </w:lvl>
    <w:lvl w:ilvl="6" w:tplc="B53C3302">
      <w:numFmt w:val="bullet"/>
      <w:lvlText w:val="•"/>
      <w:lvlJc w:val="left"/>
      <w:pPr>
        <w:ind w:left="6288" w:hanging="360"/>
      </w:pPr>
      <w:rPr>
        <w:rFonts w:hint="default"/>
      </w:rPr>
    </w:lvl>
    <w:lvl w:ilvl="7" w:tplc="5FFCD3DC">
      <w:numFmt w:val="bullet"/>
      <w:lvlText w:val="•"/>
      <w:lvlJc w:val="left"/>
      <w:pPr>
        <w:ind w:left="7176" w:hanging="360"/>
      </w:pPr>
      <w:rPr>
        <w:rFonts w:hint="default"/>
      </w:rPr>
    </w:lvl>
    <w:lvl w:ilvl="8" w:tplc="51A8EEB2">
      <w:numFmt w:val="bullet"/>
      <w:lvlText w:val="•"/>
      <w:lvlJc w:val="left"/>
      <w:pPr>
        <w:ind w:left="8064" w:hanging="360"/>
      </w:pPr>
      <w:rPr>
        <w:rFonts w:hint="default"/>
      </w:rPr>
    </w:lvl>
  </w:abstractNum>
  <w:abstractNum w:abstractNumId="58" w15:restartNumberingAfterBreak="0">
    <w:nsid w:val="24B732CC"/>
    <w:multiLevelType w:val="hybridMultilevel"/>
    <w:tmpl w:val="58566D26"/>
    <w:lvl w:ilvl="0" w:tplc="DDF49D90">
      <w:start w:val="1"/>
      <w:numFmt w:val="decimal"/>
      <w:lvlText w:val="%1."/>
      <w:lvlJc w:val="left"/>
      <w:pPr>
        <w:ind w:left="1096" w:hanging="360"/>
      </w:pPr>
      <w:rPr>
        <w:rFonts w:ascii="Arial" w:eastAsia="Arial" w:hAnsi="Arial" w:cs="Arial" w:hint="default"/>
        <w:spacing w:val="-19"/>
        <w:w w:val="100"/>
        <w:sz w:val="24"/>
        <w:szCs w:val="24"/>
      </w:rPr>
    </w:lvl>
    <w:lvl w:ilvl="1" w:tplc="1BC81056">
      <w:numFmt w:val="bullet"/>
      <w:lvlText w:val="•"/>
      <w:lvlJc w:val="left"/>
      <w:pPr>
        <w:ind w:left="1974" w:hanging="360"/>
      </w:pPr>
      <w:rPr>
        <w:rFonts w:hint="default"/>
      </w:rPr>
    </w:lvl>
    <w:lvl w:ilvl="2" w:tplc="39EA364C">
      <w:numFmt w:val="bullet"/>
      <w:lvlText w:val="•"/>
      <w:lvlJc w:val="left"/>
      <w:pPr>
        <w:ind w:left="2848" w:hanging="360"/>
      </w:pPr>
      <w:rPr>
        <w:rFonts w:hint="default"/>
      </w:rPr>
    </w:lvl>
    <w:lvl w:ilvl="3" w:tplc="66D42CC6">
      <w:numFmt w:val="bullet"/>
      <w:lvlText w:val="•"/>
      <w:lvlJc w:val="left"/>
      <w:pPr>
        <w:ind w:left="3722" w:hanging="360"/>
      </w:pPr>
      <w:rPr>
        <w:rFonts w:hint="default"/>
      </w:rPr>
    </w:lvl>
    <w:lvl w:ilvl="4" w:tplc="0AC0ED92">
      <w:numFmt w:val="bullet"/>
      <w:lvlText w:val="•"/>
      <w:lvlJc w:val="left"/>
      <w:pPr>
        <w:ind w:left="4596" w:hanging="360"/>
      </w:pPr>
      <w:rPr>
        <w:rFonts w:hint="default"/>
      </w:rPr>
    </w:lvl>
    <w:lvl w:ilvl="5" w:tplc="8DE885A4">
      <w:numFmt w:val="bullet"/>
      <w:lvlText w:val="•"/>
      <w:lvlJc w:val="left"/>
      <w:pPr>
        <w:ind w:left="5470" w:hanging="360"/>
      </w:pPr>
      <w:rPr>
        <w:rFonts w:hint="default"/>
      </w:rPr>
    </w:lvl>
    <w:lvl w:ilvl="6" w:tplc="705CF6EA">
      <w:numFmt w:val="bullet"/>
      <w:lvlText w:val="•"/>
      <w:lvlJc w:val="left"/>
      <w:pPr>
        <w:ind w:left="6344" w:hanging="360"/>
      </w:pPr>
      <w:rPr>
        <w:rFonts w:hint="default"/>
      </w:rPr>
    </w:lvl>
    <w:lvl w:ilvl="7" w:tplc="363061E8">
      <w:numFmt w:val="bullet"/>
      <w:lvlText w:val="•"/>
      <w:lvlJc w:val="left"/>
      <w:pPr>
        <w:ind w:left="7218" w:hanging="360"/>
      </w:pPr>
      <w:rPr>
        <w:rFonts w:hint="default"/>
      </w:rPr>
    </w:lvl>
    <w:lvl w:ilvl="8" w:tplc="582E5A58">
      <w:numFmt w:val="bullet"/>
      <w:lvlText w:val="•"/>
      <w:lvlJc w:val="left"/>
      <w:pPr>
        <w:ind w:left="8092" w:hanging="360"/>
      </w:pPr>
      <w:rPr>
        <w:rFonts w:hint="default"/>
      </w:rPr>
    </w:lvl>
  </w:abstractNum>
  <w:abstractNum w:abstractNumId="59" w15:restartNumberingAfterBreak="0">
    <w:nsid w:val="24B85A91"/>
    <w:multiLevelType w:val="multilevel"/>
    <w:tmpl w:val="FCB69BCA"/>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60" w15:restartNumberingAfterBreak="0">
    <w:nsid w:val="2511449A"/>
    <w:multiLevelType w:val="hybridMultilevel"/>
    <w:tmpl w:val="7B8C4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9C796F"/>
    <w:multiLevelType w:val="multilevel"/>
    <w:tmpl w:val="84E4849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2" w15:restartNumberingAfterBreak="0">
    <w:nsid w:val="25B9760D"/>
    <w:multiLevelType w:val="hybridMultilevel"/>
    <w:tmpl w:val="C84229CA"/>
    <w:lvl w:ilvl="0" w:tplc="7FFC6E7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4B3482"/>
    <w:multiLevelType w:val="hybridMultilevel"/>
    <w:tmpl w:val="7B004E74"/>
    <w:lvl w:ilvl="0" w:tplc="3AF2E942">
      <w:start w:val="1"/>
      <w:numFmt w:val="decimal"/>
      <w:lvlText w:val="%1."/>
      <w:lvlJc w:val="left"/>
      <w:pPr>
        <w:ind w:left="466" w:hanging="229"/>
      </w:pPr>
      <w:rPr>
        <w:rFonts w:ascii="Arial" w:eastAsia="Arial" w:hAnsi="Arial" w:cs="Arial" w:hint="default"/>
        <w:spacing w:val="-1"/>
        <w:w w:val="101"/>
        <w:sz w:val="24"/>
        <w:szCs w:val="24"/>
        <w:lang w:val="es-ES" w:eastAsia="es-ES" w:bidi="es-ES"/>
      </w:rPr>
    </w:lvl>
    <w:lvl w:ilvl="1" w:tplc="25A22F40">
      <w:numFmt w:val="bullet"/>
      <w:lvlText w:val="•"/>
      <w:lvlJc w:val="left"/>
      <w:pPr>
        <w:ind w:left="908" w:hanging="229"/>
      </w:pPr>
      <w:rPr>
        <w:rFonts w:hint="default"/>
        <w:lang w:val="es-ES" w:eastAsia="es-ES" w:bidi="es-ES"/>
      </w:rPr>
    </w:lvl>
    <w:lvl w:ilvl="2" w:tplc="10DAECF8">
      <w:numFmt w:val="bullet"/>
      <w:lvlText w:val="•"/>
      <w:lvlJc w:val="left"/>
      <w:pPr>
        <w:ind w:left="1357" w:hanging="229"/>
      </w:pPr>
      <w:rPr>
        <w:rFonts w:hint="default"/>
        <w:lang w:val="es-ES" w:eastAsia="es-ES" w:bidi="es-ES"/>
      </w:rPr>
    </w:lvl>
    <w:lvl w:ilvl="3" w:tplc="9274D60C">
      <w:numFmt w:val="bullet"/>
      <w:lvlText w:val="•"/>
      <w:lvlJc w:val="left"/>
      <w:pPr>
        <w:ind w:left="1805" w:hanging="229"/>
      </w:pPr>
      <w:rPr>
        <w:rFonts w:hint="default"/>
        <w:lang w:val="es-ES" w:eastAsia="es-ES" w:bidi="es-ES"/>
      </w:rPr>
    </w:lvl>
    <w:lvl w:ilvl="4" w:tplc="11868838">
      <w:numFmt w:val="bullet"/>
      <w:lvlText w:val="•"/>
      <w:lvlJc w:val="left"/>
      <w:pPr>
        <w:ind w:left="2254" w:hanging="229"/>
      </w:pPr>
      <w:rPr>
        <w:rFonts w:hint="default"/>
        <w:lang w:val="es-ES" w:eastAsia="es-ES" w:bidi="es-ES"/>
      </w:rPr>
    </w:lvl>
    <w:lvl w:ilvl="5" w:tplc="7102C046">
      <w:numFmt w:val="bullet"/>
      <w:lvlText w:val="•"/>
      <w:lvlJc w:val="left"/>
      <w:pPr>
        <w:ind w:left="2702" w:hanging="229"/>
      </w:pPr>
      <w:rPr>
        <w:rFonts w:hint="default"/>
        <w:lang w:val="es-ES" w:eastAsia="es-ES" w:bidi="es-ES"/>
      </w:rPr>
    </w:lvl>
    <w:lvl w:ilvl="6" w:tplc="B5AE5552">
      <w:numFmt w:val="bullet"/>
      <w:lvlText w:val="•"/>
      <w:lvlJc w:val="left"/>
      <w:pPr>
        <w:ind w:left="3151" w:hanging="229"/>
      </w:pPr>
      <w:rPr>
        <w:rFonts w:hint="default"/>
        <w:lang w:val="es-ES" w:eastAsia="es-ES" w:bidi="es-ES"/>
      </w:rPr>
    </w:lvl>
    <w:lvl w:ilvl="7" w:tplc="C478DFCC">
      <w:numFmt w:val="bullet"/>
      <w:lvlText w:val="•"/>
      <w:lvlJc w:val="left"/>
      <w:pPr>
        <w:ind w:left="3599" w:hanging="229"/>
      </w:pPr>
      <w:rPr>
        <w:rFonts w:hint="default"/>
        <w:lang w:val="es-ES" w:eastAsia="es-ES" w:bidi="es-ES"/>
      </w:rPr>
    </w:lvl>
    <w:lvl w:ilvl="8" w:tplc="3AD0AED8">
      <w:numFmt w:val="bullet"/>
      <w:lvlText w:val="•"/>
      <w:lvlJc w:val="left"/>
      <w:pPr>
        <w:ind w:left="4048" w:hanging="229"/>
      </w:pPr>
      <w:rPr>
        <w:rFonts w:hint="default"/>
        <w:lang w:val="es-ES" w:eastAsia="es-ES" w:bidi="es-ES"/>
      </w:rPr>
    </w:lvl>
  </w:abstractNum>
  <w:abstractNum w:abstractNumId="64" w15:restartNumberingAfterBreak="0">
    <w:nsid w:val="27D02102"/>
    <w:multiLevelType w:val="multilevel"/>
    <w:tmpl w:val="066C9F28"/>
    <w:lvl w:ilvl="0">
      <w:start w:val="1"/>
      <w:numFmt w:val="decimal"/>
      <w:lvlText w:val="%1."/>
      <w:lvlJc w:val="left"/>
      <w:pPr>
        <w:ind w:left="1096" w:hanging="360"/>
      </w:pPr>
      <w:rPr>
        <w:rFonts w:ascii="Arial" w:eastAsia="Arial" w:hAnsi="Arial" w:cs="Arial"/>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65" w15:restartNumberingAfterBreak="0">
    <w:nsid w:val="28C25620"/>
    <w:multiLevelType w:val="hybridMultilevel"/>
    <w:tmpl w:val="614AD248"/>
    <w:lvl w:ilvl="0" w:tplc="A0321318">
      <w:start w:val="1"/>
      <w:numFmt w:val="decimal"/>
      <w:lvlText w:val="%1."/>
      <w:lvlJc w:val="left"/>
      <w:pPr>
        <w:ind w:left="1096" w:hanging="360"/>
      </w:pPr>
      <w:rPr>
        <w:rFonts w:ascii="Arial" w:eastAsia="Arial" w:hAnsi="Arial" w:cs="Arial" w:hint="default"/>
        <w:b w:val="0"/>
        <w:bCs/>
        <w:spacing w:val="-19"/>
        <w:w w:val="100"/>
        <w:sz w:val="20"/>
        <w:szCs w:val="20"/>
      </w:rPr>
    </w:lvl>
    <w:lvl w:ilvl="1" w:tplc="1BC81056">
      <w:numFmt w:val="bullet"/>
      <w:lvlText w:val="•"/>
      <w:lvlJc w:val="left"/>
      <w:pPr>
        <w:ind w:left="1974" w:hanging="360"/>
      </w:pPr>
      <w:rPr>
        <w:rFonts w:hint="default"/>
      </w:rPr>
    </w:lvl>
    <w:lvl w:ilvl="2" w:tplc="39EA364C">
      <w:numFmt w:val="bullet"/>
      <w:lvlText w:val="•"/>
      <w:lvlJc w:val="left"/>
      <w:pPr>
        <w:ind w:left="2848" w:hanging="360"/>
      </w:pPr>
      <w:rPr>
        <w:rFonts w:hint="default"/>
      </w:rPr>
    </w:lvl>
    <w:lvl w:ilvl="3" w:tplc="66D42CC6">
      <w:numFmt w:val="bullet"/>
      <w:lvlText w:val="•"/>
      <w:lvlJc w:val="left"/>
      <w:pPr>
        <w:ind w:left="3722" w:hanging="360"/>
      </w:pPr>
      <w:rPr>
        <w:rFonts w:hint="default"/>
      </w:rPr>
    </w:lvl>
    <w:lvl w:ilvl="4" w:tplc="0AC0ED92">
      <w:numFmt w:val="bullet"/>
      <w:lvlText w:val="•"/>
      <w:lvlJc w:val="left"/>
      <w:pPr>
        <w:ind w:left="4596" w:hanging="360"/>
      </w:pPr>
      <w:rPr>
        <w:rFonts w:hint="default"/>
      </w:rPr>
    </w:lvl>
    <w:lvl w:ilvl="5" w:tplc="8DE885A4">
      <w:numFmt w:val="bullet"/>
      <w:lvlText w:val="•"/>
      <w:lvlJc w:val="left"/>
      <w:pPr>
        <w:ind w:left="5470" w:hanging="360"/>
      </w:pPr>
      <w:rPr>
        <w:rFonts w:hint="default"/>
      </w:rPr>
    </w:lvl>
    <w:lvl w:ilvl="6" w:tplc="705CF6EA">
      <w:numFmt w:val="bullet"/>
      <w:lvlText w:val="•"/>
      <w:lvlJc w:val="left"/>
      <w:pPr>
        <w:ind w:left="6344" w:hanging="360"/>
      </w:pPr>
      <w:rPr>
        <w:rFonts w:hint="default"/>
      </w:rPr>
    </w:lvl>
    <w:lvl w:ilvl="7" w:tplc="363061E8">
      <w:numFmt w:val="bullet"/>
      <w:lvlText w:val="•"/>
      <w:lvlJc w:val="left"/>
      <w:pPr>
        <w:ind w:left="7218" w:hanging="360"/>
      </w:pPr>
      <w:rPr>
        <w:rFonts w:hint="default"/>
      </w:rPr>
    </w:lvl>
    <w:lvl w:ilvl="8" w:tplc="582E5A58">
      <w:numFmt w:val="bullet"/>
      <w:lvlText w:val="•"/>
      <w:lvlJc w:val="left"/>
      <w:pPr>
        <w:ind w:left="8092" w:hanging="360"/>
      </w:pPr>
      <w:rPr>
        <w:rFonts w:hint="default"/>
      </w:rPr>
    </w:lvl>
  </w:abstractNum>
  <w:abstractNum w:abstractNumId="66" w15:restartNumberingAfterBreak="0">
    <w:nsid w:val="29920C99"/>
    <w:multiLevelType w:val="multilevel"/>
    <w:tmpl w:val="7FDE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9CA58F6"/>
    <w:multiLevelType w:val="hybridMultilevel"/>
    <w:tmpl w:val="A940729A"/>
    <w:lvl w:ilvl="0" w:tplc="D90E897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D513D7"/>
    <w:multiLevelType w:val="multilevel"/>
    <w:tmpl w:val="9E48B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2B4668FC"/>
    <w:multiLevelType w:val="hybridMultilevel"/>
    <w:tmpl w:val="6FFEE856"/>
    <w:lvl w:ilvl="0" w:tplc="EB26C3CE">
      <w:start w:val="1"/>
      <w:numFmt w:val="decimal"/>
      <w:lvlText w:val="%1."/>
      <w:lvlJc w:val="left"/>
      <w:pPr>
        <w:ind w:left="1096" w:hanging="360"/>
      </w:pPr>
      <w:rPr>
        <w:rFonts w:ascii="Arial" w:eastAsia="Arial" w:hAnsi="Arial" w:cs="Arial" w:hint="default"/>
        <w:spacing w:val="-19"/>
        <w:w w:val="100"/>
        <w:sz w:val="20"/>
        <w:szCs w:val="20"/>
      </w:rPr>
    </w:lvl>
    <w:lvl w:ilvl="1" w:tplc="1BC81056">
      <w:numFmt w:val="bullet"/>
      <w:lvlText w:val="•"/>
      <w:lvlJc w:val="left"/>
      <w:pPr>
        <w:ind w:left="1974" w:hanging="360"/>
      </w:pPr>
      <w:rPr>
        <w:rFonts w:hint="default"/>
      </w:rPr>
    </w:lvl>
    <w:lvl w:ilvl="2" w:tplc="39EA364C">
      <w:numFmt w:val="bullet"/>
      <w:lvlText w:val="•"/>
      <w:lvlJc w:val="left"/>
      <w:pPr>
        <w:ind w:left="2848" w:hanging="360"/>
      </w:pPr>
      <w:rPr>
        <w:rFonts w:hint="default"/>
      </w:rPr>
    </w:lvl>
    <w:lvl w:ilvl="3" w:tplc="66D42CC6">
      <w:numFmt w:val="bullet"/>
      <w:lvlText w:val="•"/>
      <w:lvlJc w:val="left"/>
      <w:pPr>
        <w:ind w:left="3722" w:hanging="360"/>
      </w:pPr>
      <w:rPr>
        <w:rFonts w:hint="default"/>
      </w:rPr>
    </w:lvl>
    <w:lvl w:ilvl="4" w:tplc="0AC0ED92">
      <w:numFmt w:val="bullet"/>
      <w:lvlText w:val="•"/>
      <w:lvlJc w:val="left"/>
      <w:pPr>
        <w:ind w:left="4596" w:hanging="360"/>
      </w:pPr>
      <w:rPr>
        <w:rFonts w:hint="default"/>
      </w:rPr>
    </w:lvl>
    <w:lvl w:ilvl="5" w:tplc="8DE885A4">
      <w:numFmt w:val="bullet"/>
      <w:lvlText w:val="•"/>
      <w:lvlJc w:val="left"/>
      <w:pPr>
        <w:ind w:left="5470" w:hanging="360"/>
      </w:pPr>
      <w:rPr>
        <w:rFonts w:hint="default"/>
      </w:rPr>
    </w:lvl>
    <w:lvl w:ilvl="6" w:tplc="705CF6EA">
      <w:numFmt w:val="bullet"/>
      <w:lvlText w:val="•"/>
      <w:lvlJc w:val="left"/>
      <w:pPr>
        <w:ind w:left="6344" w:hanging="360"/>
      </w:pPr>
      <w:rPr>
        <w:rFonts w:hint="default"/>
      </w:rPr>
    </w:lvl>
    <w:lvl w:ilvl="7" w:tplc="363061E8">
      <w:numFmt w:val="bullet"/>
      <w:lvlText w:val="•"/>
      <w:lvlJc w:val="left"/>
      <w:pPr>
        <w:ind w:left="7218" w:hanging="360"/>
      </w:pPr>
      <w:rPr>
        <w:rFonts w:hint="default"/>
      </w:rPr>
    </w:lvl>
    <w:lvl w:ilvl="8" w:tplc="582E5A58">
      <w:numFmt w:val="bullet"/>
      <w:lvlText w:val="•"/>
      <w:lvlJc w:val="left"/>
      <w:pPr>
        <w:ind w:left="8092" w:hanging="360"/>
      </w:pPr>
      <w:rPr>
        <w:rFonts w:hint="default"/>
      </w:rPr>
    </w:lvl>
  </w:abstractNum>
  <w:abstractNum w:abstractNumId="70" w15:restartNumberingAfterBreak="0">
    <w:nsid w:val="2B690992"/>
    <w:multiLevelType w:val="multilevel"/>
    <w:tmpl w:val="9CEA58BA"/>
    <w:lvl w:ilvl="0">
      <w:start w:val="1"/>
      <w:numFmt w:val="lowerLetter"/>
      <w:lvlText w:val="%1."/>
      <w:lvlJc w:val="left"/>
      <w:pPr>
        <w:ind w:left="360" w:hanging="360"/>
      </w:pPr>
      <w:rPr>
        <w:sz w:val="24"/>
        <w:szCs w:val="24"/>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71" w15:restartNumberingAfterBreak="0">
    <w:nsid w:val="2BC72A1C"/>
    <w:multiLevelType w:val="hybridMultilevel"/>
    <w:tmpl w:val="E176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80730B"/>
    <w:multiLevelType w:val="hybridMultilevel"/>
    <w:tmpl w:val="C5D8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D93C1B"/>
    <w:multiLevelType w:val="hybridMultilevel"/>
    <w:tmpl w:val="521A074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2CF571FE"/>
    <w:multiLevelType w:val="hybridMultilevel"/>
    <w:tmpl w:val="EA126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0B2794"/>
    <w:multiLevelType w:val="hybridMultilevel"/>
    <w:tmpl w:val="51B055BE"/>
    <w:lvl w:ilvl="0" w:tplc="C23AB580">
      <w:start w:val="1"/>
      <w:numFmt w:val="decimal"/>
      <w:lvlText w:val="%1."/>
      <w:lvlJc w:val="left"/>
      <w:pPr>
        <w:ind w:left="1096" w:hanging="360"/>
      </w:pPr>
      <w:rPr>
        <w:rFonts w:ascii="Arial" w:eastAsia="Arial" w:hAnsi="Arial" w:cs="Arial" w:hint="default"/>
        <w:w w:val="100"/>
        <w:sz w:val="20"/>
        <w:szCs w:val="20"/>
      </w:rPr>
    </w:lvl>
    <w:lvl w:ilvl="1" w:tplc="886AEEDA">
      <w:numFmt w:val="bullet"/>
      <w:lvlText w:val="•"/>
      <w:lvlJc w:val="left"/>
      <w:pPr>
        <w:ind w:left="1974" w:hanging="360"/>
      </w:pPr>
      <w:rPr>
        <w:rFonts w:hint="default"/>
      </w:rPr>
    </w:lvl>
    <w:lvl w:ilvl="2" w:tplc="DEC00EDA">
      <w:numFmt w:val="bullet"/>
      <w:lvlText w:val="•"/>
      <w:lvlJc w:val="left"/>
      <w:pPr>
        <w:ind w:left="2848" w:hanging="360"/>
      </w:pPr>
      <w:rPr>
        <w:rFonts w:hint="default"/>
      </w:rPr>
    </w:lvl>
    <w:lvl w:ilvl="3" w:tplc="127A4E9E">
      <w:numFmt w:val="bullet"/>
      <w:lvlText w:val="•"/>
      <w:lvlJc w:val="left"/>
      <w:pPr>
        <w:ind w:left="3722" w:hanging="360"/>
      </w:pPr>
      <w:rPr>
        <w:rFonts w:hint="default"/>
      </w:rPr>
    </w:lvl>
    <w:lvl w:ilvl="4" w:tplc="76900BDC">
      <w:numFmt w:val="bullet"/>
      <w:lvlText w:val="•"/>
      <w:lvlJc w:val="left"/>
      <w:pPr>
        <w:ind w:left="4596" w:hanging="360"/>
      </w:pPr>
      <w:rPr>
        <w:rFonts w:hint="default"/>
      </w:rPr>
    </w:lvl>
    <w:lvl w:ilvl="5" w:tplc="3FECB972">
      <w:numFmt w:val="bullet"/>
      <w:lvlText w:val="•"/>
      <w:lvlJc w:val="left"/>
      <w:pPr>
        <w:ind w:left="5470" w:hanging="360"/>
      </w:pPr>
      <w:rPr>
        <w:rFonts w:hint="default"/>
      </w:rPr>
    </w:lvl>
    <w:lvl w:ilvl="6" w:tplc="C7FECE46">
      <w:numFmt w:val="bullet"/>
      <w:lvlText w:val="•"/>
      <w:lvlJc w:val="left"/>
      <w:pPr>
        <w:ind w:left="6344" w:hanging="360"/>
      </w:pPr>
      <w:rPr>
        <w:rFonts w:hint="default"/>
      </w:rPr>
    </w:lvl>
    <w:lvl w:ilvl="7" w:tplc="CBA2A4D8">
      <w:numFmt w:val="bullet"/>
      <w:lvlText w:val="•"/>
      <w:lvlJc w:val="left"/>
      <w:pPr>
        <w:ind w:left="7218" w:hanging="360"/>
      </w:pPr>
      <w:rPr>
        <w:rFonts w:hint="default"/>
      </w:rPr>
    </w:lvl>
    <w:lvl w:ilvl="8" w:tplc="7D7C634A">
      <w:numFmt w:val="bullet"/>
      <w:lvlText w:val="•"/>
      <w:lvlJc w:val="left"/>
      <w:pPr>
        <w:ind w:left="8092" w:hanging="360"/>
      </w:pPr>
      <w:rPr>
        <w:rFonts w:hint="default"/>
      </w:rPr>
    </w:lvl>
  </w:abstractNum>
  <w:abstractNum w:abstractNumId="76" w15:restartNumberingAfterBreak="0">
    <w:nsid w:val="2E0D5449"/>
    <w:multiLevelType w:val="multilevel"/>
    <w:tmpl w:val="76AE8FE2"/>
    <w:lvl w:ilvl="0">
      <w:start w:val="1"/>
      <w:numFmt w:val="decimal"/>
      <w:lvlText w:val="%1."/>
      <w:lvlJc w:val="left"/>
      <w:pPr>
        <w:ind w:left="360" w:hanging="360"/>
      </w:pPr>
      <w:rPr>
        <w:rFonts w:hint="default"/>
        <w:smallCaps w:val="0"/>
        <w:strike w:val="0"/>
        <w:color w:val="000000"/>
        <w:shd w:val="clear" w:color="auto" w:fill="auto"/>
        <w:vertAlign w:val="baseline"/>
      </w:rPr>
    </w:lvl>
    <w:lvl w:ilvl="1">
      <w:start w:val="1"/>
      <w:numFmt w:val="lowerLetter"/>
      <w:lvlText w:val="%2)"/>
      <w:lvlJc w:val="left"/>
      <w:pPr>
        <w:ind w:left="1080" w:hanging="360"/>
      </w:pPr>
      <w:rPr>
        <w:rFonts w:hint="default"/>
        <w:b w:val="0"/>
        <w:bCs w:val="0"/>
        <w:smallCaps w:val="0"/>
        <w:strike w:val="0"/>
        <w:color w:val="auto"/>
        <w:shd w:val="clear" w:color="auto" w:fill="auto"/>
        <w:vertAlign w:val="baseline"/>
      </w:rPr>
    </w:lvl>
    <w:lvl w:ilvl="2">
      <w:start w:val="1"/>
      <w:numFmt w:val="lowerRoman"/>
      <w:lvlText w:val="%3."/>
      <w:lvlJc w:val="left"/>
      <w:pPr>
        <w:ind w:left="1800" w:hanging="294"/>
      </w:pPr>
      <w:rPr>
        <w:rFonts w:hint="default"/>
        <w:smallCaps w:val="0"/>
        <w:strike w:val="0"/>
        <w:color w:val="000000"/>
        <w:shd w:val="clear" w:color="auto" w:fill="auto"/>
        <w:vertAlign w:val="baseline"/>
      </w:rPr>
    </w:lvl>
    <w:lvl w:ilvl="3">
      <w:start w:val="1"/>
      <w:numFmt w:val="decimal"/>
      <w:lvlText w:val="%4."/>
      <w:lvlJc w:val="left"/>
      <w:pPr>
        <w:ind w:left="2520" w:hanging="360"/>
      </w:pPr>
      <w:rPr>
        <w:rFonts w:hint="default"/>
        <w:smallCaps w:val="0"/>
        <w:strike w:val="0"/>
        <w:color w:val="000000"/>
        <w:shd w:val="clear" w:color="auto" w:fill="auto"/>
        <w:vertAlign w:val="baseline"/>
      </w:rPr>
    </w:lvl>
    <w:lvl w:ilvl="4">
      <w:start w:val="1"/>
      <w:numFmt w:val="lowerLetter"/>
      <w:lvlText w:val="%5."/>
      <w:lvlJc w:val="left"/>
      <w:pPr>
        <w:ind w:left="3240" w:hanging="360"/>
      </w:pPr>
      <w:rPr>
        <w:rFonts w:hint="default"/>
        <w:smallCaps w:val="0"/>
        <w:strike w:val="0"/>
        <w:color w:val="000000"/>
        <w:shd w:val="clear" w:color="auto" w:fill="auto"/>
        <w:vertAlign w:val="baseline"/>
      </w:rPr>
    </w:lvl>
    <w:lvl w:ilvl="5">
      <w:start w:val="1"/>
      <w:numFmt w:val="lowerRoman"/>
      <w:lvlText w:val="%6."/>
      <w:lvlJc w:val="left"/>
      <w:pPr>
        <w:ind w:left="3960" w:hanging="294"/>
      </w:pPr>
      <w:rPr>
        <w:rFonts w:hint="default"/>
        <w:smallCaps w:val="0"/>
        <w:strike w:val="0"/>
        <w:color w:val="000000"/>
        <w:shd w:val="clear" w:color="auto" w:fill="auto"/>
        <w:vertAlign w:val="baseline"/>
      </w:rPr>
    </w:lvl>
    <w:lvl w:ilvl="6">
      <w:start w:val="1"/>
      <w:numFmt w:val="decimal"/>
      <w:lvlText w:val="%7."/>
      <w:lvlJc w:val="left"/>
      <w:pPr>
        <w:ind w:left="4680" w:hanging="360"/>
      </w:pPr>
      <w:rPr>
        <w:rFonts w:hint="default"/>
        <w:smallCaps w:val="0"/>
        <w:strike w:val="0"/>
        <w:color w:val="000000"/>
        <w:shd w:val="clear" w:color="auto" w:fill="auto"/>
        <w:vertAlign w:val="baseline"/>
      </w:rPr>
    </w:lvl>
    <w:lvl w:ilvl="7">
      <w:start w:val="1"/>
      <w:numFmt w:val="lowerLetter"/>
      <w:lvlText w:val="%8."/>
      <w:lvlJc w:val="left"/>
      <w:pPr>
        <w:ind w:left="5400" w:hanging="360"/>
      </w:pPr>
      <w:rPr>
        <w:rFonts w:hint="default"/>
        <w:smallCaps w:val="0"/>
        <w:strike w:val="0"/>
        <w:color w:val="000000"/>
        <w:shd w:val="clear" w:color="auto" w:fill="auto"/>
        <w:vertAlign w:val="baseline"/>
      </w:rPr>
    </w:lvl>
    <w:lvl w:ilvl="8">
      <w:start w:val="1"/>
      <w:numFmt w:val="lowerRoman"/>
      <w:lvlText w:val="%9."/>
      <w:lvlJc w:val="left"/>
      <w:pPr>
        <w:ind w:left="6120" w:hanging="294"/>
      </w:pPr>
      <w:rPr>
        <w:rFonts w:hint="default"/>
        <w:smallCaps w:val="0"/>
        <w:strike w:val="0"/>
        <w:color w:val="000000"/>
        <w:shd w:val="clear" w:color="auto" w:fill="auto"/>
        <w:vertAlign w:val="baseline"/>
      </w:rPr>
    </w:lvl>
  </w:abstractNum>
  <w:abstractNum w:abstractNumId="77" w15:restartNumberingAfterBreak="0">
    <w:nsid w:val="2E122290"/>
    <w:multiLevelType w:val="hybridMultilevel"/>
    <w:tmpl w:val="4006A40E"/>
    <w:lvl w:ilvl="0" w:tplc="6FEAF38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2E8D20B4"/>
    <w:multiLevelType w:val="hybridMultilevel"/>
    <w:tmpl w:val="199A9FFA"/>
    <w:lvl w:ilvl="0" w:tplc="AEAA257C">
      <w:start w:val="1"/>
      <w:numFmt w:val="decimal"/>
      <w:lvlText w:val="%1."/>
      <w:lvlJc w:val="left"/>
      <w:pPr>
        <w:ind w:left="736" w:hanging="360"/>
      </w:pPr>
      <w:rPr>
        <w:rFonts w:ascii="Arial" w:eastAsia="Arial" w:hAnsi="Arial" w:cs="Arial" w:hint="default"/>
        <w:b w:val="0"/>
        <w:bCs/>
        <w:spacing w:val="-14"/>
        <w:w w:val="100"/>
        <w:sz w:val="20"/>
        <w:szCs w:val="20"/>
      </w:rPr>
    </w:lvl>
    <w:lvl w:ilvl="1" w:tplc="43268616">
      <w:numFmt w:val="bullet"/>
      <w:lvlText w:val="•"/>
      <w:lvlJc w:val="left"/>
      <w:pPr>
        <w:ind w:left="1650" w:hanging="360"/>
      </w:pPr>
      <w:rPr>
        <w:rFonts w:hint="default"/>
      </w:rPr>
    </w:lvl>
    <w:lvl w:ilvl="2" w:tplc="60143AF6">
      <w:numFmt w:val="bullet"/>
      <w:lvlText w:val="•"/>
      <w:lvlJc w:val="left"/>
      <w:pPr>
        <w:ind w:left="2560" w:hanging="360"/>
      </w:pPr>
      <w:rPr>
        <w:rFonts w:hint="default"/>
      </w:rPr>
    </w:lvl>
    <w:lvl w:ilvl="3" w:tplc="650E4886">
      <w:numFmt w:val="bullet"/>
      <w:lvlText w:val="•"/>
      <w:lvlJc w:val="left"/>
      <w:pPr>
        <w:ind w:left="3470" w:hanging="360"/>
      </w:pPr>
      <w:rPr>
        <w:rFonts w:hint="default"/>
      </w:rPr>
    </w:lvl>
    <w:lvl w:ilvl="4" w:tplc="BE52CCB0">
      <w:numFmt w:val="bullet"/>
      <w:lvlText w:val="•"/>
      <w:lvlJc w:val="left"/>
      <w:pPr>
        <w:ind w:left="4380" w:hanging="360"/>
      </w:pPr>
      <w:rPr>
        <w:rFonts w:hint="default"/>
      </w:rPr>
    </w:lvl>
    <w:lvl w:ilvl="5" w:tplc="FE7A44D2">
      <w:numFmt w:val="bullet"/>
      <w:lvlText w:val="•"/>
      <w:lvlJc w:val="left"/>
      <w:pPr>
        <w:ind w:left="5290" w:hanging="360"/>
      </w:pPr>
      <w:rPr>
        <w:rFonts w:hint="default"/>
      </w:rPr>
    </w:lvl>
    <w:lvl w:ilvl="6" w:tplc="AC2201C8">
      <w:numFmt w:val="bullet"/>
      <w:lvlText w:val="•"/>
      <w:lvlJc w:val="left"/>
      <w:pPr>
        <w:ind w:left="6200" w:hanging="360"/>
      </w:pPr>
      <w:rPr>
        <w:rFonts w:hint="default"/>
      </w:rPr>
    </w:lvl>
    <w:lvl w:ilvl="7" w:tplc="C1545F4A">
      <w:numFmt w:val="bullet"/>
      <w:lvlText w:val="•"/>
      <w:lvlJc w:val="left"/>
      <w:pPr>
        <w:ind w:left="7110" w:hanging="360"/>
      </w:pPr>
      <w:rPr>
        <w:rFonts w:hint="default"/>
      </w:rPr>
    </w:lvl>
    <w:lvl w:ilvl="8" w:tplc="FB64B6F0">
      <w:numFmt w:val="bullet"/>
      <w:lvlText w:val="•"/>
      <w:lvlJc w:val="left"/>
      <w:pPr>
        <w:ind w:left="8020" w:hanging="360"/>
      </w:pPr>
      <w:rPr>
        <w:rFonts w:hint="default"/>
      </w:rPr>
    </w:lvl>
  </w:abstractNum>
  <w:abstractNum w:abstractNumId="79" w15:restartNumberingAfterBreak="0">
    <w:nsid w:val="2F895DE2"/>
    <w:multiLevelType w:val="hybridMultilevel"/>
    <w:tmpl w:val="1210574E"/>
    <w:lvl w:ilvl="0" w:tplc="E2BE1096">
      <w:start w:val="1"/>
      <w:numFmt w:val="lowerLetter"/>
      <w:lvlText w:val="%1."/>
      <w:lvlJc w:val="left"/>
      <w:pPr>
        <w:ind w:left="360" w:hanging="360"/>
      </w:pPr>
      <w:rPr>
        <w:b w:val="0"/>
        <w:bCs/>
        <w:i w:val="0"/>
        <w:iCs w:val="0"/>
      </w:rPr>
    </w:lvl>
    <w:lvl w:ilvl="1" w:tplc="0A3AD604">
      <w:start w:val="2"/>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FAE5F73"/>
    <w:multiLevelType w:val="multilevel"/>
    <w:tmpl w:val="C03AEFB4"/>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81" w15:restartNumberingAfterBreak="0">
    <w:nsid w:val="308F25AA"/>
    <w:multiLevelType w:val="multilevel"/>
    <w:tmpl w:val="9E48B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30CE0264"/>
    <w:multiLevelType w:val="multilevel"/>
    <w:tmpl w:val="DBA604F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3" w15:restartNumberingAfterBreak="0">
    <w:nsid w:val="313C7B2C"/>
    <w:multiLevelType w:val="hybridMultilevel"/>
    <w:tmpl w:val="E95043BA"/>
    <w:lvl w:ilvl="0" w:tplc="AC606F3C">
      <w:start w:val="1"/>
      <w:numFmt w:val="decimal"/>
      <w:lvlText w:val="%1."/>
      <w:lvlJc w:val="left"/>
      <w:pPr>
        <w:ind w:left="1096" w:hanging="360"/>
      </w:pPr>
      <w:rPr>
        <w:rFonts w:ascii="Arial" w:eastAsia="Arial" w:hAnsi="Arial" w:cs="Arial" w:hint="default"/>
        <w:spacing w:val="-24"/>
        <w:w w:val="100"/>
        <w:sz w:val="20"/>
        <w:szCs w:val="20"/>
      </w:rPr>
    </w:lvl>
    <w:lvl w:ilvl="1" w:tplc="B2EA5B7A">
      <w:numFmt w:val="bullet"/>
      <w:lvlText w:val="•"/>
      <w:lvlJc w:val="left"/>
      <w:pPr>
        <w:ind w:left="1974" w:hanging="360"/>
      </w:pPr>
      <w:rPr>
        <w:rFonts w:hint="default"/>
      </w:rPr>
    </w:lvl>
    <w:lvl w:ilvl="2" w:tplc="F2CE579C">
      <w:numFmt w:val="bullet"/>
      <w:lvlText w:val="•"/>
      <w:lvlJc w:val="left"/>
      <w:pPr>
        <w:ind w:left="2848" w:hanging="360"/>
      </w:pPr>
      <w:rPr>
        <w:rFonts w:hint="default"/>
      </w:rPr>
    </w:lvl>
    <w:lvl w:ilvl="3" w:tplc="91CE2DCC">
      <w:numFmt w:val="bullet"/>
      <w:lvlText w:val="•"/>
      <w:lvlJc w:val="left"/>
      <w:pPr>
        <w:ind w:left="3722" w:hanging="360"/>
      </w:pPr>
      <w:rPr>
        <w:rFonts w:hint="default"/>
      </w:rPr>
    </w:lvl>
    <w:lvl w:ilvl="4" w:tplc="5AE6C720">
      <w:numFmt w:val="bullet"/>
      <w:lvlText w:val="•"/>
      <w:lvlJc w:val="left"/>
      <w:pPr>
        <w:ind w:left="4596" w:hanging="360"/>
      </w:pPr>
      <w:rPr>
        <w:rFonts w:hint="default"/>
      </w:rPr>
    </w:lvl>
    <w:lvl w:ilvl="5" w:tplc="8902985C">
      <w:numFmt w:val="bullet"/>
      <w:lvlText w:val="•"/>
      <w:lvlJc w:val="left"/>
      <w:pPr>
        <w:ind w:left="5470" w:hanging="360"/>
      </w:pPr>
      <w:rPr>
        <w:rFonts w:hint="default"/>
      </w:rPr>
    </w:lvl>
    <w:lvl w:ilvl="6" w:tplc="85E05EB6">
      <w:numFmt w:val="bullet"/>
      <w:lvlText w:val="•"/>
      <w:lvlJc w:val="left"/>
      <w:pPr>
        <w:ind w:left="6344" w:hanging="360"/>
      </w:pPr>
      <w:rPr>
        <w:rFonts w:hint="default"/>
      </w:rPr>
    </w:lvl>
    <w:lvl w:ilvl="7" w:tplc="DDBCF45A">
      <w:numFmt w:val="bullet"/>
      <w:lvlText w:val="•"/>
      <w:lvlJc w:val="left"/>
      <w:pPr>
        <w:ind w:left="7218" w:hanging="360"/>
      </w:pPr>
      <w:rPr>
        <w:rFonts w:hint="default"/>
      </w:rPr>
    </w:lvl>
    <w:lvl w:ilvl="8" w:tplc="E3E6823E">
      <w:numFmt w:val="bullet"/>
      <w:lvlText w:val="•"/>
      <w:lvlJc w:val="left"/>
      <w:pPr>
        <w:ind w:left="8092" w:hanging="360"/>
      </w:pPr>
      <w:rPr>
        <w:rFonts w:hint="default"/>
      </w:rPr>
    </w:lvl>
  </w:abstractNum>
  <w:abstractNum w:abstractNumId="84" w15:restartNumberingAfterBreak="0">
    <w:nsid w:val="313F6A50"/>
    <w:multiLevelType w:val="multilevel"/>
    <w:tmpl w:val="7FDE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2231909"/>
    <w:multiLevelType w:val="hybridMultilevel"/>
    <w:tmpl w:val="03A89728"/>
    <w:lvl w:ilvl="0" w:tplc="8202FD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25A57F0"/>
    <w:multiLevelType w:val="hybridMultilevel"/>
    <w:tmpl w:val="B24C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2CA27B2"/>
    <w:multiLevelType w:val="hybridMultilevel"/>
    <w:tmpl w:val="5044D828"/>
    <w:lvl w:ilvl="0" w:tplc="08EC9B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0D4511"/>
    <w:multiLevelType w:val="multilevel"/>
    <w:tmpl w:val="972E2C20"/>
    <w:lvl w:ilvl="0">
      <w:start w:val="1"/>
      <w:numFmt w:val="decimal"/>
      <w:lvlText w:val="%1."/>
      <w:lvlJc w:val="left"/>
      <w:pPr>
        <w:ind w:left="1096" w:hanging="360"/>
      </w:pPr>
      <w:rPr>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89" w15:restartNumberingAfterBreak="0">
    <w:nsid w:val="34137F0F"/>
    <w:multiLevelType w:val="hybridMultilevel"/>
    <w:tmpl w:val="AFA01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47A627E"/>
    <w:multiLevelType w:val="multilevel"/>
    <w:tmpl w:val="4CCA4E72"/>
    <w:lvl w:ilvl="0">
      <w:start w:val="2"/>
      <w:numFmt w:val="decimal"/>
      <w:lvlText w:val="(%1)"/>
      <w:lvlJc w:val="left"/>
      <w:pPr>
        <w:ind w:left="448" w:hanging="346"/>
      </w:pPr>
      <w:rPr>
        <w:rFonts w:ascii="Arial" w:eastAsia="Arial" w:hAnsi="Arial" w:cs="Arial"/>
        <w:sz w:val="24"/>
        <w:szCs w:val="24"/>
      </w:rPr>
    </w:lvl>
    <w:lvl w:ilvl="1">
      <w:start w:val="1"/>
      <w:numFmt w:val="decimal"/>
      <w:lvlText w:val="%2."/>
      <w:lvlJc w:val="left"/>
      <w:pPr>
        <w:ind w:left="1096" w:hanging="360"/>
      </w:pPr>
      <w:rPr>
        <w:rFonts w:ascii="Arial" w:eastAsia="Arial" w:hAnsi="Arial" w:cs="Arial"/>
        <w:b/>
        <w:sz w:val="20"/>
        <w:szCs w:val="20"/>
      </w:rPr>
    </w:lvl>
    <w:lvl w:ilvl="2">
      <w:start w:val="1"/>
      <w:numFmt w:val="lowerLetter"/>
      <w:lvlText w:val="%3."/>
      <w:lvlJc w:val="left"/>
      <w:pPr>
        <w:ind w:left="1442" w:hanging="360"/>
      </w:pPr>
      <w:rPr>
        <w:rFonts w:ascii="Arial" w:eastAsia="Arial" w:hAnsi="Arial" w:cs="Arial"/>
        <w:b w:val="0"/>
        <w:bCs/>
        <w:sz w:val="20"/>
        <w:szCs w:val="20"/>
      </w:rPr>
    </w:lvl>
    <w:lvl w:ilvl="3">
      <w:start w:val="1"/>
      <w:numFmt w:val="bullet"/>
      <w:lvlText w:val="•"/>
      <w:lvlJc w:val="left"/>
      <w:pPr>
        <w:ind w:left="2490" w:hanging="360"/>
      </w:pPr>
    </w:lvl>
    <w:lvl w:ilvl="4">
      <w:start w:val="1"/>
      <w:numFmt w:val="bullet"/>
      <w:lvlText w:val="•"/>
      <w:lvlJc w:val="left"/>
      <w:pPr>
        <w:ind w:left="3540" w:hanging="360"/>
      </w:pPr>
    </w:lvl>
    <w:lvl w:ilvl="5">
      <w:start w:val="1"/>
      <w:numFmt w:val="bullet"/>
      <w:lvlText w:val="•"/>
      <w:lvlJc w:val="left"/>
      <w:pPr>
        <w:ind w:left="4590" w:hanging="360"/>
      </w:pPr>
    </w:lvl>
    <w:lvl w:ilvl="6">
      <w:start w:val="1"/>
      <w:numFmt w:val="bullet"/>
      <w:lvlText w:val="•"/>
      <w:lvlJc w:val="left"/>
      <w:pPr>
        <w:ind w:left="5640" w:hanging="360"/>
      </w:pPr>
    </w:lvl>
    <w:lvl w:ilvl="7">
      <w:start w:val="1"/>
      <w:numFmt w:val="bullet"/>
      <w:lvlText w:val="•"/>
      <w:lvlJc w:val="left"/>
      <w:pPr>
        <w:ind w:left="6690" w:hanging="360"/>
      </w:pPr>
    </w:lvl>
    <w:lvl w:ilvl="8">
      <w:start w:val="1"/>
      <w:numFmt w:val="bullet"/>
      <w:lvlText w:val="•"/>
      <w:lvlJc w:val="left"/>
      <w:pPr>
        <w:ind w:left="7740" w:hanging="360"/>
      </w:pPr>
    </w:lvl>
  </w:abstractNum>
  <w:abstractNum w:abstractNumId="91" w15:restartNumberingAfterBreak="0">
    <w:nsid w:val="34816DC6"/>
    <w:multiLevelType w:val="hybridMultilevel"/>
    <w:tmpl w:val="90164774"/>
    <w:lvl w:ilvl="0" w:tplc="B27EFF80">
      <w:start w:val="1"/>
      <w:numFmt w:val="decimal"/>
      <w:lvlText w:val="%1."/>
      <w:lvlJc w:val="left"/>
      <w:pPr>
        <w:ind w:left="1068" w:hanging="362"/>
      </w:pPr>
      <w:rPr>
        <w:rFonts w:ascii="Arial" w:eastAsia="Arial" w:hAnsi="Arial" w:cs="Arial" w:hint="default"/>
        <w:spacing w:val="-32"/>
        <w:w w:val="100"/>
        <w:sz w:val="22"/>
        <w:szCs w:val="22"/>
        <w:lang w:val="es-ES" w:eastAsia="es-ES" w:bidi="es-ES"/>
      </w:rPr>
    </w:lvl>
    <w:lvl w:ilvl="1" w:tplc="93F24AFC">
      <w:numFmt w:val="bullet"/>
      <w:lvlText w:val="•"/>
      <w:lvlJc w:val="left"/>
      <w:pPr>
        <w:ind w:left="1655" w:hanging="362"/>
      </w:pPr>
      <w:rPr>
        <w:rFonts w:hint="default"/>
        <w:lang w:val="es-ES" w:eastAsia="es-ES" w:bidi="es-ES"/>
      </w:rPr>
    </w:lvl>
    <w:lvl w:ilvl="2" w:tplc="119E5D14">
      <w:numFmt w:val="bullet"/>
      <w:lvlText w:val="•"/>
      <w:lvlJc w:val="left"/>
      <w:pPr>
        <w:ind w:left="2251" w:hanging="362"/>
      </w:pPr>
      <w:rPr>
        <w:rFonts w:hint="default"/>
        <w:lang w:val="es-ES" w:eastAsia="es-ES" w:bidi="es-ES"/>
      </w:rPr>
    </w:lvl>
    <w:lvl w:ilvl="3" w:tplc="6520F38E">
      <w:numFmt w:val="bullet"/>
      <w:lvlText w:val="•"/>
      <w:lvlJc w:val="left"/>
      <w:pPr>
        <w:ind w:left="2847" w:hanging="362"/>
      </w:pPr>
      <w:rPr>
        <w:rFonts w:hint="default"/>
        <w:lang w:val="es-ES" w:eastAsia="es-ES" w:bidi="es-ES"/>
      </w:rPr>
    </w:lvl>
    <w:lvl w:ilvl="4" w:tplc="38C2FC10">
      <w:numFmt w:val="bullet"/>
      <w:lvlText w:val="•"/>
      <w:lvlJc w:val="left"/>
      <w:pPr>
        <w:ind w:left="3442" w:hanging="362"/>
      </w:pPr>
      <w:rPr>
        <w:rFonts w:hint="default"/>
        <w:lang w:val="es-ES" w:eastAsia="es-ES" w:bidi="es-ES"/>
      </w:rPr>
    </w:lvl>
    <w:lvl w:ilvl="5" w:tplc="A032477A">
      <w:numFmt w:val="bullet"/>
      <w:lvlText w:val="•"/>
      <w:lvlJc w:val="left"/>
      <w:pPr>
        <w:ind w:left="4038" w:hanging="362"/>
      </w:pPr>
      <w:rPr>
        <w:rFonts w:hint="default"/>
        <w:lang w:val="es-ES" w:eastAsia="es-ES" w:bidi="es-ES"/>
      </w:rPr>
    </w:lvl>
    <w:lvl w:ilvl="6" w:tplc="A73ACBAE">
      <w:numFmt w:val="bullet"/>
      <w:lvlText w:val="•"/>
      <w:lvlJc w:val="left"/>
      <w:pPr>
        <w:ind w:left="4634" w:hanging="362"/>
      </w:pPr>
      <w:rPr>
        <w:rFonts w:hint="default"/>
        <w:lang w:val="es-ES" w:eastAsia="es-ES" w:bidi="es-ES"/>
      </w:rPr>
    </w:lvl>
    <w:lvl w:ilvl="7" w:tplc="751E9E9C">
      <w:numFmt w:val="bullet"/>
      <w:lvlText w:val="•"/>
      <w:lvlJc w:val="left"/>
      <w:pPr>
        <w:ind w:left="5229" w:hanging="362"/>
      </w:pPr>
      <w:rPr>
        <w:rFonts w:hint="default"/>
        <w:lang w:val="es-ES" w:eastAsia="es-ES" w:bidi="es-ES"/>
      </w:rPr>
    </w:lvl>
    <w:lvl w:ilvl="8" w:tplc="58AACBCA">
      <w:numFmt w:val="bullet"/>
      <w:lvlText w:val="•"/>
      <w:lvlJc w:val="left"/>
      <w:pPr>
        <w:ind w:left="5825" w:hanging="362"/>
      </w:pPr>
      <w:rPr>
        <w:rFonts w:hint="default"/>
        <w:lang w:val="es-ES" w:eastAsia="es-ES" w:bidi="es-ES"/>
      </w:rPr>
    </w:lvl>
  </w:abstractNum>
  <w:abstractNum w:abstractNumId="92" w15:restartNumberingAfterBreak="0">
    <w:nsid w:val="34850295"/>
    <w:multiLevelType w:val="hybridMultilevel"/>
    <w:tmpl w:val="2392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0E194E"/>
    <w:multiLevelType w:val="multilevel"/>
    <w:tmpl w:val="A8A0A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357A49B4"/>
    <w:multiLevelType w:val="hybridMultilevel"/>
    <w:tmpl w:val="70DC2B3A"/>
    <w:lvl w:ilvl="0" w:tplc="10363CD2">
      <w:start w:val="1"/>
      <w:numFmt w:val="decimal"/>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5" w15:restartNumberingAfterBreak="0">
    <w:nsid w:val="37A20565"/>
    <w:multiLevelType w:val="hybridMultilevel"/>
    <w:tmpl w:val="6B980116"/>
    <w:lvl w:ilvl="0" w:tplc="2BF250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F57922"/>
    <w:multiLevelType w:val="multilevel"/>
    <w:tmpl w:val="FCB69BCA"/>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97" w15:restartNumberingAfterBreak="0">
    <w:nsid w:val="38A53F20"/>
    <w:multiLevelType w:val="hybridMultilevel"/>
    <w:tmpl w:val="ECC608C8"/>
    <w:lvl w:ilvl="0" w:tplc="04090017">
      <w:start w:val="1"/>
      <w:numFmt w:val="lowerLetter"/>
      <w:lvlText w:val="%1)"/>
      <w:lvlJc w:val="left"/>
      <w:pPr>
        <w:ind w:left="720" w:hanging="360"/>
      </w:pPr>
      <w:rPr>
        <w:rFonts w:hint="default"/>
      </w:rPr>
    </w:lvl>
    <w:lvl w:ilvl="1" w:tplc="288C0C66">
      <w:numFmt w:val="bullet"/>
      <w:lvlText w:val="-"/>
      <w:lvlJc w:val="left"/>
      <w:pPr>
        <w:ind w:left="1440" w:hanging="36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D9025D"/>
    <w:multiLevelType w:val="hybridMultilevel"/>
    <w:tmpl w:val="4452806A"/>
    <w:lvl w:ilvl="0" w:tplc="05644028">
      <w:start w:val="1"/>
      <w:numFmt w:val="lowerLetter"/>
      <w:lvlText w:val="%1."/>
      <w:lvlJc w:val="left"/>
      <w:pPr>
        <w:ind w:left="423" w:hanging="183"/>
      </w:pPr>
      <w:rPr>
        <w:rFonts w:ascii="Arial" w:eastAsia="Arial" w:hAnsi="Arial" w:cs="Arial" w:hint="default"/>
        <w:spacing w:val="-1"/>
        <w:w w:val="101"/>
        <w:sz w:val="24"/>
        <w:szCs w:val="24"/>
        <w:lang w:val="es-ES" w:eastAsia="es-ES" w:bidi="es-ES"/>
      </w:rPr>
    </w:lvl>
    <w:lvl w:ilvl="1" w:tplc="CA0EF826">
      <w:numFmt w:val="bullet"/>
      <w:lvlText w:val="•"/>
      <w:lvlJc w:val="left"/>
      <w:pPr>
        <w:ind w:left="872" w:hanging="183"/>
      </w:pPr>
      <w:rPr>
        <w:rFonts w:hint="default"/>
        <w:lang w:val="es-ES" w:eastAsia="es-ES" w:bidi="es-ES"/>
      </w:rPr>
    </w:lvl>
    <w:lvl w:ilvl="2" w:tplc="94669DD4">
      <w:numFmt w:val="bullet"/>
      <w:lvlText w:val="•"/>
      <w:lvlJc w:val="left"/>
      <w:pPr>
        <w:ind w:left="1325" w:hanging="183"/>
      </w:pPr>
      <w:rPr>
        <w:rFonts w:hint="default"/>
        <w:lang w:val="es-ES" w:eastAsia="es-ES" w:bidi="es-ES"/>
      </w:rPr>
    </w:lvl>
    <w:lvl w:ilvl="3" w:tplc="43D25444">
      <w:numFmt w:val="bullet"/>
      <w:lvlText w:val="•"/>
      <w:lvlJc w:val="left"/>
      <w:pPr>
        <w:ind w:left="1777" w:hanging="183"/>
      </w:pPr>
      <w:rPr>
        <w:rFonts w:hint="default"/>
        <w:lang w:val="es-ES" w:eastAsia="es-ES" w:bidi="es-ES"/>
      </w:rPr>
    </w:lvl>
    <w:lvl w:ilvl="4" w:tplc="0D26D5F4">
      <w:numFmt w:val="bullet"/>
      <w:lvlText w:val="•"/>
      <w:lvlJc w:val="left"/>
      <w:pPr>
        <w:ind w:left="2230" w:hanging="183"/>
      </w:pPr>
      <w:rPr>
        <w:rFonts w:hint="default"/>
        <w:lang w:val="es-ES" w:eastAsia="es-ES" w:bidi="es-ES"/>
      </w:rPr>
    </w:lvl>
    <w:lvl w:ilvl="5" w:tplc="79C264AC">
      <w:numFmt w:val="bullet"/>
      <w:lvlText w:val="•"/>
      <w:lvlJc w:val="left"/>
      <w:pPr>
        <w:ind w:left="2682" w:hanging="183"/>
      </w:pPr>
      <w:rPr>
        <w:rFonts w:hint="default"/>
        <w:lang w:val="es-ES" w:eastAsia="es-ES" w:bidi="es-ES"/>
      </w:rPr>
    </w:lvl>
    <w:lvl w:ilvl="6" w:tplc="A5B45F34">
      <w:numFmt w:val="bullet"/>
      <w:lvlText w:val="•"/>
      <w:lvlJc w:val="left"/>
      <w:pPr>
        <w:ind w:left="3135" w:hanging="183"/>
      </w:pPr>
      <w:rPr>
        <w:rFonts w:hint="default"/>
        <w:lang w:val="es-ES" w:eastAsia="es-ES" w:bidi="es-ES"/>
      </w:rPr>
    </w:lvl>
    <w:lvl w:ilvl="7" w:tplc="D9004F14">
      <w:numFmt w:val="bullet"/>
      <w:lvlText w:val="•"/>
      <w:lvlJc w:val="left"/>
      <w:pPr>
        <w:ind w:left="3587" w:hanging="183"/>
      </w:pPr>
      <w:rPr>
        <w:rFonts w:hint="default"/>
        <w:lang w:val="es-ES" w:eastAsia="es-ES" w:bidi="es-ES"/>
      </w:rPr>
    </w:lvl>
    <w:lvl w:ilvl="8" w:tplc="2DB02252">
      <w:numFmt w:val="bullet"/>
      <w:lvlText w:val="•"/>
      <w:lvlJc w:val="left"/>
      <w:pPr>
        <w:ind w:left="4040" w:hanging="183"/>
      </w:pPr>
      <w:rPr>
        <w:rFonts w:hint="default"/>
        <w:lang w:val="es-ES" w:eastAsia="es-ES" w:bidi="es-ES"/>
      </w:rPr>
    </w:lvl>
  </w:abstractNum>
  <w:abstractNum w:abstractNumId="99" w15:restartNumberingAfterBreak="0">
    <w:nsid w:val="3A1042BB"/>
    <w:multiLevelType w:val="multilevel"/>
    <w:tmpl w:val="CC6E4626"/>
    <w:lvl w:ilvl="0">
      <w:start w:val="17"/>
      <w:numFmt w:val="decimal"/>
      <w:lvlText w:val="%1."/>
      <w:lvlJc w:val="left"/>
      <w:pPr>
        <w:ind w:left="720" w:hanging="360"/>
      </w:pPr>
      <w:rPr>
        <w:rFonts w:hint="default"/>
      </w:rPr>
    </w:lvl>
    <w:lvl w:ilvl="1">
      <w:start w:val="3"/>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3B6712AE"/>
    <w:multiLevelType w:val="multilevel"/>
    <w:tmpl w:val="82B01FDC"/>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1" w15:restartNumberingAfterBreak="0">
    <w:nsid w:val="3BAC0623"/>
    <w:multiLevelType w:val="multilevel"/>
    <w:tmpl w:val="A51E1DF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3BC82066"/>
    <w:multiLevelType w:val="hybridMultilevel"/>
    <w:tmpl w:val="901C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385F18"/>
    <w:multiLevelType w:val="multilevel"/>
    <w:tmpl w:val="64F46AE6"/>
    <w:lvl w:ilvl="0">
      <w:start w:val="1"/>
      <w:numFmt w:val="decimal"/>
      <w:lvlText w:val="%1."/>
      <w:lvlJc w:val="left"/>
      <w:pPr>
        <w:ind w:left="1096" w:hanging="360"/>
      </w:pPr>
      <w:rPr>
        <w:rFonts w:hint="default"/>
        <w:sz w:val="20"/>
        <w:szCs w:val="20"/>
      </w:rPr>
    </w:lvl>
    <w:lvl w:ilvl="1">
      <w:start w:val="1"/>
      <w:numFmt w:val="bullet"/>
      <w:lvlText w:val="•"/>
      <w:lvlJc w:val="left"/>
      <w:pPr>
        <w:ind w:left="1974" w:hanging="360"/>
      </w:pPr>
      <w:rPr>
        <w:rFonts w:hint="default"/>
      </w:rPr>
    </w:lvl>
    <w:lvl w:ilvl="2">
      <w:start w:val="1"/>
      <w:numFmt w:val="bullet"/>
      <w:lvlText w:val="•"/>
      <w:lvlJc w:val="left"/>
      <w:pPr>
        <w:ind w:left="2848" w:hanging="360"/>
      </w:pPr>
      <w:rPr>
        <w:rFonts w:hint="default"/>
      </w:rPr>
    </w:lvl>
    <w:lvl w:ilvl="3">
      <w:start w:val="1"/>
      <w:numFmt w:val="bullet"/>
      <w:lvlText w:val="•"/>
      <w:lvlJc w:val="left"/>
      <w:pPr>
        <w:ind w:left="3722" w:hanging="360"/>
      </w:pPr>
      <w:rPr>
        <w:rFonts w:hint="default"/>
      </w:rPr>
    </w:lvl>
    <w:lvl w:ilvl="4">
      <w:start w:val="1"/>
      <w:numFmt w:val="bullet"/>
      <w:lvlText w:val="•"/>
      <w:lvlJc w:val="left"/>
      <w:pPr>
        <w:ind w:left="4596" w:hanging="360"/>
      </w:pPr>
      <w:rPr>
        <w:rFonts w:hint="default"/>
      </w:rPr>
    </w:lvl>
    <w:lvl w:ilvl="5">
      <w:start w:val="1"/>
      <w:numFmt w:val="bullet"/>
      <w:lvlText w:val="•"/>
      <w:lvlJc w:val="left"/>
      <w:pPr>
        <w:ind w:left="5470" w:hanging="360"/>
      </w:pPr>
      <w:rPr>
        <w:rFonts w:hint="default"/>
      </w:rPr>
    </w:lvl>
    <w:lvl w:ilvl="6">
      <w:start w:val="1"/>
      <w:numFmt w:val="bullet"/>
      <w:lvlText w:val="•"/>
      <w:lvlJc w:val="left"/>
      <w:pPr>
        <w:ind w:left="6344" w:hanging="360"/>
      </w:pPr>
      <w:rPr>
        <w:rFonts w:hint="default"/>
      </w:rPr>
    </w:lvl>
    <w:lvl w:ilvl="7">
      <w:start w:val="1"/>
      <w:numFmt w:val="bullet"/>
      <w:lvlText w:val="•"/>
      <w:lvlJc w:val="left"/>
      <w:pPr>
        <w:ind w:left="7218" w:hanging="360"/>
      </w:pPr>
      <w:rPr>
        <w:rFonts w:hint="default"/>
      </w:rPr>
    </w:lvl>
    <w:lvl w:ilvl="8">
      <w:start w:val="1"/>
      <w:numFmt w:val="bullet"/>
      <w:lvlText w:val="•"/>
      <w:lvlJc w:val="left"/>
      <w:pPr>
        <w:ind w:left="8092" w:hanging="360"/>
      </w:pPr>
      <w:rPr>
        <w:rFonts w:hint="default"/>
      </w:rPr>
    </w:lvl>
  </w:abstractNum>
  <w:abstractNum w:abstractNumId="104" w15:restartNumberingAfterBreak="0">
    <w:nsid w:val="3CC6404F"/>
    <w:multiLevelType w:val="hybridMultilevel"/>
    <w:tmpl w:val="EF10F6D6"/>
    <w:lvl w:ilvl="0" w:tplc="1A3AA622">
      <w:start w:val="1"/>
      <w:numFmt w:val="decimal"/>
      <w:lvlText w:val="%1."/>
      <w:lvlJc w:val="left"/>
      <w:pPr>
        <w:ind w:left="251" w:hanging="137"/>
      </w:pPr>
      <w:rPr>
        <w:rFonts w:ascii="Arial" w:eastAsia="Arial" w:hAnsi="Arial" w:cs="Arial" w:hint="default"/>
        <w:spacing w:val="-1"/>
        <w:w w:val="101"/>
        <w:sz w:val="24"/>
        <w:szCs w:val="24"/>
        <w:lang w:val="es-ES" w:eastAsia="es-ES" w:bidi="es-ES"/>
      </w:rPr>
    </w:lvl>
    <w:lvl w:ilvl="1" w:tplc="F5A66B4A">
      <w:numFmt w:val="bullet"/>
      <w:lvlText w:val="•"/>
      <w:lvlJc w:val="left"/>
      <w:pPr>
        <w:ind w:left="728" w:hanging="137"/>
      </w:pPr>
      <w:rPr>
        <w:rFonts w:hint="default"/>
        <w:lang w:val="es-ES" w:eastAsia="es-ES" w:bidi="es-ES"/>
      </w:rPr>
    </w:lvl>
    <w:lvl w:ilvl="2" w:tplc="7CCCFD22">
      <w:numFmt w:val="bullet"/>
      <w:lvlText w:val="•"/>
      <w:lvlJc w:val="left"/>
      <w:pPr>
        <w:ind w:left="1197" w:hanging="137"/>
      </w:pPr>
      <w:rPr>
        <w:rFonts w:hint="default"/>
        <w:lang w:val="es-ES" w:eastAsia="es-ES" w:bidi="es-ES"/>
      </w:rPr>
    </w:lvl>
    <w:lvl w:ilvl="3" w:tplc="9716D5C4">
      <w:numFmt w:val="bullet"/>
      <w:lvlText w:val="•"/>
      <w:lvlJc w:val="left"/>
      <w:pPr>
        <w:ind w:left="1665" w:hanging="137"/>
      </w:pPr>
      <w:rPr>
        <w:rFonts w:hint="default"/>
        <w:lang w:val="es-ES" w:eastAsia="es-ES" w:bidi="es-ES"/>
      </w:rPr>
    </w:lvl>
    <w:lvl w:ilvl="4" w:tplc="423EAEDC">
      <w:numFmt w:val="bullet"/>
      <w:lvlText w:val="•"/>
      <w:lvlJc w:val="left"/>
      <w:pPr>
        <w:ind w:left="2134" w:hanging="137"/>
      </w:pPr>
      <w:rPr>
        <w:rFonts w:hint="default"/>
        <w:lang w:val="es-ES" w:eastAsia="es-ES" w:bidi="es-ES"/>
      </w:rPr>
    </w:lvl>
    <w:lvl w:ilvl="5" w:tplc="A836A820">
      <w:numFmt w:val="bullet"/>
      <w:lvlText w:val="•"/>
      <w:lvlJc w:val="left"/>
      <w:pPr>
        <w:ind w:left="2602" w:hanging="137"/>
      </w:pPr>
      <w:rPr>
        <w:rFonts w:hint="default"/>
        <w:lang w:val="es-ES" w:eastAsia="es-ES" w:bidi="es-ES"/>
      </w:rPr>
    </w:lvl>
    <w:lvl w:ilvl="6" w:tplc="4E883B7C">
      <w:numFmt w:val="bullet"/>
      <w:lvlText w:val="•"/>
      <w:lvlJc w:val="left"/>
      <w:pPr>
        <w:ind w:left="3071" w:hanging="137"/>
      </w:pPr>
      <w:rPr>
        <w:rFonts w:hint="default"/>
        <w:lang w:val="es-ES" w:eastAsia="es-ES" w:bidi="es-ES"/>
      </w:rPr>
    </w:lvl>
    <w:lvl w:ilvl="7" w:tplc="584AA6D4">
      <w:numFmt w:val="bullet"/>
      <w:lvlText w:val="•"/>
      <w:lvlJc w:val="left"/>
      <w:pPr>
        <w:ind w:left="3539" w:hanging="137"/>
      </w:pPr>
      <w:rPr>
        <w:rFonts w:hint="default"/>
        <w:lang w:val="es-ES" w:eastAsia="es-ES" w:bidi="es-ES"/>
      </w:rPr>
    </w:lvl>
    <w:lvl w:ilvl="8" w:tplc="C7721588">
      <w:numFmt w:val="bullet"/>
      <w:lvlText w:val="•"/>
      <w:lvlJc w:val="left"/>
      <w:pPr>
        <w:ind w:left="4008" w:hanging="137"/>
      </w:pPr>
      <w:rPr>
        <w:rFonts w:hint="default"/>
        <w:lang w:val="es-ES" w:eastAsia="es-ES" w:bidi="es-ES"/>
      </w:rPr>
    </w:lvl>
  </w:abstractNum>
  <w:abstractNum w:abstractNumId="105" w15:restartNumberingAfterBreak="0">
    <w:nsid w:val="3D4A7F21"/>
    <w:multiLevelType w:val="hybridMultilevel"/>
    <w:tmpl w:val="EE5A8F92"/>
    <w:lvl w:ilvl="0" w:tplc="13E6D622">
      <w:start w:val="28"/>
      <w:numFmt w:val="decimal"/>
      <w:lvlText w:val="%1."/>
      <w:lvlJc w:val="left"/>
      <w:pPr>
        <w:ind w:left="720" w:hanging="360"/>
      </w:pPr>
      <w:rPr>
        <w:rFonts w:hint="default"/>
        <w:b w:val="0"/>
        <w:bCs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3EC5429A"/>
    <w:multiLevelType w:val="hybridMultilevel"/>
    <w:tmpl w:val="5044D828"/>
    <w:lvl w:ilvl="0" w:tplc="08EC9B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F3933D0"/>
    <w:multiLevelType w:val="multilevel"/>
    <w:tmpl w:val="127C9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41AD51D2"/>
    <w:multiLevelType w:val="hybridMultilevel"/>
    <w:tmpl w:val="AA7601F0"/>
    <w:lvl w:ilvl="0" w:tplc="D37E302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2126CC8"/>
    <w:multiLevelType w:val="hybridMultilevel"/>
    <w:tmpl w:val="7BDE9574"/>
    <w:lvl w:ilvl="0" w:tplc="14C88492">
      <w:start w:val="1"/>
      <w:numFmt w:val="decimal"/>
      <w:lvlText w:val="%1."/>
      <w:lvlJc w:val="left"/>
      <w:pPr>
        <w:ind w:left="1096" w:hanging="360"/>
      </w:pPr>
      <w:rPr>
        <w:rFonts w:ascii="Arial" w:eastAsia="Arial" w:hAnsi="Arial" w:cs="Arial" w:hint="default"/>
        <w:spacing w:val="-14"/>
        <w:w w:val="100"/>
        <w:sz w:val="24"/>
        <w:szCs w:val="24"/>
      </w:rPr>
    </w:lvl>
    <w:lvl w:ilvl="1" w:tplc="392C9AB6">
      <w:numFmt w:val="bullet"/>
      <w:lvlText w:val="•"/>
      <w:lvlJc w:val="left"/>
      <w:pPr>
        <w:ind w:left="1974" w:hanging="360"/>
      </w:pPr>
      <w:rPr>
        <w:rFonts w:hint="default"/>
      </w:rPr>
    </w:lvl>
    <w:lvl w:ilvl="2" w:tplc="C5D28AC0">
      <w:numFmt w:val="bullet"/>
      <w:lvlText w:val="•"/>
      <w:lvlJc w:val="left"/>
      <w:pPr>
        <w:ind w:left="2848" w:hanging="360"/>
      </w:pPr>
      <w:rPr>
        <w:rFonts w:hint="default"/>
      </w:rPr>
    </w:lvl>
    <w:lvl w:ilvl="3" w:tplc="54189B10">
      <w:numFmt w:val="bullet"/>
      <w:lvlText w:val="•"/>
      <w:lvlJc w:val="left"/>
      <w:pPr>
        <w:ind w:left="3722" w:hanging="360"/>
      </w:pPr>
      <w:rPr>
        <w:rFonts w:hint="default"/>
      </w:rPr>
    </w:lvl>
    <w:lvl w:ilvl="4" w:tplc="6012116A">
      <w:numFmt w:val="bullet"/>
      <w:lvlText w:val="•"/>
      <w:lvlJc w:val="left"/>
      <w:pPr>
        <w:ind w:left="4596" w:hanging="360"/>
      </w:pPr>
      <w:rPr>
        <w:rFonts w:hint="default"/>
      </w:rPr>
    </w:lvl>
    <w:lvl w:ilvl="5" w:tplc="84E6CB4A">
      <w:numFmt w:val="bullet"/>
      <w:lvlText w:val="•"/>
      <w:lvlJc w:val="left"/>
      <w:pPr>
        <w:ind w:left="5470" w:hanging="360"/>
      </w:pPr>
      <w:rPr>
        <w:rFonts w:hint="default"/>
      </w:rPr>
    </w:lvl>
    <w:lvl w:ilvl="6" w:tplc="59B60D76">
      <w:numFmt w:val="bullet"/>
      <w:lvlText w:val="•"/>
      <w:lvlJc w:val="left"/>
      <w:pPr>
        <w:ind w:left="6344" w:hanging="360"/>
      </w:pPr>
      <w:rPr>
        <w:rFonts w:hint="default"/>
      </w:rPr>
    </w:lvl>
    <w:lvl w:ilvl="7" w:tplc="D41025DC">
      <w:numFmt w:val="bullet"/>
      <w:lvlText w:val="•"/>
      <w:lvlJc w:val="left"/>
      <w:pPr>
        <w:ind w:left="7218" w:hanging="360"/>
      </w:pPr>
      <w:rPr>
        <w:rFonts w:hint="default"/>
      </w:rPr>
    </w:lvl>
    <w:lvl w:ilvl="8" w:tplc="E69A2996">
      <w:numFmt w:val="bullet"/>
      <w:lvlText w:val="•"/>
      <w:lvlJc w:val="left"/>
      <w:pPr>
        <w:ind w:left="8092" w:hanging="360"/>
      </w:pPr>
      <w:rPr>
        <w:rFonts w:hint="default"/>
      </w:rPr>
    </w:lvl>
  </w:abstractNum>
  <w:abstractNum w:abstractNumId="110" w15:restartNumberingAfterBreak="0">
    <w:nsid w:val="42283210"/>
    <w:multiLevelType w:val="hybridMultilevel"/>
    <w:tmpl w:val="6B980116"/>
    <w:lvl w:ilvl="0" w:tplc="2BF250A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2A7420A"/>
    <w:multiLevelType w:val="multilevel"/>
    <w:tmpl w:val="7FDE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3607B0C"/>
    <w:multiLevelType w:val="hybridMultilevel"/>
    <w:tmpl w:val="D7242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E56A57"/>
    <w:multiLevelType w:val="multilevel"/>
    <w:tmpl w:val="65BA2ECA"/>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114" w15:restartNumberingAfterBreak="0">
    <w:nsid w:val="43EA2EBC"/>
    <w:multiLevelType w:val="hybridMultilevel"/>
    <w:tmpl w:val="D09EC710"/>
    <w:lvl w:ilvl="0" w:tplc="A328B536">
      <w:start w:val="1"/>
      <w:numFmt w:val="lowerLetter"/>
      <w:lvlText w:val="%1."/>
      <w:lvlJc w:val="left"/>
      <w:pPr>
        <w:ind w:left="360" w:hanging="360"/>
      </w:pPr>
      <w:rPr>
        <w:b w:val="0"/>
        <w:bCs/>
      </w:rPr>
    </w:lvl>
    <w:lvl w:ilvl="1" w:tplc="0A3AD604">
      <w:start w:val="2"/>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44C0393E"/>
    <w:multiLevelType w:val="hybridMultilevel"/>
    <w:tmpl w:val="A6885166"/>
    <w:lvl w:ilvl="0" w:tplc="A286824E">
      <w:start w:val="1"/>
      <w:numFmt w:val="decimal"/>
      <w:lvlText w:val="%1."/>
      <w:lvlJc w:val="left"/>
      <w:pPr>
        <w:ind w:left="1096" w:hanging="360"/>
      </w:pPr>
      <w:rPr>
        <w:rFonts w:ascii="Arial" w:eastAsia="Arial" w:hAnsi="Arial" w:cs="Arial" w:hint="default"/>
        <w:spacing w:val="-4"/>
        <w:w w:val="100"/>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6" w15:restartNumberingAfterBreak="0">
    <w:nsid w:val="452441E8"/>
    <w:multiLevelType w:val="multilevel"/>
    <w:tmpl w:val="D1F68736"/>
    <w:lvl w:ilvl="0">
      <w:start w:val="1"/>
      <w:numFmt w:val="decimal"/>
      <w:lvlText w:val="%1."/>
      <w:lvlJc w:val="left"/>
      <w:pPr>
        <w:ind w:left="736" w:hanging="360"/>
      </w:pPr>
      <w:rPr>
        <w:rFonts w:ascii="Arial" w:eastAsia="Arial" w:hAnsi="Arial" w:cs="Arial"/>
        <w:sz w:val="20"/>
        <w:szCs w:val="20"/>
      </w:rPr>
    </w:lvl>
    <w:lvl w:ilvl="1">
      <w:start w:val="1"/>
      <w:numFmt w:val="bullet"/>
      <w:lvlText w:val="•"/>
      <w:lvlJc w:val="left"/>
      <w:pPr>
        <w:ind w:left="1650" w:hanging="360"/>
      </w:pPr>
    </w:lvl>
    <w:lvl w:ilvl="2">
      <w:start w:val="1"/>
      <w:numFmt w:val="bullet"/>
      <w:lvlText w:val="•"/>
      <w:lvlJc w:val="left"/>
      <w:pPr>
        <w:ind w:left="2560" w:hanging="360"/>
      </w:pPr>
    </w:lvl>
    <w:lvl w:ilvl="3">
      <w:start w:val="1"/>
      <w:numFmt w:val="bullet"/>
      <w:lvlText w:val="•"/>
      <w:lvlJc w:val="left"/>
      <w:pPr>
        <w:ind w:left="3470" w:hanging="360"/>
      </w:pPr>
    </w:lvl>
    <w:lvl w:ilvl="4">
      <w:start w:val="1"/>
      <w:numFmt w:val="bullet"/>
      <w:lvlText w:val="•"/>
      <w:lvlJc w:val="left"/>
      <w:pPr>
        <w:ind w:left="4380" w:hanging="360"/>
      </w:pPr>
    </w:lvl>
    <w:lvl w:ilvl="5">
      <w:start w:val="1"/>
      <w:numFmt w:val="bullet"/>
      <w:lvlText w:val="•"/>
      <w:lvlJc w:val="left"/>
      <w:pPr>
        <w:ind w:left="5290" w:hanging="360"/>
      </w:pPr>
    </w:lvl>
    <w:lvl w:ilvl="6">
      <w:start w:val="1"/>
      <w:numFmt w:val="bullet"/>
      <w:lvlText w:val="•"/>
      <w:lvlJc w:val="left"/>
      <w:pPr>
        <w:ind w:left="6200" w:hanging="360"/>
      </w:pPr>
    </w:lvl>
    <w:lvl w:ilvl="7">
      <w:start w:val="1"/>
      <w:numFmt w:val="bullet"/>
      <w:lvlText w:val="•"/>
      <w:lvlJc w:val="left"/>
      <w:pPr>
        <w:ind w:left="7110" w:hanging="360"/>
      </w:pPr>
    </w:lvl>
    <w:lvl w:ilvl="8">
      <w:start w:val="1"/>
      <w:numFmt w:val="bullet"/>
      <w:lvlText w:val="•"/>
      <w:lvlJc w:val="left"/>
      <w:pPr>
        <w:ind w:left="8020" w:hanging="360"/>
      </w:pPr>
    </w:lvl>
  </w:abstractNum>
  <w:abstractNum w:abstractNumId="117" w15:restartNumberingAfterBreak="0">
    <w:nsid w:val="460B4A2E"/>
    <w:multiLevelType w:val="multilevel"/>
    <w:tmpl w:val="42E603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469624FB"/>
    <w:multiLevelType w:val="hybridMultilevel"/>
    <w:tmpl w:val="B6A20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D216AF"/>
    <w:multiLevelType w:val="hybridMultilevel"/>
    <w:tmpl w:val="1210574E"/>
    <w:lvl w:ilvl="0" w:tplc="E2BE1096">
      <w:start w:val="1"/>
      <w:numFmt w:val="lowerLetter"/>
      <w:lvlText w:val="%1."/>
      <w:lvlJc w:val="left"/>
      <w:pPr>
        <w:ind w:left="360" w:hanging="360"/>
      </w:pPr>
      <w:rPr>
        <w:b w:val="0"/>
        <w:bCs/>
        <w:i w:val="0"/>
        <w:iCs w:val="0"/>
      </w:rPr>
    </w:lvl>
    <w:lvl w:ilvl="1" w:tplc="0A3AD604">
      <w:start w:val="2"/>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47F247EC"/>
    <w:multiLevelType w:val="hybridMultilevel"/>
    <w:tmpl w:val="CD8AE1CC"/>
    <w:lvl w:ilvl="0" w:tplc="E7F2B7BA">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9F16331"/>
    <w:multiLevelType w:val="hybridMultilevel"/>
    <w:tmpl w:val="12524960"/>
    <w:lvl w:ilvl="0" w:tplc="3CA64124">
      <w:start w:val="1"/>
      <w:numFmt w:val="decimal"/>
      <w:lvlText w:val="%1."/>
      <w:lvlJc w:val="left"/>
      <w:pPr>
        <w:ind w:left="1096" w:hanging="360"/>
      </w:pPr>
      <w:rPr>
        <w:rFonts w:ascii="Arial" w:eastAsia="Arial" w:hAnsi="Arial" w:cs="Arial"/>
        <w:spacing w:val="-4"/>
        <w:w w:val="10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4A433453"/>
    <w:multiLevelType w:val="multilevel"/>
    <w:tmpl w:val="E8267778"/>
    <w:lvl w:ilvl="0">
      <w:start w:val="1"/>
      <w:numFmt w:val="decimal"/>
      <w:lvlText w:val="%1."/>
      <w:lvlJc w:val="left"/>
      <w:pPr>
        <w:ind w:left="1096" w:hanging="360"/>
      </w:pPr>
      <w:rPr>
        <w:rFonts w:ascii="Arial" w:eastAsia="Arial" w:hAnsi="Arial" w:cs="Arial"/>
        <w:b w:val="0"/>
        <w:bCs/>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23" w15:restartNumberingAfterBreak="0">
    <w:nsid w:val="4A881275"/>
    <w:multiLevelType w:val="hybridMultilevel"/>
    <w:tmpl w:val="A940729A"/>
    <w:lvl w:ilvl="0" w:tplc="D90E897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ACD5F0B"/>
    <w:multiLevelType w:val="multilevel"/>
    <w:tmpl w:val="9E48B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4BB34850"/>
    <w:multiLevelType w:val="hybridMultilevel"/>
    <w:tmpl w:val="B6A20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BF70750"/>
    <w:multiLevelType w:val="hybridMultilevel"/>
    <w:tmpl w:val="BBF2E226"/>
    <w:lvl w:ilvl="0" w:tplc="6F12733C">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E9B61BD"/>
    <w:multiLevelType w:val="hybridMultilevel"/>
    <w:tmpl w:val="D0EEDA5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8" w15:restartNumberingAfterBreak="0">
    <w:nsid w:val="4ECA5334"/>
    <w:multiLevelType w:val="hybridMultilevel"/>
    <w:tmpl w:val="8ED2B07C"/>
    <w:lvl w:ilvl="0" w:tplc="F7946C22">
      <w:start w:val="1"/>
      <w:numFmt w:val="decimal"/>
      <w:lvlText w:val="%1."/>
      <w:lvlJc w:val="left"/>
      <w:pPr>
        <w:ind w:left="957" w:hanging="360"/>
      </w:pPr>
      <w:rPr>
        <w:rFonts w:ascii="Arial" w:eastAsia="Arial" w:hAnsi="Arial" w:cs="Arial" w:hint="default"/>
        <w:w w:val="100"/>
        <w:sz w:val="20"/>
        <w:szCs w:val="20"/>
      </w:rPr>
    </w:lvl>
    <w:lvl w:ilvl="1" w:tplc="E9363E48">
      <w:numFmt w:val="bullet"/>
      <w:lvlText w:val="•"/>
      <w:lvlJc w:val="left"/>
      <w:pPr>
        <w:ind w:left="1848" w:hanging="360"/>
      </w:pPr>
      <w:rPr>
        <w:rFonts w:hint="default"/>
      </w:rPr>
    </w:lvl>
    <w:lvl w:ilvl="2" w:tplc="C8527BEC">
      <w:numFmt w:val="bullet"/>
      <w:lvlText w:val="•"/>
      <w:lvlJc w:val="left"/>
      <w:pPr>
        <w:ind w:left="2736" w:hanging="360"/>
      </w:pPr>
      <w:rPr>
        <w:rFonts w:hint="default"/>
      </w:rPr>
    </w:lvl>
    <w:lvl w:ilvl="3" w:tplc="79008836">
      <w:numFmt w:val="bullet"/>
      <w:lvlText w:val="•"/>
      <w:lvlJc w:val="left"/>
      <w:pPr>
        <w:ind w:left="3624" w:hanging="360"/>
      </w:pPr>
      <w:rPr>
        <w:rFonts w:hint="default"/>
      </w:rPr>
    </w:lvl>
    <w:lvl w:ilvl="4" w:tplc="FE084484">
      <w:numFmt w:val="bullet"/>
      <w:lvlText w:val="•"/>
      <w:lvlJc w:val="left"/>
      <w:pPr>
        <w:ind w:left="4512" w:hanging="360"/>
      </w:pPr>
      <w:rPr>
        <w:rFonts w:hint="default"/>
      </w:rPr>
    </w:lvl>
    <w:lvl w:ilvl="5" w:tplc="F9EC8F08">
      <w:numFmt w:val="bullet"/>
      <w:lvlText w:val="•"/>
      <w:lvlJc w:val="left"/>
      <w:pPr>
        <w:ind w:left="5400" w:hanging="360"/>
      </w:pPr>
      <w:rPr>
        <w:rFonts w:hint="default"/>
      </w:rPr>
    </w:lvl>
    <w:lvl w:ilvl="6" w:tplc="B53C3302">
      <w:numFmt w:val="bullet"/>
      <w:lvlText w:val="•"/>
      <w:lvlJc w:val="left"/>
      <w:pPr>
        <w:ind w:left="6288" w:hanging="360"/>
      </w:pPr>
      <w:rPr>
        <w:rFonts w:hint="default"/>
      </w:rPr>
    </w:lvl>
    <w:lvl w:ilvl="7" w:tplc="5FFCD3DC">
      <w:numFmt w:val="bullet"/>
      <w:lvlText w:val="•"/>
      <w:lvlJc w:val="left"/>
      <w:pPr>
        <w:ind w:left="7176" w:hanging="360"/>
      </w:pPr>
      <w:rPr>
        <w:rFonts w:hint="default"/>
      </w:rPr>
    </w:lvl>
    <w:lvl w:ilvl="8" w:tplc="51A8EEB2">
      <w:numFmt w:val="bullet"/>
      <w:lvlText w:val="•"/>
      <w:lvlJc w:val="left"/>
      <w:pPr>
        <w:ind w:left="8064" w:hanging="360"/>
      </w:pPr>
      <w:rPr>
        <w:rFonts w:hint="default"/>
      </w:rPr>
    </w:lvl>
  </w:abstractNum>
  <w:abstractNum w:abstractNumId="129" w15:restartNumberingAfterBreak="0">
    <w:nsid w:val="504829B7"/>
    <w:multiLevelType w:val="hybridMultilevel"/>
    <w:tmpl w:val="EFB699B2"/>
    <w:lvl w:ilvl="0" w:tplc="E624AC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1185DAB"/>
    <w:multiLevelType w:val="multilevel"/>
    <w:tmpl w:val="BD168004"/>
    <w:lvl w:ilvl="0">
      <w:start w:val="10"/>
      <w:numFmt w:val="decimal"/>
      <w:lvlText w:val="(%1)"/>
      <w:lvlJc w:val="left"/>
      <w:pPr>
        <w:ind w:left="448" w:hanging="562"/>
      </w:pPr>
      <w:rPr>
        <w:rFonts w:ascii="Arial" w:eastAsia="Arial" w:hAnsi="Arial" w:cs="Arial"/>
        <w:sz w:val="24"/>
        <w:szCs w:val="24"/>
      </w:rPr>
    </w:lvl>
    <w:lvl w:ilvl="1">
      <w:start w:val="1"/>
      <w:numFmt w:val="decimal"/>
      <w:lvlText w:val="%2."/>
      <w:lvlJc w:val="left"/>
      <w:pPr>
        <w:ind w:left="1096" w:hanging="360"/>
      </w:pPr>
      <w:rPr>
        <w:rFonts w:ascii="Arial" w:eastAsia="Arial" w:hAnsi="Arial" w:cs="Arial"/>
        <w:sz w:val="24"/>
        <w:szCs w:val="24"/>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131" w15:restartNumberingAfterBreak="0">
    <w:nsid w:val="51684398"/>
    <w:multiLevelType w:val="multilevel"/>
    <w:tmpl w:val="0212A3A6"/>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2" w15:restartNumberingAfterBreak="0">
    <w:nsid w:val="51987822"/>
    <w:multiLevelType w:val="hybridMultilevel"/>
    <w:tmpl w:val="A3125814"/>
    <w:lvl w:ilvl="0" w:tplc="74D0CBE4">
      <w:start w:val="1"/>
      <w:numFmt w:val="decimal"/>
      <w:lvlText w:val="%1."/>
      <w:lvlJc w:val="left"/>
      <w:pPr>
        <w:ind w:left="1096" w:hanging="360"/>
      </w:pPr>
      <w:rPr>
        <w:rFonts w:ascii="Arial" w:eastAsia="Arial" w:hAnsi="Arial" w:cs="Arial" w:hint="default"/>
        <w:spacing w:val="-4"/>
        <w:w w:val="100"/>
        <w:sz w:val="20"/>
        <w:szCs w:val="2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3" w15:restartNumberingAfterBreak="0">
    <w:nsid w:val="532037FE"/>
    <w:multiLevelType w:val="multilevel"/>
    <w:tmpl w:val="3650E2C4"/>
    <w:lvl w:ilvl="0">
      <w:start w:val="1"/>
      <w:numFmt w:val="decimal"/>
      <w:lvlText w:val="%1."/>
      <w:lvlJc w:val="left"/>
      <w:pPr>
        <w:ind w:left="736" w:hanging="360"/>
      </w:pPr>
      <w:rPr>
        <w:rFonts w:ascii="Arial" w:eastAsia="Arial" w:hAnsi="Arial" w:cs="Arial"/>
        <w:sz w:val="20"/>
        <w:szCs w:val="20"/>
      </w:rPr>
    </w:lvl>
    <w:lvl w:ilvl="1">
      <w:start w:val="1"/>
      <w:numFmt w:val="bullet"/>
      <w:lvlText w:val="•"/>
      <w:lvlJc w:val="left"/>
      <w:pPr>
        <w:ind w:left="1650" w:hanging="360"/>
      </w:pPr>
    </w:lvl>
    <w:lvl w:ilvl="2">
      <w:start w:val="1"/>
      <w:numFmt w:val="bullet"/>
      <w:lvlText w:val="•"/>
      <w:lvlJc w:val="left"/>
      <w:pPr>
        <w:ind w:left="2560" w:hanging="360"/>
      </w:pPr>
    </w:lvl>
    <w:lvl w:ilvl="3">
      <w:start w:val="1"/>
      <w:numFmt w:val="bullet"/>
      <w:lvlText w:val="•"/>
      <w:lvlJc w:val="left"/>
      <w:pPr>
        <w:ind w:left="3470" w:hanging="360"/>
      </w:pPr>
    </w:lvl>
    <w:lvl w:ilvl="4">
      <w:start w:val="1"/>
      <w:numFmt w:val="bullet"/>
      <w:lvlText w:val="•"/>
      <w:lvlJc w:val="left"/>
      <w:pPr>
        <w:ind w:left="4380" w:hanging="360"/>
      </w:pPr>
    </w:lvl>
    <w:lvl w:ilvl="5">
      <w:start w:val="1"/>
      <w:numFmt w:val="bullet"/>
      <w:lvlText w:val="•"/>
      <w:lvlJc w:val="left"/>
      <w:pPr>
        <w:ind w:left="5290" w:hanging="360"/>
      </w:pPr>
    </w:lvl>
    <w:lvl w:ilvl="6">
      <w:start w:val="1"/>
      <w:numFmt w:val="bullet"/>
      <w:lvlText w:val="•"/>
      <w:lvlJc w:val="left"/>
      <w:pPr>
        <w:ind w:left="6200" w:hanging="360"/>
      </w:pPr>
    </w:lvl>
    <w:lvl w:ilvl="7">
      <w:start w:val="1"/>
      <w:numFmt w:val="bullet"/>
      <w:lvlText w:val="•"/>
      <w:lvlJc w:val="left"/>
      <w:pPr>
        <w:ind w:left="7110" w:hanging="360"/>
      </w:pPr>
    </w:lvl>
    <w:lvl w:ilvl="8">
      <w:start w:val="1"/>
      <w:numFmt w:val="bullet"/>
      <w:lvlText w:val="•"/>
      <w:lvlJc w:val="left"/>
      <w:pPr>
        <w:ind w:left="8020" w:hanging="360"/>
      </w:pPr>
    </w:lvl>
  </w:abstractNum>
  <w:abstractNum w:abstractNumId="134" w15:restartNumberingAfterBreak="0">
    <w:nsid w:val="53470E32"/>
    <w:multiLevelType w:val="hybridMultilevel"/>
    <w:tmpl w:val="D900912C"/>
    <w:lvl w:ilvl="0" w:tplc="CCEAAD44">
      <w:start w:val="1"/>
      <w:numFmt w:val="lowerLetter"/>
      <w:lvlText w:val="%1."/>
      <w:lvlJc w:val="left"/>
      <w:pPr>
        <w:ind w:left="433" w:hanging="183"/>
      </w:pPr>
      <w:rPr>
        <w:rFonts w:ascii="Arial" w:eastAsia="Arial" w:hAnsi="Arial" w:cs="Arial" w:hint="default"/>
        <w:spacing w:val="-1"/>
        <w:w w:val="101"/>
        <w:sz w:val="24"/>
        <w:szCs w:val="24"/>
        <w:lang w:val="es-ES" w:eastAsia="es-ES" w:bidi="es-ES"/>
      </w:rPr>
    </w:lvl>
    <w:lvl w:ilvl="1" w:tplc="0C3CBD9C">
      <w:numFmt w:val="bullet"/>
      <w:lvlText w:val="•"/>
      <w:lvlJc w:val="left"/>
      <w:pPr>
        <w:ind w:left="890" w:hanging="183"/>
      </w:pPr>
      <w:rPr>
        <w:rFonts w:hint="default"/>
        <w:lang w:val="es-ES" w:eastAsia="es-ES" w:bidi="es-ES"/>
      </w:rPr>
    </w:lvl>
    <w:lvl w:ilvl="2" w:tplc="7E94789A">
      <w:numFmt w:val="bullet"/>
      <w:lvlText w:val="•"/>
      <w:lvlJc w:val="left"/>
      <w:pPr>
        <w:ind w:left="1341" w:hanging="183"/>
      </w:pPr>
      <w:rPr>
        <w:rFonts w:hint="default"/>
        <w:lang w:val="es-ES" w:eastAsia="es-ES" w:bidi="es-ES"/>
      </w:rPr>
    </w:lvl>
    <w:lvl w:ilvl="3" w:tplc="46F23F42">
      <w:numFmt w:val="bullet"/>
      <w:lvlText w:val="•"/>
      <w:lvlJc w:val="left"/>
      <w:pPr>
        <w:ind w:left="1791" w:hanging="183"/>
      </w:pPr>
      <w:rPr>
        <w:rFonts w:hint="default"/>
        <w:lang w:val="es-ES" w:eastAsia="es-ES" w:bidi="es-ES"/>
      </w:rPr>
    </w:lvl>
    <w:lvl w:ilvl="4" w:tplc="43B61CCE">
      <w:numFmt w:val="bullet"/>
      <w:lvlText w:val="•"/>
      <w:lvlJc w:val="left"/>
      <w:pPr>
        <w:ind w:left="2242" w:hanging="183"/>
      </w:pPr>
      <w:rPr>
        <w:rFonts w:hint="default"/>
        <w:lang w:val="es-ES" w:eastAsia="es-ES" w:bidi="es-ES"/>
      </w:rPr>
    </w:lvl>
    <w:lvl w:ilvl="5" w:tplc="660E83C6">
      <w:numFmt w:val="bullet"/>
      <w:lvlText w:val="•"/>
      <w:lvlJc w:val="left"/>
      <w:pPr>
        <w:ind w:left="2692" w:hanging="183"/>
      </w:pPr>
      <w:rPr>
        <w:rFonts w:hint="default"/>
        <w:lang w:val="es-ES" w:eastAsia="es-ES" w:bidi="es-ES"/>
      </w:rPr>
    </w:lvl>
    <w:lvl w:ilvl="6" w:tplc="A288ED46">
      <w:numFmt w:val="bullet"/>
      <w:lvlText w:val="•"/>
      <w:lvlJc w:val="left"/>
      <w:pPr>
        <w:ind w:left="3143" w:hanging="183"/>
      </w:pPr>
      <w:rPr>
        <w:rFonts w:hint="default"/>
        <w:lang w:val="es-ES" w:eastAsia="es-ES" w:bidi="es-ES"/>
      </w:rPr>
    </w:lvl>
    <w:lvl w:ilvl="7" w:tplc="20444ACE">
      <w:numFmt w:val="bullet"/>
      <w:lvlText w:val="•"/>
      <w:lvlJc w:val="left"/>
      <w:pPr>
        <w:ind w:left="3593" w:hanging="183"/>
      </w:pPr>
      <w:rPr>
        <w:rFonts w:hint="default"/>
        <w:lang w:val="es-ES" w:eastAsia="es-ES" w:bidi="es-ES"/>
      </w:rPr>
    </w:lvl>
    <w:lvl w:ilvl="8" w:tplc="12FCCA1E">
      <w:numFmt w:val="bullet"/>
      <w:lvlText w:val="•"/>
      <w:lvlJc w:val="left"/>
      <w:pPr>
        <w:ind w:left="4044" w:hanging="183"/>
      </w:pPr>
      <w:rPr>
        <w:rFonts w:hint="default"/>
        <w:lang w:val="es-ES" w:eastAsia="es-ES" w:bidi="es-ES"/>
      </w:rPr>
    </w:lvl>
  </w:abstractNum>
  <w:abstractNum w:abstractNumId="135" w15:restartNumberingAfterBreak="0">
    <w:nsid w:val="540A560C"/>
    <w:multiLevelType w:val="hybridMultilevel"/>
    <w:tmpl w:val="57F8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4796EC7"/>
    <w:multiLevelType w:val="hybridMultilevel"/>
    <w:tmpl w:val="C9042D8C"/>
    <w:lvl w:ilvl="0" w:tplc="B4EA07DA">
      <w:start w:val="1"/>
      <w:numFmt w:val="decimal"/>
      <w:lvlText w:val="%1."/>
      <w:lvlJc w:val="left"/>
      <w:pPr>
        <w:ind w:left="466" w:hanging="216"/>
      </w:pPr>
      <w:rPr>
        <w:rFonts w:ascii="Arial" w:eastAsia="Arial" w:hAnsi="Arial" w:cs="Arial" w:hint="default"/>
        <w:spacing w:val="-1"/>
        <w:w w:val="101"/>
        <w:sz w:val="24"/>
        <w:szCs w:val="24"/>
        <w:lang w:val="es-ES" w:eastAsia="es-ES" w:bidi="es-ES"/>
      </w:rPr>
    </w:lvl>
    <w:lvl w:ilvl="1" w:tplc="0442CA9E">
      <w:numFmt w:val="bullet"/>
      <w:lvlText w:val="•"/>
      <w:lvlJc w:val="left"/>
      <w:pPr>
        <w:ind w:left="908" w:hanging="216"/>
      </w:pPr>
      <w:rPr>
        <w:rFonts w:hint="default"/>
        <w:lang w:val="es-ES" w:eastAsia="es-ES" w:bidi="es-ES"/>
      </w:rPr>
    </w:lvl>
    <w:lvl w:ilvl="2" w:tplc="85D259C6">
      <w:numFmt w:val="bullet"/>
      <w:lvlText w:val="•"/>
      <w:lvlJc w:val="left"/>
      <w:pPr>
        <w:ind w:left="1357" w:hanging="216"/>
      </w:pPr>
      <w:rPr>
        <w:rFonts w:hint="default"/>
        <w:lang w:val="es-ES" w:eastAsia="es-ES" w:bidi="es-ES"/>
      </w:rPr>
    </w:lvl>
    <w:lvl w:ilvl="3" w:tplc="7DFE03E4">
      <w:numFmt w:val="bullet"/>
      <w:lvlText w:val="•"/>
      <w:lvlJc w:val="left"/>
      <w:pPr>
        <w:ind w:left="1805" w:hanging="216"/>
      </w:pPr>
      <w:rPr>
        <w:rFonts w:hint="default"/>
        <w:lang w:val="es-ES" w:eastAsia="es-ES" w:bidi="es-ES"/>
      </w:rPr>
    </w:lvl>
    <w:lvl w:ilvl="4" w:tplc="B12A3874">
      <w:numFmt w:val="bullet"/>
      <w:lvlText w:val="•"/>
      <w:lvlJc w:val="left"/>
      <w:pPr>
        <w:ind w:left="2254" w:hanging="216"/>
      </w:pPr>
      <w:rPr>
        <w:rFonts w:hint="default"/>
        <w:lang w:val="es-ES" w:eastAsia="es-ES" w:bidi="es-ES"/>
      </w:rPr>
    </w:lvl>
    <w:lvl w:ilvl="5" w:tplc="1D16224E">
      <w:numFmt w:val="bullet"/>
      <w:lvlText w:val="•"/>
      <w:lvlJc w:val="left"/>
      <w:pPr>
        <w:ind w:left="2702" w:hanging="216"/>
      </w:pPr>
      <w:rPr>
        <w:rFonts w:hint="default"/>
        <w:lang w:val="es-ES" w:eastAsia="es-ES" w:bidi="es-ES"/>
      </w:rPr>
    </w:lvl>
    <w:lvl w:ilvl="6" w:tplc="53D0C1CE">
      <w:numFmt w:val="bullet"/>
      <w:lvlText w:val="•"/>
      <w:lvlJc w:val="left"/>
      <w:pPr>
        <w:ind w:left="3151" w:hanging="216"/>
      </w:pPr>
      <w:rPr>
        <w:rFonts w:hint="default"/>
        <w:lang w:val="es-ES" w:eastAsia="es-ES" w:bidi="es-ES"/>
      </w:rPr>
    </w:lvl>
    <w:lvl w:ilvl="7" w:tplc="7D6C2D14">
      <w:numFmt w:val="bullet"/>
      <w:lvlText w:val="•"/>
      <w:lvlJc w:val="left"/>
      <w:pPr>
        <w:ind w:left="3599" w:hanging="216"/>
      </w:pPr>
      <w:rPr>
        <w:rFonts w:hint="default"/>
        <w:lang w:val="es-ES" w:eastAsia="es-ES" w:bidi="es-ES"/>
      </w:rPr>
    </w:lvl>
    <w:lvl w:ilvl="8" w:tplc="CAF47D7C">
      <w:numFmt w:val="bullet"/>
      <w:lvlText w:val="•"/>
      <w:lvlJc w:val="left"/>
      <w:pPr>
        <w:ind w:left="4048" w:hanging="216"/>
      </w:pPr>
      <w:rPr>
        <w:rFonts w:hint="default"/>
        <w:lang w:val="es-ES" w:eastAsia="es-ES" w:bidi="es-ES"/>
      </w:rPr>
    </w:lvl>
  </w:abstractNum>
  <w:abstractNum w:abstractNumId="137" w15:restartNumberingAfterBreak="0">
    <w:nsid w:val="549807C4"/>
    <w:multiLevelType w:val="hybridMultilevel"/>
    <w:tmpl w:val="3F96B10C"/>
    <w:lvl w:ilvl="0" w:tplc="0A3AD604">
      <w:start w:val="2"/>
      <w:numFmt w:val="decimal"/>
      <w:lvlText w:val="%1."/>
      <w:lvlJc w:val="left"/>
      <w:pPr>
        <w:ind w:left="106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38" w15:restartNumberingAfterBreak="0">
    <w:nsid w:val="55794584"/>
    <w:multiLevelType w:val="multilevel"/>
    <w:tmpl w:val="42E603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558A6232"/>
    <w:multiLevelType w:val="multilevel"/>
    <w:tmpl w:val="C9ECF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15:restartNumberingAfterBreak="0">
    <w:nsid w:val="560E1E4F"/>
    <w:multiLevelType w:val="hybridMultilevel"/>
    <w:tmpl w:val="57F8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174CA8"/>
    <w:multiLevelType w:val="hybridMultilevel"/>
    <w:tmpl w:val="F358F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7C60E7"/>
    <w:multiLevelType w:val="multilevel"/>
    <w:tmpl w:val="D1F68736"/>
    <w:lvl w:ilvl="0">
      <w:start w:val="1"/>
      <w:numFmt w:val="decimal"/>
      <w:lvlText w:val="%1."/>
      <w:lvlJc w:val="left"/>
      <w:pPr>
        <w:ind w:left="736" w:hanging="360"/>
      </w:pPr>
      <w:rPr>
        <w:rFonts w:ascii="Arial" w:eastAsia="Arial" w:hAnsi="Arial" w:cs="Arial"/>
        <w:sz w:val="20"/>
        <w:szCs w:val="20"/>
      </w:rPr>
    </w:lvl>
    <w:lvl w:ilvl="1">
      <w:start w:val="1"/>
      <w:numFmt w:val="bullet"/>
      <w:lvlText w:val="•"/>
      <w:lvlJc w:val="left"/>
      <w:pPr>
        <w:ind w:left="1650" w:hanging="360"/>
      </w:pPr>
    </w:lvl>
    <w:lvl w:ilvl="2">
      <w:start w:val="1"/>
      <w:numFmt w:val="bullet"/>
      <w:lvlText w:val="•"/>
      <w:lvlJc w:val="left"/>
      <w:pPr>
        <w:ind w:left="2560" w:hanging="360"/>
      </w:pPr>
    </w:lvl>
    <w:lvl w:ilvl="3">
      <w:start w:val="1"/>
      <w:numFmt w:val="bullet"/>
      <w:lvlText w:val="•"/>
      <w:lvlJc w:val="left"/>
      <w:pPr>
        <w:ind w:left="3470" w:hanging="360"/>
      </w:pPr>
    </w:lvl>
    <w:lvl w:ilvl="4">
      <w:start w:val="1"/>
      <w:numFmt w:val="bullet"/>
      <w:lvlText w:val="•"/>
      <w:lvlJc w:val="left"/>
      <w:pPr>
        <w:ind w:left="4380" w:hanging="360"/>
      </w:pPr>
    </w:lvl>
    <w:lvl w:ilvl="5">
      <w:start w:val="1"/>
      <w:numFmt w:val="bullet"/>
      <w:lvlText w:val="•"/>
      <w:lvlJc w:val="left"/>
      <w:pPr>
        <w:ind w:left="5290" w:hanging="360"/>
      </w:pPr>
    </w:lvl>
    <w:lvl w:ilvl="6">
      <w:start w:val="1"/>
      <w:numFmt w:val="bullet"/>
      <w:lvlText w:val="•"/>
      <w:lvlJc w:val="left"/>
      <w:pPr>
        <w:ind w:left="6200" w:hanging="360"/>
      </w:pPr>
    </w:lvl>
    <w:lvl w:ilvl="7">
      <w:start w:val="1"/>
      <w:numFmt w:val="bullet"/>
      <w:lvlText w:val="•"/>
      <w:lvlJc w:val="left"/>
      <w:pPr>
        <w:ind w:left="7110" w:hanging="360"/>
      </w:pPr>
    </w:lvl>
    <w:lvl w:ilvl="8">
      <w:start w:val="1"/>
      <w:numFmt w:val="bullet"/>
      <w:lvlText w:val="•"/>
      <w:lvlJc w:val="left"/>
      <w:pPr>
        <w:ind w:left="8020" w:hanging="360"/>
      </w:pPr>
    </w:lvl>
  </w:abstractNum>
  <w:abstractNum w:abstractNumId="143" w15:restartNumberingAfterBreak="0">
    <w:nsid w:val="5898112C"/>
    <w:multiLevelType w:val="hybridMultilevel"/>
    <w:tmpl w:val="3BA6B44E"/>
    <w:lvl w:ilvl="0" w:tplc="9860076C">
      <w:start w:val="1"/>
      <w:numFmt w:val="decimal"/>
      <w:lvlText w:val="%1."/>
      <w:lvlJc w:val="left"/>
      <w:pPr>
        <w:ind w:left="736" w:hanging="360"/>
      </w:pPr>
      <w:rPr>
        <w:rFonts w:ascii="Arial" w:eastAsia="Arial" w:hAnsi="Arial" w:cs="Arial" w:hint="default"/>
        <w:b w:val="0"/>
        <w:bCs/>
        <w:spacing w:val="-19"/>
        <w:w w:val="100"/>
        <w:sz w:val="20"/>
        <w:szCs w:val="20"/>
      </w:rPr>
    </w:lvl>
    <w:lvl w:ilvl="1" w:tplc="B5E25294">
      <w:numFmt w:val="bullet"/>
      <w:lvlText w:val="•"/>
      <w:lvlJc w:val="left"/>
      <w:pPr>
        <w:ind w:left="1650" w:hanging="360"/>
      </w:pPr>
      <w:rPr>
        <w:rFonts w:hint="default"/>
      </w:rPr>
    </w:lvl>
    <w:lvl w:ilvl="2" w:tplc="79C6078C">
      <w:numFmt w:val="bullet"/>
      <w:lvlText w:val="•"/>
      <w:lvlJc w:val="left"/>
      <w:pPr>
        <w:ind w:left="2560" w:hanging="360"/>
      </w:pPr>
      <w:rPr>
        <w:rFonts w:hint="default"/>
      </w:rPr>
    </w:lvl>
    <w:lvl w:ilvl="3" w:tplc="FF261E3C">
      <w:numFmt w:val="bullet"/>
      <w:lvlText w:val="•"/>
      <w:lvlJc w:val="left"/>
      <w:pPr>
        <w:ind w:left="3470" w:hanging="360"/>
      </w:pPr>
      <w:rPr>
        <w:rFonts w:hint="default"/>
      </w:rPr>
    </w:lvl>
    <w:lvl w:ilvl="4" w:tplc="48FEA6AE">
      <w:numFmt w:val="bullet"/>
      <w:lvlText w:val="•"/>
      <w:lvlJc w:val="left"/>
      <w:pPr>
        <w:ind w:left="4380" w:hanging="360"/>
      </w:pPr>
      <w:rPr>
        <w:rFonts w:hint="default"/>
      </w:rPr>
    </w:lvl>
    <w:lvl w:ilvl="5" w:tplc="0DF271FC">
      <w:numFmt w:val="bullet"/>
      <w:lvlText w:val="•"/>
      <w:lvlJc w:val="left"/>
      <w:pPr>
        <w:ind w:left="5290" w:hanging="360"/>
      </w:pPr>
      <w:rPr>
        <w:rFonts w:hint="default"/>
      </w:rPr>
    </w:lvl>
    <w:lvl w:ilvl="6" w:tplc="6346EE2E">
      <w:numFmt w:val="bullet"/>
      <w:lvlText w:val="•"/>
      <w:lvlJc w:val="left"/>
      <w:pPr>
        <w:ind w:left="6200" w:hanging="360"/>
      </w:pPr>
      <w:rPr>
        <w:rFonts w:hint="default"/>
      </w:rPr>
    </w:lvl>
    <w:lvl w:ilvl="7" w:tplc="128035B8">
      <w:numFmt w:val="bullet"/>
      <w:lvlText w:val="•"/>
      <w:lvlJc w:val="left"/>
      <w:pPr>
        <w:ind w:left="7110" w:hanging="360"/>
      </w:pPr>
      <w:rPr>
        <w:rFonts w:hint="default"/>
      </w:rPr>
    </w:lvl>
    <w:lvl w:ilvl="8" w:tplc="1C70615E">
      <w:numFmt w:val="bullet"/>
      <w:lvlText w:val="•"/>
      <w:lvlJc w:val="left"/>
      <w:pPr>
        <w:ind w:left="8020" w:hanging="360"/>
      </w:pPr>
      <w:rPr>
        <w:rFonts w:hint="default"/>
      </w:rPr>
    </w:lvl>
  </w:abstractNum>
  <w:abstractNum w:abstractNumId="144" w15:restartNumberingAfterBreak="0">
    <w:nsid w:val="58A74D1F"/>
    <w:multiLevelType w:val="hybridMultilevel"/>
    <w:tmpl w:val="E176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990349C"/>
    <w:multiLevelType w:val="multilevel"/>
    <w:tmpl w:val="127C9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5A106234"/>
    <w:multiLevelType w:val="hybridMultilevel"/>
    <w:tmpl w:val="90164774"/>
    <w:lvl w:ilvl="0" w:tplc="B27EFF80">
      <w:start w:val="1"/>
      <w:numFmt w:val="decimal"/>
      <w:lvlText w:val="%1."/>
      <w:lvlJc w:val="left"/>
      <w:pPr>
        <w:ind w:left="1068" w:hanging="362"/>
      </w:pPr>
      <w:rPr>
        <w:rFonts w:ascii="Arial" w:eastAsia="Arial" w:hAnsi="Arial" w:cs="Arial" w:hint="default"/>
        <w:spacing w:val="-32"/>
        <w:w w:val="100"/>
        <w:sz w:val="22"/>
        <w:szCs w:val="22"/>
        <w:lang w:val="es-ES" w:eastAsia="es-ES" w:bidi="es-ES"/>
      </w:rPr>
    </w:lvl>
    <w:lvl w:ilvl="1" w:tplc="93F24AFC">
      <w:numFmt w:val="bullet"/>
      <w:lvlText w:val="•"/>
      <w:lvlJc w:val="left"/>
      <w:pPr>
        <w:ind w:left="1655" w:hanging="362"/>
      </w:pPr>
      <w:rPr>
        <w:rFonts w:hint="default"/>
        <w:lang w:val="es-ES" w:eastAsia="es-ES" w:bidi="es-ES"/>
      </w:rPr>
    </w:lvl>
    <w:lvl w:ilvl="2" w:tplc="119E5D14">
      <w:numFmt w:val="bullet"/>
      <w:lvlText w:val="•"/>
      <w:lvlJc w:val="left"/>
      <w:pPr>
        <w:ind w:left="2251" w:hanging="362"/>
      </w:pPr>
      <w:rPr>
        <w:rFonts w:hint="default"/>
        <w:lang w:val="es-ES" w:eastAsia="es-ES" w:bidi="es-ES"/>
      </w:rPr>
    </w:lvl>
    <w:lvl w:ilvl="3" w:tplc="6520F38E">
      <w:numFmt w:val="bullet"/>
      <w:lvlText w:val="•"/>
      <w:lvlJc w:val="left"/>
      <w:pPr>
        <w:ind w:left="2847" w:hanging="362"/>
      </w:pPr>
      <w:rPr>
        <w:rFonts w:hint="default"/>
        <w:lang w:val="es-ES" w:eastAsia="es-ES" w:bidi="es-ES"/>
      </w:rPr>
    </w:lvl>
    <w:lvl w:ilvl="4" w:tplc="38C2FC10">
      <w:numFmt w:val="bullet"/>
      <w:lvlText w:val="•"/>
      <w:lvlJc w:val="left"/>
      <w:pPr>
        <w:ind w:left="3442" w:hanging="362"/>
      </w:pPr>
      <w:rPr>
        <w:rFonts w:hint="default"/>
        <w:lang w:val="es-ES" w:eastAsia="es-ES" w:bidi="es-ES"/>
      </w:rPr>
    </w:lvl>
    <w:lvl w:ilvl="5" w:tplc="A032477A">
      <w:numFmt w:val="bullet"/>
      <w:lvlText w:val="•"/>
      <w:lvlJc w:val="left"/>
      <w:pPr>
        <w:ind w:left="4038" w:hanging="362"/>
      </w:pPr>
      <w:rPr>
        <w:rFonts w:hint="default"/>
        <w:lang w:val="es-ES" w:eastAsia="es-ES" w:bidi="es-ES"/>
      </w:rPr>
    </w:lvl>
    <w:lvl w:ilvl="6" w:tplc="A73ACBAE">
      <w:numFmt w:val="bullet"/>
      <w:lvlText w:val="•"/>
      <w:lvlJc w:val="left"/>
      <w:pPr>
        <w:ind w:left="4634" w:hanging="362"/>
      </w:pPr>
      <w:rPr>
        <w:rFonts w:hint="default"/>
        <w:lang w:val="es-ES" w:eastAsia="es-ES" w:bidi="es-ES"/>
      </w:rPr>
    </w:lvl>
    <w:lvl w:ilvl="7" w:tplc="751E9E9C">
      <w:numFmt w:val="bullet"/>
      <w:lvlText w:val="•"/>
      <w:lvlJc w:val="left"/>
      <w:pPr>
        <w:ind w:left="5229" w:hanging="362"/>
      </w:pPr>
      <w:rPr>
        <w:rFonts w:hint="default"/>
        <w:lang w:val="es-ES" w:eastAsia="es-ES" w:bidi="es-ES"/>
      </w:rPr>
    </w:lvl>
    <w:lvl w:ilvl="8" w:tplc="58AACBCA">
      <w:numFmt w:val="bullet"/>
      <w:lvlText w:val="•"/>
      <w:lvlJc w:val="left"/>
      <w:pPr>
        <w:ind w:left="5825" w:hanging="362"/>
      </w:pPr>
      <w:rPr>
        <w:rFonts w:hint="default"/>
        <w:lang w:val="es-ES" w:eastAsia="es-ES" w:bidi="es-ES"/>
      </w:rPr>
    </w:lvl>
  </w:abstractNum>
  <w:abstractNum w:abstractNumId="147" w15:restartNumberingAfterBreak="0">
    <w:nsid w:val="5A7B6FC9"/>
    <w:multiLevelType w:val="hybridMultilevel"/>
    <w:tmpl w:val="E8E890A0"/>
    <w:lvl w:ilvl="0" w:tplc="D4A8E376">
      <w:start w:val="1"/>
      <w:numFmt w:val="decimal"/>
      <w:lvlText w:val="%1."/>
      <w:lvlJc w:val="left"/>
      <w:pPr>
        <w:ind w:left="957" w:hanging="360"/>
      </w:pPr>
      <w:rPr>
        <w:rFonts w:ascii="Arial" w:eastAsia="Arial" w:hAnsi="Arial" w:cs="Arial" w:hint="default"/>
        <w:w w:val="100"/>
        <w:sz w:val="20"/>
        <w:szCs w:val="20"/>
      </w:rPr>
    </w:lvl>
    <w:lvl w:ilvl="1" w:tplc="E9363E48">
      <w:numFmt w:val="bullet"/>
      <w:lvlText w:val="•"/>
      <w:lvlJc w:val="left"/>
      <w:pPr>
        <w:ind w:left="1848" w:hanging="360"/>
      </w:pPr>
      <w:rPr>
        <w:rFonts w:hint="default"/>
      </w:rPr>
    </w:lvl>
    <w:lvl w:ilvl="2" w:tplc="C8527BEC">
      <w:numFmt w:val="bullet"/>
      <w:lvlText w:val="•"/>
      <w:lvlJc w:val="left"/>
      <w:pPr>
        <w:ind w:left="2736" w:hanging="360"/>
      </w:pPr>
      <w:rPr>
        <w:rFonts w:hint="default"/>
      </w:rPr>
    </w:lvl>
    <w:lvl w:ilvl="3" w:tplc="79008836">
      <w:numFmt w:val="bullet"/>
      <w:lvlText w:val="•"/>
      <w:lvlJc w:val="left"/>
      <w:pPr>
        <w:ind w:left="3624" w:hanging="360"/>
      </w:pPr>
      <w:rPr>
        <w:rFonts w:hint="default"/>
      </w:rPr>
    </w:lvl>
    <w:lvl w:ilvl="4" w:tplc="FE084484">
      <w:numFmt w:val="bullet"/>
      <w:lvlText w:val="•"/>
      <w:lvlJc w:val="left"/>
      <w:pPr>
        <w:ind w:left="4512" w:hanging="360"/>
      </w:pPr>
      <w:rPr>
        <w:rFonts w:hint="default"/>
      </w:rPr>
    </w:lvl>
    <w:lvl w:ilvl="5" w:tplc="F9EC8F08">
      <w:numFmt w:val="bullet"/>
      <w:lvlText w:val="•"/>
      <w:lvlJc w:val="left"/>
      <w:pPr>
        <w:ind w:left="5400" w:hanging="360"/>
      </w:pPr>
      <w:rPr>
        <w:rFonts w:hint="default"/>
      </w:rPr>
    </w:lvl>
    <w:lvl w:ilvl="6" w:tplc="B53C3302">
      <w:numFmt w:val="bullet"/>
      <w:lvlText w:val="•"/>
      <w:lvlJc w:val="left"/>
      <w:pPr>
        <w:ind w:left="6288" w:hanging="360"/>
      </w:pPr>
      <w:rPr>
        <w:rFonts w:hint="default"/>
      </w:rPr>
    </w:lvl>
    <w:lvl w:ilvl="7" w:tplc="5FFCD3DC">
      <w:numFmt w:val="bullet"/>
      <w:lvlText w:val="•"/>
      <w:lvlJc w:val="left"/>
      <w:pPr>
        <w:ind w:left="7176" w:hanging="360"/>
      </w:pPr>
      <w:rPr>
        <w:rFonts w:hint="default"/>
      </w:rPr>
    </w:lvl>
    <w:lvl w:ilvl="8" w:tplc="51A8EEB2">
      <w:numFmt w:val="bullet"/>
      <w:lvlText w:val="•"/>
      <w:lvlJc w:val="left"/>
      <w:pPr>
        <w:ind w:left="8064" w:hanging="360"/>
      </w:pPr>
      <w:rPr>
        <w:rFonts w:hint="default"/>
      </w:rPr>
    </w:lvl>
  </w:abstractNum>
  <w:abstractNum w:abstractNumId="148" w15:restartNumberingAfterBreak="0">
    <w:nsid w:val="5A9B258E"/>
    <w:multiLevelType w:val="multilevel"/>
    <w:tmpl w:val="0130E2F0"/>
    <w:lvl w:ilvl="0">
      <w:start w:val="1"/>
      <w:numFmt w:val="lowerLetter"/>
      <w:lvlText w:val="%1."/>
      <w:lvlJc w:val="left"/>
      <w:pPr>
        <w:ind w:left="360" w:hanging="360"/>
      </w:pPr>
      <w:rPr>
        <w:sz w:val="24"/>
        <w:szCs w:val="24"/>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149" w15:restartNumberingAfterBreak="0">
    <w:nsid w:val="5AA53FDB"/>
    <w:multiLevelType w:val="multilevel"/>
    <w:tmpl w:val="F1FCE0A4"/>
    <w:lvl w:ilvl="0">
      <w:start w:val="1"/>
      <w:numFmt w:val="decimal"/>
      <w:lvlText w:val="%1."/>
      <w:lvlJc w:val="left"/>
      <w:pPr>
        <w:ind w:left="720" w:hanging="360"/>
      </w:pPr>
      <w:rPr>
        <w:rFonts w:hint="default"/>
        <w:u w:val="none"/>
      </w:rPr>
    </w:lvl>
    <w:lvl w:ilvl="1">
      <w:start w:val="4"/>
      <w:numFmt w:val="lowerLetter"/>
      <w:lvlText w:val="%2)"/>
      <w:lvlJc w:val="left"/>
      <w:pPr>
        <w:ind w:left="1440" w:hanging="360"/>
      </w:pPr>
      <w:rPr>
        <w:rFonts w:hint="default"/>
        <w:sz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0" w15:restartNumberingAfterBreak="0">
    <w:nsid w:val="5ACC12DB"/>
    <w:multiLevelType w:val="multilevel"/>
    <w:tmpl w:val="9E48B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1" w15:restartNumberingAfterBreak="0">
    <w:nsid w:val="5B3E138D"/>
    <w:multiLevelType w:val="multilevel"/>
    <w:tmpl w:val="42E603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5B517BEF"/>
    <w:multiLevelType w:val="multilevel"/>
    <w:tmpl w:val="00ECDCD2"/>
    <w:lvl w:ilvl="0">
      <w:start w:val="1"/>
      <w:numFmt w:val="decimal"/>
      <w:lvlText w:val="%1."/>
      <w:lvlJc w:val="left"/>
      <w:pPr>
        <w:ind w:left="720" w:hanging="360"/>
      </w:pPr>
      <w:rPr>
        <w:u w:val="none"/>
      </w:rPr>
    </w:lvl>
    <w:lvl w:ilvl="1">
      <w:start w:val="1"/>
      <w:numFmt w:val="lowerLetter"/>
      <w:lvlText w:val="%2)"/>
      <w:lvlJc w:val="left"/>
      <w:pPr>
        <w:ind w:left="1440" w:hanging="360"/>
      </w:pPr>
      <w:rPr>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3" w15:restartNumberingAfterBreak="0">
    <w:nsid w:val="5B6214F6"/>
    <w:multiLevelType w:val="hybridMultilevel"/>
    <w:tmpl w:val="03A89728"/>
    <w:lvl w:ilvl="0" w:tplc="8202FD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D486BE6"/>
    <w:multiLevelType w:val="multilevel"/>
    <w:tmpl w:val="89286E2A"/>
    <w:lvl w:ilvl="0">
      <w:start w:val="1"/>
      <w:numFmt w:val="decimal"/>
      <w:lvlText w:val="%1."/>
      <w:lvlJc w:val="left"/>
      <w:pPr>
        <w:ind w:left="1096" w:hanging="360"/>
      </w:pPr>
      <w:rPr>
        <w:rFonts w:ascii="Arial" w:eastAsia="Arial" w:hAnsi="Arial" w:cs="Arial"/>
        <w:b w:val="0"/>
        <w:bCs/>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55" w15:restartNumberingAfterBreak="0">
    <w:nsid w:val="5DE201CB"/>
    <w:multiLevelType w:val="multilevel"/>
    <w:tmpl w:val="409C1DC8"/>
    <w:lvl w:ilvl="0">
      <w:start w:val="1"/>
      <w:numFmt w:val="lowerLetter"/>
      <w:lvlText w:val="%1)"/>
      <w:lvlJc w:val="left"/>
      <w:pPr>
        <w:ind w:left="360" w:hanging="360"/>
      </w:pPr>
      <w:rPr>
        <w:rFonts w:ascii="Arial" w:eastAsia="Arial" w:hAnsi="Arial" w:cs="Arial"/>
        <w:smallCaps w:val="0"/>
        <w:strike w:val="0"/>
        <w:color w:val="000000"/>
        <w:shd w:val="clear" w:color="auto" w:fill="auto"/>
        <w:vertAlign w:val="baseline"/>
      </w:rPr>
    </w:lvl>
    <w:lvl w:ilvl="1">
      <w:start w:val="1"/>
      <w:numFmt w:val="lowerLetter"/>
      <w:lvlText w:val="%2)"/>
      <w:lvlJc w:val="left"/>
      <w:pPr>
        <w:ind w:left="1080" w:hanging="360"/>
      </w:pPr>
      <w:rPr>
        <w:rFonts w:hint="default"/>
        <w:b w:val="0"/>
        <w:bCs w:val="0"/>
        <w:smallCaps w:val="0"/>
        <w:strike w:val="0"/>
        <w:color w:val="auto"/>
        <w:shd w:val="clear" w:color="auto" w:fill="auto"/>
        <w:vertAlign w:val="baseline"/>
      </w:rPr>
    </w:lvl>
    <w:lvl w:ilvl="2">
      <w:start w:val="1"/>
      <w:numFmt w:val="lowerRoman"/>
      <w:lvlText w:val="%3."/>
      <w:lvlJc w:val="left"/>
      <w:pPr>
        <w:ind w:left="1800" w:hanging="294"/>
      </w:pPr>
      <w:rPr>
        <w:rFonts w:hint="default"/>
        <w:smallCaps w:val="0"/>
        <w:strike w:val="0"/>
        <w:color w:val="000000"/>
        <w:shd w:val="clear" w:color="auto" w:fill="auto"/>
        <w:vertAlign w:val="baseline"/>
      </w:rPr>
    </w:lvl>
    <w:lvl w:ilvl="3">
      <w:start w:val="1"/>
      <w:numFmt w:val="decimal"/>
      <w:lvlText w:val="%4."/>
      <w:lvlJc w:val="left"/>
      <w:pPr>
        <w:ind w:left="2520" w:hanging="360"/>
      </w:pPr>
      <w:rPr>
        <w:rFonts w:hint="default"/>
        <w:smallCaps w:val="0"/>
        <w:strike w:val="0"/>
        <w:color w:val="000000"/>
        <w:shd w:val="clear" w:color="auto" w:fill="auto"/>
        <w:vertAlign w:val="baseline"/>
      </w:rPr>
    </w:lvl>
    <w:lvl w:ilvl="4">
      <w:start w:val="1"/>
      <w:numFmt w:val="lowerLetter"/>
      <w:lvlText w:val="%5."/>
      <w:lvlJc w:val="left"/>
      <w:pPr>
        <w:ind w:left="3240" w:hanging="360"/>
      </w:pPr>
      <w:rPr>
        <w:rFonts w:hint="default"/>
        <w:smallCaps w:val="0"/>
        <w:strike w:val="0"/>
        <w:color w:val="000000"/>
        <w:shd w:val="clear" w:color="auto" w:fill="auto"/>
        <w:vertAlign w:val="baseline"/>
      </w:rPr>
    </w:lvl>
    <w:lvl w:ilvl="5">
      <w:start w:val="1"/>
      <w:numFmt w:val="lowerRoman"/>
      <w:lvlText w:val="%6."/>
      <w:lvlJc w:val="left"/>
      <w:pPr>
        <w:ind w:left="3960" w:hanging="294"/>
      </w:pPr>
      <w:rPr>
        <w:rFonts w:hint="default"/>
        <w:smallCaps w:val="0"/>
        <w:strike w:val="0"/>
        <w:color w:val="000000"/>
        <w:shd w:val="clear" w:color="auto" w:fill="auto"/>
        <w:vertAlign w:val="baseline"/>
      </w:rPr>
    </w:lvl>
    <w:lvl w:ilvl="6">
      <w:start w:val="1"/>
      <w:numFmt w:val="decimal"/>
      <w:lvlText w:val="%7."/>
      <w:lvlJc w:val="left"/>
      <w:pPr>
        <w:ind w:left="4680" w:hanging="360"/>
      </w:pPr>
      <w:rPr>
        <w:rFonts w:hint="default"/>
        <w:smallCaps w:val="0"/>
        <w:strike w:val="0"/>
        <w:color w:val="000000"/>
        <w:shd w:val="clear" w:color="auto" w:fill="auto"/>
        <w:vertAlign w:val="baseline"/>
      </w:rPr>
    </w:lvl>
    <w:lvl w:ilvl="7">
      <w:start w:val="1"/>
      <w:numFmt w:val="lowerLetter"/>
      <w:lvlText w:val="%8."/>
      <w:lvlJc w:val="left"/>
      <w:pPr>
        <w:ind w:left="5400" w:hanging="360"/>
      </w:pPr>
      <w:rPr>
        <w:rFonts w:hint="default"/>
        <w:smallCaps w:val="0"/>
        <w:strike w:val="0"/>
        <w:color w:val="000000"/>
        <w:shd w:val="clear" w:color="auto" w:fill="auto"/>
        <w:vertAlign w:val="baseline"/>
      </w:rPr>
    </w:lvl>
    <w:lvl w:ilvl="8">
      <w:start w:val="1"/>
      <w:numFmt w:val="lowerRoman"/>
      <w:lvlText w:val="%9."/>
      <w:lvlJc w:val="left"/>
      <w:pPr>
        <w:ind w:left="6120" w:hanging="294"/>
      </w:pPr>
      <w:rPr>
        <w:rFonts w:hint="default"/>
        <w:smallCaps w:val="0"/>
        <w:strike w:val="0"/>
        <w:color w:val="000000"/>
        <w:shd w:val="clear" w:color="auto" w:fill="auto"/>
        <w:vertAlign w:val="baseline"/>
      </w:rPr>
    </w:lvl>
  </w:abstractNum>
  <w:abstractNum w:abstractNumId="156" w15:restartNumberingAfterBreak="0">
    <w:nsid w:val="60416A8D"/>
    <w:multiLevelType w:val="hybridMultilevel"/>
    <w:tmpl w:val="7D826E1A"/>
    <w:lvl w:ilvl="0" w:tplc="4A90E49A">
      <w:start w:val="25"/>
      <w:numFmt w:val="decimal"/>
      <w:lvlText w:val="%1."/>
      <w:lvlJc w:val="left"/>
      <w:pPr>
        <w:ind w:left="466" w:hanging="216"/>
      </w:pPr>
      <w:rPr>
        <w:rFonts w:ascii="Arial" w:eastAsia="Arial" w:hAnsi="Arial" w:cs="Arial" w:hint="default"/>
        <w:spacing w:val="-1"/>
        <w:w w:val="101"/>
        <w:sz w:val="24"/>
        <w:szCs w:val="24"/>
        <w:lang w:val="es-ES" w:eastAsia="es-ES" w:bidi="es-ES"/>
      </w:rPr>
    </w:lvl>
    <w:lvl w:ilvl="1" w:tplc="1CD8F104">
      <w:numFmt w:val="bullet"/>
      <w:lvlText w:val="•"/>
      <w:lvlJc w:val="left"/>
      <w:pPr>
        <w:ind w:left="908" w:hanging="216"/>
      </w:pPr>
      <w:rPr>
        <w:rFonts w:hint="default"/>
        <w:lang w:val="es-ES" w:eastAsia="es-ES" w:bidi="es-ES"/>
      </w:rPr>
    </w:lvl>
    <w:lvl w:ilvl="2" w:tplc="AAC283E8">
      <w:numFmt w:val="bullet"/>
      <w:lvlText w:val="•"/>
      <w:lvlJc w:val="left"/>
      <w:pPr>
        <w:ind w:left="1357" w:hanging="216"/>
      </w:pPr>
      <w:rPr>
        <w:rFonts w:hint="default"/>
        <w:lang w:val="es-ES" w:eastAsia="es-ES" w:bidi="es-ES"/>
      </w:rPr>
    </w:lvl>
    <w:lvl w:ilvl="3" w:tplc="FE5CC83E">
      <w:numFmt w:val="bullet"/>
      <w:lvlText w:val="•"/>
      <w:lvlJc w:val="left"/>
      <w:pPr>
        <w:ind w:left="1805" w:hanging="216"/>
      </w:pPr>
      <w:rPr>
        <w:rFonts w:hint="default"/>
        <w:lang w:val="es-ES" w:eastAsia="es-ES" w:bidi="es-ES"/>
      </w:rPr>
    </w:lvl>
    <w:lvl w:ilvl="4" w:tplc="A6523BBC">
      <w:numFmt w:val="bullet"/>
      <w:lvlText w:val="•"/>
      <w:lvlJc w:val="left"/>
      <w:pPr>
        <w:ind w:left="2254" w:hanging="216"/>
      </w:pPr>
      <w:rPr>
        <w:rFonts w:hint="default"/>
        <w:lang w:val="es-ES" w:eastAsia="es-ES" w:bidi="es-ES"/>
      </w:rPr>
    </w:lvl>
    <w:lvl w:ilvl="5" w:tplc="26085114">
      <w:numFmt w:val="bullet"/>
      <w:lvlText w:val="•"/>
      <w:lvlJc w:val="left"/>
      <w:pPr>
        <w:ind w:left="2702" w:hanging="216"/>
      </w:pPr>
      <w:rPr>
        <w:rFonts w:hint="default"/>
        <w:lang w:val="es-ES" w:eastAsia="es-ES" w:bidi="es-ES"/>
      </w:rPr>
    </w:lvl>
    <w:lvl w:ilvl="6" w:tplc="CE063436">
      <w:numFmt w:val="bullet"/>
      <w:lvlText w:val="•"/>
      <w:lvlJc w:val="left"/>
      <w:pPr>
        <w:ind w:left="3151" w:hanging="216"/>
      </w:pPr>
      <w:rPr>
        <w:rFonts w:hint="default"/>
        <w:lang w:val="es-ES" w:eastAsia="es-ES" w:bidi="es-ES"/>
      </w:rPr>
    </w:lvl>
    <w:lvl w:ilvl="7" w:tplc="46442946">
      <w:numFmt w:val="bullet"/>
      <w:lvlText w:val="•"/>
      <w:lvlJc w:val="left"/>
      <w:pPr>
        <w:ind w:left="3599" w:hanging="216"/>
      </w:pPr>
      <w:rPr>
        <w:rFonts w:hint="default"/>
        <w:lang w:val="es-ES" w:eastAsia="es-ES" w:bidi="es-ES"/>
      </w:rPr>
    </w:lvl>
    <w:lvl w:ilvl="8" w:tplc="EC86845C">
      <w:numFmt w:val="bullet"/>
      <w:lvlText w:val="•"/>
      <w:lvlJc w:val="left"/>
      <w:pPr>
        <w:ind w:left="4048" w:hanging="216"/>
      </w:pPr>
      <w:rPr>
        <w:rFonts w:hint="default"/>
        <w:lang w:val="es-ES" w:eastAsia="es-ES" w:bidi="es-ES"/>
      </w:rPr>
    </w:lvl>
  </w:abstractNum>
  <w:abstractNum w:abstractNumId="157" w15:restartNumberingAfterBreak="0">
    <w:nsid w:val="60520049"/>
    <w:multiLevelType w:val="hybridMultilevel"/>
    <w:tmpl w:val="F358F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0E211FD"/>
    <w:multiLevelType w:val="hybridMultilevel"/>
    <w:tmpl w:val="6F126264"/>
    <w:lvl w:ilvl="0" w:tplc="0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9" w15:restartNumberingAfterBreak="0">
    <w:nsid w:val="61A537D2"/>
    <w:multiLevelType w:val="hybridMultilevel"/>
    <w:tmpl w:val="F358F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28551D1"/>
    <w:multiLevelType w:val="hybridMultilevel"/>
    <w:tmpl w:val="0100A20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1" w15:restartNumberingAfterBreak="0">
    <w:nsid w:val="62E37AD5"/>
    <w:multiLevelType w:val="hybridMultilevel"/>
    <w:tmpl w:val="C5D8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3BB5115"/>
    <w:multiLevelType w:val="multilevel"/>
    <w:tmpl w:val="794A991C"/>
    <w:lvl w:ilvl="0">
      <w:start w:val="1"/>
      <w:numFmt w:val="decimal"/>
      <w:lvlText w:val="%1."/>
      <w:lvlJc w:val="left"/>
      <w:pPr>
        <w:ind w:left="1096" w:hanging="360"/>
      </w:pPr>
      <w:rPr>
        <w:rFonts w:ascii="Arial" w:eastAsia="Arial" w:hAnsi="Arial" w:cs="Arial"/>
        <w:b w:val="0"/>
        <w:bCs/>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63" w15:restartNumberingAfterBreak="0">
    <w:nsid w:val="643349A6"/>
    <w:multiLevelType w:val="hybridMultilevel"/>
    <w:tmpl w:val="4006B44C"/>
    <w:lvl w:ilvl="0" w:tplc="4964DB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48215D5"/>
    <w:multiLevelType w:val="multilevel"/>
    <w:tmpl w:val="30E0480C"/>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165" w15:restartNumberingAfterBreak="0">
    <w:nsid w:val="64D9228D"/>
    <w:multiLevelType w:val="hybridMultilevel"/>
    <w:tmpl w:val="901C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5B227F9"/>
    <w:multiLevelType w:val="hybridMultilevel"/>
    <w:tmpl w:val="C2C20EC0"/>
    <w:lvl w:ilvl="0" w:tplc="50C06B40">
      <w:start w:val="1"/>
      <w:numFmt w:val="decimal"/>
      <w:lvlText w:val="%1."/>
      <w:lvlJc w:val="left"/>
      <w:pPr>
        <w:ind w:left="463" w:hanging="181"/>
      </w:pPr>
      <w:rPr>
        <w:rFonts w:ascii="Arial" w:eastAsia="Arial" w:hAnsi="Arial" w:cs="Arial" w:hint="default"/>
        <w:spacing w:val="-1"/>
        <w:w w:val="101"/>
        <w:sz w:val="24"/>
        <w:szCs w:val="24"/>
        <w:lang w:val="es-ES" w:eastAsia="es-ES" w:bidi="es-ES"/>
      </w:rPr>
    </w:lvl>
    <w:lvl w:ilvl="1" w:tplc="9578B2CA">
      <w:numFmt w:val="bullet"/>
      <w:lvlText w:val="•"/>
      <w:lvlJc w:val="left"/>
      <w:pPr>
        <w:ind w:left="908" w:hanging="181"/>
      </w:pPr>
      <w:rPr>
        <w:rFonts w:hint="default"/>
        <w:lang w:val="es-ES" w:eastAsia="es-ES" w:bidi="es-ES"/>
      </w:rPr>
    </w:lvl>
    <w:lvl w:ilvl="2" w:tplc="A46AE74C">
      <w:numFmt w:val="bullet"/>
      <w:lvlText w:val="•"/>
      <w:lvlJc w:val="left"/>
      <w:pPr>
        <w:ind w:left="1357" w:hanging="181"/>
      </w:pPr>
      <w:rPr>
        <w:rFonts w:hint="default"/>
        <w:lang w:val="es-ES" w:eastAsia="es-ES" w:bidi="es-ES"/>
      </w:rPr>
    </w:lvl>
    <w:lvl w:ilvl="3" w:tplc="F1C6BA68">
      <w:numFmt w:val="bullet"/>
      <w:lvlText w:val="•"/>
      <w:lvlJc w:val="left"/>
      <w:pPr>
        <w:ind w:left="1805" w:hanging="181"/>
      </w:pPr>
      <w:rPr>
        <w:rFonts w:hint="default"/>
        <w:lang w:val="es-ES" w:eastAsia="es-ES" w:bidi="es-ES"/>
      </w:rPr>
    </w:lvl>
    <w:lvl w:ilvl="4" w:tplc="B5F632BE">
      <w:numFmt w:val="bullet"/>
      <w:lvlText w:val="•"/>
      <w:lvlJc w:val="left"/>
      <w:pPr>
        <w:ind w:left="2254" w:hanging="181"/>
      </w:pPr>
      <w:rPr>
        <w:rFonts w:hint="default"/>
        <w:lang w:val="es-ES" w:eastAsia="es-ES" w:bidi="es-ES"/>
      </w:rPr>
    </w:lvl>
    <w:lvl w:ilvl="5" w:tplc="2F1ED8B6">
      <w:numFmt w:val="bullet"/>
      <w:lvlText w:val="•"/>
      <w:lvlJc w:val="left"/>
      <w:pPr>
        <w:ind w:left="2702" w:hanging="181"/>
      </w:pPr>
      <w:rPr>
        <w:rFonts w:hint="default"/>
        <w:lang w:val="es-ES" w:eastAsia="es-ES" w:bidi="es-ES"/>
      </w:rPr>
    </w:lvl>
    <w:lvl w:ilvl="6" w:tplc="63F2C322">
      <w:numFmt w:val="bullet"/>
      <w:lvlText w:val="•"/>
      <w:lvlJc w:val="left"/>
      <w:pPr>
        <w:ind w:left="3151" w:hanging="181"/>
      </w:pPr>
      <w:rPr>
        <w:rFonts w:hint="default"/>
        <w:lang w:val="es-ES" w:eastAsia="es-ES" w:bidi="es-ES"/>
      </w:rPr>
    </w:lvl>
    <w:lvl w:ilvl="7" w:tplc="89B43B22">
      <w:numFmt w:val="bullet"/>
      <w:lvlText w:val="•"/>
      <w:lvlJc w:val="left"/>
      <w:pPr>
        <w:ind w:left="3599" w:hanging="181"/>
      </w:pPr>
      <w:rPr>
        <w:rFonts w:hint="default"/>
        <w:lang w:val="es-ES" w:eastAsia="es-ES" w:bidi="es-ES"/>
      </w:rPr>
    </w:lvl>
    <w:lvl w:ilvl="8" w:tplc="17BCDAB8">
      <w:numFmt w:val="bullet"/>
      <w:lvlText w:val="•"/>
      <w:lvlJc w:val="left"/>
      <w:pPr>
        <w:ind w:left="4048" w:hanging="181"/>
      </w:pPr>
      <w:rPr>
        <w:rFonts w:hint="default"/>
        <w:lang w:val="es-ES" w:eastAsia="es-ES" w:bidi="es-ES"/>
      </w:rPr>
    </w:lvl>
  </w:abstractNum>
  <w:abstractNum w:abstractNumId="167" w15:restartNumberingAfterBreak="0">
    <w:nsid w:val="66133B75"/>
    <w:multiLevelType w:val="hybridMultilevel"/>
    <w:tmpl w:val="7332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6C0222B"/>
    <w:multiLevelType w:val="multilevel"/>
    <w:tmpl w:val="9FC60E9A"/>
    <w:lvl w:ilvl="0">
      <w:start w:val="1"/>
      <w:numFmt w:val="decimal"/>
      <w:lvlText w:val="%1."/>
      <w:lvlJc w:val="left"/>
      <w:pPr>
        <w:ind w:left="720" w:hanging="360"/>
      </w:pPr>
      <w:rPr>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9" w15:restartNumberingAfterBreak="0">
    <w:nsid w:val="66C84F7D"/>
    <w:multiLevelType w:val="multilevel"/>
    <w:tmpl w:val="972E2C20"/>
    <w:lvl w:ilvl="0">
      <w:start w:val="1"/>
      <w:numFmt w:val="decimal"/>
      <w:lvlText w:val="%1."/>
      <w:lvlJc w:val="left"/>
      <w:pPr>
        <w:ind w:left="1096" w:hanging="360"/>
      </w:pPr>
      <w:rPr>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70" w15:restartNumberingAfterBreak="0">
    <w:nsid w:val="66D11C4C"/>
    <w:multiLevelType w:val="hybridMultilevel"/>
    <w:tmpl w:val="7332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81C5A34"/>
    <w:multiLevelType w:val="hybridMultilevel"/>
    <w:tmpl w:val="1B04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97C7C2F"/>
    <w:multiLevelType w:val="hybridMultilevel"/>
    <w:tmpl w:val="5CF0EAB2"/>
    <w:lvl w:ilvl="0" w:tplc="3E0600EE">
      <w:start w:val="1"/>
      <w:numFmt w:val="decimal"/>
      <w:lvlText w:val="%1."/>
      <w:lvlJc w:val="left"/>
      <w:pPr>
        <w:ind w:left="957" w:hanging="360"/>
      </w:pPr>
      <w:rPr>
        <w:rFonts w:ascii="Arial" w:eastAsia="Arial" w:hAnsi="Arial" w:cs="Arial" w:hint="default"/>
        <w:w w:val="100"/>
        <w:sz w:val="24"/>
        <w:szCs w:val="24"/>
      </w:rPr>
    </w:lvl>
    <w:lvl w:ilvl="1" w:tplc="E9363E48">
      <w:numFmt w:val="bullet"/>
      <w:lvlText w:val="•"/>
      <w:lvlJc w:val="left"/>
      <w:pPr>
        <w:ind w:left="1848" w:hanging="360"/>
      </w:pPr>
      <w:rPr>
        <w:rFonts w:hint="default"/>
      </w:rPr>
    </w:lvl>
    <w:lvl w:ilvl="2" w:tplc="C8527BEC">
      <w:numFmt w:val="bullet"/>
      <w:lvlText w:val="•"/>
      <w:lvlJc w:val="left"/>
      <w:pPr>
        <w:ind w:left="2736" w:hanging="360"/>
      </w:pPr>
      <w:rPr>
        <w:rFonts w:hint="default"/>
      </w:rPr>
    </w:lvl>
    <w:lvl w:ilvl="3" w:tplc="79008836">
      <w:numFmt w:val="bullet"/>
      <w:lvlText w:val="•"/>
      <w:lvlJc w:val="left"/>
      <w:pPr>
        <w:ind w:left="3624" w:hanging="360"/>
      </w:pPr>
      <w:rPr>
        <w:rFonts w:hint="default"/>
      </w:rPr>
    </w:lvl>
    <w:lvl w:ilvl="4" w:tplc="FE084484">
      <w:numFmt w:val="bullet"/>
      <w:lvlText w:val="•"/>
      <w:lvlJc w:val="left"/>
      <w:pPr>
        <w:ind w:left="4512" w:hanging="360"/>
      </w:pPr>
      <w:rPr>
        <w:rFonts w:hint="default"/>
      </w:rPr>
    </w:lvl>
    <w:lvl w:ilvl="5" w:tplc="F9EC8F08">
      <w:numFmt w:val="bullet"/>
      <w:lvlText w:val="•"/>
      <w:lvlJc w:val="left"/>
      <w:pPr>
        <w:ind w:left="5400" w:hanging="360"/>
      </w:pPr>
      <w:rPr>
        <w:rFonts w:hint="default"/>
      </w:rPr>
    </w:lvl>
    <w:lvl w:ilvl="6" w:tplc="B53C3302">
      <w:numFmt w:val="bullet"/>
      <w:lvlText w:val="•"/>
      <w:lvlJc w:val="left"/>
      <w:pPr>
        <w:ind w:left="6288" w:hanging="360"/>
      </w:pPr>
      <w:rPr>
        <w:rFonts w:hint="default"/>
      </w:rPr>
    </w:lvl>
    <w:lvl w:ilvl="7" w:tplc="5FFCD3DC">
      <w:numFmt w:val="bullet"/>
      <w:lvlText w:val="•"/>
      <w:lvlJc w:val="left"/>
      <w:pPr>
        <w:ind w:left="7176" w:hanging="360"/>
      </w:pPr>
      <w:rPr>
        <w:rFonts w:hint="default"/>
      </w:rPr>
    </w:lvl>
    <w:lvl w:ilvl="8" w:tplc="51A8EEB2">
      <w:numFmt w:val="bullet"/>
      <w:lvlText w:val="•"/>
      <w:lvlJc w:val="left"/>
      <w:pPr>
        <w:ind w:left="8064" w:hanging="360"/>
      </w:pPr>
      <w:rPr>
        <w:rFonts w:hint="default"/>
      </w:rPr>
    </w:lvl>
  </w:abstractNum>
  <w:abstractNum w:abstractNumId="173" w15:restartNumberingAfterBreak="0">
    <w:nsid w:val="6A4F28E5"/>
    <w:multiLevelType w:val="multilevel"/>
    <w:tmpl w:val="782A61DA"/>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174" w15:restartNumberingAfterBreak="0">
    <w:nsid w:val="6B1A0962"/>
    <w:multiLevelType w:val="hybridMultilevel"/>
    <w:tmpl w:val="E30263CA"/>
    <w:lvl w:ilvl="0" w:tplc="A7AE49FA">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B3F0C53"/>
    <w:multiLevelType w:val="multilevel"/>
    <w:tmpl w:val="7FDE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6BC35F27"/>
    <w:multiLevelType w:val="multilevel"/>
    <w:tmpl w:val="DD6278B8"/>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7" w15:restartNumberingAfterBreak="0">
    <w:nsid w:val="6BE74DFD"/>
    <w:multiLevelType w:val="multilevel"/>
    <w:tmpl w:val="782A61DA"/>
    <w:lvl w:ilvl="0">
      <w:start w:val="1"/>
      <w:numFmt w:val="lowerLetter"/>
      <w:lvlText w:val="%1)"/>
      <w:lvlJc w:val="left"/>
      <w:pPr>
        <w:ind w:left="360" w:hanging="360"/>
      </w:pPr>
      <w:rPr>
        <w:b w:val="0"/>
        <w:bCs/>
        <w:sz w:val="20"/>
        <w:szCs w:val="20"/>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178" w15:restartNumberingAfterBreak="0">
    <w:nsid w:val="6D1F130C"/>
    <w:multiLevelType w:val="multilevel"/>
    <w:tmpl w:val="4CCA4E72"/>
    <w:lvl w:ilvl="0">
      <w:start w:val="2"/>
      <w:numFmt w:val="decimal"/>
      <w:lvlText w:val="(%1)"/>
      <w:lvlJc w:val="left"/>
      <w:pPr>
        <w:ind w:left="448" w:hanging="346"/>
      </w:pPr>
      <w:rPr>
        <w:rFonts w:ascii="Arial" w:eastAsia="Arial" w:hAnsi="Arial" w:cs="Arial"/>
        <w:sz w:val="24"/>
        <w:szCs w:val="24"/>
      </w:rPr>
    </w:lvl>
    <w:lvl w:ilvl="1">
      <w:start w:val="1"/>
      <w:numFmt w:val="decimal"/>
      <w:lvlText w:val="%2."/>
      <w:lvlJc w:val="left"/>
      <w:pPr>
        <w:ind w:left="1096" w:hanging="360"/>
      </w:pPr>
      <w:rPr>
        <w:rFonts w:ascii="Arial" w:eastAsia="Arial" w:hAnsi="Arial" w:cs="Arial"/>
        <w:b/>
        <w:sz w:val="20"/>
        <w:szCs w:val="20"/>
      </w:rPr>
    </w:lvl>
    <w:lvl w:ilvl="2">
      <w:start w:val="1"/>
      <w:numFmt w:val="lowerLetter"/>
      <w:lvlText w:val="%3."/>
      <w:lvlJc w:val="left"/>
      <w:pPr>
        <w:ind w:left="1442" w:hanging="360"/>
      </w:pPr>
      <w:rPr>
        <w:rFonts w:ascii="Arial" w:eastAsia="Arial" w:hAnsi="Arial" w:cs="Arial"/>
        <w:b w:val="0"/>
        <w:bCs/>
        <w:sz w:val="20"/>
        <w:szCs w:val="20"/>
      </w:rPr>
    </w:lvl>
    <w:lvl w:ilvl="3">
      <w:start w:val="1"/>
      <w:numFmt w:val="bullet"/>
      <w:lvlText w:val="•"/>
      <w:lvlJc w:val="left"/>
      <w:pPr>
        <w:ind w:left="2490" w:hanging="360"/>
      </w:pPr>
    </w:lvl>
    <w:lvl w:ilvl="4">
      <w:start w:val="1"/>
      <w:numFmt w:val="bullet"/>
      <w:lvlText w:val="•"/>
      <w:lvlJc w:val="left"/>
      <w:pPr>
        <w:ind w:left="3540" w:hanging="360"/>
      </w:pPr>
    </w:lvl>
    <w:lvl w:ilvl="5">
      <w:start w:val="1"/>
      <w:numFmt w:val="bullet"/>
      <w:lvlText w:val="•"/>
      <w:lvlJc w:val="left"/>
      <w:pPr>
        <w:ind w:left="4590" w:hanging="360"/>
      </w:pPr>
    </w:lvl>
    <w:lvl w:ilvl="6">
      <w:start w:val="1"/>
      <w:numFmt w:val="bullet"/>
      <w:lvlText w:val="•"/>
      <w:lvlJc w:val="left"/>
      <w:pPr>
        <w:ind w:left="5640" w:hanging="360"/>
      </w:pPr>
    </w:lvl>
    <w:lvl w:ilvl="7">
      <w:start w:val="1"/>
      <w:numFmt w:val="bullet"/>
      <w:lvlText w:val="•"/>
      <w:lvlJc w:val="left"/>
      <w:pPr>
        <w:ind w:left="6690" w:hanging="360"/>
      </w:pPr>
    </w:lvl>
    <w:lvl w:ilvl="8">
      <w:start w:val="1"/>
      <w:numFmt w:val="bullet"/>
      <w:lvlText w:val="•"/>
      <w:lvlJc w:val="left"/>
      <w:pPr>
        <w:ind w:left="7740" w:hanging="360"/>
      </w:pPr>
    </w:lvl>
  </w:abstractNum>
  <w:abstractNum w:abstractNumId="179" w15:restartNumberingAfterBreak="0">
    <w:nsid w:val="6DEA79DD"/>
    <w:multiLevelType w:val="multilevel"/>
    <w:tmpl w:val="FE686DB6"/>
    <w:lvl w:ilvl="0">
      <w:start w:val="1"/>
      <w:numFmt w:val="decimal"/>
      <w:lvlText w:val="%1."/>
      <w:lvlJc w:val="left"/>
      <w:pPr>
        <w:ind w:left="1096" w:hanging="360"/>
      </w:pPr>
      <w:rPr>
        <w:rFonts w:ascii="Arial" w:eastAsia="Arial" w:hAnsi="Arial" w:cs="Arial"/>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80" w15:restartNumberingAfterBreak="0">
    <w:nsid w:val="6E14319C"/>
    <w:multiLevelType w:val="multilevel"/>
    <w:tmpl w:val="70D6311E"/>
    <w:lvl w:ilvl="0">
      <w:start w:val="1"/>
      <w:numFmt w:val="decimal"/>
      <w:lvlText w:val="%1."/>
      <w:lvlJc w:val="left"/>
      <w:pPr>
        <w:ind w:left="1096" w:hanging="360"/>
      </w:pPr>
      <w:rPr>
        <w:rFonts w:ascii="Arial" w:eastAsia="Arial" w:hAnsi="Arial" w:cs="Arial"/>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81" w15:restartNumberingAfterBreak="0">
    <w:nsid w:val="702B048F"/>
    <w:multiLevelType w:val="hybridMultilevel"/>
    <w:tmpl w:val="FF6A11E6"/>
    <w:lvl w:ilvl="0" w:tplc="0A3AD604">
      <w:start w:val="2"/>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2" w15:restartNumberingAfterBreak="0">
    <w:nsid w:val="706F2004"/>
    <w:multiLevelType w:val="hybridMultilevel"/>
    <w:tmpl w:val="57F8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1157E0B"/>
    <w:multiLevelType w:val="multilevel"/>
    <w:tmpl w:val="05726798"/>
    <w:lvl w:ilvl="0">
      <w:start w:val="1"/>
      <w:numFmt w:val="decimal"/>
      <w:lvlText w:val="%1."/>
      <w:lvlJc w:val="left"/>
      <w:pPr>
        <w:ind w:left="736" w:hanging="288"/>
      </w:pPr>
      <w:rPr>
        <w:rFonts w:ascii="Arial" w:eastAsia="Arial" w:hAnsi="Arial" w:cs="Arial"/>
        <w:sz w:val="20"/>
        <w:szCs w:val="20"/>
      </w:rPr>
    </w:lvl>
    <w:lvl w:ilvl="1">
      <w:start w:val="1"/>
      <w:numFmt w:val="decimal"/>
      <w:lvlText w:val="%2."/>
      <w:lvlJc w:val="left"/>
      <w:pPr>
        <w:ind w:left="1096" w:hanging="360"/>
      </w:pPr>
      <w:rPr>
        <w:rFonts w:ascii="Arial" w:eastAsia="Arial" w:hAnsi="Arial" w:cs="Arial"/>
        <w:sz w:val="20"/>
        <w:szCs w:val="20"/>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184" w15:restartNumberingAfterBreak="0">
    <w:nsid w:val="713A0242"/>
    <w:multiLevelType w:val="multilevel"/>
    <w:tmpl w:val="A51E1DF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158075E"/>
    <w:multiLevelType w:val="multilevel"/>
    <w:tmpl w:val="9860138A"/>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86" w15:restartNumberingAfterBreak="0">
    <w:nsid w:val="719D58E0"/>
    <w:multiLevelType w:val="hybridMultilevel"/>
    <w:tmpl w:val="1B04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2394152"/>
    <w:multiLevelType w:val="multilevel"/>
    <w:tmpl w:val="89286E2A"/>
    <w:lvl w:ilvl="0">
      <w:start w:val="1"/>
      <w:numFmt w:val="decimal"/>
      <w:lvlText w:val="%1."/>
      <w:lvlJc w:val="left"/>
      <w:pPr>
        <w:ind w:left="1096" w:hanging="360"/>
      </w:pPr>
      <w:rPr>
        <w:rFonts w:ascii="Arial" w:eastAsia="Arial" w:hAnsi="Arial" w:cs="Arial"/>
        <w:b w:val="0"/>
        <w:bCs/>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88" w15:restartNumberingAfterBreak="0">
    <w:nsid w:val="72852A49"/>
    <w:multiLevelType w:val="multilevel"/>
    <w:tmpl w:val="B752748A"/>
    <w:lvl w:ilvl="0">
      <w:start w:val="1"/>
      <w:numFmt w:val="decimal"/>
      <w:lvlText w:val="%1."/>
      <w:lvlJc w:val="left"/>
      <w:pPr>
        <w:ind w:left="1096" w:hanging="360"/>
      </w:pPr>
      <w:rPr>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89" w15:restartNumberingAfterBreak="0">
    <w:nsid w:val="73170C67"/>
    <w:multiLevelType w:val="multilevel"/>
    <w:tmpl w:val="84E48490"/>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0" w15:restartNumberingAfterBreak="0">
    <w:nsid w:val="73AE1A47"/>
    <w:multiLevelType w:val="multilevel"/>
    <w:tmpl w:val="563A7B0E"/>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1" w15:restartNumberingAfterBreak="0">
    <w:nsid w:val="73C9339E"/>
    <w:multiLevelType w:val="multilevel"/>
    <w:tmpl w:val="30A0B57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74483C91"/>
    <w:multiLevelType w:val="hybridMultilevel"/>
    <w:tmpl w:val="9C726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6795A7A"/>
    <w:multiLevelType w:val="multilevel"/>
    <w:tmpl w:val="E8267778"/>
    <w:lvl w:ilvl="0">
      <w:start w:val="1"/>
      <w:numFmt w:val="decimal"/>
      <w:lvlText w:val="%1."/>
      <w:lvlJc w:val="left"/>
      <w:pPr>
        <w:ind w:left="1096" w:hanging="360"/>
      </w:pPr>
      <w:rPr>
        <w:rFonts w:ascii="Arial" w:eastAsia="Arial" w:hAnsi="Arial" w:cs="Arial"/>
        <w:b w:val="0"/>
        <w:bCs/>
        <w:sz w:val="20"/>
        <w:szCs w:val="20"/>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194" w15:restartNumberingAfterBreak="0">
    <w:nsid w:val="76876D8A"/>
    <w:multiLevelType w:val="multilevel"/>
    <w:tmpl w:val="563A7B0E"/>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0"/>
        <w:szCs w:val="2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5" w15:restartNumberingAfterBreak="0">
    <w:nsid w:val="76D35825"/>
    <w:multiLevelType w:val="multilevel"/>
    <w:tmpl w:val="A8A0A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6" w15:restartNumberingAfterBreak="0">
    <w:nsid w:val="77361270"/>
    <w:multiLevelType w:val="multilevel"/>
    <w:tmpl w:val="06BCDAEA"/>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7C81592"/>
    <w:multiLevelType w:val="hybridMultilevel"/>
    <w:tmpl w:val="DC9CE6A6"/>
    <w:lvl w:ilvl="0" w:tplc="1464A77E">
      <w:start w:val="1"/>
      <w:numFmt w:val="decimal"/>
      <w:lvlText w:val="%1."/>
      <w:lvlJc w:val="left"/>
      <w:pPr>
        <w:ind w:left="250" w:hanging="142"/>
      </w:pPr>
      <w:rPr>
        <w:rFonts w:ascii="Arial" w:eastAsia="Arial" w:hAnsi="Arial" w:cs="Arial" w:hint="default"/>
        <w:spacing w:val="-1"/>
        <w:w w:val="101"/>
        <w:sz w:val="24"/>
        <w:szCs w:val="24"/>
        <w:lang w:val="es-ES" w:eastAsia="es-ES" w:bidi="es-ES"/>
      </w:rPr>
    </w:lvl>
    <w:lvl w:ilvl="1" w:tplc="3FDC6DF6">
      <w:numFmt w:val="bullet"/>
      <w:lvlText w:val="•"/>
      <w:lvlJc w:val="left"/>
      <w:pPr>
        <w:ind w:left="728" w:hanging="142"/>
      </w:pPr>
      <w:rPr>
        <w:rFonts w:hint="default"/>
        <w:lang w:val="es-ES" w:eastAsia="es-ES" w:bidi="es-ES"/>
      </w:rPr>
    </w:lvl>
    <w:lvl w:ilvl="2" w:tplc="E918BB72">
      <w:numFmt w:val="bullet"/>
      <w:lvlText w:val="•"/>
      <w:lvlJc w:val="left"/>
      <w:pPr>
        <w:ind w:left="1197" w:hanging="142"/>
      </w:pPr>
      <w:rPr>
        <w:rFonts w:hint="default"/>
        <w:lang w:val="es-ES" w:eastAsia="es-ES" w:bidi="es-ES"/>
      </w:rPr>
    </w:lvl>
    <w:lvl w:ilvl="3" w:tplc="AFBAEFB4">
      <w:numFmt w:val="bullet"/>
      <w:lvlText w:val="•"/>
      <w:lvlJc w:val="left"/>
      <w:pPr>
        <w:ind w:left="1665" w:hanging="142"/>
      </w:pPr>
      <w:rPr>
        <w:rFonts w:hint="default"/>
        <w:lang w:val="es-ES" w:eastAsia="es-ES" w:bidi="es-ES"/>
      </w:rPr>
    </w:lvl>
    <w:lvl w:ilvl="4" w:tplc="94CCE80C">
      <w:numFmt w:val="bullet"/>
      <w:lvlText w:val="•"/>
      <w:lvlJc w:val="left"/>
      <w:pPr>
        <w:ind w:left="2134" w:hanging="142"/>
      </w:pPr>
      <w:rPr>
        <w:rFonts w:hint="default"/>
        <w:lang w:val="es-ES" w:eastAsia="es-ES" w:bidi="es-ES"/>
      </w:rPr>
    </w:lvl>
    <w:lvl w:ilvl="5" w:tplc="C3E488F4">
      <w:numFmt w:val="bullet"/>
      <w:lvlText w:val="•"/>
      <w:lvlJc w:val="left"/>
      <w:pPr>
        <w:ind w:left="2602" w:hanging="142"/>
      </w:pPr>
      <w:rPr>
        <w:rFonts w:hint="default"/>
        <w:lang w:val="es-ES" w:eastAsia="es-ES" w:bidi="es-ES"/>
      </w:rPr>
    </w:lvl>
    <w:lvl w:ilvl="6" w:tplc="A358D22E">
      <w:numFmt w:val="bullet"/>
      <w:lvlText w:val="•"/>
      <w:lvlJc w:val="left"/>
      <w:pPr>
        <w:ind w:left="3071" w:hanging="142"/>
      </w:pPr>
      <w:rPr>
        <w:rFonts w:hint="default"/>
        <w:lang w:val="es-ES" w:eastAsia="es-ES" w:bidi="es-ES"/>
      </w:rPr>
    </w:lvl>
    <w:lvl w:ilvl="7" w:tplc="DCB6CFBC">
      <w:numFmt w:val="bullet"/>
      <w:lvlText w:val="•"/>
      <w:lvlJc w:val="left"/>
      <w:pPr>
        <w:ind w:left="3539" w:hanging="142"/>
      </w:pPr>
      <w:rPr>
        <w:rFonts w:hint="default"/>
        <w:lang w:val="es-ES" w:eastAsia="es-ES" w:bidi="es-ES"/>
      </w:rPr>
    </w:lvl>
    <w:lvl w:ilvl="8" w:tplc="202EE540">
      <w:numFmt w:val="bullet"/>
      <w:lvlText w:val="•"/>
      <w:lvlJc w:val="left"/>
      <w:pPr>
        <w:ind w:left="4008" w:hanging="142"/>
      </w:pPr>
      <w:rPr>
        <w:rFonts w:hint="default"/>
        <w:lang w:val="es-ES" w:eastAsia="es-ES" w:bidi="es-ES"/>
      </w:rPr>
    </w:lvl>
  </w:abstractNum>
  <w:abstractNum w:abstractNumId="198" w15:restartNumberingAfterBreak="0">
    <w:nsid w:val="77DA2D22"/>
    <w:multiLevelType w:val="hybridMultilevel"/>
    <w:tmpl w:val="8430C5FA"/>
    <w:lvl w:ilvl="0" w:tplc="A21C740C">
      <w:start w:val="1"/>
      <w:numFmt w:val="decimal"/>
      <w:lvlText w:val="%1."/>
      <w:lvlJc w:val="left"/>
      <w:pPr>
        <w:ind w:left="736" w:hanging="360"/>
      </w:pPr>
      <w:rPr>
        <w:rFonts w:ascii="Arial" w:eastAsia="Arial" w:hAnsi="Arial" w:cs="Arial" w:hint="default"/>
        <w:spacing w:val="-14"/>
        <w:w w:val="100"/>
        <w:sz w:val="20"/>
        <w:szCs w:val="20"/>
      </w:rPr>
    </w:lvl>
    <w:lvl w:ilvl="1" w:tplc="43268616">
      <w:numFmt w:val="bullet"/>
      <w:lvlText w:val="•"/>
      <w:lvlJc w:val="left"/>
      <w:pPr>
        <w:ind w:left="1650" w:hanging="360"/>
      </w:pPr>
      <w:rPr>
        <w:rFonts w:hint="default"/>
      </w:rPr>
    </w:lvl>
    <w:lvl w:ilvl="2" w:tplc="60143AF6">
      <w:numFmt w:val="bullet"/>
      <w:lvlText w:val="•"/>
      <w:lvlJc w:val="left"/>
      <w:pPr>
        <w:ind w:left="2560" w:hanging="360"/>
      </w:pPr>
      <w:rPr>
        <w:rFonts w:hint="default"/>
      </w:rPr>
    </w:lvl>
    <w:lvl w:ilvl="3" w:tplc="650E4886">
      <w:numFmt w:val="bullet"/>
      <w:lvlText w:val="•"/>
      <w:lvlJc w:val="left"/>
      <w:pPr>
        <w:ind w:left="3470" w:hanging="360"/>
      </w:pPr>
      <w:rPr>
        <w:rFonts w:hint="default"/>
      </w:rPr>
    </w:lvl>
    <w:lvl w:ilvl="4" w:tplc="BE52CCB0">
      <w:numFmt w:val="bullet"/>
      <w:lvlText w:val="•"/>
      <w:lvlJc w:val="left"/>
      <w:pPr>
        <w:ind w:left="4380" w:hanging="360"/>
      </w:pPr>
      <w:rPr>
        <w:rFonts w:hint="default"/>
      </w:rPr>
    </w:lvl>
    <w:lvl w:ilvl="5" w:tplc="FE7A44D2">
      <w:numFmt w:val="bullet"/>
      <w:lvlText w:val="•"/>
      <w:lvlJc w:val="left"/>
      <w:pPr>
        <w:ind w:left="5290" w:hanging="360"/>
      </w:pPr>
      <w:rPr>
        <w:rFonts w:hint="default"/>
      </w:rPr>
    </w:lvl>
    <w:lvl w:ilvl="6" w:tplc="AC2201C8">
      <w:numFmt w:val="bullet"/>
      <w:lvlText w:val="•"/>
      <w:lvlJc w:val="left"/>
      <w:pPr>
        <w:ind w:left="6200" w:hanging="360"/>
      </w:pPr>
      <w:rPr>
        <w:rFonts w:hint="default"/>
      </w:rPr>
    </w:lvl>
    <w:lvl w:ilvl="7" w:tplc="C1545F4A">
      <w:numFmt w:val="bullet"/>
      <w:lvlText w:val="•"/>
      <w:lvlJc w:val="left"/>
      <w:pPr>
        <w:ind w:left="7110" w:hanging="360"/>
      </w:pPr>
      <w:rPr>
        <w:rFonts w:hint="default"/>
      </w:rPr>
    </w:lvl>
    <w:lvl w:ilvl="8" w:tplc="FB64B6F0">
      <w:numFmt w:val="bullet"/>
      <w:lvlText w:val="•"/>
      <w:lvlJc w:val="left"/>
      <w:pPr>
        <w:ind w:left="8020" w:hanging="360"/>
      </w:pPr>
      <w:rPr>
        <w:rFonts w:hint="default"/>
      </w:rPr>
    </w:lvl>
  </w:abstractNum>
  <w:abstractNum w:abstractNumId="199" w15:restartNumberingAfterBreak="0">
    <w:nsid w:val="77FA14EE"/>
    <w:multiLevelType w:val="hybridMultilevel"/>
    <w:tmpl w:val="01822D82"/>
    <w:lvl w:ilvl="0" w:tplc="D160F344">
      <w:start w:val="1"/>
      <w:numFmt w:val="decimal"/>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200" w15:restartNumberingAfterBreak="0">
    <w:nsid w:val="78327A5C"/>
    <w:multiLevelType w:val="hybridMultilevel"/>
    <w:tmpl w:val="AF6C7524"/>
    <w:lvl w:ilvl="0" w:tplc="4C48C30A">
      <w:start w:val="6"/>
      <w:numFmt w:val="decimal"/>
      <w:lvlText w:val="%1."/>
      <w:lvlJc w:val="left"/>
      <w:pPr>
        <w:ind w:left="466" w:hanging="216"/>
      </w:pPr>
      <w:rPr>
        <w:rFonts w:ascii="Arial" w:eastAsia="Arial" w:hAnsi="Arial" w:cs="Arial" w:hint="default"/>
        <w:spacing w:val="-1"/>
        <w:w w:val="101"/>
        <w:sz w:val="24"/>
        <w:szCs w:val="24"/>
        <w:lang w:val="es-ES" w:eastAsia="es-ES" w:bidi="es-ES"/>
      </w:rPr>
    </w:lvl>
    <w:lvl w:ilvl="1" w:tplc="AFFE56FA">
      <w:numFmt w:val="bullet"/>
      <w:lvlText w:val="•"/>
      <w:lvlJc w:val="left"/>
      <w:pPr>
        <w:ind w:left="908" w:hanging="216"/>
      </w:pPr>
      <w:rPr>
        <w:rFonts w:hint="default"/>
        <w:lang w:val="es-ES" w:eastAsia="es-ES" w:bidi="es-ES"/>
      </w:rPr>
    </w:lvl>
    <w:lvl w:ilvl="2" w:tplc="35960CF2">
      <w:numFmt w:val="bullet"/>
      <w:lvlText w:val="•"/>
      <w:lvlJc w:val="left"/>
      <w:pPr>
        <w:ind w:left="1357" w:hanging="216"/>
      </w:pPr>
      <w:rPr>
        <w:rFonts w:hint="default"/>
        <w:lang w:val="es-ES" w:eastAsia="es-ES" w:bidi="es-ES"/>
      </w:rPr>
    </w:lvl>
    <w:lvl w:ilvl="3" w:tplc="FF122382">
      <w:numFmt w:val="bullet"/>
      <w:lvlText w:val="•"/>
      <w:lvlJc w:val="left"/>
      <w:pPr>
        <w:ind w:left="1805" w:hanging="216"/>
      </w:pPr>
      <w:rPr>
        <w:rFonts w:hint="default"/>
        <w:lang w:val="es-ES" w:eastAsia="es-ES" w:bidi="es-ES"/>
      </w:rPr>
    </w:lvl>
    <w:lvl w:ilvl="4" w:tplc="9F42507E">
      <w:numFmt w:val="bullet"/>
      <w:lvlText w:val="•"/>
      <w:lvlJc w:val="left"/>
      <w:pPr>
        <w:ind w:left="2254" w:hanging="216"/>
      </w:pPr>
      <w:rPr>
        <w:rFonts w:hint="default"/>
        <w:lang w:val="es-ES" w:eastAsia="es-ES" w:bidi="es-ES"/>
      </w:rPr>
    </w:lvl>
    <w:lvl w:ilvl="5" w:tplc="64BE4F0E">
      <w:numFmt w:val="bullet"/>
      <w:lvlText w:val="•"/>
      <w:lvlJc w:val="left"/>
      <w:pPr>
        <w:ind w:left="2702" w:hanging="216"/>
      </w:pPr>
      <w:rPr>
        <w:rFonts w:hint="default"/>
        <w:lang w:val="es-ES" w:eastAsia="es-ES" w:bidi="es-ES"/>
      </w:rPr>
    </w:lvl>
    <w:lvl w:ilvl="6" w:tplc="35FC90E2">
      <w:numFmt w:val="bullet"/>
      <w:lvlText w:val="•"/>
      <w:lvlJc w:val="left"/>
      <w:pPr>
        <w:ind w:left="3151" w:hanging="216"/>
      </w:pPr>
      <w:rPr>
        <w:rFonts w:hint="default"/>
        <w:lang w:val="es-ES" w:eastAsia="es-ES" w:bidi="es-ES"/>
      </w:rPr>
    </w:lvl>
    <w:lvl w:ilvl="7" w:tplc="B6964934">
      <w:numFmt w:val="bullet"/>
      <w:lvlText w:val="•"/>
      <w:lvlJc w:val="left"/>
      <w:pPr>
        <w:ind w:left="3599" w:hanging="216"/>
      </w:pPr>
      <w:rPr>
        <w:rFonts w:hint="default"/>
        <w:lang w:val="es-ES" w:eastAsia="es-ES" w:bidi="es-ES"/>
      </w:rPr>
    </w:lvl>
    <w:lvl w:ilvl="8" w:tplc="BE4C222E">
      <w:numFmt w:val="bullet"/>
      <w:lvlText w:val="•"/>
      <w:lvlJc w:val="left"/>
      <w:pPr>
        <w:ind w:left="4048" w:hanging="216"/>
      </w:pPr>
      <w:rPr>
        <w:rFonts w:hint="default"/>
        <w:lang w:val="es-ES" w:eastAsia="es-ES" w:bidi="es-ES"/>
      </w:rPr>
    </w:lvl>
  </w:abstractNum>
  <w:abstractNum w:abstractNumId="201" w15:restartNumberingAfterBreak="0">
    <w:nsid w:val="786A59D1"/>
    <w:multiLevelType w:val="multilevel"/>
    <w:tmpl w:val="A8A0A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15:restartNumberingAfterBreak="0">
    <w:nsid w:val="786E6036"/>
    <w:multiLevelType w:val="hybridMultilevel"/>
    <w:tmpl w:val="90164774"/>
    <w:lvl w:ilvl="0" w:tplc="B27EFF80">
      <w:start w:val="1"/>
      <w:numFmt w:val="decimal"/>
      <w:lvlText w:val="%1."/>
      <w:lvlJc w:val="left"/>
      <w:pPr>
        <w:ind w:left="1068" w:hanging="362"/>
      </w:pPr>
      <w:rPr>
        <w:rFonts w:ascii="Arial" w:eastAsia="Arial" w:hAnsi="Arial" w:cs="Arial" w:hint="default"/>
        <w:spacing w:val="-32"/>
        <w:w w:val="100"/>
        <w:sz w:val="22"/>
        <w:szCs w:val="22"/>
        <w:lang w:val="es-ES" w:eastAsia="es-ES" w:bidi="es-ES"/>
      </w:rPr>
    </w:lvl>
    <w:lvl w:ilvl="1" w:tplc="93F24AFC">
      <w:numFmt w:val="bullet"/>
      <w:lvlText w:val="•"/>
      <w:lvlJc w:val="left"/>
      <w:pPr>
        <w:ind w:left="1655" w:hanging="362"/>
      </w:pPr>
      <w:rPr>
        <w:rFonts w:hint="default"/>
        <w:lang w:val="es-ES" w:eastAsia="es-ES" w:bidi="es-ES"/>
      </w:rPr>
    </w:lvl>
    <w:lvl w:ilvl="2" w:tplc="119E5D14">
      <w:numFmt w:val="bullet"/>
      <w:lvlText w:val="•"/>
      <w:lvlJc w:val="left"/>
      <w:pPr>
        <w:ind w:left="2251" w:hanging="362"/>
      </w:pPr>
      <w:rPr>
        <w:rFonts w:hint="default"/>
        <w:lang w:val="es-ES" w:eastAsia="es-ES" w:bidi="es-ES"/>
      </w:rPr>
    </w:lvl>
    <w:lvl w:ilvl="3" w:tplc="6520F38E">
      <w:numFmt w:val="bullet"/>
      <w:lvlText w:val="•"/>
      <w:lvlJc w:val="left"/>
      <w:pPr>
        <w:ind w:left="2847" w:hanging="362"/>
      </w:pPr>
      <w:rPr>
        <w:rFonts w:hint="default"/>
        <w:lang w:val="es-ES" w:eastAsia="es-ES" w:bidi="es-ES"/>
      </w:rPr>
    </w:lvl>
    <w:lvl w:ilvl="4" w:tplc="38C2FC10">
      <w:numFmt w:val="bullet"/>
      <w:lvlText w:val="•"/>
      <w:lvlJc w:val="left"/>
      <w:pPr>
        <w:ind w:left="3442" w:hanging="362"/>
      </w:pPr>
      <w:rPr>
        <w:rFonts w:hint="default"/>
        <w:lang w:val="es-ES" w:eastAsia="es-ES" w:bidi="es-ES"/>
      </w:rPr>
    </w:lvl>
    <w:lvl w:ilvl="5" w:tplc="A032477A">
      <w:numFmt w:val="bullet"/>
      <w:lvlText w:val="•"/>
      <w:lvlJc w:val="left"/>
      <w:pPr>
        <w:ind w:left="4038" w:hanging="362"/>
      </w:pPr>
      <w:rPr>
        <w:rFonts w:hint="default"/>
        <w:lang w:val="es-ES" w:eastAsia="es-ES" w:bidi="es-ES"/>
      </w:rPr>
    </w:lvl>
    <w:lvl w:ilvl="6" w:tplc="A73ACBAE">
      <w:numFmt w:val="bullet"/>
      <w:lvlText w:val="•"/>
      <w:lvlJc w:val="left"/>
      <w:pPr>
        <w:ind w:left="4634" w:hanging="362"/>
      </w:pPr>
      <w:rPr>
        <w:rFonts w:hint="default"/>
        <w:lang w:val="es-ES" w:eastAsia="es-ES" w:bidi="es-ES"/>
      </w:rPr>
    </w:lvl>
    <w:lvl w:ilvl="7" w:tplc="751E9E9C">
      <w:numFmt w:val="bullet"/>
      <w:lvlText w:val="•"/>
      <w:lvlJc w:val="left"/>
      <w:pPr>
        <w:ind w:left="5229" w:hanging="362"/>
      </w:pPr>
      <w:rPr>
        <w:rFonts w:hint="default"/>
        <w:lang w:val="es-ES" w:eastAsia="es-ES" w:bidi="es-ES"/>
      </w:rPr>
    </w:lvl>
    <w:lvl w:ilvl="8" w:tplc="58AACBCA">
      <w:numFmt w:val="bullet"/>
      <w:lvlText w:val="•"/>
      <w:lvlJc w:val="left"/>
      <w:pPr>
        <w:ind w:left="5825" w:hanging="362"/>
      </w:pPr>
      <w:rPr>
        <w:rFonts w:hint="default"/>
        <w:lang w:val="es-ES" w:eastAsia="es-ES" w:bidi="es-ES"/>
      </w:rPr>
    </w:lvl>
  </w:abstractNum>
  <w:abstractNum w:abstractNumId="203" w15:restartNumberingAfterBreak="0">
    <w:nsid w:val="79E1068A"/>
    <w:multiLevelType w:val="hybridMultilevel"/>
    <w:tmpl w:val="3BA6B44E"/>
    <w:lvl w:ilvl="0" w:tplc="9860076C">
      <w:start w:val="1"/>
      <w:numFmt w:val="decimal"/>
      <w:lvlText w:val="%1."/>
      <w:lvlJc w:val="left"/>
      <w:pPr>
        <w:ind w:left="736" w:hanging="360"/>
      </w:pPr>
      <w:rPr>
        <w:rFonts w:ascii="Arial" w:eastAsia="Arial" w:hAnsi="Arial" w:cs="Arial" w:hint="default"/>
        <w:b w:val="0"/>
        <w:bCs/>
        <w:spacing w:val="-19"/>
        <w:w w:val="100"/>
        <w:sz w:val="20"/>
        <w:szCs w:val="20"/>
      </w:rPr>
    </w:lvl>
    <w:lvl w:ilvl="1" w:tplc="B5E25294">
      <w:numFmt w:val="bullet"/>
      <w:lvlText w:val="•"/>
      <w:lvlJc w:val="left"/>
      <w:pPr>
        <w:ind w:left="1650" w:hanging="360"/>
      </w:pPr>
      <w:rPr>
        <w:rFonts w:hint="default"/>
      </w:rPr>
    </w:lvl>
    <w:lvl w:ilvl="2" w:tplc="79C6078C">
      <w:numFmt w:val="bullet"/>
      <w:lvlText w:val="•"/>
      <w:lvlJc w:val="left"/>
      <w:pPr>
        <w:ind w:left="2560" w:hanging="360"/>
      </w:pPr>
      <w:rPr>
        <w:rFonts w:hint="default"/>
      </w:rPr>
    </w:lvl>
    <w:lvl w:ilvl="3" w:tplc="FF261E3C">
      <w:numFmt w:val="bullet"/>
      <w:lvlText w:val="•"/>
      <w:lvlJc w:val="left"/>
      <w:pPr>
        <w:ind w:left="3470" w:hanging="360"/>
      </w:pPr>
      <w:rPr>
        <w:rFonts w:hint="default"/>
      </w:rPr>
    </w:lvl>
    <w:lvl w:ilvl="4" w:tplc="48FEA6AE">
      <w:numFmt w:val="bullet"/>
      <w:lvlText w:val="•"/>
      <w:lvlJc w:val="left"/>
      <w:pPr>
        <w:ind w:left="4380" w:hanging="360"/>
      </w:pPr>
      <w:rPr>
        <w:rFonts w:hint="default"/>
      </w:rPr>
    </w:lvl>
    <w:lvl w:ilvl="5" w:tplc="0DF271FC">
      <w:numFmt w:val="bullet"/>
      <w:lvlText w:val="•"/>
      <w:lvlJc w:val="left"/>
      <w:pPr>
        <w:ind w:left="5290" w:hanging="360"/>
      </w:pPr>
      <w:rPr>
        <w:rFonts w:hint="default"/>
      </w:rPr>
    </w:lvl>
    <w:lvl w:ilvl="6" w:tplc="6346EE2E">
      <w:numFmt w:val="bullet"/>
      <w:lvlText w:val="•"/>
      <w:lvlJc w:val="left"/>
      <w:pPr>
        <w:ind w:left="6200" w:hanging="360"/>
      </w:pPr>
      <w:rPr>
        <w:rFonts w:hint="default"/>
      </w:rPr>
    </w:lvl>
    <w:lvl w:ilvl="7" w:tplc="128035B8">
      <w:numFmt w:val="bullet"/>
      <w:lvlText w:val="•"/>
      <w:lvlJc w:val="left"/>
      <w:pPr>
        <w:ind w:left="7110" w:hanging="360"/>
      </w:pPr>
      <w:rPr>
        <w:rFonts w:hint="default"/>
      </w:rPr>
    </w:lvl>
    <w:lvl w:ilvl="8" w:tplc="1C70615E">
      <w:numFmt w:val="bullet"/>
      <w:lvlText w:val="•"/>
      <w:lvlJc w:val="left"/>
      <w:pPr>
        <w:ind w:left="8020" w:hanging="360"/>
      </w:pPr>
      <w:rPr>
        <w:rFonts w:hint="default"/>
      </w:rPr>
    </w:lvl>
  </w:abstractNum>
  <w:abstractNum w:abstractNumId="204" w15:restartNumberingAfterBreak="0">
    <w:nsid w:val="79F46A39"/>
    <w:multiLevelType w:val="hybridMultilevel"/>
    <w:tmpl w:val="521A074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7A557130"/>
    <w:multiLevelType w:val="hybridMultilevel"/>
    <w:tmpl w:val="1B04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B8D3557"/>
    <w:multiLevelType w:val="hybridMultilevel"/>
    <w:tmpl w:val="32B823C6"/>
    <w:lvl w:ilvl="0" w:tplc="E64EE9B6">
      <w:start w:val="1"/>
      <w:numFmt w:val="decimal"/>
      <w:lvlText w:val="%1."/>
      <w:lvlJc w:val="left"/>
      <w:pPr>
        <w:ind w:left="736" w:hanging="360"/>
      </w:pPr>
      <w:rPr>
        <w:rFonts w:ascii="Arial" w:eastAsia="Arial" w:hAnsi="Arial" w:cs="Arial" w:hint="default"/>
        <w:spacing w:val="-14"/>
        <w:w w:val="100"/>
        <w:sz w:val="20"/>
        <w:szCs w:val="20"/>
      </w:rPr>
    </w:lvl>
    <w:lvl w:ilvl="1" w:tplc="A286824E">
      <w:start w:val="1"/>
      <w:numFmt w:val="decimal"/>
      <w:lvlText w:val="%2."/>
      <w:lvlJc w:val="left"/>
      <w:pPr>
        <w:ind w:left="1096" w:hanging="360"/>
      </w:pPr>
      <w:rPr>
        <w:rFonts w:ascii="Arial" w:eastAsia="Arial" w:hAnsi="Arial" w:cs="Arial" w:hint="default"/>
        <w:spacing w:val="-4"/>
        <w:w w:val="100"/>
        <w:sz w:val="24"/>
        <w:szCs w:val="24"/>
      </w:rPr>
    </w:lvl>
    <w:lvl w:ilvl="2" w:tplc="53A2CFC4">
      <w:numFmt w:val="bullet"/>
      <w:lvlText w:val="•"/>
      <w:lvlJc w:val="left"/>
      <w:pPr>
        <w:ind w:left="2071" w:hanging="360"/>
      </w:pPr>
      <w:rPr>
        <w:rFonts w:hint="default"/>
      </w:rPr>
    </w:lvl>
    <w:lvl w:ilvl="3" w:tplc="52C4A1C4">
      <w:numFmt w:val="bullet"/>
      <w:lvlText w:val="•"/>
      <w:lvlJc w:val="left"/>
      <w:pPr>
        <w:ind w:left="3042" w:hanging="360"/>
      </w:pPr>
      <w:rPr>
        <w:rFonts w:hint="default"/>
      </w:rPr>
    </w:lvl>
    <w:lvl w:ilvl="4" w:tplc="464C4CD6">
      <w:numFmt w:val="bullet"/>
      <w:lvlText w:val="•"/>
      <w:lvlJc w:val="left"/>
      <w:pPr>
        <w:ind w:left="4013" w:hanging="360"/>
      </w:pPr>
      <w:rPr>
        <w:rFonts w:hint="default"/>
      </w:rPr>
    </w:lvl>
    <w:lvl w:ilvl="5" w:tplc="18503DB4">
      <w:numFmt w:val="bullet"/>
      <w:lvlText w:val="•"/>
      <w:lvlJc w:val="left"/>
      <w:pPr>
        <w:ind w:left="4984" w:hanging="360"/>
      </w:pPr>
      <w:rPr>
        <w:rFonts w:hint="default"/>
      </w:rPr>
    </w:lvl>
    <w:lvl w:ilvl="6" w:tplc="996E94A8">
      <w:numFmt w:val="bullet"/>
      <w:lvlText w:val="•"/>
      <w:lvlJc w:val="left"/>
      <w:pPr>
        <w:ind w:left="5955" w:hanging="360"/>
      </w:pPr>
      <w:rPr>
        <w:rFonts w:hint="default"/>
      </w:rPr>
    </w:lvl>
    <w:lvl w:ilvl="7" w:tplc="75524F06">
      <w:numFmt w:val="bullet"/>
      <w:lvlText w:val="•"/>
      <w:lvlJc w:val="left"/>
      <w:pPr>
        <w:ind w:left="6926" w:hanging="360"/>
      </w:pPr>
      <w:rPr>
        <w:rFonts w:hint="default"/>
      </w:rPr>
    </w:lvl>
    <w:lvl w:ilvl="8" w:tplc="F342DDAE">
      <w:numFmt w:val="bullet"/>
      <w:lvlText w:val="•"/>
      <w:lvlJc w:val="left"/>
      <w:pPr>
        <w:ind w:left="7897" w:hanging="360"/>
      </w:pPr>
      <w:rPr>
        <w:rFonts w:hint="default"/>
      </w:rPr>
    </w:lvl>
  </w:abstractNum>
  <w:abstractNum w:abstractNumId="207" w15:restartNumberingAfterBreak="0">
    <w:nsid w:val="7BD870FC"/>
    <w:multiLevelType w:val="hybridMultilevel"/>
    <w:tmpl w:val="AFA01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7D224686"/>
    <w:multiLevelType w:val="hybridMultilevel"/>
    <w:tmpl w:val="1B04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D841333"/>
    <w:multiLevelType w:val="hybridMultilevel"/>
    <w:tmpl w:val="2412432E"/>
    <w:lvl w:ilvl="0" w:tplc="C2129FAE">
      <w:start w:val="1"/>
      <w:numFmt w:val="decimal"/>
      <w:lvlText w:val="%1."/>
      <w:lvlJc w:val="left"/>
      <w:pPr>
        <w:ind w:left="736" w:hanging="360"/>
      </w:pPr>
      <w:rPr>
        <w:rFonts w:ascii="Arial" w:eastAsia="Arial" w:hAnsi="Arial" w:cs="Arial" w:hint="default"/>
        <w:spacing w:val="-14"/>
        <w:w w:val="100"/>
        <w:sz w:val="24"/>
        <w:szCs w:val="24"/>
      </w:rPr>
    </w:lvl>
    <w:lvl w:ilvl="1" w:tplc="43268616">
      <w:numFmt w:val="bullet"/>
      <w:lvlText w:val="•"/>
      <w:lvlJc w:val="left"/>
      <w:pPr>
        <w:ind w:left="1650" w:hanging="360"/>
      </w:pPr>
      <w:rPr>
        <w:rFonts w:hint="default"/>
      </w:rPr>
    </w:lvl>
    <w:lvl w:ilvl="2" w:tplc="60143AF6">
      <w:numFmt w:val="bullet"/>
      <w:lvlText w:val="•"/>
      <w:lvlJc w:val="left"/>
      <w:pPr>
        <w:ind w:left="2560" w:hanging="360"/>
      </w:pPr>
      <w:rPr>
        <w:rFonts w:hint="default"/>
      </w:rPr>
    </w:lvl>
    <w:lvl w:ilvl="3" w:tplc="650E4886">
      <w:numFmt w:val="bullet"/>
      <w:lvlText w:val="•"/>
      <w:lvlJc w:val="left"/>
      <w:pPr>
        <w:ind w:left="3470" w:hanging="360"/>
      </w:pPr>
      <w:rPr>
        <w:rFonts w:hint="default"/>
      </w:rPr>
    </w:lvl>
    <w:lvl w:ilvl="4" w:tplc="BE52CCB0">
      <w:numFmt w:val="bullet"/>
      <w:lvlText w:val="•"/>
      <w:lvlJc w:val="left"/>
      <w:pPr>
        <w:ind w:left="4380" w:hanging="360"/>
      </w:pPr>
      <w:rPr>
        <w:rFonts w:hint="default"/>
      </w:rPr>
    </w:lvl>
    <w:lvl w:ilvl="5" w:tplc="FE7A44D2">
      <w:numFmt w:val="bullet"/>
      <w:lvlText w:val="•"/>
      <w:lvlJc w:val="left"/>
      <w:pPr>
        <w:ind w:left="5290" w:hanging="360"/>
      </w:pPr>
      <w:rPr>
        <w:rFonts w:hint="default"/>
      </w:rPr>
    </w:lvl>
    <w:lvl w:ilvl="6" w:tplc="AC2201C8">
      <w:numFmt w:val="bullet"/>
      <w:lvlText w:val="•"/>
      <w:lvlJc w:val="left"/>
      <w:pPr>
        <w:ind w:left="6200" w:hanging="360"/>
      </w:pPr>
      <w:rPr>
        <w:rFonts w:hint="default"/>
      </w:rPr>
    </w:lvl>
    <w:lvl w:ilvl="7" w:tplc="C1545F4A">
      <w:numFmt w:val="bullet"/>
      <w:lvlText w:val="•"/>
      <w:lvlJc w:val="left"/>
      <w:pPr>
        <w:ind w:left="7110" w:hanging="360"/>
      </w:pPr>
      <w:rPr>
        <w:rFonts w:hint="default"/>
      </w:rPr>
    </w:lvl>
    <w:lvl w:ilvl="8" w:tplc="FB64B6F0">
      <w:numFmt w:val="bullet"/>
      <w:lvlText w:val="•"/>
      <w:lvlJc w:val="left"/>
      <w:pPr>
        <w:ind w:left="8020" w:hanging="360"/>
      </w:pPr>
      <w:rPr>
        <w:rFonts w:hint="default"/>
      </w:rPr>
    </w:lvl>
  </w:abstractNum>
  <w:abstractNum w:abstractNumId="210" w15:restartNumberingAfterBreak="0">
    <w:nsid w:val="7DA50109"/>
    <w:multiLevelType w:val="hybridMultilevel"/>
    <w:tmpl w:val="7B8C4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DCA73B9"/>
    <w:multiLevelType w:val="hybridMultilevel"/>
    <w:tmpl w:val="C84229CA"/>
    <w:lvl w:ilvl="0" w:tplc="7FFC6E7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E2104E6"/>
    <w:multiLevelType w:val="hybridMultilevel"/>
    <w:tmpl w:val="EFB699B2"/>
    <w:lvl w:ilvl="0" w:tplc="E624ACE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EB12BA2"/>
    <w:multiLevelType w:val="hybridMultilevel"/>
    <w:tmpl w:val="1210574E"/>
    <w:lvl w:ilvl="0" w:tplc="E2BE1096">
      <w:start w:val="1"/>
      <w:numFmt w:val="lowerLetter"/>
      <w:lvlText w:val="%1."/>
      <w:lvlJc w:val="left"/>
      <w:pPr>
        <w:ind w:left="360" w:hanging="360"/>
      </w:pPr>
      <w:rPr>
        <w:b w:val="0"/>
        <w:bCs/>
        <w:i w:val="0"/>
        <w:iCs w:val="0"/>
      </w:rPr>
    </w:lvl>
    <w:lvl w:ilvl="1" w:tplc="0A3AD604">
      <w:start w:val="2"/>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7EB65D5E"/>
    <w:multiLevelType w:val="multilevel"/>
    <w:tmpl w:val="7D7C7CE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7ED053B1"/>
    <w:multiLevelType w:val="multilevel"/>
    <w:tmpl w:val="94D8B2EE"/>
    <w:lvl w:ilvl="0">
      <w:start w:val="1"/>
      <w:numFmt w:val="decimal"/>
      <w:lvlText w:val="%1."/>
      <w:lvlJc w:val="left"/>
      <w:pPr>
        <w:ind w:left="1096" w:hanging="360"/>
      </w:pPr>
      <w:rPr>
        <w:rFonts w:ascii="Arial" w:eastAsia="Arial" w:hAnsi="Arial" w:cs="Arial"/>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216" w15:restartNumberingAfterBreak="0">
    <w:nsid w:val="7F470E6E"/>
    <w:multiLevelType w:val="multilevel"/>
    <w:tmpl w:val="D39E0B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7" w15:restartNumberingAfterBreak="0">
    <w:nsid w:val="7FB760EA"/>
    <w:multiLevelType w:val="hybridMultilevel"/>
    <w:tmpl w:val="901C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9"/>
  </w:num>
  <w:num w:numId="2">
    <w:abstractNumId w:val="215"/>
  </w:num>
  <w:num w:numId="3">
    <w:abstractNumId w:val="179"/>
  </w:num>
  <w:num w:numId="4">
    <w:abstractNumId w:val="216"/>
  </w:num>
  <w:num w:numId="5">
    <w:abstractNumId w:val="27"/>
  </w:num>
  <w:num w:numId="6">
    <w:abstractNumId w:val="7"/>
  </w:num>
  <w:num w:numId="7">
    <w:abstractNumId w:val="124"/>
  </w:num>
  <w:num w:numId="8">
    <w:abstractNumId w:val="152"/>
  </w:num>
  <w:num w:numId="9">
    <w:abstractNumId w:val="131"/>
  </w:num>
  <w:num w:numId="10">
    <w:abstractNumId w:val="180"/>
  </w:num>
  <w:num w:numId="11">
    <w:abstractNumId w:val="84"/>
  </w:num>
  <w:num w:numId="12">
    <w:abstractNumId w:val="130"/>
  </w:num>
  <w:num w:numId="13">
    <w:abstractNumId w:val="202"/>
  </w:num>
  <w:num w:numId="14">
    <w:abstractNumId w:val="58"/>
  </w:num>
  <w:num w:numId="15">
    <w:abstractNumId w:val="18"/>
  </w:num>
  <w:num w:numId="16">
    <w:abstractNumId w:val="209"/>
  </w:num>
  <w:num w:numId="17">
    <w:abstractNumId w:val="26"/>
  </w:num>
  <w:num w:numId="18">
    <w:abstractNumId w:val="115"/>
  </w:num>
  <w:num w:numId="19">
    <w:abstractNumId w:val="5"/>
  </w:num>
  <w:num w:numId="20">
    <w:abstractNumId w:val="172"/>
  </w:num>
  <w:num w:numId="21">
    <w:abstractNumId w:val="35"/>
  </w:num>
  <w:num w:numId="22">
    <w:abstractNumId w:val="3"/>
  </w:num>
  <w:num w:numId="23">
    <w:abstractNumId w:val="66"/>
  </w:num>
  <w:num w:numId="24">
    <w:abstractNumId w:val="11"/>
  </w:num>
  <w:num w:numId="25">
    <w:abstractNumId w:val="74"/>
  </w:num>
  <w:num w:numId="26">
    <w:abstractNumId w:val="118"/>
  </w:num>
  <w:num w:numId="27">
    <w:abstractNumId w:val="170"/>
  </w:num>
  <w:num w:numId="28">
    <w:abstractNumId w:val="217"/>
  </w:num>
  <w:num w:numId="29">
    <w:abstractNumId w:val="205"/>
  </w:num>
  <w:num w:numId="30">
    <w:abstractNumId w:val="55"/>
  </w:num>
  <w:num w:numId="31">
    <w:abstractNumId w:val="192"/>
  </w:num>
  <w:num w:numId="32">
    <w:abstractNumId w:val="188"/>
  </w:num>
  <w:num w:numId="33">
    <w:abstractNumId w:val="97"/>
  </w:num>
  <w:num w:numId="34">
    <w:abstractNumId w:val="112"/>
  </w:num>
  <w:num w:numId="35">
    <w:abstractNumId w:val="148"/>
  </w:num>
  <w:num w:numId="36">
    <w:abstractNumId w:val="70"/>
  </w:num>
  <w:num w:numId="37">
    <w:abstractNumId w:val="86"/>
  </w:num>
  <w:num w:numId="38">
    <w:abstractNumId w:val="10"/>
  </w:num>
  <w:num w:numId="39">
    <w:abstractNumId w:val="9"/>
  </w:num>
  <w:num w:numId="40">
    <w:abstractNumId w:val="21"/>
  </w:num>
  <w:num w:numId="41">
    <w:abstractNumId w:val="94"/>
  </w:num>
  <w:num w:numId="42">
    <w:abstractNumId w:val="167"/>
  </w:num>
  <w:num w:numId="43">
    <w:abstractNumId w:val="42"/>
  </w:num>
  <w:num w:numId="44">
    <w:abstractNumId w:val="31"/>
  </w:num>
  <w:num w:numId="45">
    <w:abstractNumId w:val="199"/>
  </w:num>
  <w:num w:numId="46">
    <w:abstractNumId w:val="136"/>
  </w:num>
  <w:num w:numId="47">
    <w:abstractNumId w:val="200"/>
  </w:num>
  <w:num w:numId="48">
    <w:abstractNumId w:val="156"/>
  </w:num>
  <w:num w:numId="49">
    <w:abstractNumId w:val="98"/>
  </w:num>
  <w:num w:numId="50">
    <w:abstractNumId w:val="134"/>
  </w:num>
  <w:num w:numId="51">
    <w:abstractNumId w:val="166"/>
  </w:num>
  <w:num w:numId="52">
    <w:abstractNumId w:val="104"/>
  </w:num>
  <w:num w:numId="53">
    <w:abstractNumId w:val="50"/>
  </w:num>
  <w:num w:numId="54">
    <w:abstractNumId w:val="99"/>
  </w:num>
  <w:num w:numId="55">
    <w:abstractNumId w:val="197"/>
  </w:num>
  <w:num w:numId="56">
    <w:abstractNumId w:val="63"/>
  </w:num>
  <w:num w:numId="57">
    <w:abstractNumId w:val="30"/>
  </w:num>
  <w:num w:numId="58">
    <w:abstractNumId w:val="73"/>
  </w:num>
  <w:num w:numId="59">
    <w:abstractNumId w:val="127"/>
  </w:num>
  <w:num w:numId="60">
    <w:abstractNumId w:val="44"/>
  </w:num>
  <w:num w:numId="61">
    <w:abstractNumId w:val="158"/>
  </w:num>
  <w:num w:numId="62">
    <w:abstractNumId w:val="176"/>
  </w:num>
  <w:num w:numId="63">
    <w:abstractNumId w:val="47"/>
  </w:num>
  <w:num w:numId="64">
    <w:abstractNumId w:val="123"/>
  </w:num>
  <w:num w:numId="65">
    <w:abstractNumId w:val="38"/>
  </w:num>
  <w:num w:numId="66">
    <w:abstractNumId w:val="76"/>
  </w:num>
  <w:num w:numId="67">
    <w:abstractNumId w:val="2"/>
  </w:num>
  <w:num w:numId="68">
    <w:abstractNumId w:val="195"/>
  </w:num>
  <w:num w:numId="69">
    <w:abstractNumId w:val="139"/>
  </w:num>
  <w:num w:numId="70">
    <w:abstractNumId w:val="150"/>
  </w:num>
  <w:num w:numId="71">
    <w:abstractNumId w:val="212"/>
  </w:num>
  <w:num w:numId="72">
    <w:abstractNumId w:val="46"/>
  </w:num>
  <w:num w:numId="73">
    <w:abstractNumId w:val="43"/>
  </w:num>
  <w:num w:numId="74">
    <w:abstractNumId w:val="190"/>
  </w:num>
  <w:num w:numId="75">
    <w:abstractNumId w:val="193"/>
  </w:num>
  <w:num w:numId="76">
    <w:abstractNumId w:val="163"/>
  </w:num>
  <w:num w:numId="77">
    <w:abstractNumId w:val="85"/>
  </w:num>
  <w:num w:numId="78">
    <w:abstractNumId w:val="191"/>
  </w:num>
  <w:num w:numId="79">
    <w:abstractNumId w:val="48"/>
  </w:num>
  <w:num w:numId="80">
    <w:abstractNumId w:val="196"/>
  </w:num>
  <w:num w:numId="81">
    <w:abstractNumId w:val="16"/>
  </w:num>
  <w:num w:numId="82">
    <w:abstractNumId w:val="125"/>
  </w:num>
  <w:num w:numId="83">
    <w:abstractNumId w:val="210"/>
  </w:num>
  <w:num w:numId="84">
    <w:abstractNumId w:val="182"/>
  </w:num>
  <w:num w:numId="85">
    <w:abstractNumId w:val="4"/>
  </w:num>
  <w:num w:numId="86">
    <w:abstractNumId w:val="0"/>
  </w:num>
  <w:num w:numId="87">
    <w:abstractNumId w:val="146"/>
  </w:num>
  <w:num w:numId="88">
    <w:abstractNumId w:val="165"/>
  </w:num>
  <w:num w:numId="89">
    <w:abstractNumId w:val="186"/>
  </w:num>
  <w:num w:numId="90">
    <w:abstractNumId w:val="109"/>
  </w:num>
  <w:num w:numId="91">
    <w:abstractNumId w:val="56"/>
  </w:num>
  <w:num w:numId="92">
    <w:abstractNumId w:val="65"/>
  </w:num>
  <w:num w:numId="93">
    <w:abstractNumId w:val="143"/>
  </w:num>
  <w:num w:numId="94">
    <w:abstractNumId w:val="198"/>
  </w:num>
  <w:num w:numId="95">
    <w:abstractNumId w:val="206"/>
  </w:num>
  <w:num w:numId="96">
    <w:abstractNumId w:val="132"/>
  </w:num>
  <w:num w:numId="97">
    <w:abstractNumId w:val="51"/>
  </w:num>
  <w:num w:numId="98">
    <w:abstractNumId w:val="161"/>
  </w:num>
  <w:num w:numId="99">
    <w:abstractNumId w:val="128"/>
  </w:num>
  <w:num w:numId="100">
    <w:abstractNumId w:val="144"/>
  </w:num>
  <w:num w:numId="101">
    <w:abstractNumId w:val="87"/>
  </w:num>
  <w:num w:numId="102">
    <w:abstractNumId w:val="105"/>
  </w:num>
  <w:num w:numId="103">
    <w:abstractNumId w:val="15"/>
  </w:num>
  <w:num w:numId="104">
    <w:abstractNumId w:val="88"/>
  </w:num>
  <w:num w:numId="105">
    <w:abstractNumId w:val="138"/>
  </w:num>
  <w:num w:numId="106">
    <w:abstractNumId w:val="29"/>
  </w:num>
  <w:num w:numId="107">
    <w:abstractNumId w:val="114"/>
  </w:num>
  <w:num w:numId="108">
    <w:abstractNumId w:val="119"/>
  </w:num>
  <w:num w:numId="109">
    <w:abstractNumId w:val="141"/>
  </w:num>
  <w:num w:numId="110">
    <w:abstractNumId w:val="211"/>
  </w:num>
  <w:num w:numId="111">
    <w:abstractNumId w:val="96"/>
  </w:num>
  <w:num w:numId="112">
    <w:abstractNumId w:val="49"/>
  </w:num>
  <w:num w:numId="113">
    <w:abstractNumId w:val="177"/>
  </w:num>
  <w:num w:numId="114">
    <w:abstractNumId w:val="154"/>
  </w:num>
  <w:num w:numId="115">
    <w:abstractNumId w:val="89"/>
  </w:num>
  <w:num w:numId="116">
    <w:abstractNumId w:val="45"/>
  </w:num>
  <w:num w:numId="117">
    <w:abstractNumId w:val="142"/>
  </w:num>
  <w:num w:numId="118">
    <w:abstractNumId w:val="19"/>
  </w:num>
  <w:num w:numId="119">
    <w:abstractNumId w:val="120"/>
  </w:num>
  <w:num w:numId="120">
    <w:abstractNumId w:val="157"/>
  </w:num>
  <w:num w:numId="121">
    <w:abstractNumId w:val="174"/>
  </w:num>
  <w:num w:numId="122">
    <w:abstractNumId w:val="33"/>
  </w:num>
  <w:num w:numId="123">
    <w:abstractNumId w:val="80"/>
  </w:num>
  <w:num w:numId="124">
    <w:abstractNumId w:val="164"/>
  </w:num>
  <w:num w:numId="125">
    <w:abstractNumId w:val="23"/>
  </w:num>
  <w:num w:numId="126">
    <w:abstractNumId w:val="41"/>
  </w:num>
  <w:num w:numId="127">
    <w:abstractNumId w:val="64"/>
  </w:num>
  <w:num w:numId="128">
    <w:abstractNumId w:val="126"/>
  </w:num>
  <w:num w:numId="129">
    <w:abstractNumId w:val="103"/>
  </w:num>
  <w:num w:numId="130">
    <w:abstractNumId w:val="117"/>
  </w:num>
  <w:num w:numId="131">
    <w:abstractNumId w:val="178"/>
  </w:num>
  <w:num w:numId="132">
    <w:abstractNumId w:val="181"/>
  </w:num>
  <w:num w:numId="133">
    <w:abstractNumId w:val="79"/>
  </w:num>
  <w:num w:numId="134">
    <w:abstractNumId w:val="187"/>
  </w:num>
  <w:num w:numId="135">
    <w:abstractNumId w:val="1"/>
  </w:num>
  <w:num w:numId="136">
    <w:abstractNumId w:val="95"/>
  </w:num>
  <w:num w:numId="137">
    <w:abstractNumId w:val="133"/>
  </w:num>
  <w:num w:numId="138">
    <w:abstractNumId w:val="145"/>
  </w:num>
  <w:num w:numId="139">
    <w:abstractNumId w:val="93"/>
  </w:num>
  <w:num w:numId="140">
    <w:abstractNumId w:val="81"/>
  </w:num>
  <w:num w:numId="141">
    <w:abstractNumId w:val="129"/>
  </w:num>
  <w:num w:numId="142">
    <w:abstractNumId w:val="162"/>
  </w:num>
  <w:num w:numId="143">
    <w:abstractNumId w:val="100"/>
  </w:num>
  <w:num w:numId="144">
    <w:abstractNumId w:val="82"/>
  </w:num>
  <w:num w:numId="145">
    <w:abstractNumId w:val="168"/>
  </w:num>
  <w:num w:numId="146">
    <w:abstractNumId w:val="12"/>
  </w:num>
  <w:num w:numId="147">
    <w:abstractNumId w:val="185"/>
  </w:num>
  <w:num w:numId="148">
    <w:abstractNumId w:val="92"/>
  </w:num>
  <w:num w:numId="149">
    <w:abstractNumId w:val="108"/>
  </w:num>
  <w:num w:numId="150">
    <w:abstractNumId w:val="101"/>
  </w:num>
  <w:num w:numId="151">
    <w:abstractNumId w:val="214"/>
  </w:num>
  <w:num w:numId="152">
    <w:abstractNumId w:val="60"/>
  </w:num>
  <w:num w:numId="153">
    <w:abstractNumId w:val="135"/>
  </w:num>
  <w:num w:numId="154">
    <w:abstractNumId w:val="106"/>
  </w:num>
  <w:num w:numId="155">
    <w:abstractNumId w:val="22"/>
  </w:num>
  <w:num w:numId="156">
    <w:abstractNumId w:val="169"/>
  </w:num>
  <w:num w:numId="157">
    <w:abstractNumId w:val="159"/>
  </w:num>
  <w:num w:numId="158">
    <w:abstractNumId w:val="62"/>
  </w:num>
  <w:num w:numId="159">
    <w:abstractNumId w:val="59"/>
  </w:num>
  <w:num w:numId="160">
    <w:abstractNumId w:val="113"/>
  </w:num>
  <w:num w:numId="161">
    <w:abstractNumId w:val="207"/>
  </w:num>
  <w:num w:numId="162">
    <w:abstractNumId w:val="67"/>
  </w:num>
  <w:num w:numId="163">
    <w:abstractNumId w:val="8"/>
  </w:num>
  <w:num w:numId="164">
    <w:abstractNumId w:val="110"/>
  </w:num>
  <w:num w:numId="165">
    <w:abstractNumId w:val="155"/>
  </w:num>
  <w:num w:numId="166">
    <w:abstractNumId w:val="116"/>
  </w:num>
  <w:num w:numId="167">
    <w:abstractNumId w:val="13"/>
  </w:num>
  <w:num w:numId="168">
    <w:abstractNumId w:val="175"/>
  </w:num>
  <w:num w:numId="169">
    <w:abstractNumId w:val="91"/>
  </w:num>
  <w:num w:numId="170">
    <w:abstractNumId w:val="34"/>
  </w:num>
  <w:num w:numId="171">
    <w:abstractNumId w:val="208"/>
  </w:num>
  <w:num w:numId="172">
    <w:abstractNumId w:val="25"/>
  </w:num>
  <w:num w:numId="173">
    <w:abstractNumId w:val="83"/>
  </w:num>
  <w:num w:numId="174">
    <w:abstractNumId w:val="69"/>
  </w:num>
  <w:num w:numId="175">
    <w:abstractNumId w:val="20"/>
  </w:num>
  <w:num w:numId="176">
    <w:abstractNumId w:val="78"/>
  </w:num>
  <w:num w:numId="177">
    <w:abstractNumId w:val="6"/>
  </w:num>
  <w:num w:numId="178">
    <w:abstractNumId w:val="121"/>
  </w:num>
  <w:num w:numId="179">
    <w:abstractNumId w:val="17"/>
  </w:num>
  <w:num w:numId="180">
    <w:abstractNumId w:val="24"/>
  </w:num>
  <w:num w:numId="181">
    <w:abstractNumId w:val="147"/>
  </w:num>
  <w:num w:numId="182">
    <w:abstractNumId w:val="71"/>
  </w:num>
  <w:num w:numId="183">
    <w:abstractNumId w:val="183"/>
  </w:num>
  <w:num w:numId="184">
    <w:abstractNumId w:val="201"/>
  </w:num>
  <w:num w:numId="185">
    <w:abstractNumId w:val="68"/>
  </w:num>
  <w:num w:numId="186">
    <w:abstractNumId w:val="52"/>
  </w:num>
  <w:num w:numId="187">
    <w:abstractNumId w:val="184"/>
  </w:num>
  <w:num w:numId="188">
    <w:abstractNumId w:val="204"/>
  </w:num>
  <w:num w:numId="189">
    <w:abstractNumId w:val="32"/>
  </w:num>
  <w:num w:numId="190">
    <w:abstractNumId w:val="140"/>
  </w:num>
  <w:num w:numId="191">
    <w:abstractNumId w:val="111"/>
  </w:num>
  <w:num w:numId="192">
    <w:abstractNumId w:val="171"/>
  </w:num>
  <w:num w:numId="193">
    <w:abstractNumId w:val="102"/>
  </w:num>
  <w:num w:numId="194">
    <w:abstractNumId w:val="36"/>
  </w:num>
  <w:num w:numId="195">
    <w:abstractNumId w:val="14"/>
  </w:num>
  <w:num w:numId="196">
    <w:abstractNumId w:val="57"/>
  </w:num>
  <w:num w:numId="197">
    <w:abstractNumId w:val="40"/>
  </w:num>
  <w:num w:numId="198">
    <w:abstractNumId w:val="151"/>
  </w:num>
  <w:num w:numId="199">
    <w:abstractNumId w:val="90"/>
  </w:num>
  <w:num w:numId="200">
    <w:abstractNumId w:val="137"/>
  </w:num>
  <w:num w:numId="201">
    <w:abstractNumId w:val="213"/>
  </w:num>
  <w:num w:numId="202">
    <w:abstractNumId w:val="173"/>
  </w:num>
  <w:num w:numId="203">
    <w:abstractNumId w:val="107"/>
  </w:num>
  <w:num w:numId="204">
    <w:abstractNumId w:val="53"/>
  </w:num>
  <w:num w:numId="205">
    <w:abstractNumId w:val="61"/>
  </w:num>
  <w:num w:numId="206">
    <w:abstractNumId w:val="189"/>
  </w:num>
  <w:num w:numId="207">
    <w:abstractNumId w:val="194"/>
  </w:num>
  <w:num w:numId="208">
    <w:abstractNumId w:val="122"/>
  </w:num>
  <w:num w:numId="209">
    <w:abstractNumId w:val="153"/>
  </w:num>
  <w:num w:numId="210">
    <w:abstractNumId w:val="28"/>
  </w:num>
  <w:num w:numId="211">
    <w:abstractNumId w:val="203"/>
  </w:num>
  <w:num w:numId="212">
    <w:abstractNumId w:val="39"/>
  </w:num>
  <w:num w:numId="213">
    <w:abstractNumId w:val="37"/>
  </w:num>
  <w:num w:numId="214">
    <w:abstractNumId w:val="54"/>
  </w:num>
  <w:num w:numId="215">
    <w:abstractNumId w:val="75"/>
  </w:num>
  <w:num w:numId="216">
    <w:abstractNumId w:val="72"/>
  </w:num>
  <w:num w:numId="217">
    <w:abstractNumId w:val="77"/>
  </w:num>
  <w:num w:numId="218">
    <w:abstractNumId w:val="160"/>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76"/>
    <w:rsid w:val="00015E84"/>
    <w:rsid w:val="0003255B"/>
    <w:rsid w:val="000338FA"/>
    <w:rsid w:val="000618AE"/>
    <w:rsid w:val="0009734E"/>
    <w:rsid w:val="000D77CB"/>
    <w:rsid w:val="000E2F42"/>
    <w:rsid w:val="000F3347"/>
    <w:rsid w:val="000F52C8"/>
    <w:rsid w:val="0011137D"/>
    <w:rsid w:val="00121D3D"/>
    <w:rsid w:val="00123519"/>
    <w:rsid w:val="0012614D"/>
    <w:rsid w:val="001540D7"/>
    <w:rsid w:val="00167535"/>
    <w:rsid w:val="00176A2E"/>
    <w:rsid w:val="00193F97"/>
    <w:rsid w:val="001A6A0E"/>
    <w:rsid w:val="001C594E"/>
    <w:rsid w:val="001D0389"/>
    <w:rsid w:val="001D2583"/>
    <w:rsid w:val="001D710A"/>
    <w:rsid w:val="001D7CF8"/>
    <w:rsid w:val="0021552E"/>
    <w:rsid w:val="00222F34"/>
    <w:rsid w:val="00234A54"/>
    <w:rsid w:val="0025099A"/>
    <w:rsid w:val="002527DF"/>
    <w:rsid w:val="002573BB"/>
    <w:rsid w:val="00287190"/>
    <w:rsid w:val="002918DA"/>
    <w:rsid w:val="002B0051"/>
    <w:rsid w:val="002C12D8"/>
    <w:rsid w:val="002C78CF"/>
    <w:rsid w:val="002C7B2A"/>
    <w:rsid w:val="003100A4"/>
    <w:rsid w:val="00363E8C"/>
    <w:rsid w:val="00364C26"/>
    <w:rsid w:val="003F3CB1"/>
    <w:rsid w:val="0042095F"/>
    <w:rsid w:val="004727DF"/>
    <w:rsid w:val="004728D7"/>
    <w:rsid w:val="004B42EC"/>
    <w:rsid w:val="004C4B6B"/>
    <w:rsid w:val="004C592B"/>
    <w:rsid w:val="004D6015"/>
    <w:rsid w:val="004E34B3"/>
    <w:rsid w:val="004F65A6"/>
    <w:rsid w:val="00506A6E"/>
    <w:rsid w:val="00510AD9"/>
    <w:rsid w:val="00517598"/>
    <w:rsid w:val="0052283B"/>
    <w:rsid w:val="00532479"/>
    <w:rsid w:val="005B10B1"/>
    <w:rsid w:val="005E1B11"/>
    <w:rsid w:val="005E6780"/>
    <w:rsid w:val="0063754C"/>
    <w:rsid w:val="0065610A"/>
    <w:rsid w:val="00684C1C"/>
    <w:rsid w:val="00687DF7"/>
    <w:rsid w:val="00740B97"/>
    <w:rsid w:val="007441CC"/>
    <w:rsid w:val="00745885"/>
    <w:rsid w:val="00752206"/>
    <w:rsid w:val="0076772E"/>
    <w:rsid w:val="00781D7C"/>
    <w:rsid w:val="007911E9"/>
    <w:rsid w:val="007B3476"/>
    <w:rsid w:val="007C3990"/>
    <w:rsid w:val="007F62DE"/>
    <w:rsid w:val="0081594B"/>
    <w:rsid w:val="00850A82"/>
    <w:rsid w:val="00857962"/>
    <w:rsid w:val="00891459"/>
    <w:rsid w:val="00894BC9"/>
    <w:rsid w:val="008A0268"/>
    <w:rsid w:val="008C7250"/>
    <w:rsid w:val="008E7D36"/>
    <w:rsid w:val="00917B55"/>
    <w:rsid w:val="0093628B"/>
    <w:rsid w:val="0093645D"/>
    <w:rsid w:val="00981405"/>
    <w:rsid w:val="009A1C83"/>
    <w:rsid w:val="009B0BDA"/>
    <w:rsid w:val="009D7F04"/>
    <w:rsid w:val="009E4491"/>
    <w:rsid w:val="009E59B4"/>
    <w:rsid w:val="009F0952"/>
    <w:rsid w:val="009F0A67"/>
    <w:rsid w:val="009F211F"/>
    <w:rsid w:val="00A14996"/>
    <w:rsid w:val="00A82BBE"/>
    <w:rsid w:val="00AB3611"/>
    <w:rsid w:val="00AD0542"/>
    <w:rsid w:val="00B06B3D"/>
    <w:rsid w:val="00B10EDD"/>
    <w:rsid w:val="00B37CE7"/>
    <w:rsid w:val="00B420FC"/>
    <w:rsid w:val="00BA6A6A"/>
    <w:rsid w:val="00BE6A28"/>
    <w:rsid w:val="00C003EF"/>
    <w:rsid w:val="00C52773"/>
    <w:rsid w:val="00C617F3"/>
    <w:rsid w:val="00C61DE5"/>
    <w:rsid w:val="00C72E34"/>
    <w:rsid w:val="00C758D2"/>
    <w:rsid w:val="00CA11B1"/>
    <w:rsid w:val="00CB0531"/>
    <w:rsid w:val="00CD4925"/>
    <w:rsid w:val="00CE74CC"/>
    <w:rsid w:val="00D320FB"/>
    <w:rsid w:val="00D46068"/>
    <w:rsid w:val="00D47458"/>
    <w:rsid w:val="00D601B2"/>
    <w:rsid w:val="00DD4B5E"/>
    <w:rsid w:val="00DF09B3"/>
    <w:rsid w:val="00E10784"/>
    <w:rsid w:val="00E32DED"/>
    <w:rsid w:val="00E536A8"/>
    <w:rsid w:val="00E9405D"/>
    <w:rsid w:val="00EC66C8"/>
    <w:rsid w:val="00ED1B1C"/>
    <w:rsid w:val="00ED461D"/>
    <w:rsid w:val="00EE4370"/>
    <w:rsid w:val="00EF35F7"/>
    <w:rsid w:val="00F118AD"/>
    <w:rsid w:val="00F536AB"/>
    <w:rsid w:val="00F94BB9"/>
    <w:rsid w:val="00FA7D22"/>
    <w:rsid w:val="00FF4E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C75B2"/>
  <w15:chartTrackingRefBased/>
  <w15:docId w15:val="{304D2BDE-DE36-9941-81CE-53C305F8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3476"/>
    <w:pPr>
      <w:widowControl w:val="0"/>
      <w:autoSpaceDE w:val="0"/>
      <w:autoSpaceDN w:val="0"/>
      <w:jc w:val="both"/>
    </w:pPr>
    <w:rPr>
      <w:rFonts w:ascii="Arial" w:eastAsia="Arial" w:hAnsi="Arial" w:cs="Arial"/>
      <w:sz w:val="22"/>
      <w:szCs w:val="22"/>
      <w:lang w:val="es-ES" w:eastAsia="es-ES" w:bidi="es-ES"/>
    </w:rPr>
  </w:style>
  <w:style w:type="paragraph" w:styleId="Ttulo1">
    <w:name w:val="heading 1"/>
    <w:basedOn w:val="Normal"/>
    <w:next w:val="Normal"/>
    <w:link w:val="Ttulo1Car"/>
    <w:uiPriority w:val="9"/>
    <w:qFormat/>
    <w:rsid w:val="007B3476"/>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Ttulo2">
    <w:name w:val="heading 2"/>
    <w:basedOn w:val="Normal"/>
    <w:next w:val="Normal"/>
    <w:link w:val="Ttulo2Car"/>
    <w:qFormat/>
    <w:rsid w:val="007B3476"/>
    <w:pPr>
      <w:keepNext/>
      <w:keepLines/>
      <w:widowControl/>
      <w:autoSpaceDE/>
      <w:autoSpaceDN/>
      <w:spacing w:before="360" w:after="80" w:line="259" w:lineRule="auto"/>
      <w:outlineLvl w:val="1"/>
    </w:pPr>
    <w:rPr>
      <w:rFonts w:ascii="Calibri" w:eastAsia="Calibri" w:hAnsi="Calibri" w:cs="Calibri"/>
      <w:b/>
      <w:sz w:val="36"/>
      <w:szCs w:val="36"/>
      <w:lang w:val="es-CO" w:eastAsia="es-CO" w:bidi="ar-SA"/>
    </w:rPr>
  </w:style>
  <w:style w:type="paragraph" w:styleId="Ttulo3">
    <w:name w:val="heading 3"/>
    <w:basedOn w:val="Normal"/>
    <w:next w:val="Normal"/>
    <w:link w:val="Ttulo3Car"/>
    <w:qFormat/>
    <w:rsid w:val="007B3476"/>
    <w:pPr>
      <w:keepNext/>
      <w:keepLines/>
      <w:widowControl/>
      <w:autoSpaceDE/>
      <w:autoSpaceDN/>
      <w:spacing w:before="280" w:after="80" w:line="259" w:lineRule="auto"/>
      <w:outlineLvl w:val="2"/>
    </w:pPr>
    <w:rPr>
      <w:rFonts w:ascii="Calibri" w:eastAsia="Calibri" w:hAnsi="Calibri" w:cs="Calibri"/>
      <w:b/>
      <w:sz w:val="28"/>
      <w:szCs w:val="28"/>
      <w:lang w:val="es-CO" w:eastAsia="es-CO" w:bidi="ar-SA"/>
    </w:rPr>
  </w:style>
  <w:style w:type="paragraph" w:styleId="Ttulo4">
    <w:name w:val="heading 4"/>
    <w:basedOn w:val="Normal"/>
    <w:next w:val="Normal"/>
    <w:link w:val="Ttulo4Car"/>
    <w:qFormat/>
    <w:rsid w:val="007B3476"/>
    <w:pPr>
      <w:keepNext/>
      <w:keepLines/>
      <w:widowControl/>
      <w:autoSpaceDE/>
      <w:autoSpaceDN/>
      <w:spacing w:before="240" w:after="40" w:line="259" w:lineRule="auto"/>
      <w:outlineLvl w:val="3"/>
    </w:pPr>
    <w:rPr>
      <w:rFonts w:ascii="Calibri" w:eastAsia="Calibri" w:hAnsi="Calibri" w:cs="Calibri"/>
      <w:b/>
      <w:sz w:val="24"/>
      <w:szCs w:val="24"/>
      <w:lang w:val="es-CO" w:eastAsia="es-CO" w:bidi="ar-SA"/>
    </w:rPr>
  </w:style>
  <w:style w:type="paragraph" w:styleId="Ttulo5">
    <w:name w:val="heading 5"/>
    <w:basedOn w:val="Normal"/>
    <w:next w:val="Normal"/>
    <w:link w:val="Ttulo5Car"/>
    <w:qFormat/>
    <w:rsid w:val="007B3476"/>
    <w:pPr>
      <w:keepNext/>
      <w:keepLines/>
      <w:widowControl/>
      <w:autoSpaceDE/>
      <w:autoSpaceDN/>
      <w:spacing w:before="220" w:after="40" w:line="259" w:lineRule="auto"/>
      <w:outlineLvl w:val="4"/>
    </w:pPr>
    <w:rPr>
      <w:rFonts w:ascii="Calibri" w:eastAsia="Calibri" w:hAnsi="Calibri" w:cs="Calibri"/>
      <w:b/>
      <w:lang w:val="es-CO" w:eastAsia="es-CO" w:bidi="ar-SA"/>
    </w:rPr>
  </w:style>
  <w:style w:type="paragraph" w:styleId="Ttulo6">
    <w:name w:val="heading 6"/>
    <w:basedOn w:val="Normal"/>
    <w:next w:val="Normal"/>
    <w:link w:val="Ttulo6Car"/>
    <w:qFormat/>
    <w:rsid w:val="007B3476"/>
    <w:pPr>
      <w:keepNext/>
      <w:keepLines/>
      <w:widowControl/>
      <w:autoSpaceDE/>
      <w:autoSpaceDN/>
      <w:spacing w:before="200" w:after="40" w:line="259" w:lineRule="auto"/>
      <w:outlineLvl w:val="5"/>
    </w:pPr>
    <w:rPr>
      <w:rFonts w:ascii="Calibri" w:eastAsia="Calibri" w:hAnsi="Calibri" w:cs="Calibri"/>
      <w:b/>
      <w:sz w:val="20"/>
      <w:szCs w:val="20"/>
      <w:lang w:val="es-CO" w:eastAsia="es-CO"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3476"/>
    <w:rPr>
      <w:rFonts w:asciiTheme="majorHAnsi" w:eastAsiaTheme="majorEastAsia" w:hAnsiTheme="majorHAnsi" w:cstheme="majorBidi"/>
      <w:b/>
      <w:bCs/>
      <w:color w:val="2D4F8E" w:themeColor="accent1" w:themeShade="B5"/>
      <w:sz w:val="32"/>
      <w:szCs w:val="32"/>
      <w:lang w:val="es-ES" w:eastAsia="es-ES" w:bidi="es-ES"/>
    </w:rPr>
  </w:style>
  <w:style w:type="character" w:customStyle="1" w:styleId="Ttulo2Car">
    <w:name w:val="Título 2 Car"/>
    <w:basedOn w:val="Fuentedeprrafopredeter"/>
    <w:link w:val="Ttulo2"/>
    <w:rsid w:val="007B3476"/>
    <w:rPr>
      <w:rFonts w:ascii="Calibri" w:eastAsia="Calibri" w:hAnsi="Calibri" w:cs="Calibri"/>
      <w:b/>
      <w:sz w:val="36"/>
      <w:szCs w:val="36"/>
      <w:lang w:eastAsia="es-CO"/>
    </w:rPr>
  </w:style>
  <w:style w:type="character" w:customStyle="1" w:styleId="Ttulo3Car">
    <w:name w:val="Título 3 Car"/>
    <w:basedOn w:val="Fuentedeprrafopredeter"/>
    <w:link w:val="Ttulo3"/>
    <w:rsid w:val="007B3476"/>
    <w:rPr>
      <w:rFonts w:ascii="Calibri" w:eastAsia="Calibri" w:hAnsi="Calibri" w:cs="Calibri"/>
      <w:b/>
      <w:sz w:val="28"/>
      <w:szCs w:val="28"/>
      <w:lang w:eastAsia="es-CO"/>
    </w:rPr>
  </w:style>
  <w:style w:type="character" w:customStyle="1" w:styleId="Ttulo4Car">
    <w:name w:val="Título 4 Car"/>
    <w:basedOn w:val="Fuentedeprrafopredeter"/>
    <w:link w:val="Ttulo4"/>
    <w:rsid w:val="007B3476"/>
    <w:rPr>
      <w:rFonts w:ascii="Calibri" w:eastAsia="Calibri" w:hAnsi="Calibri" w:cs="Calibri"/>
      <w:b/>
      <w:lang w:eastAsia="es-CO"/>
    </w:rPr>
  </w:style>
  <w:style w:type="character" w:customStyle="1" w:styleId="Ttulo5Car">
    <w:name w:val="Título 5 Car"/>
    <w:basedOn w:val="Fuentedeprrafopredeter"/>
    <w:link w:val="Ttulo5"/>
    <w:rsid w:val="007B3476"/>
    <w:rPr>
      <w:rFonts w:ascii="Calibri" w:eastAsia="Calibri" w:hAnsi="Calibri" w:cs="Calibri"/>
      <w:b/>
      <w:sz w:val="22"/>
      <w:szCs w:val="22"/>
      <w:lang w:eastAsia="es-CO"/>
    </w:rPr>
  </w:style>
  <w:style w:type="character" w:customStyle="1" w:styleId="Ttulo6Car">
    <w:name w:val="Título 6 Car"/>
    <w:basedOn w:val="Fuentedeprrafopredeter"/>
    <w:link w:val="Ttulo6"/>
    <w:rsid w:val="007B3476"/>
    <w:rPr>
      <w:rFonts w:ascii="Calibri" w:eastAsia="Calibri" w:hAnsi="Calibri" w:cs="Calibri"/>
      <w:b/>
      <w:sz w:val="20"/>
      <w:szCs w:val="20"/>
      <w:lang w:eastAsia="es-CO"/>
    </w:rPr>
  </w:style>
  <w:style w:type="paragraph" w:styleId="Encabezado">
    <w:name w:val="header"/>
    <w:basedOn w:val="Normal"/>
    <w:link w:val="EncabezadoCar"/>
    <w:uiPriority w:val="99"/>
    <w:unhideWhenUsed/>
    <w:qFormat/>
    <w:rsid w:val="007B3476"/>
    <w:pPr>
      <w:tabs>
        <w:tab w:val="center" w:pos="4252"/>
        <w:tab w:val="right" w:pos="8504"/>
      </w:tabs>
    </w:pPr>
  </w:style>
  <w:style w:type="character" w:customStyle="1" w:styleId="EncabezadoCar">
    <w:name w:val="Encabezado Car"/>
    <w:basedOn w:val="Fuentedeprrafopredeter"/>
    <w:link w:val="Encabezado"/>
    <w:uiPriority w:val="99"/>
    <w:rsid w:val="007B3476"/>
    <w:rPr>
      <w:rFonts w:ascii="Arial" w:eastAsia="Arial" w:hAnsi="Arial" w:cs="Arial"/>
      <w:sz w:val="22"/>
      <w:szCs w:val="22"/>
      <w:lang w:val="es-ES" w:eastAsia="es-ES" w:bidi="es-ES"/>
    </w:rPr>
  </w:style>
  <w:style w:type="paragraph" w:styleId="Piedepgina">
    <w:name w:val="footer"/>
    <w:basedOn w:val="Normal"/>
    <w:link w:val="PiedepginaCar"/>
    <w:uiPriority w:val="99"/>
    <w:unhideWhenUsed/>
    <w:qFormat/>
    <w:rsid w:val="007B3476"/>
    <w:pPr>
      <w:tabs>
        <w:tab w:val="center" w:pos="4252"/>
        <w:tab w:val="right" w:pos="8504"/>
      </w:tabs>
    </w:pPr>
  </w:style>
  <w:style w:type="character" w:customStyle="1" w:styleId="PiedepginaCar">
    <w:name w:val="Pie de página Car"/>
    <w:basedOn w:val="Fuentedeprrafopredeter"/>
    <w:link w:val="Piedepgina"/>
    <w:qFormat/>
    <w:rsid w:val="007B3476"/>
    <w:rPr>
      <w:rFonts w:ascii="Arial" w:eastAsia="Arial" w:hAnsi="Arial" w:cs="Arial"/>
      <w:sz w:val="22"/>
      <w:szCs w:val="22"/>
      <w:lang w:val="es-ES" w:eastAsia="es-ES" w:bidi="es-ES"/>
    </w:rPr>
  </w:style>
  <w:style w:type="character" w:customStyle="1" w:styleId="TextodegloboCar">
    <w:name w:val="Texto de globo Car"/>
    <w:basedOn w:val="Fuentedeprrafopredeter"/>
    <w:link w:val="Textodeglobo"/>
    <w:uiPriority w:val="99"/>
    <w:semiHidden/>
    <w:rsid w:val="007B3476"/>
    <w:rPr>
      <w:rFonts w:ascii="Lucida Grande" w:eastAsia="Arial" w:hAnsi="Lucida Grande" w:cs="Lucida Grande"/>
      <w:sz w:val="18"/>
      <w:szCs w:val="18"/>
      <w:lang w:val="es-ES" w:eastAsia="es-ES" w:bidi="es-ES"/>
    </w:rPr>
  </w:style>
  <w:style w:type="paragraph" w:styleId="Textodeglobo">
    <w:name w:val="Balloon Text"/>
    <w:basedOn w:val="Normal"/>
    <w:link w:val="TextodegloboCar"/>
    <w:uiPriority w:val="99"/>
    <w:semiHidden/>
    <w:unhideWhenUsed/>
    <w:rsid w:val="007B3476"/>
    <w:rPr>
      <w:rFonts w:ascii="Lucida Grande" w:hAnsi="Lucida Grande" w:cs="Lucida Grande"/>
      <w:sz w:val="18"/>
      <w:szCs w:val="18"/>
    </w:rPr>
  </w:style>
  <w:style w:type="character" w:customStyle="1" w:styleId="TextodegloboCar1">
    <w:name w:val="Texto de globo Car1"/>
    <w:basedOn w:val="Fuentedeprrafopredeter"/>
    <w:uiPriority w:val="99"/>
    <w:semiHidden/>
    <w:rsid w:val="007B3476"/>
    <w:rPr>
      <w:rFonts w:ascii="Times New Roman" w:eastAsia="Arial" w:hAnsi="Times New Roman" w:cs="Times New Roman"/>
      <w:sz w:val="18"/>
      <w:szCs w:val="18"/>
      <w:lang w:val="es-ES" w:eastAsia="es-ES" w:bidi="es-ES"/>
    </w:rPr>
  </w:style>
  <w:style w:type="paragraph" w:styleId="Textoindependiente">
    <w:name w:val="Body Text"/>
    <w:basedOn w:val="Normal"/>
    <w:link w:val="TextoindependienteCar"/>
    <w:uiPriority w:val="1"/>
    <w:qFormat/>
    <w:rsid w:val="007B3476"/>
    <w:pPr>
      <w:spacing w:before="4"/>
    </w:pPr>
    <w:rPr>
      <w:sz w:val="24"/>
      <w:szCs w:val="24"/>
    </w:rPr>
  </w:style>
  <w:style w:type="character" w:customStyle="1" w:styleId="TextoindependienteCar">
    <w:name w:val="Texto independiente Car"/>
    <w:basedOn w:val="Fuentedeprrafopredeter"/>
    <w:link w:val="Textoindependiente"/>
    <w:uiPriority w:val="1"/>
    <w:rsid w:val="007B3476"/>
    <w:rPr>
      <w:rFonts w:ascii="Arial" w:eastAsia="Arial" w:hAnsi="Arial" w:cs="Arial"/>
      <w:lang w:val="es-ES" w:eastAsia="es-ES" w:bidi="es-ES"/>
    </w:rPr>
  </w:style>
  <w:style w:type="paragraph" w:customStyle="1" w:styleId="Ttulo11">
    <w:name w:val="Título 11"/>
    <w:basedOn w:val="Normal"/>
    <w:uiPriority w:val="1"/>
    <w:qFormat/>
    <w:rsid w:val="007B3476"/>
    <w:pPr>
      <w:ind w:left="241"/>
      <w:outlineLvl w:val="1"/>
    </w:pPr>
    <w:rPr>
      <w:b/>
      <w:bCs/>
      <w:sz w:val="24"/>
      <w:szCs w:val="24"/>
    </w:rPr>
  </w:style>
  <w:style w:type="paragraph" w:styleId="Prrafodelista">
    <w:name w:val="List Paragraph"/>
    <w:aliases w:val="titulo 5,Ha,Resume Title,List Paragraph1,lp1,Párrafo de lista1,Bullet List,FooterText,Use Case List Paragraph,titulo 3,numbered,Paragraphe de liste1,Bulletr List Paragraph,Foot,列出段落,列出段落1,List Paragraph2,List Paragraph21"/>
    <w:basedOn w:val="Normal"/>
    <w:link w:val="PrrafodelistaCar"/>
    <w:uiPriority w:val="1"/>
    <w:qFormat/>
    <w:rsid w:val="007B3476"/>
    <w:pPr>
      <w:ind w:left="827" w:hanging="349"/>
    </w:pPr>
  </w:style>
  <w:style w:type="character" w:customStyle="1" w:styleId="PrrafodelistaCar">
    <w:name w:val="Párrafo de lista Car"/>
    <w:aliases w:val="titulo 5 Car,Ha Car,Resume Title Car,List Paragraph1 Car,lp1 Car,Párrafo de lista1 Car,Bullet List Car,FooterText Car,Use Case List Paragraph Car,titulo 3 Car,numbered Car,Paragraphe de liste1 Car,Bulletr List Paragraph Car,Foot Car"/>
    <w:link w:val="Prrafodelista"/>
    <w:uiPriority w:val="99"/>
    <w:qFormat/>
    <w:locked/>
    <w:rsid w:val="007B3476"/>
    <w:rPr>
      <w:rFonts w:ascii="Arial" w:eastAsia="Arial" w:hAnsi="Arial" w:cs="Arial"/>
      <w:sz w:val="22"/>
      <w:szCs w:val="22"/>
      <w:lang w:val="es-ES" w:eastAsia="es-ES" w:bidi="es-ES"/>
    </w:rPr>
  </w:style>
  <w:style w:type="paragraph" w:customStyle="1" w:styleId="TableParagraph">
    <w:name w:val="Table Paragraph"/>
    <w:basedOn w:val="Normal"/>
    <w:uiPriority w:val="1"/>
    <w:qFormat/>
    <w:rsid w:val="007B3476"/>
  </w:style>
  <w:style w:type="paragraph" w:styleId="NormalWeb">
    <w:name w:val="Normal (Web)"/>
    <w:basedOn w:val="Normal"/>
    <w:uiPriority w:val="99"/>
    <w:unhideWhenUsed/>
    <w:rsid w:val="007B3476"/>
    <w:pPr>
      <w:widowControl/>
      <w:autoSpaceDE/>
      <w:autoSpaceDN/>
      <w:spacing w:before="100" w:beforeAutospacing="1" w:after="100" w:afterAutospacing="1"/>
    </w:pPr>
    <w:rPr>
      <w:rFonts w:ascii="Times" w:eastAsiaTheme="minorHAnsi" w:hAnsi="Times" w:cs="Times New Roman"/>
      <w:sz w:val="20"/>
      <w:szCs w:val="20"/>
      <w:lang w:val="es-CO" w:bidi="ar-SA"/>
    </w:rPr>
  </w:style>
  <w:style w:type="paragraph" w:styleId="Textonotapie">
    <w:name w:val="footnote text"/>
    <w:aliases w:val="Footnote Text Char Char Char Char,Footnote Text Char Char Char Char Char Char Char Char,Footnote Text Char Char Char Char Char Char1,Footnote Text Char Char Char Char Char Char Char1,Footnote referenc,Footnote reference"/>
    <w:basedOn w:val="Normal"/>
    <w:link w:val="TextonotapieCar"/>
    <w:unhideWhenUsed/>
    <w:qFormat/>
    <w:rsid w:val="007B3476"/>
    <w:rPr>
      <w:sz w:val="24"/>
      <w:szCs w:val="24"/>
    </w:rPr>
  </w:style>
  <w:style w:type="character" w:customStyle="1" w:styleId="TextonotapieCar">
    <w:name w:val="Texto nota pie Car"/>
    <w:aliases w:val="Footnote Text Char Char Char Char Car,Footnote Text Char Char Char Char Char Char Char Char Car,Footnote Text Char Char Char Char Char Char1 Car,Footnote Text Char Char Char Char Char Char Char1 Car,Footnote referenc Car"/>
    <w:basedOn w:val="Fuentedeprrafopredeter"/>
    <w:link w:val="Textonotapie"/>
    <w:uiPriority w:val="99"/>
    <w:rsid w:val="007B3476"/>
    <w:rPr>
      <w:rFonts w:ascii="Arial" w:eastAsia="Arial" w:hAnsi="Arial" w:cs="Arial"/>
      <w:lang w:val="es-ES" w:eastAsia="es-ES" w:bidi="es-ES"/>
    </w:rPr>
  </w:style>
  <w:style w:type="character" w:styleId="Refdenotaalpie">
    <w:name w:val="footnote reference"/>
    <w:aliases w:val="Texto de nota al pie,referencia nota al pie,Footnotes refss,Appel note de bas de page,Ref. de nota al pie 2,Footnote number,BVI fnr,f,Pie de Página,FC,4_G,16 Point,Superscript 6 Point,Texto nota al pie,Texto de nota al pi,Ref"/>
    <w:basedOn w:val="Fuentedeprrafopredeter"/>
    <w:uiPriority w:val="99"/>
    <w:unhideWhenUsed/>
    <w:qFormat/>
    <w:rsid w:val="007B3476"/>
    <w:rPr>
      <w:vertAlign w:val="superscript"/>
    </w:rPr>
  </w:style>
  <w:style w:type="paragraph" w:styleId="Textocomentario">
    <w:name w:val="annotation text"/>
    <w:basedOn w:val="Normal"/>
    <w:link w:val="TextocomentarioCar"/>
    <w:uiPriority w:val="99"/>
    <w:unhideWhenUsed/>
    <w:rsid w:val="007B3476"/>
    <w:rPr>
      <w:sz w:val="24"/>
      <w:szCs w:val="24"/>
    </w:rPr>
  </w:style>
  <w:style w:type="character" w:customStyle="1" w:styleId="TextocomentarioCar">
    <w:name w:val="Texto comentario Car"/>
    <w:basedOn w:val="Fuentedeprrafopredeter"/>
    <w:link w:val="Textocomentario"/>
    <w:uiPriority w:val="99"/>
    <w:rsid w:val="007B3476"/>
    <w:rPr>
      <w:rFonts w:ascii="Arial" w:eastAsia="Arial" w:hAnsi="Arial" w:cs="Arial"/>
      <w:lang w:val="es-ES" w:eastAsia="es-ES" w:bidi="es-ES"/>
    </w:rPr>
  </w:style>
  <w:style w:type="character" w:customStyle="1" w:styleId="AsuntodelcomentarioCar">
    <w:name w:val="Asunto del comentario Car"/>
    <w:basedOn w:val="TextocomentarioCar"/>
    <w:link w:val="Asuntodelcomentario"/>
    <w:uiPriority w:val="99"/>
    <w:semiHidden/>
    <w:rsid w:val="007B3476"/>
    <w:rPr>
      <w:rFonts w:ascii="Arial" w:eastAsia="Arial" w:hAnsi="Arial" w:cs="Arial"/>
      <w:b/>
      <w:bCs/>
      <w:lang w:val="es-ES" w:eastAsia="es-ES" w:bidi="es-ES"/>
    </w:rPr>
  </w:style>
  <w:style w:type="paragraph" w:styleId="Asuntodelcomentario">
    <w:name w:val="annotation subject"/>
    <w:basedOn w:val="Textocomentario"/>
    <w:next w:val="Textocomentario"/>
    <w:link w:val="AsuntodelcomentarioCar"/>
    <w:uiPriority w:val="99"/>
    <w:semiHidden/>
    <w:unhideWhenUsed/>
    <w:rsid w:val="007B3476"/>
    <w:rPr>
      <w:b/>
      <w:bCs/>
    </w:rPr>
  </w:style>
  <w:style w:type="character" w:customStyle="1" w:styleId="AsuntodelcomentarioCar1">
    <w:name w:val="Asunto del comentario Car1"/>
    <w:basedOn w:val="TextocomentarioCar"/>
    <w:uiPriority w:val="99"/>
    <w:semiHidden/>
    <w:rsid w:val="007B3476"/>
    <w:rPr>
      <w:rFonts w:ascii="Arial" w:eastAsia="Arial" w:hAnsi="Arial" w:cs="Arial"/>
      <w:b/>
      <w:bCs/>
      <w:lang w:val="es-ES" w:eastAsia="es-ES" w:bidi="es-ES"/>
    </w:rPr>
  </w:style>
  <w:style w:type="paragraph" w:styleId="Sinespaciado">
    <w:name w:val="No Spacing"/>
    <w:link w:val="SinespaciadoCar"/>
    <w:uiPriority w:val="1"/>
    <w:qFormat/>
    <w:rsid w:val="007B3476"/>
    <w:rPr>
      <w:sz w:val="22"/>
      <w:szCs w:val="22"/>
    </w:rPr>
  </w:style>
  <w:style w:type="character" w:customStyle="1" w:styleId="SinespaciadoCar">
    <w:name w:val="Sin espaciado Car"/>
    <w:link w:val="Sinespaciado"/>
    <w:uiPriority w:val="1"/>
    <w:locked/>
    <w:rsid w:val="007B3476"/>
    <w:rPr>
      <w:sz w:val="22"/>
      <w:szCs w:val="22"/>
    </w:rPr>
  </w:style>
  <w:style w:type="paragraph" w:styleId="Ttulo">
    <w:name w:val="Title"/>
    <w:basedOn w:val="Normal"/>
    <w:next w:val="Normal"/>
    <w:link w:val="TtuloCar"/>
    <w:qFormat/>
    <w:rsid w:val="007B3476"/>
    <w:pPr>
      <w:keepNext/>
      <w:keepLines/>
      <w:widowControl/>
      <w:autoSpaceDE/>
      <w:autoSpaceDN/>
      <w:spacing w:before="480" w:after="120" w:line="259" w:lineRule="auto"/>
    </w:pPr>
    <w:rPr>
      <w:rFonts w:ascii="Calibri" w:eastAsia="Calibri" w:hAnsi="Calibri" w:cs="Calibri"/>
      <w:b/>
      <w:sz w:val="72"/>
      <w:szCs w:val="72"/>
      <w:lang w:val="es-CO" w:eastAsia="es-CO" w:bidi="ar-SA"/>
    </w:rPr>
  </w:style>
  <w:style w:type="character" w:customStyle="1" w:styleId="TtuloCar">
    <w:name w:val="Título Car"/>
    <w:basedOn w:val="Fuentedeprrafopredeter"/>
    <w:link w:val="Ttulo"/>
    <w:rsid w:val="007B3476"/>
    <w:rPr>
      <w:rFonts w:ascii="Calibri" w:eastAsia="Calibri" w:hAnsi="Calibri" w:cs="Calibri"/>
      <w:b/>
      <w:sz w:val="72"/>
      <w:szCs w:val="72"/>
      <w:lang w:eastAsia="es-CO"/>
    </w:rPr>
  </w:style>
  <w:style w:type="character" w:customStyle="1" w:styleId="baj">
    <w:name w:val="b_aj"/>
    <w:basedOn w:val="Fuentedeprrafopredeter"/>
    <w:rsid w:val="007B3476"/>
  </w:style>
  <w:style w:type="paragraph" w:styleId="Subttulo">
    <w:name w:val="Subtitle"/>
    <w:basedOn w:val="Normal"/>
    <w:next w:val="Normal"/>
    <w:link w:val="SubttuloCar"/>
    <w:qFormat/>
    <w:rsid w:val="007B3476"/>
    <w:pPr>
      <w:keepNext/>
      <w:keepLines/>
      <w:widowControl/>
      <w:autoSpaceDE/>
      <w:autoSpaceDN/>
      <w:spacing w:before="360" w:after="80" w:line="259" w:lineRule="auto"/>
    </w:pPr>
    <w:rPr>
      <w:rFonts w:ascii="Georgia" w:eastAsia="Georgia" w:hAnsi="Georgia" w:cs="Georgia"/>
      <w:i/>
      <w:color w:val="666666"/>
      <w:sz w:val="48"/>
      <w:szCs w:val="48"/>
      <w:lang w:val="es-CO" w:eastAsia="es-CO" w:bidi="ar-SA"/>
    </w:rPr>
  </w:style>
  <w:style w:type="character" w:customStyle="1" w:styleId="SubttuloCar">
    <w:name w:val="Subtítulo Car"/>
    <w:basedOn w:val="Fuentedeprrafopredeter"/>
    <w:link w:val="Subttulo"/>
    <w:rsid w:val="007B3476"/>
    <w:rPr>
      <w:rFonts w:ascii="Georgia" w:eastAsia="Georgia" w:hAnsi="Georgia" w:cs="Georgia"/>
      <w:i/>
      <w:color w:val="666666"/>
      <w:sz w:val="48"/>
      <w:szCs w:val="48"/>
      <w:lang w:eastAsia="es-CO"/>
    </w:rPr>
  </w:style>
  <w:style w:type="character" w:styleId="Hipervnculo">
    <w:name w:val="Hyperlink"/>
    <w:basedOn w:val="Fuentedeprrafopredeter"/>
    <w:uiPriority w:val="99"/>
    <w:unhideWhenUsed/>
    <w:rsid w:val="007B3476"/>
    <w:rPr>
      <w:color w:val="0563C1" w:themeColor="hyperlink"/>
      <w:u w:val="single"/>
    </w:rPr>
  </w:style>
  <w:style w:type="paragraph" w:customStyle="1" w:styleId="Default">
    <w:name w:val="Default"/>
    <w:rsid w:val="007B3476"/>
    <w:pPr>
      <w:autoSpaceDE w:val="0"/>
      <w:autoSpaceDN w:val="0"/>
      <w:adjustRightInd w:val="0"/>
    </w:pPr>
    <w:rPr>
      <w:rFonts w:ascii="NZUQBV+Arial-BoldMT" w:hAnsi="NZUQBV+Arial-BoldMT" w:cs="NZUQBV+Arial-BoldMT"/>
      <w:color w:val="000000"/>
    </w:rPr>
  </w:style>
  <w:style w:type="character" w:customStyle="1" w:styleId="FootnoteTextChar1">
    <w:name w:val="Footnote Text Char1"/>
    <w:aliases w:val="Footnote Text Char Char,Footnote Text Char Char Char Char Char,Footnote Text Char Char Char Char Char Char Char Char Char,Footnote Text Char Char Char Char Char Char1 Char,Footnote Text Char Char Char Char Char Char Char1 Char"/>
    <w:basedOn w:val="Fuentedeprrafopredeter"/>
    <w:rsid w:val="007B3476"/>
    <w:rPr>
      <w:sz w:val="20"/>
      <w:szCs w:val="20"/>
      <w:lang w:val="es-ES"/>
    </w:rPr>
  </w:style>
  <w:style w:type="character" w:styleId="Textoennegrita">
    <w:name w:val="Strong"/>
    <w:qFormat/>
    <w:rsid w:val="007B3476"/>
    <w:rPr>
      <w:b/>
      <w:bCs/>
    </w:rPr>
  </w:style>
  <w:style w:type="table" w:styleId="Tablaconcuadrcula">
    <w:name w:val="Table Grid"/>
    <w:basedOn w:val="Tablanormal"/>
    <w:uiPriority w:val="39"/>
    <w:rsid w:val="007B34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D77CB"/>
    <w:pPr>
      <w:spacing w:after="160" w:line="259" w:lineRule="auto"/>
    </w:pPr>
    <w:rPr>
      <w:rFonts w:ascii="Calibri" w:eastAsia="Calibri" w:hAnsi="Calibri" w:cs="Calibri"/>
      <w:sz w:val="22"/>
      <w:szCs w:val="22"/>
    </w:rPr>
  </w:style>
  <w:style w:type="character" w:styleId="Refdecomentario">
    <w:name w:val="annotation reference"/>
    <w:basedOn w:val="Fuentedeprrafopredeter"/>
    <w:uiPriority w:val="99"/>
    <w:semiHidden/>
    <w:unhideWhenUsed/>
    <w:rsid w:val="00891459"/>
    <w:rPr>
      <w:sz w:val="18"/>
      <w:szCs w:val="18"/>
    </w:rPr>
  </w:style>
  <w:style w:type="character" w:customStyle="1" w:styleId="Mencinsinresolver1">
    <w:name w:val="Mención sin resolver1"/>
    <w:basedOn w:val="Fuentedeprrafopredeter"/>
    <w:uiPriority w:val="99"/>
    <w:semiHidden/>
    <w:unhideWhenUsed/>
    <w:rsid w:val="00891459"/>
    <w:rPr>
      <w:color w:val="605E5C"/>
      <w:shd w:val="clear" w:color="auto" w:fill="E1DFDD"/>
    </w:rPr>
  </w:style>
  <w:style w:type="character" w:styleId="Hipervnculovisitado">
    <w:name w:val="FollowedHyperlink"/>
    <w:basedOn w:val="Fuentedeprrafopredeter"/>
    <w:uiPriority w:val="99"/>
    <w:semiHidden/>
    <w:unhideWhenUsed/>
    <w:rsid w:val="00891459"/>
    <w:rPr>
      <w:color w:val="954F72" w:themeColor="followedHyperlink"/>
      <w:u w:val="single"/>
    </w:rPr>
  </w:style>
  <w:style w:type="paragraph" w:styleId="Revisin">
    <w:name w:val="Revision"/>
    <w:hidden/>
    <w:uiPriority w:val="99"/>
    <w:semiHidden/>
    <w:rsid w:val="00891459"/>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583</Pages>
  <Words>255824</Words>
  <Characters>1407038</Characters>
  <Application>Microsoft Office Word</Application>
  <DocSecurity>0</DocSecurity>
  <Lines>11725</Lines>
  <Paragraphs>3319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Nathalie</cp:lastModifiedBy>
  <cp:revision>4</cp:revision>
  <cp:lastPrinted>2020-12-18T00:48:00Z</cp:lastPrinted>
  <dcterms:created xsi:type="dcterms:W3CDTF">2023-06-19T14:42:00Z</dcterms:created>
  <dcterms:modified xsi:type="dcterms:W3CDTF">2023-06-19T15:03:00Z</dcterms:modified>
</cp:coreProperties>
</file>