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1A09"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Bogotá D.C., 21 de marzo de 2023</w:t>
      </w:r>
    </w:p>
    <w:p w14:paraId="73698B2E" w14:textId="77777777" w:rsidR="00F87376" w:rsidRDefault="00F87376">
      <w:pPr>
        <w:spacing w:after="0"/>
        <w:jc w:val="both"/>
        <w:rPr>
          <w:rFonts w:ascii="Arial Narrow" w:eastAsia="Arial Narrow" w:hAnsi="Arial Narrow" w:cs="Arial Narrow"/>
          <w:sz w:val="24"/>
          <w:szCs w:val="24"/>
        </w:rPr>
      </w:pPr>
    </w:p>
    <w:p w14:paraId="330D6197" w14:textId="77777777" w:rsidR="00F87376" w:rsidRDefault="00F87376">
      <w:pPr>
        <w:spacing w:after="0"/>
        <w:jc w:val="both"/>
        <w:rPr>
          <w:rFonts w:ascii="Arial Narrow" w:eastAsia="Arial Narrow" w:hAnsi="Arial Narrow" w:cs="Arial Narrow"/>
          <w:sz w:val="24"/>
          <w:szCs w:val="24"/>
        </w:rPr>
      </w:pPr>
    </w:p>
    <w:p w14:paraId="2365BDB1"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Doctor</w:t>
      </w:r>
    </w:p>
    <w:p w14:paraId="112AEEFE"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RAÚL FERNANDO RODRÍGUEZ RINCÓN</w:t>
      </w:r>
      <w:r>
        <w:rPr>
          <w:rFonts w:ascii="Arial Narrow" w:eastAsia="Arial Narrow" w:hAnsi="Arial Narrow" w:cs="Arial Narrow"/>
          <w:b/>
          <w:sz w:val="24"/>
          <w:szCs w:val="24"/>
        </w:rPr>
        <w:tab/>
      </w:r>
      <w:r>
        <w:rPr>
          <w:rFonts w:ascii="Arial Narrow" w:eastAsia="Arial Narrow" w:hAnsi="Arial Narrow" w:cs="Arial Narrow"/>
          <w:b/>
          <w:sz w:val="24"/>
          <w:szCs w:val="24"/>
        </w:rPr>
        <w:tab/>
      </w:r>
    </w:p>
    <w:p w14:paraId="371F48E3" w14:textId="77777777" w:rsidR="00F87376" w:rsidRDefault="00C13B6C">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SECRETARIO COMISIÓN SEXTA</w:t>
      </w:r>
      <w:r>
        <w:rPr>
          <w:rFonts w:ascii="Arial Narrow" w:eastAsia="Arial Narrow" w:hAnsi="Arial Narrow" w:cs="Arial Narrow"/>
          <w:b/>
          <w:sz w:val="24"/>
          <w:szCs w:val="24"/>
        </w:rPr>
        <w:tab/>
      </w:r>
      <w:r>
        <w:rPr>
          <w:rFonts w:ascii="Arial Narrow" w:eastAsia="Arial Narrow" w:hAnsi="Arial Narrow" w:cs="Arial Narrow"/>
          <w:b/>
          <w:sz w:val="24"/>
          <w:szCs w:val="24"/>
        </w:rPr>
        <w:tab/>
      </w:r>
    </w:p>
    <w:p w14:paraId="463BF24C"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p>
    <w:p w14:paraId="04CB328B"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Ciudad</w:t>
      </w:r>
    </w:p>
    <w:p w14:paraId="025EA550" w14:textId="77777777" w:rsidR="00F87376" w:rsidRDefault="00F87376">
      <w:pPr>
        <w:tabs>
          <w:tab w:val="left" w:pos="5278"/>
        </w:tabs>
        <w:spacing w:after="0"/>
        <w:ind w:right="117"/>
        <w:jc w:val="both"/>
        <w:rPr>
          <w:rFonts w:ascii="Arial Narrow" w:eastAsia="Arial Narrow" w:hAnsi="Arial Narrow" w:cs="Arial Narrow"/>
          <w:b/>
          <w:sz w:val="24"/>
          <w:szCs w:val="24"/>
        </w:rPr>
      </w:pPr>
    </w:p>
    <w:p w14:paraId="03F8A4FD" w14:textId="77777777" w:rsidR="00F87376" w:rsidRDefault="00C13B6C">
      <w:pPr>
        <w:tabs>
          <w:tab w:val="left" w:pos="5278"/>
        </w:tabs>
        <w:spacing w:after="0"/>
        <w:ind w:left="3118" w:right="117"/>
        <w:jc w:val="both"/>
        <w:rPr>
          <w:rFonts w:ascii="Arial Narrow" w:eastAsia="Arial Narrow" w:hAnsi="Arial Narrow" w:cs="Arial Narrow"/>
          <w:i/>
          <w:sz w:val="24"/>
          <w:szCs w:val="24"/>
          <w:highlight w:val="white"/>
        </w:rPr>
      </w:pPr>
      <w:r>
        <w:rPr>
          <w:rFonts w:ascii="Arial Narrow" w:eastAsia="Arial Narrow" w:hAnsi="Arial Narrow" w:cs="Arial Narrow"/>
          <w:b/>
          <w:sz w:val="24"/>
          <w:szCs w:val="24"/>
        </w:rPr>
        <w:t>REFERENCIA</w:t>
      </w:r>
      <w:r>
        <w:rPr>
          <w:rFonts w:ascii="Arial Narrow" w:eastAsia="Arial Narrow" w:hAnsi="Arial Narrow" w:cs="Arial Narrow"/>
          <w:sz w:val="24"/>
          <w:szCs w:val="24"/>
        </w:rPr>
        <w:t xml:space="preserve">: Informe de Ponencia para segundo Debate al </w:t>
      </w:r>
      <w:r>
        <w:rPr>
          <w:rFonts w:ascii="Arial Narrow" w:eastAsia="Arial Narrow" w:hAnsi="Arial Narrow" w:cs="Arial Narrow"/>
          <w:color w:val="000000"/>
          <w:sz w:val="24"/>
          <w:szCs w:val="24"/>
          <w:highlight w:val="white"/>
        </w:rPr>
        <w:t xml:space="preserve">Proyecto de Ley No. </w:t>
      </w:r>
      <w:r>
        <w:rPr>
          <w:rFonts w:ascii="Arial Narrow" w:eastAsia="Arial Narrow" w:hAnsi="Arial Narrow" w:cs="Arial Narrow"/>
          <w:sz w:val="24"/>
          <w:szCs w:val="24"/>
          <w:highlight w:val="white"/>
        </w:rPr>
        <w:t xml:space="preserve">290 </w:t>
      </w:r>
      <w:r>
        <w:rPr>
          <w:rFonts w:ascii="Arial Narrow" w:eastAsia="Arial Narrow" w:hAnsi="Arial Narrow" w:cs="Arial Narrow"/>
          <w:color w:val="000000"/>
          <w:sz w:val="24"/>
          <w:szCs w:val="24"/>
          <w:highlight w:val="white"/>
        </w:rPr>
        <w:t>de 202</w:t>
      </w:r>
      <w:r>
        <w:rPr>
          <w:rFonts w:ascii="Arial Narrow" w:eastAsia="Arial Narrow" w:hAnsi="Arial Narrow" w:cs="Arial Narrow"/>
          <w:sz w:val="24"/>
          <w:szCs w:val="24"/>
          <w:highlight w:val="white"/>
        </w:rPr>
        <w:t>2</w:t>
      </w:r>
      <w:r>
        <w:rPr>
          <w:rFonts w:ascii="Arial Narrow" w:eastAsia="Arial Narrow" w:hAnsi="Arial Narrow" w:cs="Arial Narrow"/>
          <w:color w:val="000000"/>
          <w:sz w:val="24"/>
          <w:szCs w:val="24"/>
          <w:highlight w:val="white"/>
        </w:rPr>
        <w:t xml:space="preserve"> Cámara</w:t>
      </w:r>
      <w:r>
        <w:rPr>
          <w:rFonts w:ascii="Arial Narrow" w:eastAsia="Arial Narrow" w:hAnsi="Arial Narrow" w:cs="Arial Narrow"/>
          <w:i/>
          <w:color w:val="000000"/>
          <w:sz w:val="24"/>
          <w:szCs w:val="24"/>
          <w:highlight w:val="white"/>
        </w:rPr>
        <w:t xml:space="preserve"> </w:t>
      </w:r>
      <w:r>
        <w:rPr>
          <w:rFonts w:ascii="Arial Narrow" w:eastAsia="Arial Narrow" w:hAnsi="Arial Narrow" w:cs="Arial Narrow"/>
          <w:i/>
          <w:sz w:val="24"/>
          <w:szCs w:val="24"/>
          <w:highlight w:val="white"/>
        </w:rPr>
        <w:t>“Por medio de la cual se establece la cátedra para la Gestión del Riesgo y El Cambio Climático en Colombia y se dictan otras disposiciones”.</w:t>
      </w:r>
    </w:p>
    <w:p w14:paraId="74DE36DB" w14:textId="77777777" w:rsidR="00F87376" w:rsidRDefault="00C13B6C">
      <w:pPr>
        <w:spacing w:before="28" w:after="28"/>
        <w:jc w:val="both"/>
        <w:rPr>
          <w:rFonts w:ascii="Arial Narrow" w:eastAsia="Arial Narrow" w:hAnsi="Arial Narrow" w:cs="Arial Narrow"/>
          <w:sz w:val="24"/>
          <w:szCs w:val="24"/>
        </w:rPr>
      </w:pPr>
      <w:r>
        <w:rPr>
          <w:rFonts w:ascii="Arial Narrow" w:eastAsia="Arial Narrow" w:hAnsi="Arial Narrow" w:cs="Arial Narrow"/>
          <w:sz w:val="24"/>
          <w:szCs w:val="24"/>
        </w:rPr>
        <w:t>Cordial saludo,</w:t>
      </w:r>
    </w:p>
    <w:p w14:paraId="0BEB6231" w14:textId="77777777" w:rsidR="00F87376" w:rsidRDefault="00F87376">
      <w:pPr>
        <w:spacing w:before="28" w:after="28"/>
        <w:jc w:val="both"/>
        <w:rPr>
          <w:rFonts w:ascii="Arial Narrow" w:eastAsia="Arial Narrow" w:hAnsi="Arial Narrow" w:cs="Arial Narrow"/>
          <w:sz w:val="24"/>
          <w:szCs w:val="24"/>
        </w:rPr>
      </w:pPr>
    </w:p>
    <w:p w14:paraId="6022B90E" w14:textId="77777777" w:rsidR="00F87376" w:rsidRDefault="00C13B6C">
      <w:pPr>
        <w:spacing w:before="28" w:after="28"/>
        <w:jc w:val="both"/>
        <w:rPr>
          <w:rFonts w:ascii="Arial Narrow" w:eastAsia="Arial Narrow" w:hAnsi="Arial Narrow" w:cs="Arial Narrow"/>
          <w:i/>
          <w:sz w:val="24"/>
          <w:szCs w:val="24"/>
          <w:highlight w:val="white"/>
        </w:rPr>
      </w:pPr>
      <w:r>
        <w:rPr>
          <w:rFonts w:ascii="Arial Narrow" w:eastAsia="Arial Narrow" w:hAnsi="Arial Narrow" w:cs="Arial Narrow"/>
          <w:sz w:val="24"/>
          <w:szCs w:val="24"/>
        </w:rPr>
        <w:t>En cumplimiento del honroso encargo conferido por la Comisión Sexta de la Cámara de Representantes</w:t>
      </w:r>
      <w:r>
        <w:rPr>
          <w:rFonts w:ascii="Arial Narrow" w:eastAsia="Arial Narrow" w:hAnsi="Arial Narrow" w:cs="Arial Narrow"/>
          <w:sz w:val="24"/>
          <w:szCs w:val="24"/>
        </w:rPr>
        <w:t xml:space="preserve">, sometemos a consideración de la plenaria de la Cámara de representantes el informe de ponencia para segundo debate del </w:t>
      </w:r>
      <w:r>
        <w:rPr>
          <w:rFonts w:ascii="Arial Narrow" w:eastAsia="Arial Narrow" w:hAnsi="Arial Narrow" w:cs="Arial Narrow"/>
          <w:color w:val="000000"/>
          <w:sz w:val="24"/>
          <w:szCs w:val="24"/>
          <w:highlight w:val="white"/>
        </w:rPr>
        <w:t xml:space="preserve">Proyecto de Ley No. </w:t>
      </w:r>
      <w:r>
        <w:rPr>
          <w:rFonts w:ascii="Arial Narrow" w:eastAsia="Arial Narrow" w:hAnsi="Arial Narrow" w:cs="Arial Narrow"/>
          <w:sz w:val="24"/>
          <w:szCs w:val="24"/>
          <w:highlight w:val="white"/>
        </w:rPr>
        <w:t>290</w:t>
      </w:r>
      <w:r>
        <w:rPr>
          <w:rFonts w:ascii="Arial Narrow" w:eastAsia="Arial Narrow" w:hAnsi="Arial Narrow" w:cs="Arial Narrow"/>
          <w:color w:val="000000"/>
          <w:sz w:val="24"/>
          <w:szCs w:val="24"/>
          <w:highlight w:val="white"/>
        </w:rPr>
        <w:t xml:space="preserve"> de 202</w:t>
      </w:r>
      <w:r>
        <w:rPr>
          <w:rFonts w:ascii="Arial Narrow" w:eastAsia="Arial Narrow" w:hAnsi="Arial Narrow" w:cs="Arial Narrow"/>
          <w:sz w:val="24"/>
          <w:szCs w:val="24"/>
          <w:highlight w:val="white"/>
        </w:rPr>
        <w:t>2</w:t>
      </w:r>
      <w:r>
        <w:rPr>
          <w:rFonts w:ascii="Arial Narrow" w:eastAsia="Arial Narrow" w:hAnsi="Arial Narrow" w:cs="Arial Narrow"/>
          <w:color w:val="000000"/>
          <w:sz w:val="24"/>
          <w:szCs w:val="24"/>
          <w:highlight w:val="white"/>
        </w:rPr>
        <w:t xml:space="preserve"> Cámara </w:t>
      </w:r>
      <w:r>
        <w:rPr>
          <w:rFonts w:ascii="Arial Narrow" w:eastAsia="Arial Narrow" w:hAnsi="Arial Narrow" w:cs="Arial Narrow"/>
          <w:sz w:val="24"/>
          <w:szCs w:val="24"/>
          <w:highlight w:val="white"/>
        </w:rPr>
        <w:t>“</w:t>
      </w:r>
      <w:r>
        <w:rPr>
          <w:rFonts w:ascii="Arial Narrow" w:eastAsia="Arial Narrow" w:hAnsi="Arial Narrow" w:cs="Arial Narrow"/>
          <w:i/>
          <w:sz w:val="24"/>
          <w:szCs w:val="24"/>
          <w:highlight w:val="white"/>
        </w:rPr>
        <w:t>Por medio de la cual se establece la cátedra para la Gestión del Riesgo y El Cambio Climático e</w:t>
      </w:r>
      <w:r>
        <w:rPr>
          <w:rFonts w:ascii="Arial Narrow" w:eastAsia="Arial Narrow" w:hAnsi="Arial Narrow" w:cs="Arial Narrow"/>
          <w:i/>
          <w:sz w:val="24"/>
          <w:szCs w:val="24"/>
          <w:highlight w:val="white"/>
        </w:rPr>
        <w:t>n Colombia y se dictan otras disposiciones”.</w:t>
      </w:r>
    </w:p>
    <w:p w14:paraId="2F224453" w14:textId="77777777" w:rsidR="00F87376" w:rsidRDefault="00F87376">
      <w:pPr>
        <w:spacing w:before="28" w:after="28"/>
        <w:jc w:val="both"/>
        <w:rPr>
          <w:rFonts w:ascii="Arial Narrow" w:eastAsia="Arial Narrow" w:hAnsi="Arial Narrow" w:cs="Arial Narrow"/>
          <w:sz w:val="24"/>
          <w:szCs w:val="24"/>
          <w:highlight w:val="white"/>
        </w:rPr>
      </w:pPr>
    </w:p>
    <w:p w14:paraId="50A3EFC1" w14:textId="77777777" w:rsidR="00F87376" w:rsidRDefault="00F87376">
      <w:pPr>
        <w:spacing w:before="28" w:after="28"/>
        <w:jc w:val="both"/>
        <w:rPr>
          <w:rFonts w:ascii="Arial Narrow" w:eastAsia="Arial Narrow" w:hAnsi="Arial Narrow" w:cs="Arial Narrow"/>
          <w:sz w:val="24"/>
          <w:szCs w:val="24"/>
        </w:rPr>
      </w:pPr>
    </w:p>
    <w:p w14:paraId="3C31A385" w14:textId="77777777" w:rsidR="00F87376" w:rsidRDefault="00C13B6C">
      <w:pPr>
        <w:spacing w:before="28" w:after="28"/>
        <w:jc w:val="both"/>
        <w:rPr>
          <w:rFonts w:ascii="Arial Narrow" w:eastAsia="Arial Narrow" w:hAnsi="Arial Narrow" w:cs="Arial Narrow"/>
          <w:sz w:val="24"/>
          <w:szCs w:val="24"/>
        </w:rPr>
      </w:pPr>
      <w:r>
        <w:rPr>
          <w:rFonts w:ascii="Arial Narrow" w:eastAsia="Arial Narrow" w:hAnsi="Arial Narrow" w:cs="Arial Narrow"/>
          <w:sz w:val="24"/>
          <w:szCs w:val="24"/>
        </w:rPr>
        <w:t>Atentamente,</w:t>
      </w:r>
    </w:p>
    <w:p w14:paraId="575AE814" w14:textId="4D716BC2" w:rsidR="00F87376" w:rsidRDefault="00F87376">
      <w:pPr>
        <w:spacing w:before="28" w:after="28"/>
        <w:jc w:val="both"/>
        <w:rPr>
          <w:rFonts w:ascii="Arial Narrow" w:eastAsia="Arial Narrow" w:hAnsi="Arial Narrow" w:cs="Arial Narrow"/>
          <w:sz w:val="24"/>
          <w:szCs w:val="24"/>
        </w:rPr>
      </w:pPr>
    </w:p>
    <w:tbl>
      <w:tblPr>
        <w:tblStyle w:val="af5"/>
        <w:tblW w:w="46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tblGrid>
      <w:tr w:rsidR="00F87376" w14:paraId="4FDC567D" w14:textId="77777777">
        <w:trPr>
          <w:trHeight w:val="8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5861B09" w14:textId="77777777" w:rsidR="00F87376" w:rsidRDefault="00F87376">
            <w:pPr>
              <w:widowControl w:val="0"/>
              <w:pBdr>
                <w:top w:val="nil"/>
                <w:left w:val="nil"/>
                <w:bottom w:val="nil"/>
                <w:right w:val="nil"/>
                <w:between w:val="nil"/>
              </w:pBdr>
              <w:rPr>
                <w:rFonts w:ascii="Arial Narrow" w:eastAsia="Arial Narrow" w:hAnsi="Arial Narrow" w:cs="Arial Narrow"/>
                <w:sz w:val="24"/>
                <w:szCs w:val="24"/>
              </w:rPr>
            </w:pPr>
          </w:p>
          <w:p w14:paraId="14C804F5" w14:textId="77777777" w:rsidR="00F87376" w:rsidRDefault="00F87376">
            <w:pPr>
              <w:rPr>
                <w:rFonts w:ascii="Arial Narrow" w:eastAsia="Arial Narrow" w:hAnsi="Arial Narrow" w:cs="Arial Narrow"/>
                <w:b/>
                <w:sz w:val="24"/>
                <w:szCs w:val="24"/>
              </w:rPr>
            </w:pPr>
          </w:p>
          <w:p w14:paraId="5872F8EE" w14:textId="77777777" w:rsidR="00F87376" w:rsidRDefault="00F87376">
            <w:pPr>
              <w:rPr>
                <w:rFonts w:ascii="Arial Narrow" w:eastAsia="Arial Narrow" w:hAnsi="Arial Narrow" w:cs="Arial Narrow"/>
                <w:b/>
                <w:sz w:val="24"/>
                <w:szCs w:val="24"/>
              </w:rPr>
            </w:pPr>
          </w:p>
          <w:p w14:paraId="4DC498B4" w14:textId="77777777" w:rsidR="00F87376" w:rsidRDefault="00F87376">
            <w:pPr>
              <w:rPr>
                <w:rFonts w:ascii="Arial Narrow" w:eastAsia="Arial Narrow" w:hAnsi="Arial Narrow" w:cs="Arial Narrow"/>
                <w:b/>
                <w:sz w:val="24"/>
                <w:szCs w:val="24"/>
              </w:rPr>
            </w:pPr>
          </w:p>
          <w:p w14:paraId="0A230DDB" w14:textId="77777777" w:rsidR="00F87376" w:rsidRDefault="00F87376">
            <w:pPr>
              <w:rPr>
                <w:rFonts w:ascii="Arial Narrow" w:eastAsia="Arial Narrow" w:hAnsi="Arial Narrow" w:cs="Arial Narrow"/>
                <w:b/>
                <w:sz w:val="24"/>
                <w:szCs w:val="24"/>
              </w:rPr>
            </w:pPr>
          </w:p>
          <w:p w14:paraId="7DD74393" w14:textId="77777777" w:rsidR="00F87376" w:rsidRDefault="00F87376">
            <w:pPr>
              <w:rPr>
                <w:rFonts w:ascii="Arial Narrow" w:eastAsia="Arial Narrow" w:hAnsi="Arial Narrow" w:cs="Arial Narrow"/>
                <w:b/>
                <w:sz w:val="24"/>
                <w:szCs w:val="24"/>
              </w:rPr>
            </w:pPr>
          </w:p>
          <w:p w14:paraId="4648675F" w14:textId="77777777" w:rsidR="00F87376" w:rsidRDefault="00C13B6C">
            <w:pPr>
              <w:rPr>
                <w:rFonts w:ascii="Arial Narrow" w:eastAsia="Arial Narrow" w:hAnsi="Arial Narrow" w:cs="Arial Narrow"/>
                <w:b/>
                <w:sz w:val="24"/>
                <w:szCs w:val="24"/>
              </w:rPr>
            </w:pPr>
            <w:r>
              <w:rPr>
                <w:rFonts w:ascii="Arial Narrow" w:eastAsia="Arial Narrow" w:hAnsi="Arial Narrow" w:cs="Arial Narrow"/>
                <w:b/>
                <w:sz w:val="24"/>
                <w:szCs w:val="24"/>
              </w:rPr>
              <w:t>JAIME RAÚL SALAMANCA TORRES</w:t>
            </w:r>
            <w:r>
              <w:rPr>
                <w:rFonts w:ascii="Arial Narrow" w:eastAsia="Arial Narrow" w:hAnsi="Arial Narrow" w:cs="Arial Narrow"/>
                <w:b/>
                <w:sz w:val="24"/>
                <w:szCs w:val="24"/>
              </w:rPr>
              <w:tab/>
              <w:t xml:space="preserve">       </w:t>
            </w:r>
          </w:p>
          <w:p w14:paraId="62B282D9" w14:textId="77777777" w:rsidR="00F87376" w:rsidRDefault="00C13B6C">
            <w:pPr>
              <w:rPr>
                <w:rFonts w:ascii="Arial Narrow" w:eastAsia="Arial Narrow" w:hAnsi="Arial Narrow" w:cs="Arial Narrow"/>
                <w:b/>
                <w:sz w:val="24"/>
                <w:szCs w:val="24"/>
              </w:rPr>
            </w:pPr>
            <w:r>
              <w:rPr>
                <w:rFonts w:ascii="Arial Narrow" w:eastAsia="Arial Narrow" w:hAnsi="Arial Narrow" w:cs="Arial Narrow"/>
                <w:b/>
                <w:sz w:val="24"/>
                <w:szCs w:val="24"/>
              </w:rPr>
              <w:t xml:space="preserve">REPRESENTANTE A LA CÁMARA </w:t>
            </w:r>
            <w:r>
              <w:rPr>
                <w:rFonts w:ascii="Arial Narrow" w:eastAsia="Arial Narrow" w:hAnsi="Arial Narrow" w:cs="Arial Narrow"/>
                <w:b/>
                <w:sz w:val="24"/>
                <w:szCs w:val="24"/>
              </w:rPr>
              <w:tab/>
            </w:r>
            <w:r>
              <w:rPr>
                <w:rFonts w:ascii="Arial Narrow" w:eastAsia="Arial Narrow" w:hAnsi="Arial Narrow" w:cs="Arial Narrow"/>
                <w:b/>
                <w:sz w:val="24"/>
                <w:szCs w:val="24"/>
              </w:rPr>
              <w:tab/>
              <w:t xml:space="preserve">                 </w:t>
            </w:r>
          </w:p>
          <w:p w14:paraId="7552A8C7" w14:textId="77777777" w:rsidR="00F87376" w:rsidRDefault="00C13B6C">
            <w:pPr>
              <w:rPr>
                <w:rFonts w:ascii="Arial Narrow" w:eastAsia="Arial Narrow" w:hAnsi="Arial Narrow" w:cs="Arial Narrow"/>
                <w:sz w:val="24"/>
                <w:szCs w:val="24"/>
              </w:rPr>
            </w:pPr>
            <w:r>
              <w:rPr>
                <w:rFonts w:ascii="Arial Narrow" w:eastAsia="Arial Narrow" w:hAnsi="Arial Narrow" w:cs="Arial Narrow"/>
                <w:b/>
                <w:sz w:val="24"/>
                <w:szCs w:val="24"/>
              </w:rPr>
              <w:t xml:space="preserve">COORDINADOR PONENTE      </w:t>
            </w:r>
          </w:p>
          <w:p w14:paraId="7F21D459" w14:textId="77777777" w:rsidR="00F87376" w:rsidRDefault="00F87376">
            <w:pPr>
              <w:widowControl w:val="0"/>
              <w:pBdr>
                <w:top w:val="nil"/>
                <w:left w:val="nil"/>
                <w:bottom w:val="nil"/>
                <w:right w:val="nil"/>
                <w:between w:val="nil"/>
              </w:pBdr>
              <w:rPr>
                <w:rFonts w:ascii="Arial Narrow" w:eastAsia="Arial Narrow" w:hAnsi="Arial Narrow" w:cs="Arial Narrow"/>
                <w:sz w:val="24"/>
                <w:szCs w:val="24"/>
              </w:rPr>
            </w:pPr>
          </w:p>
        </w:tc>
      </w:tr>
    </w:tbl>
    <w:p w14:paraId="52EED280" w14:textId="77777777" w:rsidR="00F87376" w:rsidRDefault="00F87376">
      <w:pPr>
        <w:spacing w:after="0"/>
        <w:rPr>
          <w:rFonts w:ascii="Arial Narrow" w:eastAsia="Arial Narrow" w:hAnsi="Arial Narrow" w:cs="Arial Narrow"/>
          <w:b/>
          <w:sz w:val="24"/>
          <w:szCs w:val="24"/>
        </w:rPr>
      </w:pPr>
    </w:p>
    <w:p w14:paraId="2F0E5137" w14:textId="77777777" w:rsidR="00F87376" w:rsidRDefault="00F87376">
      <w:pPr>
        <w:spacing w:after="0"/>
        <w:rPr>
          <w:rFonts w:ascii="Arial Narrow" w:eastAsia="Arial Narrow" w:hAnsi="Arial Narrow" w:cs="Arial Narrow"/>
          <w:b/>
          <w:sz w:val="24"/>
          <w:szCs w:val="24"/>
        </w:rPr>
      </w:pPr>
    </w:p>
    <w:p w14:paraId="534E8737" w14:textId="77777777" w:rsidR="00F87376" w:rsidRDefault="00F87376">
      <w:pPr>
        <w:spacing w:after="0"/>
        <w:rPr>
          <w:rFonts w:ascii="Arial Narrow" w:eastAsia="Arial Narrow" w:hAnsi="Arial Narrow" w:cs="Arial Narrow"/>
          <w:b/>
          <w:sz w:val="24"/>
          <w:szCs w:val="24"/>
        </w:rPr>
      </w:pPr>
    </w:p>
    <w:p w14:paraId="06A639D4" w14:textId="77777777" w:rsidR="00F87376" w:rsidRDefault="00F87376">
      <w:pPr>
        <w:spacing w:after="0"/>
        <w:rPr>
          <w:rFonts w:ascii="Arial Narrow" w:eastAsia="Arial Narrow" w:hAnsi="Arial Narrow" w:cs="Arial Narrow"/>
          <w:b/>
          <w:sz w:val="24"/>
          <w:szCs w:val="24"/>
        </w:rPr>
      </w:pPr>
    </w:p>
    <w:p w14:paraId="32051C42" w14:textId="77777777" w:rsidR="00F87376" w:rsidRDefault="00F87376">
      <w:pPr>
        <w:spacing w:after="0"/>
        <w:rPr>
          <w:rFonts w:ascii="Arial Narrow" w:eastAsia="Arial Narrow" w:hAnsi="Arial Narrow" w:cs="Arial Narrow"/>
          <w:b/>
          <w:sz w:val="24"/>
          <w:szCs w:val="24"/>
        </w:rPr>
      </w:pPr>
    </w:p>
    <w:p w14:paraId="0919EA32" w14:textId="77777777" w:rsidR="00F87376" w:rsidRDefault="00F87376">
      <w:pPr>
        <w:spacing w:after="0"/>
        <w:rPr>
          <w:rFonts w:ascii="Arial Narrow" w:eastAsia="Arial Narrow" w:hAnsi="Arial Narrow" w:cs="Arial Narrow"/>
          <w:b/>
          <w:sz w:val="24"/>
          <w:szCs w:val="24"/>
        </w:rPr>
      </w:pPr>
    </w:p>
    <w:p w14:paraId="423A27F4" w14:textId="77777777" w:rsidR="00F87376" w:rsidRDefault="00C13B6C">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INFORME DE PONENCIA PARA SEGUNDO DEBATE</w:t>
      </w:r>
    </w:p>
    <w:p w14:paraId="4C1B806D" w14:textId="77777777" w:rsidR="00F87376" w:rsidRDefault="00C13B6C">
      <w:pPr>
        <w:tabs>
          <w:tab w:val="left" w:pos="5278"/>
        </w:tabs>
        <w:spacing w:after="0"/>
        <w:ind w:right="117"/>
        <w:jc w:val="center"/>
        <w:rPr>
          <w:rFonts w:ascii="Arial Narrow" w:eastAsia="Arial Narrow" w:hAnsi="Arial Narrow" w:cs="Arial Narrow"/>
          <w:b/>
          <w:sz w:val="24"/>
          <w:szCs w:val="24"/>
        </w:rPr>
      </w:pPr>
      <w:r>
        <w:rPr>
          <w:rFonts w:ascii="Arial Narrow" w:eastAsia="Arial Narrow" w:hAnsi="Arial Narrow" w:cs="Arial Narrow"/>
          <w:b/>
          <w:sz w:val="24"/>
          <w:szCs w:val="24"/>
        </w:rPr>
        <w:t>Proyecto de Ley No. 290 de 2022 Cámara “Por medio de la cual se establece la cátedra para la Gestión del Riesgo y El Cambio Climático en Colombia y se dictan otras disposiciones”.</w:t>
      </w:r>
    </w:p>
    <w:p w14:paraId="561AA5B2" w14:textId="77777777" w:rsidR="00F87376" w:rsidRDefault="00F87376">
      <w:pPr>
        <w:tabs>
          <w:tab w:val="left" w:pos="5278"/>
        </w:tabs>
        <w:spacing w:after="0"/>
        <w:ind w:right="117"/>
        <w:jc w:val="center"/>
        <w:rPr>
          <w:rFonts w:ascii="Arial Narrow" w:eastAsia="Arial Narrow" w:hAnsi="Arial Narrow" w:cs="Arial Narrow"/>
          <w:b/>
          <w:sz w:val="24"/>
          <w:szCs w:val="24"/>
        </w:rPr>
      </w:pPr>
    </w:p>
    <w:p w14:paraId="57537E2C"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ANTECEDENTES DEL PROYECTO DE LEY</w:t>
      </w:r>
    </w:p>
    <w:p w14:paraId="391C3607" w14:textId="77777777" w:rsidR="00F87376" w:rsidRDefault="00F87376">
      <w:pPr>
        <w:spacing w:after="0"/>
        <w:ind w:left="720"/>
        <w:jc w:val="both"/>
        <w:rPr>
          <w:rFonts w:ascii="Arial Narrow" w:eastAsia="Arial Narrow" w:hAnsi="Arial Narrow" w:cs="Arial Narrow"/>
          <w:b/>
          <w:sz w:val="24"/>
          <w:szCs w:val="24"/>
        </w:rPr>
      </w:pPr>
    </w:p>
    <w:p w14:paraId="0A516E6E"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w:t>
      </w:r>
      <w:r>
        <w:rPr>
          <w:rFonts w:ascii="Arial Narrow" w:eastAsia="Arial Narrow" w:hAnsi="Arial Narrow" w:cs="Arial Narrow"/>
          <w:sz w:val="24"/>
          <w:szCs w:val="24"/>
        </w:rPr>
        <w:t xml:space="preserve">l Proyecto de Ley No. 290 de 2022, fue presentado por el honorable representante Wilmer Castellanos </w:t>
      </w:r>
      <w:proofErr w:type="spellStart"/>
      <w:r>
        <w:rPr>
          <w:rFonts w:ascii="Arial Narrow" w:eastAsia="Arial Narrow" w:hAnsi="Arial Narrow" w:cs="Arial Narrow"/>
          <w:sz w:val="24"/>
          <w:szCs w:val="24"/>
        </w:rPr>
        <w:t>Hernandez</w:t>
      </w:r>
      <w:proofErr w:type="spellEnd"/>
      <w:r>
        <w:rPr>
          <w:rFonts w:ascii="Arial Narrow" w:eastAsia="Arial Narrow" w:hAnsi="Arial Narrow" w:cs="Arial Narrow"/>
          <w:sz w:val="24"/>
          <w:szCs w:val="24"/>
        </w:rPr>
        <w:t>, siendo publicado en la Gaceta No. 1550 de 2022.</w:t>
      </w:r>
    </w:p>
    <w:p w14:paraId="71063B2A" w14:textId="77777777" w:rsidR="00F87376" w:rsidRDefault="00F87376">
      <w:pPr>
        <w:spacing w:after="0"/>
        <w:jc w:val="both"/>
        <w:rPr>
          <w:rFonts w:ascii="Arial Narrow" w:eastAsia="Arial Narrow" w:hAnsi="Arial Narrow" w:cs="Arial Narrow"/>
          <w:sz w:val="24"/>
          <w:szCs w:val="24"/>
        </w:rPr>
      </w:pPr>
    </w:p>
    <w:p w14:paraId="1718A5DC"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En el Congreso de la República han existido diversas iniciativas legislativas encaminadas a modi</w:t>
      </w:r>
      <w:r>
        <w:rPr>
          <w:rFonts w:ascii="Arial Narrow" w:eastAsia="Arial Narrow" w:hAnsi="Arial Narrow" w:cs="Arial Narrow"/>
          <w:sz w:val="24"/>
          <w:szCs w:val="24"/>
        </w:rPr>
        <w:t>ficar parcialmente la ley general de la Educación (Ley 115 de 1994) con el objetivo de incluir cátedras para temas como la paz o la historia de Colombia, así mismo son variadas las iniciativas legislativas alrededor de la Gestión del Riesgo y el Cambio Cli</w:t>
      </w:r>
      <w:r>
        <w:rPr>
          <w:rFonts w:ascii="Arial Narrow" w:eastAsia="Arial Narrow" w:hAnsi="Arial Narrow" w:cs="Arial Narrow"/>
          <w:sz w:val="24"/>
          <w:szCs w:val="24"/>
        </w:rPr>
        <w:t>mático.</w:t>
      </w:r>
    </w:p>
    <w:p w14:paraId="279F961B" w14:textId="77777777" w:rsidR="00F87376" w:rsidRDefault="00F87376">
      <w:pPr>
        <w:spacing w:after="0"/>
        <w:jc w:val="both"/>
        <w:rPr>
          <w:rFonts w:ascii="Arial Narrow" w:eastAsia="Arial Narrow" w:hAnsi="Arial Narrow" w:cs="Arial Narrow"/>
          <w:sz w:val="24"/>
          <w:szCs w:val="24"/>
        </w:rPr>
      </w:pPr>
    </w:p>
    <w:p w14:paraId="304E5197"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No obstante, en la revisión de antecedentes no se encuentra ley o iniciativa alguna que contemple la modificación de la ley general de educación y dicte otras disposiciones para crear una cátedra en la educación de nivel medio y medio técnico, así</w:t>
      </w:r>
      <w:r>
        <w:rPr>
          <w:rFonts w:ascii="Arial Narrow" w:eastAsia="Arial Narrow" w:hAnsi="Arial Narrow" w:cs="Arial Narrow"/>
          <w:sz w:val="24"/>
          <w:szCs w:val="24"/>
        </w:rPr>
        <w:t xml:space="preserve"> como a funcionarios públicos por elección popular como instrumento de prevención y reducción del riesgo, así como la incorporación a la inducción y reinducción de servidores públicos para la preservación de la vida humana, las condiciones de calidad de vi</w:t>
      </w:r>
      <w:r>
        <w:rPr>
          <w:rFonts w:ascii="Arial Narrow" w:eastAsia="Arial Narrow" w:hAnsi="Arial Narrow" w:cs="Arial Narrow"/>
          <w:sz w:val="24"/>
          <w:szCs w:val="24"/>
        </w:rPr>
        <w:t>da y la coexistencia ante la denominada crisis climática, derivada del cambio climático y los desastres relacionados a los fenómenos naturales en Colombia.</w:t>
      </w:r>
    </w:p>
    <w:p w14:paraId="479CE825" w14:textId="77777777" w:rsidR="00F87376" w:rsidRDefault="00F87376">
      <w:pPr>
        <w:spacing w:after="0"/>
        <w:jc w:val="both"/>
        <w:rPr>
          <w:rFonts w:ascii="Arial Narrow" w:eastAsia="Arial Narrow" w:hAnsi="Arial Narrow" w:cs="Arial Narrow"/>
          <w:sz w:val="24"/>
          <w:szCs w:val="24"/>
        </w:rPr>
      </w:pPr>
    </w:p>
    <w:p w14:paraId="6982A88F"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El 07 de diciembre de 2022, la Mesa Directiva de la Comisión Sexta de la Cámara de Representantes m</w:t>
      </w:r>
      <w:r>
        <w:rPr>
          <w:rFonts w:ascii="Arial Narrow" w:eastAsia="Arial Narrow" w:hAnsi="Arial Narrow" w:cs="Arial Narrow"/>
          <w:sz w:val="24"/>
          <w:szCs w:val="24"/>
        </w:rPr>
        <w:t>e designó como ponente del presente proyecto de ley, siendo discutido el 14 de diciembre de 2022 y aprobado por unanimidad de los Congresistas asistentes a la sesión.</w:t>
      </w:r>
    </w:p>
    <w:p w14:paraId="54895CFA" w14:textId="77777777" w:rsidR="00F87376" w:rsidRDefault="00F87376">
      <w:pPr>
        <w:spacing w:after="0"/>
        <w:jc w:val="both"/>
        <w:rPr>
          <w:rFonts w:ascii="Arial Narrow" w:eastAsia="Arial Narrow" w:hAnsi="Arial Narrow" w:cs="Arial Narrow"/>
          <w:sz w:val="24"/>
          <w:szCs w:val="24"/>
        </w:rPr>
      </w:pPr>
    </w:p>
    <w:p w14:paraId="34C0B34B"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Posteriormente, mediante nota interna No. C.S.C.P. 3.6 – 786/2022 del 16 de diciembre de</w:t>
      </w:r>
      <w:r>
        <w:rPr>
          <w:rFonts w:ascii="Arial Narrow" w:eastAsia="Arial Narrow" w:hAnsi="Arial Narrow" w:cs="Arial Narrow"/>
          <w:sz w:val="24"/>
          <w:szCs w:val="24"/>
        </w:rPr>
        <w:t xml:space="preserve"> 2022, fui designado para presentar informe ante la plenaria de la Cámara, así las cosas, en cumplimiento de la designación efectuada, procedo a rendir ponencia para dar segundo debate al proyecto de </w:t>
      </w:r>
      <w:proofErr w:type="gramStart"/>
      <w:r>
        <w:rPr>
          <w:rFonts w:ascii="Arial Narrow" w:eastAsia="Arial Narrow" w:hAnsi="Arial Narrow" w:cs="Arial Narrow"/>
          <w:sz w:val="24"/>
          <w:szCs w:val="24"/>
        </w:rPr>
        <w:t xml:space="preserve">ley </w:t>
      </w:r>
      <w:r>
        <w:rPr>
          <w:rFonts w:ascii="Arial Narrow" w:eastAsia="Arial Narrow" w:hAnsi="Arial Narrow" w:cs="Arial Narrow"/>
          <w:sz w:val="24"/>
          <w:szCs w:val="24"/>
          <w:highlight w:val="white"/>
        </w:rPr>
        <w:t xml:space="preserve"> “</w:t>
      </w:r>
      <w:proofErr w:type="gramEnd"/>
      <w:r>
        <w:rPr>
          <w:rFonts w:ascii="Arial Narrow" w:eastAsia="Arial Narrow" w:hAnsi="Arial Narrow" w:cs="Arial Narrow"/>
          <w:i/>
          <w:sz w:val="24"/>
          <w:szCs w:val="24"/>
          <w:highlight w:val="white"/>
        </w:rPr>
        <w:t>Por medio del cual se establece la cátedra para la</w:t>
      </w:r>
      <w:r>
        <w:rPr>
          <w:rFonts w:ascii="Arial Narrow" w:eastAsia="Arial Narrow" w:hAnsi="Arial Narrow" w:cs="Arial Narrow"/>
          <w:i/>
          <w:sz w:val="24"/>
          <w:szCs w:val="24"/>
          <w:highlight w:val="white"/>
        </w:rPr>
        <w:t xml:space="preserve"> Gestión del Riesgo y El Cambio Climático en Colombia y se dictan otras disposiciones”, </w:t>
      </w:r>
      <w:r>
        <w:rPr>
          <w:rFonts w:ascii="Arial Narrow" w:eastAsia="Arial Narrow" w:hAnsi="Arial Narrow" w:cs="Arial Narrow"/>
          <w:sz w:val="24"/>
          <w:szCs w:val="24"/>
        </w:rPr>
        <w:t xml:space="preserve">en los siguientes términos: </w:t>
      </w:r>
    </w:p>
    <w:p w14:paraId="5FAB213B" w14:textId="77777777" w:rsidR="00F87376" w:rsidRDefault="00F87376">
      <w:pPr>
        <w:spacing w:after="0"/>
        <w:jc w:val="both"/>
        <w:rPr>
          <w:rFonts w:ascii="Arial Narrow" w:eastAsia="Arial Narrow" w:hAnsi="Arial Narrow" w:cs="Arial Narrow"/>
          <w:sz w:val="24"/>
          <w:szCs w:val="24"/>
        </w:rPr>
      </w:pPr>
    </w:p>
    <w:p w14:paraId="4326BE3C" w14:textId="77777777" w:rsidR="00F87376" w:rsidRDefault="00F87376">
      <w:pPr>
        <w:spacing w:after="0"/>
        <w:ind w:left="720"/>
        <w:jc w:val="both"/>
        <w:rPr>
          <w:rFonts w:ascii="Arial Narrow" w:eastAsia="Arial Narrow" w:hAnsi="Arial Narrow" w:cs="Arial Narrow"/>
          <w:sz w:val="24"/>
          <w:szCs w:val="24"/>
        </w:rPr>
      </w:pPr>
    </w:p>
    <w:p w14:paraId="405CC98E"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MARCO NORMATIVO.</w:t>
      </w:r>
    </w:p>
    <w:p w14:paraId="42AD2A8C" w14:textId="77777777" w:rsidR="00F87376" w:rsidRDefault="00F87376">
      <w:pPr>
        <w:spacing w:after="0"/>
        <w:ind w:left="720"/>
        <w:jc w:val="both"/>
        <w:rPr>
          <w:rFonts w:ascii="Arial Narrow" w:eastAsia="Arial Narrow" w:hAnsi="Arial Narrow" w:cs="Arial Narrow"/>
          <w:b/>
          <w:sz w:val="24"/>
          <w:szCs w:val="24"/>
        </w:rPr>
      </w:pPr>
    </w:p>
    <w:p w14:paraId="08460E29"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cambio climático y la gestión del riesgo han sido temas de interés en el panorama internacional desde hace aproximadamente 40 años. Mientras que, en el nivel nacional, el marco normativo o legal, desde el sector público, surge desde hace no más de 15 añ</w:t>
      </w:r>
      <w:r>
        <w:rPr>
          <w:rFonts w:ascii="Arial Narrow" w:eastAsia="Arial Narrow" w:hAnsi="Arial Narrow" w:cs="Arial Narrow"/>
          <w:sz w:val="24"/>
          <w:szCs w:val="24"/>
        </w:rPr>
        <w:t>os, siendo por lo mismo un objeto reciente en el marco legal colombiano. Teniendo esto presente, se expondrá de manera inicial el marco internacional, y seguidamente el nacional. La presente iniciativa toma como base los fundamentos constitucionales, legal</w:t>
      </w:r>
      <w:r>
        <w:rPr>
          <w:rFonts w:ascii="Arial Narrow" w:eastAsia="Arial Narrow" w:hAnsi="Arial Narrow" w:cs="Arial Narrow"/>
          <w:sz w:val="24"/>
          <w:szCs w:val="24"/>
        </w:rPr>
        <w:t>es y jurisprudenciales expuestos a continuación.</w:t>
      </w:r>
    </w:p>
    <w:p w14:paraId="0299F172"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primer lugar, para inicios de los 80 's empieza a presentarse una preocupación por los posibles impactos del cambio climático en distintos países, lo cual comienza a generar una conciencia colectiva alred</w:t>
      </w:r>
      <w:r>
        <w:rPr>
          <w:rFonts w:ascii="Arial Narrow" w:eastAsia="Arial Narrow" w:hAnsi="Arial Narrow" w:cs="Arial Narrow"/>
          <w:sz w:val="24"/>
          <w:szCs w:val="24"/>
        </w:rPr>
        <w:t xml:space="preserve">edor de los efectos negativos que causaría este fenómeno en la vida humana y el hábitat. Por tal razón, para el año 1983 se establece la </w:t>
      </w:r>
      <w:r>
        <w:rPr>
          <w:rFonts w:ascii="Arial Narrow" w:eastAsia="Arial Narrow" w:hAnsi="Arial Narrow" w:cs="Arial Narrow"/>
          <w:b/>
          <w:sz w:val="24"/>
          <w:szCs w:val="24"/>
        </w:rPr>
        <w:t xml:space="preserve">Comisión Mundial de Medio Ambiente y Desarrollo, </w:t>
      </w:r>
      <w:r>
        <w:rPr>
          <w:rFonts w:ascii="Arial Narrow" w:eastAsia="Arial Narrow" w:hAnsi="Arial Narrow" w:cs="Arial Narrow"/>
          <w:sz w:val="24"/>
          <w:szCs w:val="24"/>
        </w:rPr>
        <w:t>contemplada como un órgano independiente de la Asamblea General de las</w:t>
      </w:r>
      <w:r>
        <w:rPr>
          <w:rFonts w:ascii="Arial Narrow" w:eastAsia="Arial Narrow" w:hAnsi="Arial Narrow" w:cs="Arial Narrow"/>
          <w:sz w:val="24"/>
          <w:szCs w:val="24"/>
        </w:rPr>
        <w:t xml:space="preserve"> Naciones Unidas, donde los países comenzaban a comprender que el cuidado del medio ambiente y el desarrollo económico era una sola cuestión para garantizar la supervivencia humana.</w:t>
      </w:r>
      <w:r>
        <w:rPr>
          <w:rFonts w:ascii="Arial Narrow" w:eastAsia="Arial Narrow" w:hAnsi="Arial Narrow" w:cs="Arial Narrow"/>
          <w:sz w:val="24"/>
          <w:szCs w:val="24"/>
          <w:vertAlign w:val="superscript"/>
        </w:rPr>
        <w:footnoteReference w:id="1"/>
      </w:r>
    </w:p>
    <w:p w14:paraId="66D05EE1"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Para el año 1985, se firma por 21 países el “</w:t>
      </w:r>
      <w:r>
        <w:rPr>
          <w:rFonts w:ascii="Arial Narrow" w:eastAsia="Arial Narrow" w:hAnsi="Arial Narrow" w:cs="Arial Narrow"/>
          <w:b/>
          <w:sz w:val="24"/>
          <w:szCs w:val="24"/>
        </w:rPr>
        <w:t>Convenio de Viena</w:t>
      </w:r>
      <w:r>
        <w:rPr>
          <w:rFonts w:ascii="Arial Narrow" w:eastAsia="Arial Narrow" w:hAnsi="Arial Narrow" w:cs="Arial Narrow"/>
          <w:sz w:val="24"/>
          <w:szCs w:val="24"/>
        </w:rPr>
        <w:t>” el cual se planteó, desde la perspectiva científica, el objetivo de “</w:t>
      </w:r>
      <w:r>
        <w:rPr>
          <w:rFonts w:ascii="Arial Narrow" w:eastAsia="Arial Narrow" w:hAnsi="Arial Narrow" w:cs="Arial Narrow"/>
          <w:sz w:val="24"/>
          <w:szCs w:val="24"/>
          <w:highlight w:val="white"/>
        </w:rPr>
        <w:t>investigar, compartir información y ejecutar medidas preventivas sobre la producción y las emisiones de las Sustancias Agot</w:t>
      </w:r>
      <w:r>
        <w:rPr>
          <w:rFonts w:ascii="Arial Narrow" w:eastAsia="Arial Narrow" w:hAnsi="Arial Narrow" w:cs="Arial Narrow"/>
          <w:sz w:val="24"/>
          <w:szCs w:val="24"/>
          <w:highlight w:val="white"/>
        </w:rPr>
        <w:t>adoras de la Capa de Ozono (SAO).”</w:t>
      </w:r>
      <w:r>
        <w:rPr>
          <w:rFonts w:ascii="Arial Narrow" w:eastAsia="Arial Narrow" w:hAnsi="Arial Narrow" w:cs="Arial Narrow"/>
          <w:sz w:val="24"/>
          <w:szCs w:val="24"/>
          <w:highlight w:val="white"/>
          <w:vertAlign w:val="superscript"/>
        </w:rPr>
        <w:footnoteReference w:id="2"/>
      </w:r>
      <w:r>
        <w:rPr>
          <w:rFonts w:ascii="Arial Narrow" w:eastAsia="Arial Narrow" w:hAnsi="Arial Narrow" w:cs="Arial Narrow"/>
          <w:sz w:val="24"/>
          <w:szCs w:val="24"/>
          <w:highlight w:val="white"/>
          <w:vertAlign w:val="superscript"/>
        </w:rPr>
        <w:t xml:space="preserve"> </w:t>
      </w:r>
      <w:r>
        <w:rPr>
          <w:rFonts w:ascii="Arial Narrow" w:eastAsia="Arial Narrow" w:hAnsi="Arial Narrow" w:cs="Arial Narrow"/>
          <w:sz w:val="24"/>
          <w:szCs w:val="24"/>
        </w:rPr>
        <w:t>Más tarde, 2 años después, se firma por 46 países uno de los más reconocidos protocolos respecto al cambio climático, el “</w:t>
      </w:r>
      <w:r>
        <w:rPr>
          <w:rFonts w:ascii="Arial Narrow" w:eastAsia="Arial Narrow" w:hAnsi="Arial Narrow" w:cs="Arial Narrow"/>
          <w:b/>
          <w:sz w:val="24"/>
          <w:szCs w:val="24"/>
        </w:rPr>
        <w:t>Protocolo de Montreal</w:t>
      </w:r>
      <w:r>
        <w:rPr>
          <w:rFonts w:ascii="Arial Narrow" w:eastAsia="Arial Narrow" w:hAnsi="Arial Narrow" w:cs="Arial Narrow"/>
          <w:sz w:val="24"/>
          <w:szCs w:val="24"/>
        </w:rPr>
        <w:t>”, establecido en 1987 y vigente desde 1989, donde se obliga a los países a</w:t>
      </w:r>
      <w:r>
        <w:rPr>
          <w:rFonts w:ascii="Arial Narrow" w:eastAsia="Arial Narrow" w:hAnsi="Arial Narrow" w:cs="Arial Narrow"/>
          <w:sz w:val="24"/>
          <w:szCs w:val="24"/>
          <w:highlight w:val="white"/>
        </w:rPr>
        <w:t xml:space="preserve"> </w:t>
      </w:r>
      <w:r>
        <w:rPr>
          <w:rFonts w:ascii="Arial Narrow" w:eastAsia="Arial Narrow" w:hAnsi="Arial Narrow" w:cs="Arial Narrow"/>
          <w:sz w:val="24"/>
          <w:szCs w:val="24"/>
          <w:highlight w:val="white"/>
        </w:rPr>
        <w:t>“cumplir con los calendarios de congelación y eliminación de la producción y consumo de SAO y prohibir el comercio con los países que no son Partes en el Protocolo”</w:t>
      </w:r>
      <w:r>
        <w:rPr>
          <w:rFonts w:ascii="Arial Narrow" w:eastAsia="Arial Narrow" w:hAnsi="Arial Narrow" w:cs="Arial Narrow"/>
          <w:sz w:val="24"/>
          <w:szCs w:val="24"/>
          <w:highlight w:val="white"/>
          <w:vertAlign w:val="superscript"/>
        </w:rPr>
        <w:footnoteReference w:id="3"/>
      </w:r>
    </w:p>
    <w:p w14:paraId="62D4CDFB" w14:textId="77777777" w:rsidR="00F87376" w:rsidRDefault="00C13B6C">
      <w:pPr>
        <w:spacing w:before="240" w:after="240"/>
        <w:jc w:val="both"/>
        <w:rPr>
          <w:rFonts w:ascii="Arial Narrow" w:eastAsia="Arial Narrow" w:hAnsi="Arial Narrow" w:cs="Arial Narrow"/>
          <w:sz w:val="24"/>
          <w:szCs w:val="24"/>
        </w:rPr>
      </w:pPr>
      <w:bookmarkStart w:id="0" w:name="_heading=h.1fob9te" w:colFirst="0" w:colLast="0"/>
      <w:bookmarkEnd w:id="0"/>
      <w:r>
        <w:rPr>
          <w:rFonts w:ascii="Arial Narrow" w:eastAsia="Arial Narrow" w:hAnsi="Arial Narrow" w:cs="Arial Narrow"/>
          <w:sz w:val="24"/>
          <w:szCs w:val="24"/>
          <w:highlight w:val="white"/>
        </w:rPr>
        <w:t>En 1985 el Programa de las Naciones Unidas por el medio ambiente (PNUMA) y la organizació</w:t>
      </w:r>
      <w:r>
        <w:rPr>
          <w:rFonts w:ascii="Arial Narrow" w:eastAsia="Arial Narrow" w:hAnsi="Arial Narrow" w:cs="Arial Narrow"/>
          <w:sz w:val="24"/>
          <w:szCs w:val="24"/>
          <w:highlight w:val="white"/>
        </w:rPr>
        <w:t>n meteorológica mundial (OMM) organizaron el 1er “</w:t>
      </w:r>
      <w:r>
        <w:rPr>
          <w:rFonts w:ascii="Arial Narrow" w:eastAsia="Arial Narrow" w:hAnsi="Arial Narrow" w:cs="Arial Narrow"/>
          <w:b/>
          <w:sz w:val="24"/>
          <w:szCs w:val="24"/>
          <w:highlight w:val="white"/>
        </w:rPr>
        <w:t>Panel Intergubernamental de Cambio Climático IPCC”</w:t>
      </w:r>
      <w:r>
        <w:rPr>
          <w:rFonts w:ascii="Arial Narrow" w:eastAsia="Arial Narrow" w:hAnsi="Arial Narrow" w:cs="Arial Narrow"/>
          <w:sz w:val="24"/>
          <w:szCs w:val="24"/>
        </w:rPr>
        <w:t xml:space="preserve"> donde convergen científicos y expertos para evaluar la situación y los impactos económicos, sociales y ambientales del cambio climático y así, establecer n</w:t>
      </w:r>
      <w:r>
        <w:rPr>
          <w:rFonts w:ascii="Arial Narrow" w:eastAsia="Arial Narrow" w:hAnsi="Arial Narrow" w:cs="Arial Narrow"/>
          <w:sz w:val="24"/>
          <w:szCs w:val="24"/>
        </w:rPr>
        <w:t>uevas políticas que serían implementadas por los países vinculados.</w:t>
      </w:r>
    </w:p>
    <w:p w14:paraId="18EF0AC6" w14:textId="77777777" w:rsidR="00F87376" w:rsidRDefault="00C13B6C">
      <w:pPr>
        <w:spacing w:before="240" w:after="240"/>
        <w:jc w:val="both"/>
        <w:rPr>
          <w:rFonts w:ascii="Arial Narrow" w:eastAsia="Arial Narrow" w:hAnsi="Arial Narrow" w:cs="Arial Narrow"/>
          <w:i/>
          <w:sz w:val="24"/>
          <w:szCs w:val="24"/>
        </w:rPr>
      </w:pPr>
      <w:r>
        <w:rPr>
          <w:rFonts w:ascii="Arial Narrow" w:eastAsia="Arial Narrow" w:hAnsi="Arial Narrow" w:cs="Arial Narrow"/>
          <w:sz w:val="24"/>
          <w:szCs w:val="24"/>
        </w:rPr>
        <w:t>Entrada la década de los 90´s, el cambio climático cobra un interés especial a tal punto que, en 1992, se establece el “</w:t>
      </w:r>
      <w:r>
        <w:rPr>
          <w:rFonts w:ascii="Arial Narrow" w:eastAsia="Arial Narrow" w:hAnsi="Arial Narrow" w:cs="Arial Narrow"/>
          <w:b/>
          <w:sz w:val="24"/>
          <w:szCs w:val="24"/>
        </w:rPr>
        <w:t>Convención Marco de las Naciones Unidas sobre Cambio Climático (CMNU</w:t>
      </w:r>
      <w:r>
        <w:rPr>
          <w:rFonts w:ascii="Arial Narrow" w:eastAsia="Arial Narrow" w:hAnsi="Arial Narrow" w:cs="Arial Narrow"/>
          <w:b/>
          <w:sz w:val="24"/>
          <w:szCs w:val="24"/>
        </w:rPr>
        <w:t>CC)</w:t>
      </w:r>
      <w:r>
        <w:rPr>
          <w:rFonts w:ascii="Arial Narrow" w:eastAsia="Arial Narrow" w:hAnsi="Arial Narrow" w:cs="Arial Narrow"/>
          <w:sz w:val="24"/>
          <w:szCs w:val="24"/>
        </w:rPr>
        <w:t xml:space="preserve">” que tiene </w:t>
      </w:r>
      <w:r>
        <w:rPr>
          <w:rFonts w:ascii="Arial Narrow" w:eastAsia="Arial Narrow" w:hAnsi="Arial Narrow" w:cs="Arial Narrow"/>
          <w:sz w:val="24"/>
          <w:szCs w:val="24"/>
        </w:rPr>
        <w:lastRenderedPageBreak/>
        <w:t>como principal objetivo “la estabilización de las concentraciones de gases de efecto invernadero en la atmósfera a un nivel que impida interferencias de las actividades humanas peligrosas en el sistema climático. Ese nivel debería lograrse e</w:t>
      </w:r>
      <w:r>
        <w:rPr>
          <w:rFonts w:ascii="Arial Narrow" w:eastAsia="Arial Narrow" w:hAnsi="Arial Narrow" w:cs="Arial Narrow"/>
          <w:sz w:val="24"/>
          <w:szCs w:val="24"/>
        </w:rPr>
        <w:t>n un plazo suficiente para permitir que los ecosistemas se adapten naturalmente al cambio climático, asegurando que la producción de alimentos no se vea amenazada, permitiendo que el desarrollo económico prosiga de manera sostenible”</w:t>
      </w:r>
      <w:r>
        <w:rPr>
          <w:rFonts w:ascii="Arial Narrow" w:eastAsia="Arial Narrow" w:hAnsi="Arial Narrow" w:cs="Arial Narrow"/>
          <w:sz w:val="24"/>
          <w:szCs w:val="24"/>
          <w:vertAlign w:val="superscript"/>
        </w:rPr>
        <w:footnoteReference w:id="4"/>
      </w:r>
      <w:r>
        <w:rPr>
          <w:rFonts w:ascii="Arial Narrow" w:eastAsia="Arial Narrow" w:hAnsi="Arial Narrow" w:cs="Arial Narrow"/>
          <w:i/>
          <w:sz w:val="24"/>
          <w:szCs w:val="24"/>
        </w:rPr>
        <w:t>.</w:t>
      </w:r>
    </w:p>
    <w:p w14:paraId="257D19AF"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Anexas a la convenc</w:t>
      </w:r>
      <w:r>
        <w:rPr>
          <w:rFonts w:ascii="Arial Narrow" w:eastAsia="Arial Narrow" w:hAnsi="Arial Narrow" w:cs="Arial Narrow"/>
          <w:sz w:val="24"/>
          <w:szCs w:val="24"/>
        </w:rPr>
        <w:t xml:space="preserve">ión se crean las “conferencias de las partes” (COP) que se constituyó en el órgano supremo de la convención donde los países miembros promueven la aplicación de la convención por medio de instrumentos jurídicos y acuerdos institucionales. </w:t>
      </w:r>
    </w:p>
    <w:p w14:paraId="4B4F1A8D" w14:textId="77777777" w:rsidR="00F87376" w:rsidRDefault="00C13B6C">
      <w:pPr>
        <w:spacing w:before="240" w:after="240"/>
        <w:jc w:val="both"/>
        <w:rPr>
          <w:rFonts w:ascii="Arial Narrow" w:eastAsia="Arial Narrow" w:hAnsi="Arial Narrow" w:cs="Arial Narrow"/>
          <w:sz w:val="24"/>
          <w:szCs w:val="24"/>
        </w:rPr>
      </w:pPr>
      <w:bookmarkStart w:id="1" w:name="_heading=h.3znysh7" w:colFirst="0" w:colLast="0"/>
      <w:bookmarkEnd w:id="1"/>
      <w:r>
        <w:rPr>
          <w:rFonts w:ascii="Arial Narrow" w:eastAsia="Arial Narrow" w:hAnsi="Arial Narrow" w:cs="Arial Narrow"/>
          <w:sz w:val="24"/>
          <w:szCs w:val="24"/>
        </w:rPr>
        <w:t>En ese mismo año</w:t>
      </w:r>
      <w:r>
        <w:rPr>
          <w:rFonts w:ascii="Arial Narrow" w:eastAsia="Arial Narrow" w:hAnsi="Arial Narrow" w:cs="Arial Narrow"/>
          <w:sz w:val="24"/>
          <w:szCs w:val="24"/>
        </w:rPr>
        <w:t>, 1992, se da la famosa “</w:t>
      </w:r>
      <w:r>
        <w:rPr>
          <w:rFonts w:ascii="Arial Narrow" w:eastAsia="Arial Narrow" w:hAnsi="Arial Narrow" w:cs="Arial Narrow"/>
          <w:b/>
          <w:sz w:val="24"/>
          <w:szCs w:val="24"/>
        </w:rPr>
        <w:t>Cumbre de la Tierra Río 92</w:t>
      </w:r>
      <w:r>
        <w:rPr>
          <w:rFonts w:ascii="Arial Narrow" w:eastAsia="Arial Narrow" w:hAnsi="Arial Narrow" w:cs="Arial Narrow"/>
          <w:sz w:val="24"/>
          <w:szCs w:val="24"/>
        </w:rPr>
        <w:t>” donde se reunieron representantes de 172 países, así como más de 400 representantes de las Organizaciones No Gubernamentales - ONG, para realizar seguimiento a temas de desarrollo sostenible, salud, biodiversidad, cambio climático y otros.</w:t>
      </w:r>
    </w:p>
    <w:p w14:paraId="34BA741B"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Ya para 1997 s</w:t>
      </w:r>
      <w:r>
        <w:rPr>
          <w:rFonts w:ascii="Arial Narrow" w:eastAsia="Arial Narrow" w:hAnsi="Arial Narrow" w:cs="Arial Narrow"/>
          <w:sz w:val="24"/>
          <w:szCs w:val="24"/>
        </w:rPr>
        <w:t>e adopta el</w:t>
      </w:r>
      <w:r>
        <w:rPr>
          <w:rFonts w:ascii="Arial Narrow" w:eastAsia="Arial Narrow" w:hAnsi="Arial Narrow" w:cs="Arial Narrow"/>
          <w:b/>
          <w:sz w:val="24"/>
          <w:szCs w:val="24"/>
          <w:highlight w:val="white"/>
        </w:rPr>
        <w:t xml:space="preserve"> “Protocolo de Kioto”</w:t>
      </w:r>
      <w:r>
        <w:rPr>
          <w:rFonts w:ascii="Arial Narrow" w:eastAsia="Arial Narrow" w:hAnsi="Arial Narrow" w:cs="Arial Narrow"/>
          <w:sz w:val="24"/>
          <w:szCs w:val="24"/>
          <w:highlight w:val="white"/>
        </w:rPr>
        <w:t xml:space="preserve"> reconocido acuerdo mundial que plantea la necesidad de reducción de emisiones y vincularlo al desarrollo económico de cada país, es decir, si no se logran los objetivos de reducción, estos países deberán financiar las reduc</w:t>
      </w:r>
      <w:r>
        <w:rPr>
          <w:rFonts w:ascii="Arial Narrow" w:eastAsia="Arial Narrow" w:hAnsi="Arial Narrow" w:cs="Arial Narrow"/>
          <w:sz w:val="24"/>
          <w:szCs w:val="24"/>
          <w:highlight w:val="white"/>
        </w:rPr>
        <w:t>ciones de emisiones de otros Estados. Más adelante, se publicaría el “</w:t>
      </w:r>
      <w:r>
        <w:rPr>
          <w:rFonts w:ascii="Arial Narrow" w:eastAsia="Arial Narrow" w:hAnsi="Arial Narrow" w:cs="Arial Narrow"/>
          <w:b/>
          <w:sz w:val="24"/>
          <w:szCs w:val="24"/>
          <w:highlight w:val="white"/>
        </w:rPr>
        <w:t xml:space="preserve">informe Stern” </w:t>
      </w:r>
      <w:r>
        <w:rPr>
          <w:rFonts w:ascii="Arial Narrow" w:eastAsia="Arial Narrow" w:hAnsi="Arial Narrow" w:cs="Arial Narrow"/>
          <w:sz w:val="24"/>
          <w:szCs w:val="24"/>
          <w:highlight w:val="white"/>
        </w:rPr>
        <w:t>que trataba de la economía del cambio climático, analizando los impactos que generamos y que podrían sobrevenir en los escenarios futuros bastante críticos, donde se revel</w:t>
      </w:r>
      <w:r>
        <w:rPr>
          <w:rFonts w:ascii="Arial Narrow" w:eastAsia="Arial Narrow" w:hAnsi="Arial Narrow" w:cs="Arial Narrow"/>
          <w:sz w:val="24"/>
          <w:szCs w:val="24"/>
          <w:highlight w:val="white"/>
        </w:rPr>
        <w:t>an datos como la pérdida del 20% del PIB Mundial debido al cambio climático.</w:t>
      </w:r>
    </w:p>
    <w:p w14:paraId="70050453" w14:textId="77777777" w:rsidR="00F87376" w:rsidRDefault="00C13B6C">
      <w:pPr>
        <w:spacing w:before="240" w:after="240"/>
        <w:jc w:val="both"/>
        <w:rPr>
          <w:rFonts w:ascii="Arial Narrow" w:eastAsia="Arial Narrow" w:hAnsi="Arial Narrow" w:cs="Arial Narrow"/>
          <w:i/>
          <w:sz w:val="24"/>
          <w:szCs w:val="24"/>
        </w:rPr>
      </w:pPr>
      <w:r>
        <w:rPr>
          <w:rFonts w:ascii="Arial Narrow" w:eastAsia="Arial Narrow" w:hAnsi="Arial Narrow" w:cs="Arial Narrow"/>
          <w:sz w:val="24"/>
          <w:szCs w:val="24"/>
          <w:highlight w:val="white"/>
        </w:rPr>
        <w:t>“</w:t>
      </w:r>
      <w:r>
        <w:rPr>
          <w:rFonts w:ascii="Arial Narrow" w:eastAsia="Arial Narrow" w:hAnsi="Arial Narrow" w:cs="Arial Narrow"/>
          <w:sz w:val="24"/>
          <w:szCs w:val="24"/>
        </w:rPr>
        <w:t xml:space="preserve">Durante mucho tiempo se discutió la existencia del calentamiento global, luego el origen antropogénico y ahora la principal cuestión pendiente es si nos podemos permitir mitigar </w:t>
      </w:r>
      <w:r>
        <w:rPr>
          <w:rFonts w:ascii="Arial Narrow" w:eastAsia="Arial Narrow" w:hAnsi="Arial Narrow" w:cs="Arial Narrow"/>
          <w:sz w:val="24"/>
          <w:szCs w:val="24"/>
        </w:rPr>
        <w:t>el cambio climático y cuánto esfuerzo nos interesa invertir en este proceso. Es decir, nos queda alcanzar el necesario consenso en torno a la economía del cambio climático.”</w:t>
      </w:r>
      <w:r>
        <w:rPr>
          <w:rFonts w:ascii="Arial Narrow" w:eastAsia="Arial Narrow" w:hAnsi="Arial Narrow" w:cs="Arial Narrow"/>
          <w:sz w:val="24"/>
          <w:szCs w:val="24"/>
          <w:vertAlign w:val="superscript"/>
        </w:rPr>
        <w:footnoteReference w:id="5"/>
      </w:r>
    </w:p>
    <w:p w14:paraId="0B83E02A"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El informe anterior, rápidamente llamó la atención de la comunidad internacional</w:t>
      </w:r>
      <w:r>
        <w:rPr>
          <w:rFonts w:ascii="Arial Narrow" w:eastAsia="Arial Narrow" w:hAnsi="Arial Narrow" w:cs="Arial Narrow"/>
          <w:sz w:val="24"/>
          <w:szCs w:val="24"/>
        </w:rPr>
        <w:t xml:space="preserve"> y fue en 2010, en el marco de la Conferencia de las Partes COP16, que se dieron los denominados “</w:t>
      </w:r>
      <w:r>
        <w:rPr>
          <w:rFonts w:ascii="Arial Narrow" w:eastAsia="Arial Narrow" w:hAnsi="Arial Narrow" w:cs="Arial Narrow"/>
          <w:b/>
          <w:sz w:val="24"/>
          <w:szCs w:val="24"/>
        </w:rPr>
        <w:t xml:space="preserve">Acuerdos de Cancún” </w:t>
      </w:r>
      <w:r>
        <w:rPr>
          <w:rFonts w:ascii="Arial Narrow" w:eastAsia="Arial Narrow" w:hAnsi="Arial Narrow" w:cs="Arial Narrow"/>
          <w:sz w:val="24"/>
          <w:szCs w:val="24"/>
        </w:rPr>
        <w:t>en los cuales se busca disminuir el incremento de la temperatura, fortalecer la transferencia de tecnología, optar por un marco de adaptac</w:t>
      </w:r>
      <w:r>
        <w:rPr>
          <w:rFonts w:ascii="Arial Narrow" w:eastAsia="Arial Narrow" w:hAnsi="Arial Narrow" w:cs="Arial Narrow"/>
          <w:sz w:val="24"/>
          <w:szCs w:val="24"/>
        </w:rPr>
        <w:t>ión al Cambio Climático y poner en marcha el Fondo Verde para el clima.</w:t>
      </w:r>
    </w:p>
    <w:p w14:paraId="5D3B500C"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Además de lo anterior, se comienza a revelar las vulnerabilidades económicas y sociales generadas por el cambio climático y la necesidad de crear instituciones que estudien, diseñen, g</w:t>
      </w:r>
      <w:r>
        <w:rPr>
          <w:rFonts w:ascii="Arial Narrow" w:eastAsia="Arial Narrow" w:hAnsi="Arial Narrow" w:cs="Arial Narrow"/>
          <w:sz w:val="24"/>
          <w:szCs w:val="24"/>
          <w:highlight w:val="white"/>
        </w:rPr>
        <w:t xml:space="preserve">estionen y ejecuten iniciativas </w:t>
      </w:r>
      <w:r>
        <w:rPr>
          <w:rFonts w:ascii="Arial Narrow" w:eastAsia="Arial Narrow" w:hAnsi="Arial Narrow" w:cs="Arial Narrow"/>
          <w:sz w:val="24"/>
          <w:szCs w:val="24"/>
          <w:highlight w:val="white"/>
        </w:rPr>
        <w:lastRenderedPageBreak/>
        <w:t xml:space="preserve">para contribuir a la calidad de vida, crecimiento económico y erradicación de la pobreza, bajo el paradigma de la sustentabilidad. </w:t>
      </w:r>
    </w:p>
    <w:p w14:paraId="477ABD51"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En el 2012, se lleva a cabo la “</w:t>
      </w:r>
      <w:r>
        <w:rPr>
          <w:rFonts w:ascii="Arial Narrow" w:eastAsia="Arial Narrow" w:hAnsi="Arial Narrow" w:cs="Arial Narrow"/>
          <w:b/>
          <w:sz w:val="24"/>
          <w:szCs w:val="24"/>
          <w:highlight w:val="white"/>
        </w:rPr>
        <w:t>Cumbre Río + 20”</w:t>
      </w:r>
      <w:r>
        <w:rPr>
          <w:rFonts w:ascii="Arial Narrow" w:eastAsia="Arial Narrow" w:hAnsi="Arial Narrow" w:cs="Arial Narrow"/>
          <w:sz w:val="24"/>
          <w:szCs w:val="24"/>
          <w:highlight w:val="white"/>
        </w:rPr>
        <w:t xml:space="preserve"> o también conocida como La Conferencia de N</w:t>
      </w:r>
      <w:r>
        <w:rPr>
          <w:rFonts w:ascii="Arial Narrow" w:eastAsia="Arial Narrow" w:hAnsi="Arial Narrow" w:cs="Arial Narrow"/>
          <w:sz w:val="24"/>
          <w:szCs w:val="24"/>
          <w:highlight w:val="white"/>
        </w:rPr>
        <w:t>aciones Unidas Sobre Desarrollo Sustentable, con el principal objetivo de “asegurar un compromiso político renovado con el desarrollo sostenible, evaluar los progresos realizados hasta el momento y las brechas que aún existen en la aplicación de los result</w:t>
      </w:r>
      <w:r>
        <w:rPr>
          <w:rFonts w:ascii="Arial Narrow" w:eastAsia="Arial Narrow" w:hAnsi="Arial Narrow" w:cs="Arial Narrow"/>
          <w:sz w:val="24"/>
          <w:szCs w:val="24"/>
          <w:highlight w:val="white"/>
        </w:rPr>
        <w:t>ados de las reuniones clave en el desarrollo sostenible, así como hacer frente a nuevos desafíos.”</w:t>
      </w:r>
      <w:r>
        <w:rPr>
          <w:rFonts w:ascii="Arial Narrow" w:eastAsia="Arial Narrow" w:hAnsi="Arial Narrow" w:cs="Arial Narrow"/>
          <w:sz w:val="24"/>
          <w:szCs w:val="24"/>
          <w:highlight w:val="white"/>
          <w:vertAlign w:val="superscript"/>
        </w:rPr>
        <w:footnoteReference w:id="6"/>
      </w:r>
      <w:r>
        <w:rPr>
          <w:rFonts w:ascii="Arial Narrow" w:eastAsia="Arial Narrow" w:hAnsi="Arial Narrow" w:cs="Arial Narrow"/>
          <w:sz w:val="24"/>
          <w:szCs w:val="24"/>
          <w:highlight w:val="white"/>
        </w:rPr>
        <w:t xml:space="preserve"> donde se destaca la gestión del riesgo, la economía verde y la erradicación de la pobreza con enfoque territorial. </w:t>
      </w:r>
    </w:p>
    <w:p w14:paraId="4ABDA7EA" w14:textId="77777777" w:rsidR="00F87376" w:rsidRDefault="00C13B6C">
      <w:pPr>
        <w:spacing w:before="240" w:after="240"/>
        <w:jc w:val="both"/>
        <w:rPr>
          <w:rFonts w:ascii="Arial Narrow" w:eastAsia="Arial Narrow" w:hAnsi="Arial Narrow" w:cs="Arial Narrow"/>
          <w:i/>
          <w:color w:val="595959"/>
          <w:sz w:val="24"/>
          <w:szCs w:val="24"/>
        </w:rPr>
      </w:pPr>
      <w:r>
        <w:rPr>
          <w:rFonts w:ascii="Arial Narrow" w:eastAsia="Arial Narrow" w:hAnsi="Arial Narrow" w:cs="Arial Narrow"/>
          <w:sz w:val="24"/>
          <w:szCs w:val="24"/>
          <w:highlight w:val="white"/>
        </w:rPr>
        <w:t>Tres años más tarde, en el 2015, se die</w:t>
      </w:r>
      <w:r>
        <w:rPr>
          <w:rFonts w:ascii="Arial Narrow" w:eastAsia="Arial Narrow" w:hAnsi="Arial Narrow" w:cs="Arial Narrow"/>
          <w:sz w:val="24"/>
          <w:szCs w:val="24"/>
          <w:highlight w:val="white"/>
        </w:rPr>
        <w:t>ron cita en la “</w:t>
      </w:r>
      <w:r>
        <w:rPr>
          <w:rFonts w:ascii="Arial Narrow" w:eastAsia="Arial Narrow" w:hAnsi="Arial Narrow" w:cs="Arial Narrow"/>
          <w:b/>
          <w:sz w:val="24"/>
          <w:szCs w:val="24"/>
          <w:highlight w:val="white"/>
        </w:rPr>
        <w:t>Conferencia de París</w:t>
      </w:r>
      <w:r>
        <w:rPr>
          <w:rFonts w:ascii="Arial Narrow" w:eastAsia="Arial Narrow" w:hAnsi="Arial Narrow" w:cs="Arial Narrow"/>
          <w:sz w:val="24"/>
          <w:szCs w:val="24"/>
          <w:highlight w:val="white"/>
        </w:rPr>
        <w:t>” la gran mayoría de países del mundo con un objetivo claro: mantener los niveles de temperatura por debajo de los 2°C y definir acciones que contengan el aumento de la temperatura en 1,5°C. Además de esto, se define una</w:t>
      </w:r>
      <w:r>
        <w:rPr>
          <w:rFonts w:ascii="Arial Narrow" w:eastAsia="Arial Narrow" w:hAnsi="Arial Narrow" w:cs="Arial Narrow"/>
          <w:sz w:val="24"/>
          <w:szCs w:val="24"/>
          <w:highlight w:val="white"/>
        </w:rPr>
        <w:t xml:space="preserve"> agenda institucional, financiera y gubernamental de la lucha contra el cambio climático explicada en la siguiente imagen: </w:t>
      </w:r>
    </w:p>
    <w:p w14:paraId="68DF8D87" w14:textId="77777777" w:rsidR="00F87376" w:rsidRDefault="00C13B6C">
      <w:pPr>
        <w:spacing w:before="240" w:after="0"/>
        <w:jc w:val="center"/>
        <w:rPr>
          <w:rFonts w:ascii="Arial Narrow" w:eastAsia="Arial Narrow" w:hAnsi="Arial Narrow" w:cs="Arial Narrow"/>
          <w:sz w:val="24"/>
          <w:szCs w:val="24"/>
        </w:rPr>
      </w:pPr>
      <w:r>
        <w:rPr>
          <w:rFonts w:ascii="Arial Narrow" w:eastAsia="Arial Narrow" w:hAnsi="Arial Narrow" w:cs="Arial Narrow"/>
          <w:noProof/>
          <w:sz w:val="24"/>
          <w:szCs w:val="24"/>
        </w:rPr>
        <w:drawing>
          <wp:inline distT="0" distB="0" distL="0" distR="0" wp14:anchorId="6696807F" wp14:editId="36CC7D53">
            <wp:extent cx="5714353" cy="3669150"/>
            <wp:effectExtent l="0" t="0" r="0" b="0"/>
            <wp:docPr id="75" name="image1.jpg" descr="Las 10 claves más importantes del Acuerdo de París - EFEverde"/>
            <wp:cNvGraphicFramePr/>
            <a:graphic xmlns:a="http://schemas.openxmlformats.org/drawingml/2006/main">
              <a:graphicData uri="http://schemas.openxmlformats.org/drawingml/2006/picture">
                <pic:pic xmlns:pic="http://schemas.openxmlformats.org/drawingml/2006/picture">
                  <pic:nvPicPr>
                    <pic:cNvPr id="0" name="image1.jpg" descr="Las 10 claves más importantes del Acuerdo de París - EFEverde"/>
                    <pic:cNvPicPr preferRelativeResize="0"/>
                  </pic:nvPicPr>
                  <pic:blipFill>
                    <a:blip r:embed="rId8"/>
                    <a:srcRect/>
                    <a:stretch>
                      <a:fillRect/>
                    </a:stretch>
                  </pic:blipFill>
                  <pic:spPr>
                    <a:xfrm>
                      <a:off x="0" y="0"/>
                      <a:ext cx="5714353" cy="3669150"/>
                    </a:xfrm>
                    <a:prstGeom prst="rect">
                      <a:avLst/>
                    </a:prstGeom>
                    <a:ln/>
                  </pic:spPr>
                </pic:pic>
              </a:graphicData>
            </a:graphic>
          </wp:inline>
        </w:drawing>
      </w:r>
    </w:p>
    <w:p w14:paraId="634565DB" w14:textId="77777777" w:rsidR="00F87376" w:rsidRDefault="00C13B6C">
      <w:pPr>
        <w:spacing w:after="240"/>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Fuente:</w:t>
      </w:r>
      <w:r>
        <w:rPr>
          <w:rFonts w:ascii="Arial Narrow" w:eastAsia="Arial Narrow" w:hAnsi="Arial Narrow" w:cs="Arial Narrow"/>
          <w:sz w:val="24"/>
          <w:szCs w:val="24"/>
        </w:rPr>
        <w:t xml:space="preserve"> Las 10 claves más importantes del Acuerdo de París. EFE Verde.</w:t>
      </w:r>
      <w:r>
        <w:rPr>
          <w:rFonts w:ascii="Arial Narrow" w:eastAsia="Arial Narrow" w:hAnsi="Arial Narrow" w:cs="Arial Narrow"/>
          <w:sz w:val="24"/>
          <w:szCs w:val="24"/>
          <w:vertAlign w:val="superscript"/>
        </w:rPr>
        <w:footnoteReference w:id="7"/>
      </w:r>
    </w:p>
    <w:p w14:paraId="78617F63" w14:textId="77777777" w:rsidR="00F87376" w:rsidRDefault="00C13B6C">
      <w:pPr>
        <w:spacing w:before="240" w:after="240"/>
        <w:jc w:val="both"/>
        <w:rPr>
          <w:rFonts w:ascii="Arial Narrow" w:eastAsia="Arial Narrow" w:hAnsi="Arial Narrow" w:cs="Arial Narrow"/>
          <w:sz w:val="24"/>
          <w:szCs w:val="24"/>
          <w:highlight w:val="white"/>
        </w:rPr>
      </w:pPr>
      <w:bookmarkStart w:id="2" w:name="_heading=h.2et92p0" w:colFirst="0" w:colLast="0"/>
      <w:bookmarkEnd w:id="2"/>
      <w:r>
        <w:rPr>
          <w:rFonts w:ascii="Arial Narrow" w:eastAsia="Arial Narrow" w:hAnsi="Arial Narrow" w:cs="Arial Narrow"/>
          <w:sz w:val="24"/>
          <w:szCs w:val="24"/>
          <w:highlight w:val="white"/>
        </w:rPr>
        <w:t>En el mismo año se aprueba la “Agenda 2030” un periodo de tiempo en el cual se busca establecer los 17 objetivos del desarrollo sostenible, especialmente el número 13 “acción por el clima” q</w:t>
      </w:r>
      <w:r>
        <w:rPr>
          <w:rFonts w:ascii="Arial Narrow" w:eastAsia="Arial Narrow" w:hAnsi="Arial Narrow" w:cs="Arial Narrow"/>
          <w:sz w:val="24"/>
          <w:szCs w:val="24"/>
          <w:highlight w:val="white"/>
        </w:rPr>
        <w:t>ue tiene como objetivo principal adoptar medidas urgentes para combatir el cambio climático y sus efectos, así como fortalecer la capacidad de adaptación a los desastres derivados de fenómenos naturales.</w:t>
      </w:r>
    </w:p>
    <w:p w14:paraId="4F60EA55" w14:textId="77777777" w:rsidR="00F87376" w:rsidRDefault="00C13B6C">
      <w:pPr>
        <w:spacing w:before="240" w:after="240"/>
        <w:jc w:val="both"/>
        <w:rPr>
          <w:rFonts w:ascii="Arial Narrow" w:eastAsia="Arial Narrow" w:hAnsi="Arial Narrow" w:cs="Arial Narrow"/>
          <w:b/>
          <w:sz w:val="24"/>
          <w:szCs w:val="24"/>
        </w:rPr>
      </w:pPr>
      <w:r>
        <w:rPr>
          <w:rFonts w:ascii="Arial Narrow" w:eastAsia="Arial Narrow" w:hAnsi="Arial Narrow" w:cs="Arial Narrow"/>
          <w:sz w:val="24"/>
          <w:szCs w:val="24"/>
          <w:highlight w:val="white"/>
        </w:rPr>
        <w:t>Para facilitar la implementación del Acuerdo de Parí</w:t>
      </w:r>
      <w:r>
        <w:rPr>
          <w:rFonts w:ascii="Arial Narrow" w:eastAsia="Arial Narrow" w:hAnsi="Arial Narrow" w:cs="Arial Narrow"/>
          <w:sz w:val="24"/>
          <w:szCs w:val="24"/>
          <w:highlight w:val="white"/>
        </w:rPr>
        <w:t>s, se realiza la cumbre climática 2018 o “Conferencia de Katowice” en la cual se crea el comité que promueve el cumplimiento de lo acordado en 2015 y proyecta una evaluación en el 2023 para el balance mundial respecto a las obligaciones del acuerdo. Finalm</w:t>
      </w:r>
      <w:r>
        <w:rPr>
          <w:rFonts w:ascii="Arial Narrow" w:eastAsia="Arial Narrow" w:hAnsi="Arial Narrow" w:cs="Arial Narrow"/>
          <w:sz w:val="24"/>
          <w:szCs w:val="24"/>
          <w:highlight w:val="white"/>
        </w:rPr>
        <w:t>ente, en 2019 entra en vigencia la 5ta enmienda del Protocolo de Montreal con la llamada “</w:t>
      </w:r>
      <w:r>
        <w:rPr>
          <w:rFonts w:ascii="Arial Narrow" w:eastAsia="Arial Narrow" w:hAnsi="Arial Narrow" w:cs="Arial Narrow"/>
          <w:b/>
          <w:sz w:val="24"/>
          <w:szCs w:val="24"/>
          <w:highlight w:val="white"/>
        </w:rPr>
        <w:t>Enmienda de Kigali</w:t>
      </w:r>
      <w:r>
        <w:rPr>
          <w:rFonts w:ascii="Arial Narrow" w:eastAsia="Arial Narrow" w:hAnsi="Arial Narrow" w:cs="Arial Narrow"/>
          <w:sz w:val="24"/>
          <w:szCs w:val="24"/>
          <w:highlight w:val="white"/>
        </w:rPr>
        <w:t>” donde se plantea una serie postura de la transición energética guiada a la reducción del uso y producción de combustibles fósiles e hidrofluorocar</w:t>
      </w:r>
      <w:r>
        <w:rPr>
          <w:rFonts w:ascii="Arial Narrow" w:eastAsia="Arial Narrow" w:hAnsi="Arial Narrow" w:cs="Arial Narrow"/>
          <w:sz w:val="24"/>
          <w:szCs w:val="24"/>
          <w:highlight w:val="white"/>
        </w:rPr>
        <w:t xml:space="preserve">bonos (HFC), catalogados como la principal causa del calentamiento global superando por 10.000 veces al dióxido de carbono Co2 y se dictan medidas por grupo de países para su disminución. </w:t>
      </w:r>
    </w:p>
    <w:p w14:paraId="540A91F9" w14:textId="77777777" w:rsidR="00F87376" w:rsidRDefault="00F87376">
      <w:pPr>
        <w:spacing w:after="0"/>
        <w:ind w:left="720"/>
        <w:jc w:val="both"/>
        <w:rPr>
          <w:rFonts w:ascii="Arial Narrow" w:eastAsia="Arial Narrow" w:hAnsi="Arial Narrow" w:cs="Arial Narrow"/>
          <w:b/>
          <w:sz w:val="24"/>
          <w:szCs w:val="24"/>
        </w:rPr>
      </w:pPr>
    </w:p>
    <w:p w14:paraId="348EE828" w14:textId="77777777" w:rsidR="00F87376" w:rsidRDefault="00C13B6C">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II.1 CONSTITUCIONALES</w:t>
      </w:r>
    </w:p>
    <w:p w14:paraId="696D132E" w14:textId="77777777" w:rsidR="00F87376" w:rsidRDefault="00F87376">
      <w:pPr>
        <w:spacing w:after="0"/>
        <w:jc w:val="both"/>
        <w:rPr>
          <w:rFonts w:ascii="Arial Narrow" w:eastAsia="Arial Narrow" w:hAnsi="Arial Narrow" w:cs="Arial Narrow"/>
          <w:b/>
          <w:sz w:val="24"/>
          <w:szCs w:val="24"/>
        </w:rPr>
      </w:pPr>
    </w:p>
    <w:p w14:paraId="1885C4F3"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Capítulo III: De los derechos colectivos y del medio ambiente, </w:t>
      </w:r>
      <w:r>
        <w:rPr>
          <w:rFonts w:ascii="Arial Narrow" w:eastAsia="Arial Narrow" w:hAnsi="Arial Narrow" w:cs="Arial Narrow"/>
          <w:sz w:val="24"/>
          <w:szCs w:val="24"/>
        </w:rPr>
        <w:t>en su artículo 79, indica que:</w:t>
      </w:r>
    </w:p>
    <w:p w14:paraId="5EE14DB5" w14:textId="77777777" w:rsidR="00F87376" w:rsidRDefault="00F87376">
      <w:pPr>
        <w:spacing w:after="0"/>
        <w:jc w:val="both"/>
        <w:rPr>
          <w:rFonts w:ascii="Arial Narrow" w:eastAsia="Arial Narrow" w:hAnsi="Arial Narrow" w:cs="Arial Narrow"/>
          <w:b/>
          <w:sz w:val="24"/>
          <w:szCs w:val="24"/>
        </w:rPr>
      </w:pPr>
    </w:p>
    <w:p w14:paraId="046EF1C6" w14:textId="77777777" w:rsidR="00F87376" w:rsidRDefault="00C13B6C">
      <w:pPr>
        <w:spacing w:after="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“Todas las personas tienen derecho a gozar de un ambiente sano. La ley garantizará la participación de la comunidad en las decisiones que puedan afectarlo. Es de</w:t>
      </w:r>
      <w:r>
        <w:rPr>
          <w:rFonts w:ascii="Arial Narrow" w:eastAsia="Arial Narrow" w:hAnsi="Arial Narrow" w:cs="Arial Narrow"/>
          <w:i/>
          <w:sz w:val="24"/>
          <w:szCs w:val="24"/>
        </w:rPr>
        <w:t xml:space="preserve">ber del Estado proteger la diversidad e integridad del ambiente, conservar las áreas de especial importancia ecológica y fomentar la educación para el logro de estos fines.” </w:t>
      </w:r>
    </w:p>
    <w:p w14:paraId="2F3DE451" w14:textId="77777777" w:rsidR="00F87376" w:rsidRDefault="00F87376">
      <w:pPr>
        <w:spacing w:after="0"/>
        <w:jc w:val="both"/>
        <w:rPr>
          <w:rFonts w:ascii="Arial Narrow" w:eastAsia="Arial Narrow" w:hAnsi="Arial Narrow" w:cs="Arial Narrow"/>
          <w:b/>
          <w:sz w:val="24"/>
          <w:szCs w:val="24"/>
        </w:rPr>
      </w:pPr>
    </w:p>
    <w:p w14:paraId="746CB16B" w14:textId="77777777" w:rsidR="00F87376" w:rsidRDefault="00C13B6C">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II.2 LEGALES</w:t>
      </w:r>
    </w:p>
    <w:p w14:paraId="08DF4658" w14:textId="77777777" w:rsidR="00F87376" w:rsidRDefault="00F87376">
      <w:pPr>
        <w:spacing w:after="0"/>
        <w:jc w:val="both"/>
        <w:rPr>
          <w:rFonts w:ascii="Arial Narrow" w:eastAsia="Arial Narrow" w:hAnsi="Arial Narrow" w:cs="Arial Narrow"/>
          <w:sz w:val="24"/>
          <w:szCs w:val="24"/>
        </w:rPr>
      </w:pPr>
    </w:p>
    <w:p w14:paraId="789A43CE" w14:textId="77777777" w:rsidR="00F87376" w:rsidRDefault="00C13B6C">
      <w:pPr>
        <w:spacing w:after="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En la </w:t>
      </w:r>
      <w:r>
        <w:rPr>
          <w:rFonts w:ascii="Arial Narrow" w:eastAsia="Arial Narrow" w:hAnsi="Arial Narrow" w:cs="Arial Narrow"/>
          <w:b/>
          <w:sz w:val="24"/>
          <w:szCs w:val="24"/>
        </w:rPr>
        <w:t>Ley 29 de 1992 -</w:t>
      </w:r>
      <w:r>
        <w:rPr>
          <w:rFonts w:ascii="Arial Narrow" w:eastAsia="Arial Narrow" w:hAnsi="Arial Narrow" w:cs="Arial Narrow"/>
          <w:sz w:val="24"/>
          <w:szCs w:val="24"/>
        </w:rPr>
        <w:t xml:space="preserve"> “Por medio de la cual se aprueba el Protoco</w:t>
      </w:r>
      <w:r>
        <w:rPr>
          <w:rFonts w:ascii="Arial Narrow" w:eastAsia="Arial Narrow" w:hAnsi="Arial Narrow" w:cs="Arial Narrow"/>
          <w:sz w:val="24"/>
          <w:szCs w:val="24"/>
        </w:rPr>
        <w:t xml:space="preserve">lo de Montreal relativo a las sustancias agotadoras de la capa de ozono”, se establecen e incorporan al régimen normativo colombiano las distintas directrices, instrumentos y disposiciones del Protocolo de Montreal para la protección </w:t>
      </w:r>
      <w:r>
        <w:rPr>
          <w:rFonts w:ascii="Arial Narrow" w:eastAsia="Arial Narrow" w:hAnsi="Arial Narrow" w:cs="Arial Narrow"/>
          <w:color w:val="202124"/>
          <w:sz w:val="24"/>
          <w:szCs w:val="24"/>
          <w:highlight w:val="white"/>
        </w:rPr>
        <w:t>del medio ambiente y la salud humana mediante la disminución de producción y consumo de sustancias agotadoras de la capa de ozono.</w:t>
      </w:r>
    </w:p>
    <w:p w14:paraId="51282B9F"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La </w:t>
      </w:r>
      <w:r>
        <w:rPr>
          <w:rFonts w:ascii="Arial Narrow" w:eastAsia="Arial Narrow" w:hAnsi="Arial Narrow" w:cs="Arial Narrow"/>
          <w:b/>
          <w:sz w:val="24"/>
          <w:szCs w:val="24"/>
        </w:rPr>
        <w:t>Ley 99 de 1993 - “</w:t>
      </w:r>
      <w:r>
        <w:rPr>
          <w:rFonts w:ascii="Arial Narrow" w:eastAsia="Arial Narrow" w:hAnsi="Arial Narrow" w:cs="Arial Narrow"/>
          <w:sz w:val="24"/>
          <w:szCs w:val="24"/>
        </w:rPr>
        <w:t>Por la cual se crea el sistema nacional ambiental SINA”, señala, en su artículo 5° las funciones del Min</w:t>
      </w:r>
      <w:r>
        <w:rPr>
          <w:rFonts w:ascii="Arial Narrow" w:eastAsia="Arial Narrow" w:hAnsi="Arial Narrow" w:cs="Arial Narrow"/>
          <w:sz w:val="24"/>
          <w:szCs w:val="24"/>
        </w:rPr>
        <w:t>isterio de Ambiente; en su numeral noveno expone que</w:t>
      </w:r>
    </w:p>
    <w:p w14:paraId="0D1E6149" w14:textId="77777777" w:rsidR="00F87376" w:rsidRDefault="00C13B6C">
      <w:pPr>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“9) Adoptar, conjuntamente con el Ministerio de Educación Nacional, a partir de enero de 1995, los planes y programas docentes y el pénsum que en los distintos niveles de la educación nacional se adelant</w:t>
      </w:r>
      <w:r>
        <w:rPr>
          <w:rFonts w:ascii="Arial Narrow" w:eastAsia="Arial Narrow" w:hAnsi="Arial Narrow" w:cs="Arial Narrow"/>
          <w:i/>
          <w:sz w:val="24"/>
          <w:szCs w:val="24"/>
        </w:rPr>
        <w:t>arán en relación con el medio ambiente y los recursos naturales renovables, promover con dicho ministerio programas de divulgación y educación no formal y reglamentar la prestación del servicio ambiental”</w:t>
      </w:r>
      <w:r>
        <w:rPr>
          <w:rFonts w:ascii="Arial Narrow" w:eastAsia="Arial Narrow" w:hAnsi="Arial Narrow" w:cs="Arial Narrow"/>
          <w:i/>
          <w:sz w:val="24"/>
          <w:szCs w:val="24"/>
          <w:vertAlign w:val="superscript"/>
        </w:rPr>
        <w:footnoteReference w:id="8"/>
      </w:r>
    </w:p>
    <w:p w14:paraId="6186DDEC"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su parte, la </w:t>
      </w:r>
      <w:r>
        <w:rPr>
          <w:rFonts w:ascii="Arial Narrow" w:eastAsia="Arial Narrow" w:hAnsi="Arial Narrow" w:cs="Arial Narrow"/>
          <w:b/>
          <w:sz w:val="24"/>
          <w:szCs w:val="24"/>
        </w:rPr>
        <w:t xml:space="preserve">Ley 164 de 1994 - </w:t>
      </w:r>
      <w:r>
        <w:rPr>
          <w:rFonts w:ascii="Arial Narrow" w:eastAsia="Arial Narrow" w:hAnsi="Arial Narrow" w:cs="Arial Narrow"/>
          <w:sz w:val="24"/>
          <w:szCs w:val="24"/>
        </w:rPr>
        <w:t xml:space="preserve">“Por medio de </w:t>
      </w:r>
      <w:r>
        <w:rPr>
          <w:rFonts w:ascii="Arial Narrow" w:eastAsia="Arial Narrow" w:hAnsi="Arial Narrow" w:cs="Arial Narrow"/>
          <w:sz w:val="24"/>
          <w:szCs w:val="24"/>
        </w:rPr>
        <w:t>la cual se aprueba la Convención Marco de las Naciones Unidas sobre el Cambio Climático” tiene como principal objetivo promover en Colombia, según su artículo 2°</w:t>
      </w:r>
    </w:p>
    <w:p w14:paraId="0DFC8D9D" w14:textId="77777777" w:rsidR="00F87376" w:rsidRDefault="00C13B6C">
      <w:pPr>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“la estabilización de las concentraciones de gases de efecto invernadero en la atmósfera a un </w:t>
      </w:r>
      <w:r>
        <w:rPr>
          <w:rFonts w:ascii="Arial Narrow" w:eastAsia="Arial Narrow" w:hAnsi="Arial Narrow" w:cs="Arial Narrow"/>
          <w:i/>
          <w:sz w:val="24"/>
          <w:szCs w:val="24"/>
        </w:rPr>
        <w:t xml:space="preserve">nivel que impida interferencias </w:t>
      </w:r>
      <w:proofErr w:type="spellStart"/>
      <w:r>
        <w:rPr>
          <w:rFonts w:ascii="Arial Narrow" w:eastAsia="Arial Narrow" w:hAnsi="Arial Narrow" w:cs="Arial Narrow"/>
          <w:i/>
          <w:sz w:val="24"/>
          <w:szCs w:val="24"/>
        </w:rPr>
        <w:t>antropógenas</w:t>
      </w:r>
      <w:proofErr w:type="spellEnd"/>
      <w:r>
        <w:rPr>
          <w:rFonts w:ascii="Arial Narrow" w:eastAsia="Arial Narrow" w:hAnsi="Arial Narrow" w:cs="Arial Narrow"/>
          <w:i/>
          <w:sz w:val="24"/>
          <w:szCs w:val="24"/>
        </w:rPr>
        <w:t xml:space="preserve"> peligrosas en el sistema climático. Ese nivel debería lograrse en un plazo suficiente para permitir que los ecosistemas se adapten naturalmente al cambio climático, asegurar que la producción de alimentos no se </w:t>
      </w:r>
      <w:r>
        <w:rPr>
          <w:rFonts w:ascii="Arial Narrow" w:eastAsia="Arial Narrow" w:hAnsi="Arial Narrow" w:cs="Arial Narrow"/>
          <w:i/>
          <w:sz w:val="24"/>
          <w:szCs w:val="24"/>
        </w:rPr>
        <w:t>vea amenazada y permitir que el desarrollo económico prosiga de manera sostenible.”</w:t>
      </w:r>
      <w:r>
        <w:rPr>
          <w:rFonts w:ascii="Arial Narrow" w:eastAsia="Arial Narrow" w:hAnsi="Arial Narrow" w:cs="Arial Narrow"/>
          <w:i/>
          <w:sz w:val="24"/>
          <w:szCs w:val="24"/>
          <w:vertAlign w:val="superscript"/>
        </w:rPr>
        <w:footnoteReference w:id="9"/>
      </w:r>
    </w:p>
    <w:p w14:paraId="2CD18293" w14:textId="77777777" w:rsidR="00F87376" w:rsidRDefault="00C13B6C">
      <w:pPr>
        <w:spacing w:before="240" w:after="240"/>
        <w:jc w:val="both"/>
        <w:rPr>
          <w:rFonts w:ascii="Arial Narrow" w:eastAsia="Arial Narrow" w:hAnsi="Arial Narrow" w:cs="Arial Narrow"/>
          <w:color w:val="202124"/>
          <w:sz w:val="24"/>
          <w:szCs w:val="24"/>
          <w:highlight w:val="white"/>
        </w:rPr>
      </w:pPr>
      <w:r>
        <w:rPr>
          <w:rFonts w:ascii="Arial Narrow" w:eastAsia="Arial Narrow" w:hAnsi="Arial Narrow" w:cs="Arial Narrow"/>
          <w:sz w:val="24"/>
          <w:szCs w:val="24"/>
        </w:rPr>
        <w:t xml:space="preserve">A través de la </w:t>
      </w:r>
      <w:r>
        <w:rPr>
          <w:rFonts w:ascii="Arial Narrow" w:eastAsia="Arial Narrow" w:hAnsi="Arial Narrow" w:cs="Arial Narrow"/>
          <w:b/>
          <w:sz w:val="24"/>
          <w:szCs w:val="24"/>
        </w:rPr>
        <w:t xml:space="preserve">Ley 629 de 2000 </w:t>
      </w:r>
      <w:r>
        <w:rPr>
          <w:rFonts w:ascii="Arial Narrow" w:eastAsia="Arial Narrow" w:hAnsi="Arial Narrow" w:cs="Arial Narrow"/>
          <w:sz w:val="24"/>
          <w:szCs w:val="24"/>
        </w:rPr>
        <w:t>“</w:t>
      </w:r>
      <w:r>
        <w:rPr>
          <w:rFonts w:ascii="Arial Narrow" w:eastAsia="Arial Narrow" w:hAnsi="Arial Narrow" w:cs="Arial Narrow"/>
          <w:color w:val="202124"/>
          <w:sz w:val="24"/>
          <w:szCs w:val="24"/>
          <w:highlight w:val="white"/>
        </w:rPr>
        <w:t xml:space="preserve">Por medio de la cual se aprueba el "Protocolo de </w:t>
      </w:r>
      <w:proofErr w:type="spellStart"/>
      <w:r>
        <w:rPr>
          <w:rFonts w:ascii="Arial Narrow" w:eastAsia="Arial Narrow" w:hAnsi="Arial Narrow" w:cs="Arial Narrow"/>
          <w:color w:val="202124"/>
          <w:sz w:val="24"/>
          <w:szCs w:val="24"/>
          <w:highlight w:val="white"/>
        </w:rPr>
        <w:t>Kyoto</w:t>
      </w:r>
      <w:proofErr w:type="spellEnd"/>
      <w:r>
        <w:rPr>
          <w:rFonts w:ascii="Arial Narrow" w:eastAsia="Arial Narrow" w:hAnsi="Arial Narrow" w:cs="Arial Narrow"/>
          <w:color w:val="202124"/>
          <w:sz w:val="24"/>
          <w:szCs w:val="24"/>
          <w:highlight w:val="white"/>
        </w:rPr>
        <w:t xml:space="preserve"> de la Convención Marco de las Naciones Unidas sobre el Cambio Climático” se incorpo</w:t>
      </w:r>
      <w:r>
        <w:rPr>
          <w:rFonts w:ascii="Arial Narrow" w:eastAsia="Arial Narrow" w:hAnsi="Arial Narrow" w:cs="Arial Narrow"/>
          <w:color w:val="202124"/>
          <w:sz w:val="24"/>
          <w:szCs w:val="24"/>
          <w:highlight w:val="white"/>
        </w:rPr>
        <w:t xml:space="preserve">ran en el país las metodologías y acciones contempladas en el Protocolo de </w:t>
      </w:r>
      <w:proofErr w:type="spellStart"/>
      <w:r>
        <w:rPr>
          <w:rFonts w:ascii="Arial Narrow" w:eastAsia="Arial Narrow" w:hAnsi="Arial Narrow" w:cs="Arial Narrow"/>
          <w:color w:val="202124"/>
          <w:sz w:val="24"/>
          <w:szCs w:val="24"/>
          <w:highlight w:val="white"/>
        </w:rPr>
        <w:t>Kyoto</w:t>
      </w:r>
      <w:proofErr w:type="spellEnd"/>
      <w:r>
        <w:rPr>
          <w:rFonts w:ascii="Arial Narrow" w:eastAsia="Arial Narrow" w:hAnsi="Arial Narrow" w:cs="Arial Narrow"/>
          <w:color w:val="202124"/>
          <w:sz w:val="24"/>
          <w:szCs w:val="24"/>
          <w:highlight w:val="white"/>
        </w:rPr>
        <w:t xml:space="preserve"> para la reducción de gases de efecto invernadero GEI entre los años 2008 a 2012. Sin embargo, por distintos motivos se ha ampliado el plazo para el cumplimiento.</w:t>
      </w:r>
    </w:p>
    <w:p w14:paraId="7C8B0044"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color w:val="202124"/>
          <w:sz w:val="24"/>
          <w:szCs w:val="24"/>
          <w:highlight w:val="white"/>
        </w:rPr>
        <w:t xml:space="preserve">El </w:t>
      </w:r>
      <w:r>
        <w:rPr>
          <w:rFonts w:ascii="Arial Narrow" w:eastAsia="Arial Narrow" w:hAnsi="Arial Narrow" w:cs="Arial Narrow"/>
          <w:b/>
          <w:color w:val="202124"/>
          <w:sz w:val="24"/>
          <w:szCs w:val="24"/>
          <w:highlight w:val="white"/>
        </w:rPr>
        <w:t>Decreto 29</w:t>
      </w:r>
      <w:r>
        <w:rPr>
          <w:rFonts w:ascii="Arial Narrow" w:eastAsia="Arial Narrow" w:hAnsi="Arial Narrow" w:cs="Arial Narrow"/>
          <w:b/>
          <w:color w:val="202124"/>
          <w:sz w:val="24"/>
          <w:szCs w:val="24"/>
          <w:highlight w:val="white"/>
        </w:rPr>
        <w:t>1 de 2004</w:t>
      </w:r>
      <w:r>
        <w:rPr>
          <w:rFonts w:ascii="Arial Narrow" w:eastAsia="Arial Narrow" w:hAnsi="Arial Narrow" w:cs="Arial Narrow"/>
          <w:color w:val="202124"/>
          <w:sz w:val="24"/>
          <w:szCs w:val="24"/>
          <w:highlight w:val="white"/>
        </w:rPr>
        <w:t xml:space="preserve">: </w:t>
      </w:r>
      <w:r>
        <w:rPr>
          <w:rFonts w:ascii="Arial Narrow" w:eastAsia="Arial Narrow" w:hAnsi="Arial Narrow" w:cs="Arial Narrow"/>
          <w:color w:val="333333"/>
          <w:sz w:val="24"/>
          <w:szCs w:val="24"/>
          <w:highlight w:val="white"/>
        </w:rPr>
        <w:t xml:space="preserve">“Por el cual se modifica la estructura del Instituto de Hidrología, Meteorología y Estudios Ambientales, IDEAM” establece una serie de funciones al IDEAM en torno al cambio climático y la identificación de factores de riesgo. </w:t>
      </w:r>
    </w:p>
    <w:p w14:paraId="7B9619C0"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documento </w:t>
      </w:r>
      <w:r>
        <w:rPr>
          <w:rFonts w:ascii="Arial Narrow" w:eastAsia="Arial Narrow" w:hAnsi="Arial Narrow" w:cs="Arial Narrow"/>
          <w:b/>
          <w:sz w:val="24"/>
          <w:szCs w:val="24"/>
        </w:rPr>
        <w:t>CONPES 3700 de 2011</w:t>
      </w:r>
      <w:r>
        <w:rPr>
          <w:rFonts w:ascii="Arial Narrow" w:eastAsia="Arial Narrow" w:hAnsi="Arial Narrow" w:cs="Arial Narrow"/>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sz w:val="24"/>
          <w:szCs w:val="24"/>
        </w:rPr>
        <w:t>Estrategia institucional para la articulación de políticas y acciones en materia de Cambio Climático” pretende enfrentar el cambio climático y los fenómenos naturales que se desprenden del mismo a través de la institucionalidad, tenien</w:t>
      </w:r>
      <w:r>
        <w:rPr>
          <w:rFonts w:ascii="Arial Narrow" w:eastAsia="Arial Narrow" w:hAnsi="Arial Narrow" w:cs="Arial Narrow"/>
          <w:sz w:val="24"/>
          <w:szCs w:val="24"/>
        </w:rPr>
        <w:t>do en cuenta que “en Colombia no se ha entendido el cambio climático como un tema de desarrollo económico y social, y por tanto, no se ha integrado dicha problemática dentro de los procesos de planificación e inversión de los sectores productivos y los ter</w:t>
      </w:r>
      <w:r>
        <w:rPr>
          <w:rFonts w:ascii="Arial Narrow" w:eastAsia="Arial Narrow" w:hAnsi="Arial Narrow" w:cs="Arial Narrow"/>
          <w:sz w:val="24"/>
          <w:szCs w:val="24"/>
        </w:rPr>
        <w:t xml:space="preserve">ritorios. Lo anterior trae como consecuencia pérdidas económicas y de competitividad, así como un </w:t>
      </w:r>
      <w:r>
        <w:rPr>
          <w:rFonts w:ascii="Arial Narrow" w:eastAsia="Arial Narrow" w:hAnsi="Arial Narrow" w:cs="Arial Narrow"/>
          <w:sz w:val="24"/>
          <w:szCs w:val="24"/>
        </w:rPr>
        <w:lastRenderedPageBreak/>
        <w:t>aumento en la vulnerabilidad del país y una baja capacidad de respuesta ante eventos climáticos extremos.”</w:t>
      </w:r>
      <w:r>
        <w:rPr>
          <w:rFonts w:ascii="Arial Narrow" w:eastAsia="Arial Narrow" w:hAnsi="Arial Narrow" w:cs="Arial Narrow"/>
          <w:sz w:val="24"/>
          <w:szCs w:val="24"/>
          <w:vertAlign w:val="superscript"/>
        </w:rPr>
        <w:footnoteReference w:id="10"/>
      </w:r>
    </w:p>
    <w:p w14:paraId="4866CE11"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 xml:space="preserve">La </w:t>
      </w:r>
      <w:r>
        <w:rPr>
          <w:rFonts w:ascii="Arial Narrow" w:eastAsia="Arial Narrow" w:hAnsi="Arial Narrow" w:cs="Arial Narrow"/>
          <w:b/>
          <w:sz w:val="24"/>
          <w:szCs w:val="24"/>
        </w:rPr>
        <w:t>Ley 1523 de 2012 “</w:t>
      </w:r>
      <w:r>
        <w:rPr>
          <w:rFonts w:ascii="Arial Narrow" w:eastAsia="Arial Narrow" w:hAnsi="Arial Narrow" w:cs="Arial Narrow"/>
          <w:sz w:val="24"/>
          <w:szCs w:val="24"/>
        </w:rPr>
        <w:t>Por la cual se adopta la pol</w:t>
      </w:r>
      <w:r>
        <w:rPr>
          <w:rFonts w:ascii="Arial Narrow" w:eastAsia="Arial Narrow" w:hAnsi="Arial Narrow" w:cs="Arial Narrow"/>
          <w:sz w:val="24"/>
          <w:szCs w:val="24"/>
        </w:rPr>
        <w:t xml:space="preserve">ítica nacional de gestión del riesgo de desastres y se establece el Sistema Nacional de Gestión del Riesgo de Desastres y se dictan otras disposiciones” </w:t>
      </w:r>
      <w:r>
        <w:rPr>
          <w:rFonts w:ascii="Arial Narrow" w:eastAsia="Arial Narrow" w:hAnsi="Arial Narrow" w:cs="Arial Narrow"/>
          <w:sz w:val="24"/>
          <w:szCs w:val="24"/>
          <w:highlight w:val="white"/>
        </w:rPr>
        <w:t>establece el sistema vigente en Colombia de gestión del riesgo de desastres, donde también se contempla</w:t>
      </w:r>
      <w:r>
        <w:rPr>
          <w:rFonts w:ascii="Arial Narrow" w:eastAsia="Arial Narrow" w:hAnsi="Arial Narrow" w:cs="Arial Narrow"/>
          <w:sz w:val="24"/>
          <w:szCs w:val="24"/>
          <w:highlight w:val="white"/>
        </w:rPr>
        <w:t>n acciones para la adaptación y mitigación al cambio climático, contemplando acciones pedagógicas y educativas. Por ejemplo, en el artículo 21 se determinan como funciones del Comité Nacional para el conocimiento del riesgo, en su numeral 14:</w:t>
      </w:r>
    </w:p>
    <w:p w14:paraId="2AFC2AA2" w14:textId="77777777" w:rsidR="00F87376" w:rsidRDefault="00C13B6C">
      <w:pPr>
        <w:shd w:val="clear" w:color="auto" w:fill="FFFFFF"/>
        <w:spacing w:after="280"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“14. Fomentar</w:t>
      </w:r>
      <w:r>
        <w:rPr>
          <w:rFonts w:ascii="Arial Narrow" w:eastAsia="Arial Narrow" w:hAnsi="Arial Narrow" w:cs="Arial Narrow"/>
          <w:i/>
          <w:sz w:val="24"/>
          <w:szCs w:val="24"/>
        </w:rPr>
        <w:t xml:space="preserve"> la apertura de líneas de investigación y formación sobre estas temáticas en las instituciones de educación superior.”</w:t>
      </w:r>
      <w:r>
        <w:rPr>
          <w:rFonts w:ascii="Arial Narrow" w:eastAsia="Arial Narrow" w:hAnsi="Arial Narrow" w:cs="Arial Narrow"/>
          <w:i/>
          <w:sz w:val="24"/>
          <w:szCs w:val="24"/>
          <w:vertAlign w:val="superscript"/>
        </w:rPr>
        <w:footnoteReference w:id="11"/>
      </w:r>
    </w:p>
    <w:p w14:paraId="26FC5521" w14:textId="77777777" w:rsidR="00F87376" w:rsidRDefault="00C13B6C">
      <w:pPr>
        <w:shd w:val="clear" w:color="auto" w:fill="FFFFFF"/>
        <w:spacing w:after="28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También, el artículo 23 se determinan como funciones del Comité Nacional de reducción del riesgo, en su numeral 2:</w:t>
      </w:r>
    </w:p>
    <w:p w14:paraId="395AA962" w14:textId="77777777" w:rsidR="00F87376" w:rsidRDefault="00C13B6C">
      <w:pPr>
        <w:shd w:val="clear" w:color="auto" w:fill="FFFFFF"/>
        <w:spacing w:after="280"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w:t>
      </w:r>
      <w:r>
        <w:rPr>
          <w:rFonts w:ascii="Arial Narrow" w:eastAsia="Arial Narrow" w:hAnsi="Arial Narrow" w:cs="Arial Narrow"/>
          <w:i/>
          <w:sz w:val="24"/>
          <w:szCs w:val="24"/>
          <w:highlight w:val="white"/>
        </w:rPr>
        <w:t>2. Orientar y articular las políticas y acciones de gestión ambiental, ordenamiento territorial, planificación del desarrollo y adaptación a</w:t>
      </w:r>
      <w:r>
        <w:rPr>
          <w:rFonts w:ascii="Arial Narrow" w:eastAsia="Arial Narrow" w:hAnsi="Arial Narrow" w:cs="Arial Narrow"/>
          <w:i/>
          <w:sz w:val="24"/>
          <w:szCs w:val="24"/>
          <w:highlight w:val="white"/>
        </w:rPr>
        <w:t>l cambio climático que contribuyan a la reducción del riesgo de desastres.”</w:t>
      </w:r>
      <w:r>
        <w:rPr>
          <w:rFonts w:ascii="Arial Narrow" w:eastAsia="Arial Narrow" w:hAnsi="Arial Narrow" w:cs="Arial Narrow"/>
          <w:i/>
          <w:sz w:val="24"/>
          <w:szCs w:val="24"/>
          <w:highlight w:val="white"/>
          <w:vertAlign w:val="superscript"/>
        </w:rPr>
        <w:footnoteReference w:id="12"/>
      </w:r>
    </w:p>
    <w:p w14:paraId="6620D8A2"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 xml:space="preserve">En el </w:t>
      </w:r>
      <w:r>
        <w:rPr>
          <w:rFonts w:ascii="Arial Narrow" w:eastAsia="Arial Narrow" w:hAnsi="Arial Narrow" w:cs="Arial Narrow"/>
          <w:b/>
          <w:sz w:val="24"/>
          <w:szCs w:val="24"/>
        </w:rPr>
        <w:t>Decreto 298 de 2016</w:t>
      </w:r>
      <w:r>
        <w:rPr>
          <w:rFonts w:ascii="Arial Narrow" w:eastAsia="Arial Narrow" w:hAnsi="Arial Narrow" w:cs="Arial Narrow"/>
          <w:sz w:val="24"/>
          <w:szCs w:val="24"/>
        </w:rPr>
        <w:t xml:space="preserve"> “</w:t>
      </w:r>
      <w:r>
        <w:rPr>
          <w:rFonts w:ascii="Arial Narrow" w:eastAsia="Arial Narrow" w:hAnsi="Arial Narrow" w:cs="Arial Narrow"/>
          <w:sz w:val="24"/>
          <w:szCs w:val="24"/>
          <w:highlight w:val="white"/>
        </w:rPr>
        <w:t>Por el cual se establece la organización y funcionamiento del Sistema Nacional de Cambio Climático y se dictan otras disposiciones" se establece el Sis</w:t>
      </w:r>
      <w:r>
        <w:rPr>
          <w:rFonts w:ascii="Arial Narrow" w:eastAsia="Arial Narrow" w:hAnsi="Arial Narrow" w:cs="Arial Narrow"/>
          <w:sz w:val="24"/>
          <w:szCs w:val="24"/>
          <w:highlight w:val="white"/>
        </w:rPr>
        <w:t xml:space="preserve">tema Nacional de Cambio Climático. Siguiendo el artículo primero, este se constituye </w:t>
      </w:r>
    </w:p>
    <w:p w14:paraId="1523BC5C" w14:textId="77777777" w:rsidR="00F87376" w:rsidRDefault="00C13B6C">
      <w:pPr>
        <w:spacing w:before="240" w:after="240"/>
        <w:ind w:left="720"/>
        <w:jc w:val="both"/>
        <w:rPr>
          <w:rFonts w:ascii="Arial Narrow" w:eastAsia="Arial Narrow" w:hAnsi="Arial Narrow" w:cs="Arial Narrow"/>
          <w:i/>
          <w:sz w:val="24"/>
          <w:szCs w:val="24"/>
          <w:highlight w:val="white"/>
        </w:rPr>
      </w:pPr>
      <w:r>
        <w:rPr>
          <w:rFonts w:ascii="Arial Narrow" w:eastAsia="Arial Narrow" w:hAnsi="Arial Narrow" w:cs="Arial Narrow"/>
          <w:b/>
          <w:i/>
          <w:sz w:val="24"/>
          <w:szCs w:val="24"/>
          <w:highlight w:val="white"/>
        </w:rPr>
        <w:t>“</w:t>
      </w:r>
      <w:r>
        <w:rPr>
          <w:rFonts w:ascii="Arial Narrow" w:eastAsia="Arial Narrow" w:hAnsi="Arial Narrow" w:cs="Arial Narrow"/>
          <w:i/>
          <w:sz w:val="24"/>
          <w:szCs w:val="24"/>
          <w:highlight w:val="white"/>
        </w:rPr>
        <w:t>con el fin de coordinar, articular, formular, hacer seguimiento y evaluar las políticas, normas, estrategias, planes, programas, proyectos, acciones y medidas en materia de adaptación al cambio climático y de mitigación de gases efecto invernadero, cuyo ca</w:t>
      </w:r>
      <w:r>
        <w:rPr>
          <w:rFonts w:ascii="Arial Narrow" w:eastAsia="Arial Narrow" w:hAnsi="Arial Narrow" w:cs="Arial Narrow"/>
          <w:i/>
          <w:sz w:val="24"/>
          <w:szCs w:val="24"/>
          <w:highlight w:val="white"/>
        </w:rPr>
        <w:t>rácter intersectorial y transversal implica la necesaria participación y corresponsabilidad de las entidades públicas del orden nacional, departamental, municipal o distrital, así como de las entidades privadas y entidades sin ánimo de lucro.”</w:t>
      </w:r>
      <w:r>
        <w:rPr>
          <w:rFonts w:ascii="Arial Narrow" w:eastAsia="Arial Narrow" w:hAnsi="Arial Narrow" w:cs="Arial Narrow"/>
          <w:i/>
          <w:sz w:val="24"/>
          <w:szCs w:val="24"/>
          <w:highlight w:val="white"/>
          <w:vertAlign w:val="superscript"/>
        </w:rPr>
        <w:footnoteReference w:id="13"/>
      </w:r>
    </w:p>
    <w:p w14:paraId="16FDD26B" w14:textId="77777777" w:rsidR="00F87376" w:rsidRDefault="00C13B6C">
      <w:pPr>
        <w:spacing w:before="240" w:after="240"/>
        <w:jc w:val="both"/>
        <w:rPr>
          <w:rFonts w:ascii="Arial Narrow" w:eastAsia="Arial Narrow" w:hAnsi="Arial Narrow" w:cs="Arial Narrow"/>
          <w:i/>
          <w:color w:val="595959"/>
          <w:sz w:val="24"/>
          <w:szCs w:val="24"/>
        </w:rPr>
      </w:pPr>
      <w:r>
        <w:rPr>
          <w:rFonts w:ascii="Arial Narrow" w:eastAsia="Arial Narrow" w:hAnsi="Arial Narrow" w:cs="Arial Narrow"/>
          <w:sz w:val="24"/>
          <w:szCs w:val="24"/>
          <w:highlight w:val="white"/>
        </w:rPr>
        <w:lastRenderedPageBreak/>
        <w:t xml:space="preserve">Con la </w:t>
      </w:r>
      <w:r>
        <w:rPr>
          <w:rFonts w:ascii="Arial Narrow" w:eastAsia="Arial Narrow" w:hAnsi="Arial Narrow" w:cs="Arial Narrow"/>
          <w:b/>
          <w:sz w:val="24"/>
          <w:szCs w:val="24"/>
        </w:rPr>
        <w:t>Ley</w:t>
      </w:r>
      <w:r>
        <w:rPr>
          <w:rFonts w:ascii="Arial Narrow" w:eastAsia="Arial Narrow" w:hAnsi="Arial Narrow" w:cs="Arial Narrow"/>
          <w:b/>
          <w:sz w:val="24"/>
          <w:szCs w:val="24"/>
        </w:rPr>
        <w:t xml:space="preserve"> 1844 de 2017</w:t>
      </w:r>
      <w:r>
        <w:rPr>
          <w:rFonts w:ascii="Arial Narrow" w:eastAsia="Arial Narrow" w:hAnsi="Arial Narrow" w:cs="Arial Narrow"/>
          <w:sz w:val="24"/>
          <w:szCs w:val="24"/>
        </w:rPr>
        <w:t xml:space="preserve"> “Por medio de la cual se aprueba el “Acuerdo de París”, Colombia busca una alianza mundial para disminuir la generación y los efectos del calentamiento global guiado hacia los aspectos ambientales, sociales y culturales donde se plantean meta</w:t>
      </w:r>
      <w:r>
        <w:rPr>
          <w:rFonts w:ascii="Arial Narrow" w:eastAsia="Arial Narrow" w:hAnsi="Arial Narrow" w:cs="Arial Narrow"/>
          <w:sz w:val="24"/>
          <w:szCs w:val="24"/>
        </w:rPr>
        <w:t>s alrededor de la estabilidad de la temperatura, la erradicación de la pobreza, la reducción de riesgos por fenómenos naturales y el manejo de cuencas hidrográficas.</w:t>
      </w:r>
    </w:p>
    <w:p w14:paraId="227E00CE" w14:textId="77777777" w:rsidR="00F87376" w:rsidRDefault="00C13B6C">
      <w:pPr>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A través del documento </w:t>
      </w:r>
      <w:r>
        <w:rPr>
          <w:rFonts w:ascii="Arial Narrow" w:eastAsia="Arial Narrow" w:hAnsi="Arial Narrow" w:cs="Arial Narrow"/>
          <w:b/>
          <w:sz w:val="24"/>
          <w:szCs w:val="24"/>
          <w:highlight w:val="white"/>
        </w:rPr>
        <w:t>CONPES 3934</w:t>
      </w:r>
      <w:r>
        <w:rPr>
          <w:rFonts w:ascii="Arial Narrow" w:eastAsia="Arial Narrow" w:hAnsi="Arial Narrow" w:cs="Arial Narrow"/>
          <w:sz w:val="24"/>
          <w:szCs w:val="24"/>
          <w:highlight w:val="white"/>
        </w:rPr>
        <w:t xml:space="preserve"> </w:t>
      </w:r>
      <w:r>
        <w:rPr>
          <w:rFonts w:ascii="Arial Narrow" w:eastAsia="Arial Narrow" w:hAnsi="Arial Narrow" w:cs="Arial Narrow"/>
          <w:b/>
          <w:sz w:val="24"/>
          <w:szCs w:val="24"/>
          <w:highlight w:val="white"/>
        </w:rPr>
        <w:t xml:space="preserve">de 2018 - </w:t>
      </w:r>
      <w:r>
        <w:rPr>
          <w:rFonts w:ascii="Arial Narrow" w:eastAsia="Arial Narrow" w:hAnsi="Arial Narrow" w:cs="Arial Narrow"/>
          <w:sz w:val="24"/>
          <w:szCs w:val="24"/>
          <w:highlight w:val="white"/>
        </w:rPr>
        <w:t>Política de crecimiento verde, se reconoce la</w:t>
      </w:r>
      <w:r>
        <w:rPr>
          <w:rFonts w:ascii="Arial Narrow" w:eastAsia="Arial Narrow" w:hAnsi="Arial Narrow" w:cs="Arial Narrow"/>
          <w:sz w:val="24"/>
          <w:szCs w:val="24"/>
          <w:highlight w:val="white"/>
        </w:rPr>
        <w:t xml:space="preserve"> necesidad de la educación, la investigación y formación en el sector forestal, siendo este uno de los más importantes para la mitigación del cambio climático, la ordenación del territorio y la disminución de riesgos por fenómenos naturales, como se observ</w:t>
      </w:r>
      <w:r>
        <w:rPr>
          <w:rFonts w:ascii="Arial Narrow" w:eastAsia="Arial Narrow" w:hAnsi="Arial Narrow" w:cs="Arial Narrow"/>
          <w:sz w:val="24"/>
          <w:szCs w:val="24"/>
          <w:highlight w:val="white"/>
        </w:rPr>
        <w:t>a en la siguiente gráfica:</w:t>
      </w:r>
    </w:p>
    <w:p w14:paraId="56F19F93" w14:textId="77777777" w:rsidR="00F87376" w:rsidRDefault="00C13B6C">
      <w:pPr>
        <w:spacing w:after="0"/>
        <w:jc w:val="center"/>
        <w:rPr>
          <w:rFonts w:ascii="Arial Narrow" w:eastAsia="Arial Narrow" w:hAnsi="Arial Narrow" w:cs="Arial Narrow"/>
          <w:sz w:val="24"/>
          <w:szCs w:val="24"/>
          <w:highlight w:val="white"/>
        </w:rPr>
      </w:pPr>
      <w:r>
        <w:rPr>
          <w:rFonts w:ascii="Arial Narrow" w:eastAsia="Arial Narrow" w:hAnsi="Arial Narrow" w:cs="Arial Narrow"/>
          <w:noProof/>
          <w:sz w:val="24"/>
          <w:szCs w:val="24"/>
          <w:highlight w:val="white"/>
        </w:rPr>
        <w:drawing>
          <wp:inline distT="0" distB="0" distL="0" distR="0" wp14:anchorId="5DF0B649" wp14:editId="768E0640">
            <wp:extent cx="4014653" cy="2599230"/>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014653" cy="2599230"/>
                    </a:xfrm>
                    <a:prstGeom prst="rect">
                      <a:avLst/>
                    </a:prstGeom>
                    <a:ln/>
                  </pic:spPr>
                </pic:pic>
              </a:graphicData>
            </a:graphic>
          </wp:inline>
        </w:drawing>
      </w:r>
    </w:p>
    <w:p w14:paraId="0E83A1D9" w14:textId="77777777" w:rsidR="00F87376" w:rsidRDefault="00C13B6C">
      <w:pPr>
        <w:spacing w:after="0"/>
        <w:jc w:val="center"/>
        <w:rPr>
          <w:rFonts w:ascii="Arial Narrow" w:eastAsia="Arial Narrow" w:hAnsi="Arial Narrow" w:cs="Arial Narrow"/>
          <w:sz w:val="24"/>
          <w:szCs w:val="24"/>
          <w:highlight w:val="white"/>
          <w:vertAlign w:val="superscript"/>
        </w:rPr>
      </w:pPr>
      <w:r>
        <w:rPr>
          <w:rFonts w:ascii="Arial Narrow" w:eastAsia="Arial Narrow" w:hAnsi="Arial Narrow" w:cs="Arial Narrow"/>
          <w:b/>
          <w:sz w:val="24"/>
          <w:szCs w:val="24"/>
          <w:highlight w:val="white"/>
        </w:rPr>
        <w:t>Fuente</w:t>
      </w:r>
      <w:r>
        <w:rPr>
          <w:rFonts w:ascii="Arial Narrow" w:eastAsia="Arial Narrow" w:hAnsi="Arial Narrow" w:cs="Arial Narrow"/>
          <w:sz w:val="24"/>
          <w:szCs w:val="24"/>
          <w:highlight w:val="white"/>
        </w:rPr>
        <w:t>: DNP (2019). Objetivos, estrategias y compromisos de la política.</w:t>
      </w:r>
      <w:r>
        <w:rPr>
          <w:rFonts w:ascii="Arial Narrow" w:eastAsia="Arial Narrow" w:hAnsi="Arial Narrow" w:cs="Arial Narrow"/>
          <w:sz w:val="24"/>
          <w:szCs w:val="24"/>
          <w:highlight w:val="white"/>
          <w:vertAlign w:val="superscript"/>
        </w:rPr>
        <w:footnoteReference w:id="14"/>
      </w:r>
    </w:p>
    <w:p w14:paraId="6AE4B455" w14:textId="77777777" w:rsidR="00F87376" w:rsidRDefault="00F87376">
      <w:pPr>
        <w:spacing w:after="0"/>
        <w:jc w:val="center"/>
        <w:rPr>
          <w:rFonts w:ascii="Arial Narrow" w:eastAsia="Arial Narrow" w:hAnsi="Arial Narrow" w:cs="Arial Narrow"/>
          <w:sz w:val="24"/>
          <w:szCs w:val="24"/>
          <w:highlight w:val="white"/>
          <w:vertAlign w:val="superscript"/>
        </w:rPr>
      </w:pPr>
    </w:p>
    <w:p w14:paraId="62E70B0D" w14:textId="77777777" w:rsidR="00F87376" w:rsidRDefault="00C13B6C">
      <w:pPr>
        <w:shd w:val="clear" w:color="auto" w:fill="FFFFFF"/>
        <w:spacing w:after="280"/>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En la </w:t>
      </w:r>
      <w:r>
        <w:rPr>
          <w:rFonts w:ascii="Arial Narrow" w:eastAsia="Arial Narrow" w:hAnsi="Arial Narrow" w:cs="Arial Narrow"/>
          <w:b/>
          <w:sz w:val="24"/>
          <w:szCs w:val="24"/>
          <w:highlight w:val="white"/>
        </w:rPr>
        <w:t>L</w:t>
      </w:r>
      <w:r>
        <w:rPr>
          <w:rFonts w:ascii="Arial Narrow" w:eastAsia="Arial Narrow" w:hAnsi="Arial Narrow" w:cs="Arial Narrow"/>
          <w:b/>
          <w:sz w:val="24"/>
          <w:szCs w:val="24"/>
        </w:rPr>
        <w:t xml:space="preserve">ey 1931 de 2018 - </w:t>
      </w:r>
      <w:r>
        <w:rPr>
          <w:rFonts w:ascii="Arial Narrow" w:eastAsia="Arial Narrow" w:hAnsi="Arial Narrow" w:cs="Arial Narrow"/>
          <w:sz w:val="24"/>
          <w:szCs w:val="24"/>
        </w:rPr>
        <w:t xml:space="preserve">Por la cual se establecen directrices para la gestión del cambio climático, o mejor conocida como </w:t>
      </w:r>
      <w:r>
        <w:rPr>
          <w:rFonts w:ascii="Arial Narrow" w:eastAsia="Arial Narrow" w:hAnsi="Arial Narrow" w:cs="Arial Narrow"/>
          <w:i/>
          <w:sz w:val="24"/>
          <w:szCs w:val="24"/>
        </w:rPr>
        <w:t>Ley de Acción Climática</w:t>
      </w:r>
      <w:r>
        <w:rPr>
          <w:rFonts w:ascii="Arial Narrow" w:eastAsia="Arial Narrow" w:hAnsi="Arial Narrow" w:cs="Arial Narrow"/>
          <w:sz w:val="24"/>
          <w:szCs w:val="24"/>
        </w:rPr>
        <w:t>, se encuentran los aspectos institucionales y legales que permitirán luchar contra el cambio climático. Entre otras, en su artículo 17</w:t>
      </w:r>
      <w:r>
        <w:rPr>
          <w:rFonts w:ascii="Arial Narrow" w:eastAsia="Arial Narrow" w:hAnsi="Arial Narrow" w:cs="Arial Narrow"/>
          <w:sz w:val="24"/>
          <w:szCs w:val="24"/>
        </w:rPr>
        <w:t xml:space="preserve"> contempla la educación como parte fundamental de la mitigación y adaptación al cambio climático:</w:t>
      </w:r>
    </w:p>
    <w:p w14:paraId="549FDA66" w14:textId="77777777" w:rsidR="00F87376" w:rsidRDefault="00C13B6C">
      <w:pPr>
        <w:shd w:val="clear" w:color="auto" w:fill="FFFFFF"/>
        <w:spacing w:after="280"/>
        <w:ind w:left="720"/>
        <w:jc w:val="both"/>
        <w:rPr>
          <w:rFonts w:ascii="Arial Narrow" w:eastAsia="Arial Narrow" w:hAnsi="Arial Narrow" w:cs="Arial Narrow"/>
          <w:i/>
          <w:sz w:val="24"/>
          <w:szCs w:val="24"/>
        </w:rPr>
      </w:pPr>
      <w:r>
        <w:rPr>
          <w:rFonts w:ascii="Arial Narrow" w:eastAsia="Arial Narrow" w:hAnsi="Arial Narrow" w:cs="Arial Narrow"/>
          <w:i/>
          <w:sz w:val="24"/>
          <w:szCs w:val="24"/>
          <w:highlight w:val="white"/>
        </w:rPr>
        <w:t>“ARTÍCULO 17. Planes integrales de gestión del cambio climático sectoriales. Los Planes Integrales de Gestión del Cambio Climático Sectoriales (PIGCCS), serán</w:t>
      </w:r>
      <w:r>
        <w:rPr>
          <w:rFonts w:ascii="Arial Narrow" w:eastAsia="Arial Narrow" w:hAnsi="Arial Narrow" w:cs="Arial Narrow"/>
          <w:i/>
          <w:sz w:val="24"/>
          <w:szCs w:val="24"/>
          <w:highlight w:val="white"/>
        </w:rPr>
        <w:t xml:space="preserve"> los instrumentos a través de los cuales cada Ministerio, según lo definido en el marco del SISCLIMA, identificará, evaluará y orientará la incorporación de medidas de mitigación de gases efecto invernadero y adaptación al cambio </w:t>
      </w:r>
      <w:r>
        <w:rPr>
          <w:rFonts w:ascii="Arial Narrow" w:eastAsia="Arial Narrow" w:hAnsi="Arial Narrow" w:cs="Arial Narrow"/>
          <w:i/>
          <w:sz w:val="24"/>
          <w:szCs w:val="24"/>
          <w:highlight w:val="white"/>
        </w:rPr>
        <w:lastRenderedPageBreak/>
        <w:t>climático en las políticas</w:t>
      </w:r>
      <w:r>
        <w:rPr>
          <w:rFonts w:ascii="Arial Narrow" w:eastAsia="Arial Narrow" w:hAnsi="Arial Narrow" w:cs="Arial Narrow"/>
          <w:i/>
          <w:sz w:val="24"/>
          <w:szCs w:val="24"/>
          <w:highlight w:val="white"/>
        </w:rPr>
        <w:t xml:space="preserve"> y regulaciones del respectivo sector. Además, ofrecerán los lineamientos para la implementación de medidas sectoriales de adaptación y mitigación de GEI a nivel territorial relacionadas con la temática de cada sector, incluyendo, entre otras, directrices </w:t>
      </w:r>
      <w:r>
        <w:rPr>
          <w:rFonts w:ascii="Arial Narrow" w:eastAsia="Arial Narrow" w:hAnsi="Arial Narrow" w:cs="Arial Narrow"/>
          <w:i/>
          <w:sz w:val="24"/>
          <w:szCs w:val="24"/>
          <w:highlight w:val="white"/>
        </w:rPr>
        <w:t xml:space="preserve">sobre el financiamiento de las medidas de mitigación de GEI y </w:t>
      </w:r>
      <w:proofErr w:type="gramStart"/>
      <w:r>
        <w:rPr>
          <w:rFonts w:ascii="Arial Narrow" w:eastAsia="Arial Narrow" w:hAnsi="Arial Narrow" w:cs="Arial Narrow"/>
          <w:i/>
          <w:sz w:val="24"/>
          <w:szCs w:val="24"/>
          <w:highlight w:val="white"/>
        </w:rPr>
        <w:t>adaptación definidas</w:t>
      </w:r>
      <w:proofErr w:type="gramEnd"/>
      <w:r>
        <w:rPr>
          <w:rFonts w:ascii="Arial Narrow" w:eastAsia="Arial Narrow" w:hAnsi="Arial Narrow" w:cs="Arial Narrow"/>
          <w:i/>
          <w:sz w:val="24"/>
          <w:szCs w:val="24"/>
          <w:highlight w:val="white"/>
        </w:rPr>
        <w:t>, así como sobre Educación, Ciencia, Tecnología e Innovación.”</w:t>
      </w:r>
      <w:r>
        <w:rPr>
          <w:rFonts w:ascii="Arial Narrow" w:eastAsia="Arial Narrow" w:hAnsi="Arial Narrow" w:cs="Arial Narrow"/>
          <w:i/>
          <w:sz w:val="24"/>
          <w:szCs w:val="24"/>
          <w:highlight w:val="white"/>
          <w:vertAlign w:val="superscript"/>
        </w:rPr>
        <w:footnoteReference w:id="15"/>
      </w:r>
    </w:p>
    <w:p w14:paraId="138A4B61"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Finalmente, en el documento </w:t>
      </w:r>
      <w:r>
        <w:rPr>
          <w:rFonts w:ascii="Arial Narrow" w:eastAsia="Arial Narrow" w:hAnsi="Arial Narrow" w:cs="Arial Narrow"/>
          <w:b/>
          <w:sz w:val="24"/>
          <w:szCs w:val="24"/>
          <w:highlight w:val="white"/>
        </w:rPr>
        <w:t xml:space="preserve">CONPES 3918 de 2018 - </w:t>
      </w:r>
      <w:r>
        <w:rPr>
          <w:rFonts w:ascii="Arial Narrow" w:eastAsia="Arial Narrow" w:hAnsi="Arial Narrow" w:cs="Arial Narrow"/>
          <w:sz w:val="24"/>
          <w:szCs w:val="24"/>
        </w:rPr>
        <w:t>Estrategia para la implementación de los objetivos de desar</w:t>
      </w:r>
      <w:r>
        <w:rPr>
          <w:rFonts w:ascii="Arial Narrow" w:eastAsia="Arial Narrow" w:hAnsi="Arial Narrow" w:cs="Arial Narrow"/>
          <w:sz w:val="24"/>
          <w:szCs w:val="24"/>
        </w:rPr>
        <w:t xml:space="preserve">rollo sostenible (ODS) en Colombia, se señala </w:t>
      </w:r>
      <w:proofErr w:type="spellStart"/>
      <w:r>
        <w:rPr>
          <w:rFonts w:ascii="Arial Narrow" w:eastAsia="Arial Narrow" w:hAnsi="Arial Narrow" w:cs="Arial Narrow"/>
          <w:sz w:val="24"/>
          <w:szCs w:val="24"/>
        </w:rPr>
        <w:t>que“de</w:t>
      </w:r>
      <w:proofErr w:type="spellEnd"/>
      <w:r>
        <w:rPr>
          <w:rFonts w:ascii="Arial Narrow" w:eastAsia="Arial Narrow" w:hAnsi="Arial Narrow" w:cs="Arial Narrow"/>
          <w:sz w:val="24"/>
          <w:szCs w:val="24"/>
        </w:rPr>
        <w:t xml:space="preserve"> las 169 metas globales de los ODS, se ha identificado que en 47 de ellas la academia puede tomar un liderazgo transformador, entendiendo que los procesos que se desarrollan en el ámbito académico tardan </w:t>
      </w:r>
      <w:r>
        <w:rPr>
          <w:rFonts w:ascii="Arial Narrow" w:eastAsia="Arial Narrow" w:hAnsi="Arial Narrow" w:cs="Arial Narrow"/>
          <w:sz w:val="24"/>
          <w:szCs w:val="24"/>
        </w:rPr>
        <w:t xml:space="preserve">más tiempo en producir resultados (en términos de tecnología, innovación y educación para la sostenibilidad), pero que en el largo plazo tendrán impactos significativos.” </w:t>
      </w:r>
    </w:p>
    <w:p w14:paraId="3B7A974A" w14:textId="77777777" w:rsidR="00F87376" w:rsidRDefault="00C13B6C">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Lo anterior sin duda aplica e incluye el ODS número 13 “Acción por el clima” donde l</w:t>
      </w:r>
      <w:r>
        <w:rPr>
          <w:rFonts w:ascii="Arial Narrow" w:eastAsia="Arial Narrow" w:hAnsi="Arial Narrow" w:cs="Arial Narrow"/>
          <w:sz w:val="24"/>
          <w:szCs w:val="24"/>
        </w:rPr>
        <w:t>a educación es esencial para buscar la adaptación y mitigación al cambio climático, la gestión del riesgo frente a fenómenos naturales y, esencialmente, el entender la prevención en la educación como un modo de proteger la calidad y la vida misma de los co</w:t>
      </w:r>
      <w:r>
        <w:rPr>
          <w:rFonts w:ascii="Arial Narrow" w:eastAsia="Arial Narrow" w:hAnsi="Arial Narrow" w:cs="Arial Narrow"/>
          <w:sz w:val="24"/>
          <w:szCs w:val="24"/>
        </w:rPr>
        <w:t xml:space="preserve">lombianos. </w:t>
      </w:r>
    </w:p>
    <w:p w14:paraId="690ABD8F" w14:textId="77777777" w:rsidR="00F87376" w:rsidRDefault="00F87376">
      <w:pPr>
        <w:spacing w:after="0"/>
        <w:jc w:val="both"/>
        <w:rPr>
          <w:rFonts w:ascii="Arial Narrow" w:eastAsia="Arial Narrow" w:hAnsi="Arial Narrow" w:cs="Arial Narrow"/>
          <w:sz w:val="24"/>
          <w:szCs w:val="24"/>
        </w:rPr>
      </w:pPr>
    </w:p>
    <w:p w14:paraId="5C170252"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OBJETO DEL PROYECTO</w:t>
      </w:r>
    </w:p>
    <w:p w14:paraId="79C0E8CA"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presente proyecto de ley tiene como objetivo establecer la cátedra de la gestión del riesgo y el cambio climático y dictar otras disposiciones dirigidas a la enseñanza, la educación y la capacitación de nivel medio, medio técnico, funcionarios públicos </w:t>
      </w:r>
      <w:r>
        <w:rPr>
          <w:rFonts w:ascii="Arial Narrow" w:eastAsia="Arial Narrow" w:hAnsi="Arial Narrow" w:cs="Arial Narrow"/>
          <w:sz w:val="24"/>
          <w:szCs w:val="24"/>
        </w:rPr>
        <w:t>de elección popular y servidores públicos para la preservación de la vida humana, las condiciones de calidad de vida, la toma de decisiones, la reacción ante situaciones de riesgo/desastre y la coexistencia ante la denominada crisis climática, derivada del</w:t>
      </w:r>
      <w:r>
        <w:rPr>
          <w:rFonts w:ascii="Arial Narrow" w:eastAsia="Arial Narrow" w:hAnsi="Arial Narrow" w:cs="Arial Narrow"/>
          <w:sz w:val="24"/>
          <w:szCs w:val="24"/>
        </w:rPr>
        <w:t xml:space="preserve"> cambio climático, y los desastres relacionados a los fenómenos naturales en Colombia.</w:t>
      </w:r>
    </w:p>
    <w:p w14:paraId="78AF87E3"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De tal manera, se busca ampliar la profundización en el campo de las ciencias naturales mediante los conocimientos teóricos y prácticos en Gestión del Riesgo y Cambio Cl</w:t>
      </w:r>
      <w:r>
        <w:rPr>
          <w:rFonts w:ascii="Arial Narrow" w:eastAsia="Arial Narrow" w:hAnsi="Arial Narrow" w:cs="Arial Narrow"/>
          <w:sz w:val="24"/>
          <w:szCs w:val="24"/>
        </w:rPr>
        <w:t xml:space="preserve">imático como parte del área fundamental de la educación media en las instituciones educativas del país. </w:t>
      </w:r>
    </w:p>
    <w:p w14:paraId="00FD0F12"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A su vez, este proyecto de ley promueve, mediante la educación media técnica, la preparación en el conocimiento avanzado para aportar al desempeño labo</w:t>
      </w:r>
      <w:r>
        <w:rPr>
          <w:rFonts w:ascii="Arial Narrow" w:eastAsia="Arial Narrow" w:hAnsi="Arial Narrow" w:cs="Arial Narrow"/>
          <w:sz w:val="24"/>
          <w:szCs w:val="24"/>
        </w:rPr>
        <w:t xml:space="preserve">ral y el ofrecimiento de bienes y servicios que </w:t>
      </w:r>
      <w:r>
        <w:rPr>
          <w:rFonts w:ascii="Arial Narrow" w:eastAsia="Arial Narrow" w:hAnsi="Arial Narrow" w:cs="Arial Narrow"/>
          <w:sz w:val="24"/>
          <w:szCs w:val="24"/>
        </w:rPr>
        <w:lastRenderedPageBreak/>
        <w:t xml:space="preserve">puedan ejercer los estudiantes ante los retos existentes alrededor de la gestión del riesgo y el cambio climático, en el sector público y privado del país.  </w:t>
      </w:r>
    </w:p>
    <w:p w14:paraId="0737E5E8"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Así mismo, es un objetivo la capacitación avanzada</w:t>
      </w:r>
      <w:r>
        <w:rPr>
          <w:rFonts w:ascii="Arial Narrow" w:eastAsia="Arial Narrow" w:hAnsi="Arial Narrow" w:cs="Arial Narrow"/>
          <w:sz w:val="24"/>
          <w:szCs w:val="24"/>
        </w:rPr>
        <w:t xml:space="preserve"> en la toma de decisiones relacionada con la gestión del riesgo y el cambio climático a los funcionarios públicos de elección popular en Colombia mediante la implementación de un módulo independiente vinculado a la inducción obligatoria impartida por la ES</w:t>
      </w:r>
      <w:r>
        <w:rPr>
          <w:rFonts w:ascii="Arial Narrow" w:eastAsia="Arial Narrow" w:hAnsi="Arial Narrow" w:cs="Arial Narrow"/>
          <w:sz w:val="24"/>
          <w:szCs w:val="24"/>
        </w:rPr>
        <w:t xml:space="preserve">AP. </w:t>
      </w:r>
    </w:p>
    <w:p w14:paraId="067BA9E3"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Complementariamente, y entendiendo la responsabilidad de las instituciones públicas, se propone preparar a los servidores públicos ante posibles situaciones de riesgo y desastre que se pueden desarrollar en los territorios, especialmente dentro de las</w:t>
      </w:r>
      <w:r>
        <w:rPr>
          <w:rFonts w:ascii="Arial Narrow" w:eastAsia="Arial Narrow" w:hAnsi="Arial Narrow" w:cs="Arial Narrow"/>
          <w:sz w:val="24"/>
          <w:szCs w:val="24"/>
        </w:rPr>
        <w:t xml:space="preserve"> instalaciones o en el ejercicio de las funciones públicas. </w:t>
      </w:r>
    </w:p>
    <w:p w14:paraId="513115B6" w14:textId="77777777" w:rsidR="00F87376" w:rsidRDefault="00F87376">
      <w:pPr>
        <w:spacing w:after="0"/>
        <w:jc w:val="both"/>
        <w:rPr>
          <w:rFonts w:ascii="Arial Narrow" w:eastAsia="Arial Narrow" w:hAnsi="Arial Narrow" w:cs="Arial Narrow"/>
          <w:sz w:val="24"/>
          <w:szCs w:val="24"/>
        </w:rPr>
      </w:pPr>
    </w:p>
    <w:p w14:paraId="631AB7B3"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CONSIDERACIONES</w:t>
      </w:r>
    </w:p>
    <w:p w14:paraId="1306489D"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El centro de este proyecto de ley y, por tanto, su justificación es la preservación de la vida humana y reducción de riesgos que afecten negativamente la calidad de vida de la po</w:t>
      </w:r>
      <w:r>
        <w:rPr>
          <w:rFonts w:ascii="Arial Narrow" w:eastAsia="Arial Narrow" w:hAnsi="Arial Narrow" w:cs="Arial Narrow"/>
          <w:sz w:val="24"/>
          <w:szCs w:val="24"/>
        </w:rPr>
        <w:t xml:space="preserve">blación. Esto teniendo en cuenta que la educación, la enseñanza y la capacitación son parte fundamental de las acciones de prevención, </w:t>
      </w:r>
      <w:proofErr w:type="gramStart"/>
      <w:r>
        <w:rPr>
          <w:rFonts w:ascii="Arial Narrow" w:eastAsia="Arial Narrow" w:hAnsi="Arial Narrow" w:cs="Arial Narrow"/>
          <w:sz w:val="24"/>
          <w:szCs w:val="24"/>
        </w:rPr>
        <w:t>reducción  y</w:t>
      </w:r>
      <w:proofErr w:type="gramEnd"/>
      <w:r>
        <w:rPr>
          <w:rFonts w:ascii="Arial Narrow" w:eastAsia="Arial Narrow" w:hAnsi="Arial Narrow" w:cs="Arial Narrow"/>
          <w:sz w:val="24"/>
          <w:szCs w:val="24"/>
        </w:rPr>
        <w:t xml:space="preserve"> toma de decisiones ante los desastres relacionados con los fenómenos naturales y las consecuencias del cambi</w:t>
      </w:r>
      <w:r>
        <w:rPr>
          <w:rFonts w:ascii="Arial Narrow" w:eastAsia="Arial Narrow" w:hAnsi="Arial Narrow" w:cs="Arial Narrow"/>
          <w:sz w:val="24"/>
          <w:szCs w:val="24"/>
        </w:rPr>
        <w:t>o climático en el país y el planeta.</w:t>
      </w:r>
    </w:p>
    <w:p w14:paraId="731C68CD"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Lo anterior, teniendo especial atención a la condición de nuestro país, puesto que “</w:t>
      </w:r>
      <w:r>
        <w:rPr>
          <w:rFonts w:ascii="Arial Narrow" w:eastAsia="Arial Narrow" w:hAnsi="Arial Narrow" w:cs="Arial Narrow"/>
          <w:i/>
          <w:sz w:val="24"/>
          <w:szCs w:val="24"/>
        </w:rPr>
        <w:t xml:space="preserve">Colombia es uno de los países más vulnerables a sufrir impactos (…) por cuenta de inundaciones, deslizamientos, avalanchas, incendios, </w:t>
      </w:r>
      <w:r>
        <w:rPr>
          <w:rFonts w:ascii="Arial Narrow" w:eastAsia="Arial Narrow" w:hAnsi="Arial Narrow" w:cs="Arial Narrow"/>
          <w:i/>
          <w:sz w:val="24"/>
          <w:szCs w:val="24"/>
        </w:rPr>
        <w:t>entre otros eventos que generan desastres</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16"/>
      </w:r>
    </w:p>
    <w:p w14:paraId="23ED8266"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Siendo así, la cátedra para la gestión del riesgo y el cambio climático se constituirá en un instrumento estructural que contraste los instrumentos vigentes de toma de decisiones, prevención y reducción del ries</w:t>
      </w:r>
      <w:r>
        <w:rPr>
          <w:rFonts w:ascii="Arial Narrow" w:eastAsia="Arial Narrow" w:hAnsi="Arial Narrow" w:cs="Arial Narrow"/>
          <w:sz w:val="24"/>
          <w:szCs w:val="24"/>
        </w:rPr>
        <w:t xml:space="preserve">go asociados a los desastres por fenómenos naturales y el cambio climático en Colombia, los cuales se han enfocado en acciones técnicas y de gran escala a cargo, principalmente, de la Unidad Nacional para la Gestión del Riesgo de Desastres – UNGRD como se </w:t>
      </w:r>
      <w:r>
        <w:rPr>
          <w:rFonts w:ascii="Arial Narrow" w:eastAsia="Arial Narrow" w:hAnsi="Arial Narrow" w:cs="Arial Narrow"/>
          <w:sz w:val="24"/>
          <w:szCs w:val="24"/>
        </w:rPr>
        <w:t xml:space="preserve">relaciona en las siguientes intervenciones contempladas: </w:t>
      </w:r>
    </w:p>
    <w:p w14:paraId="69B05BB1" w14:textId="77777777" w:rsidR="00F87376" w:rsidRDefault="00C13B6C">
      <w:pPr>
        <w:keepNext/>
        <w:keepLines/>
        <w:pBdr>
          <w:top w:val="nil"/>
          <w:left w:val="nil"/>
          <w:bottom w:val="nil"/>
          <w:right w:val="nil"/>
          <w:between w:val="nil"/>
        </w:pBdr>
        <w:spacing w:before="300" w:after="150" w:line="240" w:lineRule="auto"/>
        <w:jc w:val="both"/>
        <w:rPr>
          <w:rFonts w:ascii="Arial Narrow" w:eastAsia="Arial Narrow" w:hAnsi="Arial Narrow" w:cs="Arial Narrow"/>
          <w:b/>
          <w:i/>
          <w:color w:val="000000"/>
          <w:sz w:val="24"/>
          <w:szCs w:val="24"/>
        </w:rPr>
      </w:pPr>
      <w:r>
        <w:rPr>
          <w:rFonts w:ascii="Arial Narrow" w:eastAsia="Arial Narrow" w:hAnsi="Arial Narrow" w:cs="Arial Narrow"/>
          <w:b/>
          <w:i/>
          <w:color w:val="000000"/>
          <w:sz w:val="24"/>
          <w:szCs w:val="24"/>
        </w:rPr>
        <w:t>“I. Intervención Prospectiva</w:t>
      </w:r>
    </w:p>
    <w:p w14:paraId="2DBA90EF" w14:textId="77777777" w:rsidR="00F87376" w:rsidRDefault="00F87376">
      <w:pPr>
        <w:spacing w:after="0" w:line="240" w:lineRule="auto"/>
        <w:jc w:val="both"/>
        <w:rPr>
          <w:rFonts w:ascii="Arial Narrow" w:eastAsia="Arial Narrow" w:hAnsi="Arial Narrow" w:cs="Arial Narrow"/>
          <w:i/>
          <w:sz w:val="24"/>
          <w:szCs w:val="24"/>
        </w:rPr>
      </w:pPr>
    </w:p>
    <w:p w14:paraId="6956EF6C"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Se trata de prevenir nuevas situaciones de riesgo impidiendo que los elementos expuestos sean vulnerables o que lleguen a estar expuestos ante posibles eventos desastro</w:t>
      </w:r>
      <w:r>
        <w:rPr>
          <w:rFonts w:ascii="Arial Narrow" w:eastAsia="Arial Narrow" w:hAnsi="Arial Narrow" w:cs="Arial Narrow"/>
          <w:i/>
          <w:sz w:val="24"/>
          <w:szCs w:val="24"/>
        </w:rPr>
        <w:t xml:space="preserve">sos. Se realiza primordialmente a través de </w:t>
      </w:r>
      <w:r>
        <w:rPr>
          <w:rFonts w:ascii="Arial Narrow" w:eastAsia="Arial Narrow" w:hAnsi="Arial Narrow" w:cs="Arial Narrow"/>
          <w:i/>
          <w:sz w:val="24"/>
          <w:szCs w:val="24"/>
        </w:rPr>
        <w:lastRenderedPageBreak/>
        <w:t xml:space="preserve">la planificación ambiental sostenible, el ordenamiento territorial, la planificación sectorial, la regulación y las especificaciones técnicas, los estudios de </w:t>
      </w:r>
      <w:proofErr w:type="spellStart"/>
      <w:r>
        <w:rPr>
          <w:rFonts w:ascii="Arial Narrow" w:eastAsia="Arial Narrow" w:hAnsi="Arial Narrow" w:cs="Arial Narrow"/>
          <w:i/>
          <w:sz w:val="24"/>
          <w:szCs w:val="24"/>
        </w:rPr>
        <w:t>pre-factibilidad</w:t>
      </w:r>
      <w:proofErr w:type="spellEnd"/>
      <w:r>
        <w:rPr>
          <w:rFonts w:ascii="Arial Narrow" w:eastAsia="Arial Narrow" w:hAnsi="Arial Narrow" w:cs="Arial Narrow"/>
          <w:i/>
          <w:sz w:val="24"/>
          <w:szCs w:val="24"/>
        </w:rPr>
        <w:t xml:space="preserve"> y diseño adecuados, entre otras acci</w:t>
      </w:r>
      <w:r>
        <w:rPr>
          <w:rFonts w:ascii="Arial Narrow" w:eastAsia="Arial Narrow" w:hAnsi="Arial Narrow" w:cs="Arial Narrow"/>
          <w:i/>
          <w:sz w:val="24"/>
          <w:szCs w:val="24"/>
        </w:rPr>
        <w:t>ones.</w:t>
      </w:r>
    </w:p>
    <w:p w14:paraId="472BF0D4"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Líneas de Acción:</w:t>
      </w:r>
    </w:p>
    <w:p w14:paraId="7BC2D2BF"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a. Instrumentos de Planificación</w:t>
      </w:r>
    </w:p>
    <w:p w14:paraId="7C1BF281"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Se busca con ello integrar medidas de reducción del riesgo en los instrumentos de ordenamiento territorial, de planeación del desarrollo y de ordenación ambiental. El objetivo es que los entes nacionales, los departamentos, las corporaciones autónomas regi</w:t>
      </w:r>
      <w:r>
        <w:rPr>
          <w:rFonts w:ascii="Arial Narrow" w:eastAsia="Arial Narrow" w:hAnsi="Arial Narrow" w:cs="Arial Narrow"/>
          <w:i/>
          <w:sz w:val="24"/>
          <w:szCs w:val="24"/>
        </w:rPr>
        <w:t>onales y los municipios y/o distritos implementen mecanismos que contribuyan de manera anticipada a la localización, construcción y funcionamiento seguro de la infraestructura, los bienes y la población.</w:t>
      </w:r>
    </w:p>
    <w:p w14:paraId="57332849" w14:textId="77777777" w:rsidR="00F87376" w:rsidRDefault="00C13B6C">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Esta línea realiza acciones a través de:</w:t>
      </w:r>
      <w:r>
        <w:rPr>
          <w:rFonts w:ascii="Arial Narrow" w:eastAsia="Arial Narrow" w:hAnsi="Arial Narrow" w:cs="Arial Narrow"/>
          <w:i/>
          <w:sz w:val="24"/>
          <w:szCs w:val="24"/>
        </w:rPr>
        <w:br/>
      </w:r>
    </w:p>
    <w:p w14:paraId="609D683C" w14:textId="77777777" w:rsidR="00F87376" w:rsidRDefault="00C13B6C">
      <w:pPr>
        <w:numPr>
          <w:ilvl w:val="0"/>
          <w:numId w:val="2"/>
        </w:numPr>
        <w:shd w:val="clear" w:color="auto" w:fill="FFFFFF"/>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I. Polític</w:t>
      </w:r>
      <w:r>
        <w:rPr>
          <w:rFonts w:ascii="Arial Narrow" w:eastAsia="Arial Narrow" w:hAnsi="Arial Narrow" w:cs="Arial Narrow"/>
          <w:i/>
          <w:sz w:val="24"/>
          <w:szCs w:val="24"/>
        </w:rPr>
        <w:t>as, reglamentaciones, lineamientos nacionales e insumos con el objetivo de incorporar medidas de intervención prospectiva del riesgo en el ordenamiento del territorio. También se asiste técnicamente al Comité Especial Interinstitucional de la Comisión de O</w:t>
      </w:r>
      <w:r>
        <w:rPr>
          <w:rFonts w:ascii="Arial Narrow" w:eastAsia="Arial Narrow" w:hAnsi="Arial Narrow" w:cs="Arial Narrow"/>
          <w:i/>
          <w:sz w:val="24"/>
          <w:szCs w:val="24"/>
        </w:rPr>
        <w:t>rdenamiento Territorial (CEI-COT) en su agenda y planificación 2015.</w:t>
      </w:r>
    </w:p>
    <w:p w14:paraId="11B4BF55" w14:textId="77777777" w:rsidR="00F87376" w:rsidRDefault="00C13B6C">
      <w:pPr>
        <w:shd w:val="clear" w:color="auto" w:fill="FFFFFF"/>
        <w:spacing w:after="150"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Actualmente está en elaboración la “Guía Municipal de Incorporación de la gestión del riesgo en el ordenamiento Territorial”, de manera coordinada con la Subdirección de Conocimiento del </w:t>
      </w:r>
      <w:r>
        <w:rPr>
          <w:rFonts w:ascii="Arial Narrow" w:eastAsia="Arial Narrow" w:hAnsi="Arial Narrow" w:cs="Arial Narrow"/>
          <w:i/>
          <w:sz w:val="24"/>
          <w:szCs w:val="24"/>
        </w:rPr>
        <w:t>Riesgo de la UNGRD.</w:t>
      </w:r>
    </w:p>
    <w:p w14:paraId="5E1CEB2E" w14:textId="77777777" w:rsidR="00F87376" w:rsidRDefault="00C13B6C">
      <w:pPr>
        <w:numPr>
          <w:ilvl w:val="0"/>
          <w:numId w:val="2"/>
        </w:numPr>
        <w:shd w:val="clear" w:color="auto" w:fill="FFFFFF"/>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II. Asistencia técnica a entidades territoriales para la incorporación de medidas de intervención prospectiva en el ordenamiento territorial. Este año, se está construyendo la línea de base en gestión del riesgo de 40 municipios que han</w:t>
      </w:r>
      <w:r>
        <w:rPr>
          <w:rFonts w:ascii="Arial Narrow" w:eastAsia="Arial Narrow" w:hAnsi="Arial Narrow" w:cs="Arial Narrow"/>
          <w:i/>
          <w:sz w:val="24"/>
          <w:szCs w:val="24"/>
        </w:rPr>
        <w:t xml:space="preserve"> sido priorizados en el marco del Plan Nacional de Desarrollo, lo cual facilitará el proceso de integración de la gestión del riesgo en la revisión y ajuste de los Planes de Ordenamiento Territorial (POT).</w:t>
      </w:r>
    </w:p>
    <w:p w14:paraId="1677329C"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w:t>
      </w:r>
      <w:r>
        <w:rPr>
          <w:rFonts w:ascii="Arial Narrow" w:eastAsia="Arial Narrow" w:hAnsi="Arial Narrow" w:cs="Arial Narrow"/>
          <w:b/>
          <w:i/>
          <w:color w:val="000000"/>
          <w:sz w:val="24"/>
          <w:szCs w:val="24"/>
        </w:rPr>
        <w:t>b. Gestión del riesgo de desastres asociado a fen</w:t>
      </w:r>
      <w:r>
        <w:rPr>
          <w:rFonts w:ascii="Arial Narrow" w:eastAsia="Arial Narrow" w:hAnsi="Arial Narrow" w:cs="Arial Narrow"/>
          <w:b/>
          <w:i/>
          <w:color w:val="000000"/>
          <w:sz w:val="24"/>
          <w:szCs w:val="24"/>
        </w:rPr>
        <w:t xml:space="preserve">ómenos hidrometeorológicos, </w:t>
      </w:r>
      <w:proofErr w:type="spellStart"/>
      <w:r>
        <w:rPr>
          <w:rFonts w:ascii="Arial Narrow" w:eastAsia="Arial Narrow" w:hAnsi="Arial Narrow" w:cs="Arial Narrow"/>
          <w:b/>
          <w:i/>
          <w:color w:val="000000"/>
          <w:sz w:val="24"/>
          <w:szCs w:val="24"/>
        </w:rPr>
        <w:t>hidroclimáticos</w:t>
      </w:r>
      <w:proofErr w:type="spellEnd"/>
      <w:r>
        <w:rPr>
          <w:rFonts w:ascii="Arial Narrow" w:eastAsia="Arial Narrow" w:hAnsi="Arial Narrow" w:cs="Arial Narrow"/>
          <w:b/>
          <w:i/>
          <w:color w:val="000000"/>
          <w:sz w:val="24"/>
          <w:szCs w:val="24"/>
        </w:rPr>
        <w:t xml:space="preserve"> extremos, variabilidad climática y cambio climático</w:t>
      </w:r>
    </w:p>
    <w:p w14:paraId="75DD378D" w14:textId="77777777" w:rsidR="00F87376" w:rsidRDefault="00C13B6C">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Se acompaña técnicamente al Ministerio de Ambiente y Desarrollo Sostenible (MADS) y al Departamento Nacional de Planeación (DNP) en la construcción del Plan Nac</w:t>
      </w:r>
      <w:r>
        <w:rPr>
          <w:rFonts w:ascii="Arial Narrow" w:eastAsia="Arial Narrow" w:hAnsi="Arial Narrow" w:cs="Arial Narrow"/>
          <w:i/>
          <w:sz w:val="24"/>
          <w:szCs w:val="24"/>
        </w:rPr>
        <w:t xml:space="preserve">ional de Adaptación al Cambio Climático. También se apoyan sectores y territorios para identificar medidas de reducción del riesgo relacionadas con la adaptación a la variabilidad y cambio climático de manera articulada con la Política Nacional de Gestión </w:t>
      </w:r>
      <w:r>
        <w:rPr>
          <w:rFonts w:ascii="Arial Narrow" w:eastAsia="Arial Narrow" w:hAnsi="Arial Narrow" w:cs="Arial Narrow"/>
          <w:i/>
          <w:sz w:val="24"/>
          <w:szCs w:val="24"/>
        </w:rPr>
        <w:t>del Riesgo de Desastres. Las acciones más relevantes de esta línea son:</w:t>
      </w:r>
    </w:p>
    <w:p w14:paraId="42A914DB" w14:textId="77777777" w:rsidR="00F87376" w:rsidRDefault="00F87376">
      <w:pPr>
        <w:spacing w:after="0" w:line="240" w:lineRule="auto"/>
        <w:jc w:val="both"/>
        <w:rPr>
          <w:rFonts w:ascii="Arial Narrow" w:eastAsia="Arial Narrow" w:hAnsi="Arial Narrow" w:cs="Arial Narrow"/>
          <w:i/>
          <w:sz w:val="24"/>
          <w:szCs w:val="24"/>
        </w:rPr>
      </w:pPr>
    </w:p>
    <w:p w14:paraId="6B92007B" w14:textId="77777777" w:rsidR="00F87376" w:rsidRDefault="00C13B6C">
      <w:pPr>
        <w:numPr>
          <w:ilvl w:val="0"/>
          <w:numId w:val="3"/>
        </w:numPr>
        <w:shd w:val="clear" w:color="auto" w:fill="FFFFFF"/>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Apoyo Técnico para la incorporación de medidas de reducción del riesgo en los Planes Sectoriales y Territoriales que están formulando en el marco del PNACC. Actualmente se acompaña a </w:t>
      </w:r>
      <w:r>
        <w:rPr>
          <w:rFonts w:ascii="Arial Narrow" w:eastAsia="Arial Narrow" w:hAnsi="Arial Narrow" w:cs="Arial Narrow"/>
          <w:i/>
          <w:sz w:val="24"/>
          <w:szCs w:val="24"/>
        </w:rPr>
        <w:t>los sectores Energía, Transporte y Agricultura y a entidades territoriales como Tolima y Boyacá.</w:t>
      </w:r>
    </w:p>
    <w:p w14:paraId="5B29503D" w14:textId="77777777" w:rsidR="00F87376" w:rsidRDefault="00C13B6C">
      <w:pPr>
        <w:numPr>
          <w:ilvl w:val="0"/>
          <w:numId w:val="3"/>
        </w:numPr>
        <w:shd w:val="clear" w:color="auto" w:fill="FFFFFF"/>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Proyectos de reducción del riesgo: a través de medidas de adaptación a la variabilidad y cambio climático. Desde el año 2014 se implementan dos proyectos:</w:t>
      </w:r>
    </w:p>
    <w:p w14:paraId="5AF8212E" w14:textId="77777777" w:rsidR="00F87376" w:rsidRDefault="00C13B6C">
      <w:pPr>
        <w:shd w:val="clear" w:color="auto" w:fill="FFFFFF"/>
        <w:spacing w:after="150"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 Ad</w:t>
      </w:r>
      <w:r>
        <w:rPr>
          <w:rFonts w:ascii="Arial Narrow" w:eastAsia="Arial Narrow" w:hAnsi="Arial Narrow" w:cs="Arial Narrow"/>
          <w:i/>
          <w:sz w:val="24"/>
          <w:szCs w:val="24"/>
        </w:rPr>
        <w:t>aptación Urbana "Verde" frente a inundaciones en el Municipio de Riohacha-Departamento de la Guajira. Se contará con un modelo de recuperación de humedales.</w:t>
      </w:r>
    </w:p>
    <w:p w14:paraId="7C1DC690" w14:textId="77777777" w:rsidR="00F87376" w:rsidRDefault="00C13B6C">
      <w:pPr>
        <w:shd w:val="clear" w:color="auto" w:fill="FFFFFF"/>
        <w:spacing w:after="150" w:line="240" w:lineRule="auto"/>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Sistema de Alerta Temprana ante eventos climáticos extremos en la cuenca de los ríos Zulia y Pamplonita, Departamento de Norte de Santander. Se pondrán en funcionamiento los centros locales de alerta con la participación de las comunidades de la región.</w:t>
      </w:r>
    </w:p>
    <w:p w14:paraId="1D576EE3" w14:textId="77777777" w:rsidR="00F87376" w:rsidRDefault="00C13B6C">
      <w:pPr>
        <w:numPr>
          <w:ilvl w:val="0"/>
          <w:numId w:val="3"/>
        </w:numPr>
        <w:shd w:val="clear" w:color="auto" w:fill="FFFFFF"/>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Pi</w:t>
      </w:r>
      <w:r>
        <w:rPr>
          <w:rFonts w:ascii="Arial Narrow" w:eastAsia="Arial Narrow" w:hAnsi="Arial Narrow" w:cs="Arial Narrow"/>
          <w:i/>
          <w:sz w:val="24"/>
          <w:szCs w:val="24"/>
        </w:rPr>
        <w:t>ezas comunicativas para informar y educar sobre la interacción entre gestión del riesgo de desastres y la adaptación a la variabilidad climática y al cambio climático: se están elaborando herramientas lúdicas y piezas comunicativas para informar y educar s</w:t>
      </w:r>
      <w:r>
        <w:rPr>
          <w:rFonts w:ascii="Arial Narrow" w:eastAsia="Arial Narrow" w:hAnsi="Arial Narrow" w:cs="Arial Narrow"/>
          <w:i/>
          <w:sz w:val="24"/>
          <w:szCs w:val="24"/>
        </w:rPr>
        <w:t>obre la relación que existe entre la reducción del riesgo y la adaptación a la variabilidad climática y al cambio climático.</w:t>
      </w:r>
    </w:p>
    <w:p w14:paraId="3E45B595" w14:textId="77777777" w:rsidR="00F87376" w:rsidRDefault="00C13B6C">
      <w:pPr>
        <w:keepNext/>
        <w:keepLines/>
        <w:pBdr>
          <w:top w:val="nil"/>
          <w:left w:val="nil"/>
          <w:bottom w:val="nil"/>
          <w:right w:val="nil"/>
          <w:between w:val="nil"/>
        </w:pBdr>
        <w:spacing w:before="300" w:after="150" w:line="240" w:lineRule="auto"/>
        <w:jc w:val="both"/>
        <w:rPr>
          <w:rFonts w:ascii="Arial Narrow" w:eastAsia="Arial Narrow" w:hAnsi="Arial Narrow" w:cs="Arial Narrow"/>
          <w:b/>
          <w:i/>
          <w:color w:val="000000"/>
          <w:sz w:val="24"/>
          <w:szCs w:val="24"/>
        </w:rPr>
      </w:pPr>
      <w:r>
        <w:rPr>
          <w:rFonts w:ascii="Arial Narrow" w:eastAsia="Arial Narrow" w:hAnsi="Arial Narrow" w:cs="Arial Narrow"/>
          <w:b/>
          <w:i/>
          <w:color w:val="000000"/>
          <w:sz w:val="24"/>
          <w:szCs w:val="24"/>
        </w:rPr>
        <w:t>II. Intervención Correctiva</w:t>
      </w:r>
    </w:p>
    <w:p w14:paraId="1353FB09"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Proceso cuyo objetivo es reducir el nivel de riesgo existente en la sociedad a través de acciones de mi</w:t>
      </w:r>
      <w:r>
        <w:rPr>
          <w:rFonts w:ascii="Arial Narrow" w:eastAsia="Arial Narrow" w:hAnsi="Arial Narrow" w:cs="Arial Narrow"/>
          <w:i/>
          <w:sz w:val="24"/>
          <w:szCs w:val="24"/>
        </w:rPr>
        <w:t>tigación, en el sentido de disminuir o reducir las condiciones de amenaza cuando sea posible y la vulnerabilidad de los elementos expuestos.</w:t>
      </w:r>
    </w:p>
    <w:p w14:paraId="17D23CF2"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Líneas de acción de Intervención Correctiva</w:t>
      </w:r>
    </w:p>
    <w:p w14:paraId="7778DDFC"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a. Intervención ante la vulnerabilidad</w:t>
      </w:r>
    </w:p>
    <w:p w14:paraId="72E91716"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Esta línea de intervención se ap</w:t>
      </w:r>
      <w:r>
        <w:rPr>
          <w:rFonts w:ascii="Arial Narrow" w:eastAsia="Arial Narrow" w:hAnsi="Arial Narrow" w:cs="Arial Narrow"/>
          <w:i/>
          <w:sz w:val="24"/>
          <w:szCs w:val="24"/>
        </w:rPr>
        <w:t>lica en determinadas situaciones de desastre que superan la capacidad del municipio y del departamento, y en apoyo al sector vivienda, se evalúan soluciones para proveer viviendas</w:t>
      </w:r>
    </w:p>
    <w:p w14:paraId="7327A1A6"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b. Intervención ante la amenaza</w:t>
      </w:r>
    </w:p>
    <w:p w14:paraId="5271447B"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En esta línea de intervención se ejecutan pr</w:t>
      </w:r>
      <w:r>
        <w:rPr>
          <w:rFonts w:ascii="Arial Narrow" w:eastAsia="Arial Narrow" w:hAnsi="Arial Narrow" w:cs="Arial Narrow"/>
          <w:i/>
          <w:sz w:val="24"/>
          <w:szCs w:val="24"/>
        </w:rPr>
        <w:t>oyectos prioritarios para el país en prevención y mitigación del riesgo a nivel nacional y territorial, financiados con recursos del Fondo Nacional de Gestión del Riesgo.</w:t>
      </w:r>
    </w:p>
    <w:p w14:paraId="5E5D012B"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c. Banco de proyectos en reducción del riesgo</w:t>
      </w:r>
    </w:p>
    <w:p w14:paraId="3102AA56"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A través de esta herramienta, la UNGRD orienta técnicamente la formulación de proyectos de reducción de riesgos, especialmente aquellos de intervención correctiva frente a la amenaza. De los proyectos que cumplen con todos los requisitos técnicos se realiz</w:t>
      </w:r>
      <w:r>
        <w:rPr>
          <w:rFonts w:ascii="Arial Narrow" w:eastAsia="Arial Narrow" w:hAnsi="Arial Narrow" w:cs="Arial Narrow"/>
          <w:i/>
          <w:sz w:val="24"/>
          <w:szCs w:val="24"/>
        </w:rPr>
        <w:t>a la priorización para la aprobación acorde con la disponibilidad de recursos del FNGRD.</w:t>
      </w:r>
    </w:p>
    <w:p w14:paraId="4E4D654E"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d. Programa de Gestión Integral del Riesgo - Amenaza Volcánica Galeras (PGIR-AVG)</w:t>
      </w:r>
    </w:p>
    <w:p w14:paraId="0A3446CB"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Este programa coordina las acciones establecidas para la implementación de la polític</w:t>
      </w:r>
      <w:r>
        <w:rPr>
          <w:rFonts w:ascii="Arial Narrow" w:eastAsia="Arial Narrow" w:hAnsi="Arial Narrow" w:cs="Arial Narrow"/>
          <w:i/>
          <w:sz w:val="24"/>
          <w:szCs w:val="24"/>
        </w:rPr>
        <w:t>a pública relacionadas con el reasentamiento de los habitantes de la zona de amenaza volcánica alta –ZAVA- del Galeras de los municipios de Pasto, Nariño y La Florida.</w:t>
      </w:r>
    </w:p>
    <w:p w14:paraId="128C8AFA" w14:textId="77777777" w:rsidR="00F87376" w:rsidRDefault="00C13B6C">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De conformidad con la Resolución 1347 del 2014 “por la cual se establece el procedimient</w:t>
      </w:r>
      <w:r>
        <w:rPr>
          <w:rFonts w:ascii="Arial Narrow" w:eastAsia="Arial Narrow" w:hAnsi="Arial Narrow" w:cs="Arial Narrow"/>
          <w:i/>
          <w:sz w:val="24"/>
          <w:szCs w:val="24"/>
        </w:rPr>
        <w:t>o para la adquisición de predios ubicados en la ZAVA del Volcán Galeras, para la continuidad del plan de reasentamiento en el marco del PGIR-AVG”, se ofrecen entre otras, las siguientes acciones:</w:t>
      </w:r>
    </w:p>
    <w:p w14:paraId="34BC5942" w14:textId="77777777" w:rsidR="00F87376" w:rsidRDefault="00C13B6C">
      <w:pPr>
        <w:numPr>
          <w:ilvl w:val="1"/>
          <w:numId w:val="4"/>
        </w:numPr>
        <w:spacing w:before="280"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Reasentamiento de los núcleos familiares correspondientes a </w:t>
      </w:r>
      <w:r>
        <w:rPr>
          <w:rFonts w:ascii="Arial Narrow" w:eastAsia="Arial Narrow" w:hAnsi="Arial Narrow" w:cs="Arial Narrow"/>
          <w:i/>
          <w:sz w:val="24"/>
          <w:szCs w:val="24"/>
        </w:rPr>
        <w:t>los predios adquiridos en ZAVA.</w:t>
      </w:r>
    </w:p>
    <w:p w14:paraId="38B91AE9" w14:textId="77777777" w:rsidR="00F87376" w:rsidRDefault="00C13B6C">
      <w:pPr>
        <w:numPr>
          <w:ilvl w:val="1"/>
          <w:numId w:val="4"/>
        </w:num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 Atención psicológica y social a los núcleos familiares de la ZAVA, reasentados y en proceso de reasentamiento.</w:t>
      </w:r>
    </w:p>
    <w:p w14:paraId="304A1FA2" w14:textId="77777777" w:rsidR="00F87376" w:rsidRDefault="00C13B6C">
      <w:pPr>
        <w:numPr>
          <w:ilvl w:val="1"/>
          <w:numId w:val="4"/>
        </w:num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Acompañamiento a la formulación de proyectos de reactivación económica, capacitación y emprendimiento para las </w:t>
      </w:r>
      <w:r>
        <w:rPr>
          <w:rFonts w:ascii="Arial Narrow" w:eastAsia="Arial Narrow" w:hAnsi="Arial Narrow" w:cs="Arial Narrow"/>
          <w:i/>
          <w:sz w:val="24"/>
          <w:szCs w:val="24"/>
        </w:rPr>
        <w:t>familias reasentadas.</w:t>
      </w:r>
    </w:p>
    <w:p w14:paraId="26AC4C2A" w14:textId="77777777" w:rsidR="00F87376" w:rsidRDefault="00C13B6C">
      <w:pPr>
        <w:numPr>
          <w:ilvl w:val="1"/>
          <w:numId w:val="4"/>
        </w:numPr>
        <w:spacing w:after="28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Formación y capacitación a las familias reasentadas, con la participación de diferentes entidades.</w:t>
      </w:r>
    </w:p>
    <w:p w14:paraId="3AF2B795" w14:textId="77777777" w:rsidR="00F87376" w:rsidRDefault="00C13B6C">
      <w:pPr>
        <w:keepNext/>
        <w:keepLines/>
        <w:pBdr>
          <w:top w:val="nil"/>
          <w:left w:val="nil"/>
          <w:bottom w:val="nil"/>
          <w:right w:val="nil"/>
          <w:between w:val="nil"/>
        </w:pBdr>
        <w:spacing w:before="300" w:after="150" w:line="240" w:lineRule="auto"/>
        <w:jc w:val="both"/>
        <w:rPr>
          <w:rFonts w:ascii="Arial Narrow" w:eastAsia="Arial Narrow" w:hAnsi="Arial Narrow" w:cs="Arial Narrow"/>
          <w:b/>
          <w:i/>
          <w:color w:val="000000"/>
          <w:sz w:val="24"/>
          <w:szCs w:val="24"/>
        </w:rPr>
      </w:pPr>
      <w:r>
        <w:rPr>
          <w:rFonts w:ascii="Arial Narrow" w:eastAsia="Arial Narrow" w:hAnsi="Arial Narrow" w:cs="Arial Narrow"/>
          <w:b/>
          <w:i/>
          <w:color w:val="000000"/>
          <w:sz w:val="24"/>
          <w:szCs w:val="24"/>
        </w:rPr>
        <w:t>III. Protección Financiera</w:t>
      </w:r>
    </w:p>
    <w:p w14:paraId="0C799E2F"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Se promueve la incorporación de instrumentos financieros de Retención o Transferencia del Riesgo. Entre los cuales se encuentran los seguros, uno de los mecanismos más difundidos que ofrece el mercado para transferir el riesgo; también existen otros mecani</w:t>
      </w:r>
      <w:r>
        <w:rPr>
          <w:rFonts w:ascii="Arial Narrow" w:eastAsia="Arial Narrow" w:hAnsi="Arial Narrow" w:cs="Arial Narrow"/>
          <w:i/>
          <w:sz w:val="24"/>
          <w:szCs w:val="24"/>
        </w:rPr>
        <w:t>smos como los bonos para catástrofes y los derivados climáticos.</w:t>
      </w:r>
    </w:p>
    <w:p w14:paraId="30B61664"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Líneas de acción de protección financiera</w:t>
      </w:r>
    </w:p>
    <w:p w14:paraId="5485BF56"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a. Asesoría técnica</w:t>
      </w:r>
    </w:p>
    <w:p w14:paraId="2A0A2B3F"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Se orienta el diseño y parametrización de instrumentos financieros, dicha asesoría se brinda a las entidades que lo requieran.</w:t>
      </w:r>
    </w:p>
    <w:p w14:paraId="6329E408"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b.</w:t>
      </w:r>
      <w:r>
        <w:rPr>
          <w:rFonts w:ascii="Arial Narrow" w:eastAsia="Arial Narrow" w:hAnsi="Arial Narrow" w:cs="Arial Narrow"/>
          <w:b/>
          <w:i/>
          <w:color w:val="000000"/>
          <w:sz w:val="24"/>
          <w:szCs w:val="24"/>
        </w:rPr>
        <w:t xml:space="preserve"> Aseguramiento de bienes</w:t>
      </w:r>
    </w:p>
    <w:p w14:paraId="591DE012" w14:textId="77777777" w:rsidR="00F87376" w:rsidRDefault="00C13B6C">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Se encuentra en proceso el documento guía para el aseguramiento de bienes inmuebles públicos y se proyecta realizar la socialización a los Consejos Departamentales de Gestión del Riesgo de Desastres (CDGRD).</w:t>
      </w:r>
    </w:p>
    <w:p w14:paraId="6A29F238" w14:textId="77777777" w:rsidR="00F87376" w:rsidRDefault="00C13B6C">
      <w:pPr>
        <w:keepNext/>
        <w:keepLines/>
        <w:pBdr>
          <w:top w:val="nil"/>
          <w:left w:val="nil"/>
          <w:bottom w:val="nil"/>
          <w:right w:val="nil"/>
          <w:between w:val="nil"/>
        </w:pBdr>
        <w:spacing w:before="300" w:after="150" w:line="240" w:lineRule="auto"/>
        <w:jc w:val="both"/>
        <w:rPr>
          <w:rFonts w:ascii="Arial Narrow" w:eastAsia="Arial Narrow" w:hAnsi="Arial Narrow" w:cs="Arial Narrow"/>
          <w:b/>
          <w:i/>
          <w:color w:val="000000"/>
          <w:sz w:val="24"/>
          <w:szCs w:val="24"/>
        </w:rPr>
      </w:pPr>
      <w:r>
        <w:rPr>
          <w:rFonts w:ascii="Arial Narrow" w:eastAsia="Arial Narrow" w:hAnsi="Arial Narrow" w:cs="Arial Narrow"/>
          <w:b/>
          <w:i/>
          <w:color w:val="000000"/>
          <w:sz w:val="24"/>
          <w:szCs w:val="24"/>
        </w:rPr>
        <w:t>IV. Gestión Sectorial y</w:t>
      </w:r>
      <w:r>
        <w:rPr>
          <w:rFonts w:ascii="Arial Narrow" w:eastAsia="Arial Narrow" w:hAnsi="Arial Narrow" w:cs="Arial Narrow"/>
          <w:b/>
          <w:i/>
          <w:color w:val="000000"/>
          <w:sz w:val="24"/>
          <w:szCs w:val="24"/>
        </w:rPr>
        <w:t xml:space="preserve"> Comunitaria (Carácter Transversal)</w:t>
      </w:r>
    </w:p>
    <w:p w14:paraId="663E4CD2"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Esta línea promueve la incorporación de medidas de reducción del riesgo, el uso de lineamientos y estándares, y el desarrollo de políticas de regulación técnica en los ámbitos público, privado y comunitario, a través de </w:t>
      </w:r>
      <w:r>
        <w:rPr>
          <w:rFonts w:ascii="Arial Narrow" w:eastAsia="Arial Narrow" w:hAnsi="Arial Narrow" w:cs="Arial Narrow"/>
          <w:i/>
          <w:sz w:val="24"/>
          <w:szCs w:val="24"/>
        </w:rPr>
        <w:t>esquemas de planificación sectorial, organización social y vida cotidiana.</w:t>
      </w:r>
    </w:p>
    <w:p w14:paraId="7F160581" w14:textId="77777777" w:rsidR="00F87376" w:rsidRDefault="00C13B6C">
      <w:pPr>
        <w:spacing w:after="15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Líneas de acción de gestión sectorial</w:t>
      </w:r>
    </w:p>
    <w:p w14:paraId="0ADE1150"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a. Generación de insumos para promover la reducción del riesgo</w:t>
      </w:r>
    </w:p>
    <w:p w14:paraId="044AEFD3" w14:textId="77777777" w:rsidR="00F87376" w:rsidRDefault="00C13B6C">
      <w:pPr>
        <w:spacing w:after="0" w:line="240" w:lineRule="auto"/>
        <w:jc w:val="both"/>
        <w:rPr>
          <w:rFonts w:ascii="Arial Narrow" w:eastAsia="Arial Narrow" w:hAnsi="Arial Narrow" w:cs="Arial Narrow"/>
          <w:i/>
          <w:sz w:val="24"/>
          <w:szCs w:val="24"/>
        </w:rPr>
      </w:pPr>
      <w:r>
        <w:rPr>
          <w:rFonts w:ascii="Arial Narrow" w:eastAsia="Arial Narrow" w:hAnsi="Arial Narrow" w:cs="Arial Narrow"/>
          <w:i/>
          <w:sz w:val="24"/>
          <w:szCs w:val="24"/>
        </w:rPr>
        <w:t>Mediante la elaboración y socialización de lineamientos, guías e indicadores, se</w:t>
      </w:r>
      <w:r>
        <w:rPr>
          <w:rFonts w:ascii="Arial Narrow" w:eastAsia="Arial Narrow" w:hAnsi="Arial Narrow" w:cs="Arial Narrow"/>
          <w:i/>
          <w:sz w:val="24"/>
          <w:szCs w:val="24"/>
        </w:rPr>
        <w:t xml:space="preserve"> promueve la incorporación de medidas de reducción del riesgo de desastres en los ámbitos público, privado y comunitario, así como la articulación entre los diferentes actores para dar cumplimiento al mandato de la Ley 1523 de 2012. Actualmente se están de</w:t>
      </w:r>
      <w:r>
        <w:rPr>
          <w:rFonts w:ascii="Arial Narrow" w:eastAsia="Arial Narrow" w:hAnsi="Arial Narrow" w:cs="Arial Narrow"/>
          <w:i/>
          <w:sz w:val="24"/>
          <w:szCs w:val="24"/>
        </w:rPr>
        <w:t>sarrollando lineamientos e insumos para la incorporación del enfoque diferencial y de género, la participación social en las instancias territoriales, el abordaje comunitario y el proceso social de reasentamientos de población en zonas de riesgo no mitigab</w:t>
      </w:r>
      <w:r>
        <w:rPr>
          <w:rFonts w:ascii="Arial Narrow" w:eastAsia="Arial Narrow" w:hAnsi="Arial Narrow" w:cs="Arial Narrow"/>
          <w:i/>
          <w:sz w:val="24"/>
          <w:szCs w:val="24"/>
        </w:rPr>
        <w:t>le, así como el diagnóstico de los principales sectores del país en gestión del riesgo y oferta y competencias para la provisión de viviendas en caso de desastres.</w:t>
      </w:r>
    </w:p>
    <w:p w14:paraId="49DF2940" w14:textId="77777777" w:rsidR="00F87376" w:rsidRDefault="00C13B6C">
      <w:pPr>
        <w:keepNext/>
        <w:keepLines/>
        <w:pBdr>
          <w:top w:val="nil"/>
          <w:left w:val="nil"/>
          <w:bottom w:val="nil"/>
          <w:right w:val="nil"/>
          <w:between w:val="nil"/>
        </w:pBdr>
        <w:spacing w:before="150" w:after="150" w:line="240" w:lineRule="auto"/>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lastRenderedPageBreak/>
        <w:t>b. Promoción de la intervención correctiva y prospectiva del riesgo a nivel nacional y terri</w:t>
      </w:r>
      <w:r>
        <w:rPr>
          <w:rFonts w:ascii="Arial Narrow" w:eastAsia="Arial Narrow" w:hAnsi="Arial Narrow" w:cs="Arial Narrow"/>
          <w:b/>
          <w:i/>
          <w:color w:val="000000"/>
          <w:sz w:val="24"/>
          <w:szCs w:val="24"/>
        </w:rPr>
        <w:t>torial</w:t>
      </w:r>
    </w:p>
    <w:p w14:paraId="113E4D8D" w14:textId="77777777" w:rsidR="00F87376" w:rsidRDefault="00C13B6C">
      <w:pPr>
        <w:spacing w:after="0" w:line="240" w:lineRule="auto"/>
        <w:jc w:val="both"/>
        <w:rPr>
          <w:rFonts w:ascii="Arial Narrow" w:eastAsia="Arial Narrow" w:hAnsi="Arial Narrow" w:cs="Arial Narrow"/>
          <w:sz w:val="24"/>
          <w:szCs w:val="24"/>
        </w:rPr>
      </w:pPr>
      <w:r>
        <w:rPr>
          <w:rFonts w:ascii="Arial Narrow" w:eastAsia="Arial Narrow" w:hAnsi="Arial Narrow" w:cs="Arial Narrow"/>
          <w:i/>
          <w:sz w:val="24"/>
          <w:szCs w:val="24"/>
        </w:rPr>
        <w:t>Mediante la realización de eventos regionales y nacionales para intercambio de experiencias y conocimientos sobre reducción del riesgo entre actores públicos, privados y comunitarios se promueve la integración de la reducción del riesgo</w:t>
      </w:r>
      <w:r>
        <w:rPr>
          <w:rFonts w:ascii="Arial Narrow" w:eastAsia="Arial Narrow" w:hAnsi="Arial Narrow" w:cs="Arial Narrow"/>
          <w:sz w:val="24"/>
          <w:szCs w:val="24"/>
        </w:rPr>
        <w:t xml:space="preserve">” </w:t>
      </w:r>
      <w:r>
        <w:rPr>
          <w:rFonts w:ascii="Arial Narrow" w:eastAsia="Arial Narrow" w:hAnsi="Arial Narrow" w:cs="Arial Narrow"/>
          <w:sz w:val="24"/>
          <w:szCs w:val="24"/>
          <w:vertAlign w:val="superscript"/>
        </w:rPr>
        <w:footnoteReference w:id="17"/>
      </w:r>
    </w:p>
    <w:p w14:paraId="1E31D0C6"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anteriores son intervenciones importantes, sin embargo, deben ser complementadas y, en gran medida, fortalecidas con instrumentos que impacten en el comportamiento individual, comunitario, público y cotidiano relacionado con la preparación en momentos </w:t>
      </w:r>
      <w:r>
        <w:rPr>
          <w:rFonts w:ascii="Arial Narrow" w:eastAsia="Arial Narrow" w:hAnsi="Arial Narrow" w:cs="Arial Narrow"/>
          <w:sz w:val="24"/>
          <w:szCs w:val="24"/>
        </w:rPr>
        <w:t>básicos antes, durante y después</w:t>
      </w:r>
      <w:r>
        <w:rPr>
          <w:rFonts w:ascii="Arial Narrow" w:eastAsia="Arial Narrow" w:hAnsi="Arial Narrow" w:cs="Arial Narrow"/>
          <w:sz w:val="24"/>
          <w:szCs w:val="24"/>
          <w:vertAlign w:val="superscript"/>
        </w:rPr>
        <w:footnoteReference w:id="18"/>
      </w:r>
      <w:r>
        <w:rPr>
          <w:rFonts w:ascii="Arial Narrow" w:eastAsia="Arial Narrow" w:hAnsi="Arial Narrow" w:cs="Arial Narrow"/>
          <w:sz w:val="24"/>
          <w:szCs w:val="24"/>
        </w:rPr>
        <w:t xml:space="preserve"> de los desastres y efectos del cambio climático, es aquí donde la cátedra, la capacitación, la inducción y reinducción adquieren una relevancia particular.</w:t>
      </w:r>
    </w:p>
    <w:p w14:paraId="7822F865"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bien, así como existe una justificación metodológica para establecer la </w:t>
      </w:r>
      <w:proofErr w:type="gramStart"/>
      <w:r>
        <w:rPr>
          <w:rFonts w:ascii="Arial Narrow" w:eastAsia="Arial Narrow" w:hAnsi="Arial Narrow" w:cs="Arial Narrow"/>
          <w:sz w:val="24"/>
          <w:szCs w:val="24"/>
        </w:rPr>
        <w:t>cátedra</w:t>
      </w:r>
      <w:proofErr w:type="gramEnd"/>
      <w:r>
        <w:rPr>
          <w:rFonts w:ascii="Arial Narrow" w:eastAsia="Arial Narrow" w:hAnsi="Arial Narrow" w:cs="Arial Narrow"/>
          <w:sz w:val="24"/>
          <w:szCs w:val="24"/>
        </w:rPr>
        <w:t xml:space="preserve"> así como las otras disposiciones como instrumentos, es esencial considerar como urgente la educación y enseñanza como parte de la prevención, teniendo en cuenta que estos</w:t>
      </w:r>
      <w:r>
        <w:rPr>
          <w:rFonts w:ascii="Arial Narrow" w:eastAsia="Arial Narrow" w:hAnsi="Arial Narrow" w:cs="Arial Narrow"/>
          <w:sz w:val="24"/>
          <w:szCs w:val="24"/>
        </w:rPr>
        <w:t xml:space="preserve"> sucesos han ocasionado la muerte de miles de personas, a través de los años, como se muestra en la siguiente tabla: </w:t>
      </w:r>
    </w:p>
    <w:p w14:paraId="70A02AEE" w14:textId="77777777" w:rsidR="00F87376" w:rsidRDefault="00C13B6C">
      <w:pPr>
        <w:spacing w:before="280" w:after="280"/>
        <w:jc w:val="both"/>
        <w:rPr>
          <w:rFonts w:ascii="Arial Narrow" w:eastAsia="Arial Narrow" w:hAnsi="Arial Narrow" w:cs="Arial Narrow"/>
          <w:b/>
          <w:sz w:val="24"/>
          <w:szCs w:val="24"/>
        </w:rPr>
      </w:pPr>
      <w:r>
        <w:rPr>
          <w:rFonts w:ascii="Arial Narrow" w:eastAsia="Arial Narrow" w:hAnsi="Arial Narrow" w:cs="Arial Narrow"/>
          <w:b/>
          <w:sz w:val="24"/>
          <w:szCs w:val="24"/>
        </w:rPr>
        <w:t>TABLA 1: Principales desastres relacionados con fenómenos naturales registrados en Colombia.</w:t>
      </w:r>
    </w:p>
    <w:tbl>
      <w:tblPr>
        <w:tblStyle w:val="af6"/>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3061"/>
        <w:gridCol w:w="2410"/>
        <w:gridCol w:w="1417"/>
        <w:gridCol w:w="1985"/>
      </w:tblGrid>
      <w:tr w:rsidR="00F87376" w14:paraId="1F7554E5" w14:textId="77777777">
        <w:tc>
          <w:tcPr>
            <w:tcW w:w="483" w:type="dxa"/>
            <w:tcBorders>
              <w:top w:val="nil"/>
              <w:left w:val="nil"/>
            </w:tcBorders>
          </w:tcPr>
          <w:p w14:paraId="4B9BF08F" w14:textId="77777777" w:rsidR="00F87376" w:rsidRDefault="00F87376">
            <w:pPr>
              <w:rPr>
                <w:rFonts w:ascii="Arial Narrow" w:eastAsia="Arial Narrow" w:hAnsi="Arial Narrow" w:cs="Arial Narrow"/>
                <w:b/>
                <w:sz w:val="24"/>
                <w:szCs w:val="24"/>
              </w:rPr>
            </w:pPr>
          </w:p>
        </w:tc>
        <w:tc>
          <w:tcPr>
            <w:tcW w:w="3061" w:type="dxa"/>
            <w:vAlign w:val="center"/>
          </w:tcPr>
          <w:p w14:paraId="386880C8" w14:textId="77777777" w:rsidR="00F87376" w:rsidRDefault="00C13B6C">
            <w:pPr>
              <w:rPr>
                <w:rFonts w:ascii="Arial Narrow" w:eastAsia="Arial Narrow" w:hAnsi="Arial Narrow" w:cs="Arial Narrow"/>
                <w:b/>
                <w:sz w:val="24"/>
                <w:szCs w:val="24"/>
              </w:rPr>
            </w:pPr>
            <w:r>
              <w:rPr>
                <w:rFonts w:ascii="Arial Narrow" w:eastAsia="Arial Narrow" w:hAnsi="Arial Narrow" w:cs="Arial Narrow"/>
                <w:b/>
                <w:sz w:val="24"/>
                <w:szCs w:val="24"/>
              </w:rPr>
              <w:t>Desastre</w:t>
            </w:r>
          </w:p>
        </w:tc>
        <w:tc>
          <w:tcPr>
            <w:tcW w:w="2410" w:type="dxa"/>
            <w:vAlign w:val="center"/>
          </w:tcPr>
          <w:p w14:paraId="1C21428A" w14:textId="77777777" w:rsidR="00F87376" w:rsidRDefault="00C13B6C">
            <w:pPr>
              <w:rPr>
                <w:rFonts w:ascii="Arial Narrow" w:eastAsia="Arial Narrow" w:hAnsi="Arial Narrow" w:cs="Arial Narrow"/>
                <w:b/>
                <w:sz w:val="24"/>
                <w:szCs w:val="24"/>
              </w:rPr>
            </w:pPr>
            <w:r>
              <w:rPr>
                <w:rFonts w:ascii="Arial Narrow" w:eastAsia="Arial Narrow" w:hAnsi="Arial Narrow" w:cs="Arial Narrow"/>
                <w:b/>
                <w:sz w:val="24"/>
                <w:szCs w:val="24"/>
              </w:rPr>
              <w:t>Lugar</w:t>
            </w:r>
          </w:p>
        </w:tc>
        <w:tc>
          <w:tcPr>
            <w:tcW w:w="1417" w:type="dxa"/>
            <w:vAlign w:val="center"/>
          </w:tcPr>
          <w:p w14:paraId="43025F5B" w14:textId="77777777" w:rsidR="00F87376" w:rsidRDefault="00C13B6C">
            <w:pPr>
              <w:rPr>
                <w:rFonts w:ascii="Arial Narrow" w:eastAsia="Arial Narrow" w:hAnsi="Arial Narrow" w:cs="Arial Narrow"/>
                <w:b/>
                <w:sz w:val="24"/>
                <w:szCs w:val="24"/>
              </w:rPr>
            </w:pPr>
            <w:r>
              <w:rPr>
                <w:rFonts w:ascii="Arial Narrow" w:eastAsia="Arial Narrow" w:hAnsi="Arial Narrow" w:cs="Arial Narrow"/>
                <w:b/>
                <w:sz w:val="24"/>
                <w:szCs w:val="24"/>
              </w:rPr>
              <w:t>Año</w:t>
            </w:r>
          </w:p>
        </w:tc>
        <w:tc>
          <w:tcPr>
            <w:tcW w:w="1985" w:type="dxa"/>
            <w:vAlign w:val="center"/>
          </w:tcPr>
          <w:p w14:paraId="4D10FAE0" w14:textId="77777777" w:rsidR="00F87376" w:rsidRDefault="00C13B6C">
            <w:pPr>
              <w:rPr>
                <w:rFonts w:ascii="Arial Narrow" w:eastAsia="Arial Narrow" w:hAnsi="Arial Narrow" w:cs="Arial Narrow"/>
                <w:b/>
                <w:sz w:val="24"/>
                <w:szCs w:val="24"/>
              </w:rPr>
            </w:pPr>
            <w:proofErr w:type="spellStart"/>
            <w:r>
              <w:rPr>
                <w:rFonts w:ascii="Arial Narrow" w:eastAsia="Arial Narrow" w:hAnsi="Arial Narrow" w:cs="Arial Narrow"/>
                <w:b/>
                <w:sz w:val="24"/>
                <w:szCs w:val="24"/>
              </w:rPr>
              <w:t>N°</w:t>
            </w:r>
            <w:proofErr w:type="spellEnd"/>
            <w:r>
              <w:rPr>
                <w:rFonts w:ascii="Arial Narrow" w:eastAsia="Arial Narrow" w:hAnsi="Arial Narrow" w:cs="Arial Narrow"/>
                <w:b/>
                <w:sz w:val="24"/>
                <w:szCs w:val="24"/>
              </w:rPr>
              <w:t xml:space="preserve"> de muertes</w:t>
            </w:r>
          </w:p>
        </w:tc>
      </w:tr>
      <w:tr w:rsidR="00F87376" w14:paraId="00C59D86" w14:textId="77777777">
        <w:tc>
          <w:tcPr>
            <w:tcW w:w="483" w:type="dxa"/>
          </w:tcPr>
          <w:p w14:paraId="73468FC8"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061" w:type="dxa"/>
            <w:vAlign w:val="center"/>
          </w:tcPr>
          <w:p w14:paraId="7506ED8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Terremot</w:t>
            </w:r>
            <w:r>
              <w:rPr>
                <w:rFonts w:ascii="Arial Narrow" w:eastAsia="Arial Narrow" w:hAnsi="Arial Narrow" w:cs="Arial Narrow"/>
                <w:sz w:val="24"/>
                <w:szCs w:val="24"/>
              </w:rPr>
              <w:t>o de Cúcuta</w:t>
            </w:r>
          </w:p>
        </w:tc>
        <w:tc>
          <w:tcPr>
            <w:tcW w:w="2410" w:type="dxa"/>
            <w:vAlign w:val="center"/>
          </w:tcPr>
          <w:p w14:paraId="25D265D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Norte de Santander</w:t>
            </w:r>
          </w:p>
        </w:tc>
        <w:tc>
          <w:tcPr>
            <w:tcW w:w="1417" w:type="dxa"/>
            <w:vAlign w:val="center"/>
          </w:tcPr>
          <w:p w14:paraId="1399222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1875</w:t>
            </w:r>
          </w:p>
        </w:tc>
        <w:tc>
          <w:tcPr>
            <w:tcW w:w="1985" w:type="dxa"/>
            <w:vAlign w:val="center"/>
          </w:tcPr>
          <w:p w14:paraId="74BFE51E"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 xml:space="preserve">5.000 (aprox.) </w:t>
            </w:r>
          </w:p>
        </w:tc>
      </w:tr>
      <w:tr w:rsidR="00F87376" w14:paraId="752D3A30" w14:textId="77777777">
        <w:tc>
          <w:tcPr>
            <w:tcW w:w="483" w:type="dxa"/>
          </w:tcPr>
          <w:p w14:paraId="3838C744"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w:t>
            </w:r>
          </w:p>
        </w:tc>
        <w:tc>
          <w:tcPr>
            <w:tcW w:w="3061" w:type="dxa"/>
            <w:vAlign w:val="center"/>
          </w:tcPr>
          <w:p w14:paraId="75414E46"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Terremoto de Tumaco</w:t>
            </w:r>
          </w:p>
        </w:tc>
        <w:tc>
          <w:tcPr>
            <w:tcW w:w="2410" w:type="dxa"/>
            <w:vAlign w:val="center"/>
          </w:tcPr>
          <w:p w14:paraId="6564BF2D"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Nariño</w:t>
            </w:r>
          </w:p>
        </w:tc>
        <w:tc>
          <w:tcPr>
            <w:tcW w:w="1417" w:type="dxa"/>
            <w:vAlign w:val="center"/>
          </w:tcPr>
          <w:p w14:paraId="650702F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1906</w:t>
            </w:r>
          </w:p>
        </w:tc>
        <w:tc>
          <w:tcPr>
            <w:tcW w:w="1985" w:type="dxa"/>
            <w:vAlign w:val="center"/>
          </w:tcPr>
          <w:p w14:paraId="590A24A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 xml:space="preserve">2.500 (aprox.) </w:t>
            </w:r>
          </w:p>
        </w:tc>
      </w:tr>
      <w:tr w:rsidR="00F87376" w14:paraId="64CC9896" w14:textId="77777777">
        <w:tc>
          <w:tcPr>
            <w:tcW w:w="483" w:type="dxa"/>
          </w:tcPr>
          <w:p w14:paraId="631E38A0"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3</w:t>
            </w:r>
          </w:p>
        </w:tc>
        <w:tc>
          <w:tcPr>
            <w:tcW w:w="3061" w:type="dxa"/>
            <w:vAlign w:val="center"/>
          </w:tcPr>
          <w:p w14:paraId="196F2F4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Terremoto de Túquerres</w:t>
            </w:r>
          </w:p>
        </w:tc>
        <w:tc>
          <w:tcPr>
            <w:tcW w:w="2410" w:type="dxa"/>
            <w:vAlign w:val="center"/>
          </w:tcPr>
          <w:p w14:paraId="5974EEB6"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Nariño</w:t>
            </w:r>
          </w:p>
        </w:tc>
        <w:tc>
          <w:tcPr>
            <w:tcW w:w="1417" w:type="dxa"/>
            <w:vAlign w:val="center"/>
          </w:tcPr>
          <w:p w14:paraId="75F69FFE"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1936</w:t>
            </w:r>
          </w:p>
        </w:tc>
        <w:tc>
          <w:tcPr>
            <w:tcW w:w="1985" w:type="dxa"/>
            <w:vAlign w:val="center"/>
          </w:tcPr>
          <w:p w14:paraId="1164D85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 xml:space="preserve">1.000 (aprox.) </w:t>
            </w:r>
          </w:p>
        </w:tc>
      </w:tr>
      <w:tr w:rsidR="00F87376" w14:paraId="3A73146B" w14:textId="77777777">
        <w:tc>
          <w:tcPr>
            <w:tcW w:w="483" w:type="dxa"/>
          </w:tcPr>
          <w:p w14:paraId="18068C8F"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4</w:t>
            </w:r>
          </w:p>
        </w:tc>
        <w:tc>
          <w:tcPr>
            <w:tcW w:w="3061" w:type="dxa"/>
            <w:vAlign w:val="center"/>
          </w:tcPr>
          <w:p w14:paraId="4E4B0A2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Derrumbe de Supía</w:t>
            </w:r>
          </w:p>
        </w:tc>
        <w:tc>
          <w:tcPr>
            <w:tcW w:w="2410" w:type="dxa"/>
            <w:vAlign w:val="center"/>
          </w:tcPr>
          <w:p w14:paraId="2FD1BA4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Caldas</w:t>
            </w:r>
          </w:p>
        </w:tc>
        <w:tc>
          <w:tcPr>
            <w:tcW w:w="1417" w:type="dxa"/>
            <w:vAlign w:val="center"/>
          </w:tcPr>
          <w:p w14:paraId="1BE451DF"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1970</w:t>
            </w:r>
          </w:p>
        </w:tc>
        <w:tc>
          <w:tcPr>
            <w:tcW w:w="1985" w:type="dxa"/>
            <w:vAlign w:val="center"/>
          </w:tcPr>
          <w:p w14:paraId="21259934"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200 (aprox.)</w:t>
            </w:r>
          </w:p>
        </w:tc>
      </w:tr>
      <w:tr w:rsidR="00F87376" w14:paraId="18CBCAF4" w14:textId="77777777">
        <w:tc>
          <w:tcPr>
            <w:tcW w:w="483" w:type="dxa"/>
          </w:tcPr>
          <w:p w14:paraId="6BE30D02"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5</w:t>
            </w:r>
          </w:p>
        </w:tc>
        <w:tc>
          <w:tcPr>
            <w:tcW w:w="3061" w:type="dxa"/>
            <w:vAlign w:val="center"/>
          </w:tcPr>
          <w:p w14:paraId="0076F22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Tragedia de Quebrada Blanca</w:t>
            </w:r>
          </w:p>
        </w:tc>
        <w:tc>
          <w:tcPr>
            <w:tcW w:w="2410" w:type="dxa"/>
            <w:vAlign w:val="center"/>
          </w:tcPr>
          <w:p w14:paraId="6E346F5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Cundinamarca, Meta</w:t>
            </w:r>
          </w:p>
        </w:tc>
        <w:tc>
          <w:tcPr>
            <w:tcW w:w="1417" w:type="dxa"/>
            <w:vAlign w:val="center"/>
          </w:tcPr>
          <w:p w14:paraId="6CA0977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1974</w:t>
            </w:r>
          </w:p>
        </w:tc>
        <w:tc>
          <w:tcPr>
            <w:tcW w:w="1985" w:type="dxa"/>
            <w:vAlign w:val="center"/>
          </w:tcPr>
          <w:p w14:paraId="67E00925"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500 (aprox.)</w:t>
            </w:r>
          </w:p>
        </w:tc>
      </w:tr>
      <w:tr w:rsidR="00F87376" w14:paraId="08D06CA0" w14:textId="77777777">
        <w:tc>
          <w:tcPr>
            <w:tcW w:w="483" w:type="dxa"/>
          </w:tcPr>
          <w:p w14:paraId="5D35A57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6</w:t>
            </w:r>
          </w:p>
        </w:tc>
        <w:tc>
          <w:tcPr>
            <w:tcW w:w="3061" w:type="dxa"/>
            <w:vAlign w:val="center"/>
          </w:tcPr>
          <w:p w14:paraId="6E18BFBB"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Terremoto de Tumaco</w:t>
            </w:r>
          </w:p>
        </w:tc>
        <w:tc>
          <w:tcPr>
            <w:tcW w:w="2410" w:type="dxa"/>
            <w:vAlign w:val="center"/>
          </w:tcPr>
          <w:p w14:paraId="4680676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Nariño</w:t>
            </w:r>
          </w:p>
        </w:tc>
        <w:tc>
          <w:tcPr>
            <w:tcW w:w="1417" w:type="dxa"/>
            <w:vAlign w:val="center"/>
          </w:tcPr>
          <w:p w14:paraId="470C185C"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1979</w:t>
            </w:r>
          </w:p>
        </w:tc>
        <w:tc>
          <w:tcPr>
            <w:tcW w:w="1985" w:type="dxa"/>
            <w:vAlign w:val="center"/>
          </w:tcPr>
          <w:p w14:paraId="360F6CDF"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450 (aprox.)</w:t>
            </w:r>
          </w:p>
        </w:tc>
      </w:tr>
      <w:tr w:rsidR="00F87376" w14:paraId="4A4013D5" w14:textId="77777777">
        <w:tc>
          <w:tcPr>
            <w:tcW w:w="483" w:type="dxa"/>
          </w:tcPr>
          <w:p w14:paraId="3EE3DFC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7</w:t>
            </w:r>
          </w:p>
        </w:tc>
        <w:tc>
          <w:tcPr>
            <w:tcW w:w="3061" w:type="dxa"/>
            <w:vAlign w:val="center"/>
          </w:tcPr>
          <w:p w14:paraId="470CFB8F"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Tragedia de El Playón</w:t>
            </w:r>
          </w:p>
        </w:tc>
        <w:tc>
          <w:tcPr>
            <w:tcW w:w="2410" w:type="dxa"/>
            <w:vAlign w:val="center"/>
          </w:tcPr>
          <w:p w14:paraId="581B791C"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Santander</w:t>
            </w:r>
          </w:p>
        </w:tc>
        <w:tc>
          <w:tcPr>
            <w:tcW w:w="1417" w:type="dxa"/>
            <w:vAlign w:val="center"/>
          </w:tcPr>
          <w:p w14:paraId="3102110C"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1979</w:t>
            </w:r>
          </w:p>
        </w:tc>
        <w:tc>
          <w:tcPr>
            <w:tcW w:w="1985" w:type="dxa"/>
            <w:vAlign w:val="center"/>
          </w:tcPr>
          <w:p w14:paraId="3754C616"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300 (aprox.)</w:t>
            </w:r>
          </w:p>
        </w:tc>
      </w:tr>
      <w:tr w:rsidR="00F87376" w14:paraId="05DB080D" w14:textId="77777777">
        <w:tc>
          <w:tcPr>
            <w:tcW w:w="483" w:type="dxa"/>
          </w:tcPr>
          <w:p w14:paraId="1745A40E"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8</w:t>
            </w:r>
          </w:p>
        </w:tc>
        <w:tc>
          <w:tcPr>
            <w:tcW w:w="3061" w:type="dxa"/>
            <w:vAlign w:val="center"/>
          </w:tcPr>
          <w:p w14:paraId="65B3601C"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Terremoto de Popayán</w:t>
            </w:r>
          </w:p>
        </w:tc>
        <w:tc>
          <w:tcPr>
            <w:tcW w:w="2410" w:type="dxa"/>
            <w:vAlign w:val="center"/>
          </w:tcPr>
          <w:p w14:paraId="2D7B06C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Cauca</w:t>
            </w:r>
          </w:p>
        </w:tc>
        <w:tc>
          <w:tcPr>
            <w:tcW w:w="1417" w:type="dxa"/>
            <w:vAlign w:val="center"/>
          </w:tcPr>
          <w:p w14:paraId="63BF329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1983</w:t>
            </w:r>
          </w:p>
        </w:tc>
        <w:tc>
          <w:tcPr>
            <w:tcW w:w="1985" w:type="dxa"/>
            <w:vAlign w:val="center"/>
          </w:tcPr>
          <w:p w14:paraId="3904BD32"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287</w:t>
            </w:r>
          </w:p>
        </w:tc>
      </w:tr>
      <w:tr w:rsidR="00F87376" w14:paraId="322A7FDD" w14:textId="77777777">
        <w:tc>
          <w:tcPr>
            <w:tcW w:w="483" w:type="dxa"/>
          </w:tcPr>
          <w:p w14:paraId="3ED088E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9</w:t>
            </w:r>
          </w:p>
        </w:tc>
        <w:tc>
          <w:tcPr>
            <w:tcW w:w="3061" w:type="dxa"/>
            <w:vAlign w:val="center"/>
          </w:tcPr>
          <w:p w14:paraId="611FF56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Tragedia del Guavio</w:t>
            </w:r>
          </w:p>
        </w:tc>
        <w:tc>
          <w:tcPr>
            <w:tcW w:w="2410" w:type="dxa"/>
            <w:vAlign w:val="center"/>
          </w:tcPr>
          <w:p w14:paraId="22157BAF"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Cundinamarca</w:t>
            </w:r>
          </w:p>
        </w:tc>
        <w:tc>
          <w:tcPr>
            <w:tcW w:w="1417" w:type="dxa"/>
            <w:vAlign w:val="center"/>
          </w:tcPr>
          <w:p w14:paraId="2D369C34"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1983</w:t>
            </w:r>
          </w:p>
        </w:tc>
        <w:tc>
          <w:tcPr>
            <w:tcW w:w="1985" w:type="dxa"/>
            <w:vAlign w:val="center"/>
          </w:tcPr>
          <w:p w14:paraId="2313302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200 (aprox.)</w:t>
            </w:r>
          </w:p>
        </w:tc>
      </w:tr>
      <w:tr w:rsidR="00F87376" w14:paraId="754CAC31" w14:textId="77777777">
        <w:tc>
          <w:tcPr>
            <w:tcW w:w="483" w:type="dxa"/>
          </w:tcPr>
          <w:p w14:paraId="2378104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lastRenderedPageBreak/>
              <w:t>10</w:t>
            </w:r>
          </w:p>
        </w:tc>
        <w:tc>
          <w:tcPr>
            <w:tcW w:w="3061" w:type="dxa"/>
            <w:vAlign w:val="center"/>
          </w:tcPr>
          <w:p w14:paraId="50149F0C"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Tragedia de Armero</w:t>
            </w:r>
          </w:p>
        </w:tc>
        <w:tc>
          <w:tcPr>
            <w:tcW w:w="2410" w:type="dxa"/>
            <w:vAlign w:val="center"/>
          </w:tcPr>
          <w:p w14:paraId="42267ED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Tolima, Caldas</w:t>
            </w:r>
          </w:p>
        </w:tc>
        <w:tc>
          <w:tcPr>
            <w:tcW w:w="1417" w:type="dxa"/>
            <w:vAlign w:val="center"/>
          </w:tcPr>
          <w:p w14:paraId="59DD55D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1985</w:t>
            </w:r>
          </w:p>
        </w:tc>
        <w:tc>
          <w:tcPr>
            <w:tcW w:w="1985" w:type="dxa"/>
            <w:vAlign w:val="center"/>
          </w:tcPr>
          <w:p w14:paraId="1B325752"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25.000 (aprox.)</w:t>
            </w:r>
          </w:p>
        </w:tc>
      </w:tr>
      <w:tr w:rsidR="00F87376" w14:paraId="6775A3C0" w14:textId="77777777">
        <w:tc>
          <w:tcPr>
            <w:tcW w:w="483" w:type="dxa"/>
          </w:tcPr>
          <w:p w14:paraId="1976D7F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3061" w:type="dxa"/>
            <w:vAlign w:val="center"/>
          </w:tcPr>
          <w:p w14:paraId="7F48552D"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Deslizamiento de Villatina</w:t>
            </w:r>
          </w:p>
        </w:tc>
        <w:tc>
          <w:tcPr>
            <w:tcW w:w="2410" w:type="dxa"/>
            <w:vAlign w:val="center"/>
          </w:tcPr>
          <w:p w14:paraId="14F8AADE"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Antioquia</w:t>
            </w:r>
          </w:p>
        </w:tc>
        <w:tc>
          <w:tcPr>
            <w:tcW w:w="1417" w:type="dxa"/>
            <w:vAlign w:val="center"/>
          </w:tcPr>
          <w:p w14:paraId="22BFC285"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1987</w:t>
            </w:r>
          </w:p>
        </w:tc>
        <w:tc>
          <w:tcPr>
            <w:tcW w:w="1985" w:type="dxa"/>
            <w:vAlign w:val="center"/>
          </w:tcPr>
          <w:p w14:paraId="319620D0"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700 (aprox.)</w:t>
            </w:r>
          </w:p>
        </w:tc>
      </w:tr>
      <w:tr w:rsidR="00F87376" w14:paraId="4B6E5BE8" w14:textId="77777777">
        <w:tc>
          <w:tcPr>
            <w:tcW w:w="483" w:type="dxa"/>
          </w:tcPr>
          <w:p w14:paraId="2717F4F0"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3061" w:type="dxa"/>
            <w:vAlign w:val="center"/>
          </w:tcPr>
          <w:p w14:paraId="5D1C5C26"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Avalancha de Páez</w:t>
            </w:r>
          </w:p>
        </w:tc>
        <w:tc>
          <w:tcPr>
            <w:tcW w:w="2410" w:type="dxa"/>
            <w:vAlign w:val="center"/>
          </w:tcPr>
          <w:p w14:paraId="24080A2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Cauca</w:t>
            </w:r>
          </w:p>
        </w:tc>
        <w:tc>
          <w:tcPr>
            <w:tcW w:w="1417" w:type="dxa"/>
            <w:vAlign w:val="center"/>
          </w:tcPr>
          <w:p w14:paraId="637A46AB"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1994</w:t>
            </w:r>
          </w:p>
        </w:tc>
        <w:tc>
          <w:tcPr>
            <w:tcW w:w="1985" w:type="dxa"/>
            <w:vAlign w:val="center"/>
          </w:tcPr>
          <w:p w14:paraId="64F5F96B"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1.100 (aprox.)</w:t>
            </w:r>
          </w:p>
        </w:tc>
      </w:tr>
      <w:tr w:rsidR="00F87376" w14:paraId="36F581D2" w14:textId="77777777">
        <w:tc>
          <w:tcPr>
            <w:tcW w:w="483" w:type="dxa"/>
            <w:vAlign w:val="center"/>
          </w:tcPr>
          <w:p w14:paraId="63C8AB8B"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3061" w:type="dxa"/>
            <w:vAlign w:val="center"/>
          </w:tcPr>
          <w:p w14:paraId="2469F2A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Terremoto del Eje Cafetero</w:t>
            </w:r>
          </w:p>
        </w:tc>
        <w:tc>
          <w:tcPr>
            <w:tcW w:w="2410" w:type="dxa"/>
            <w:vAlign w:val="center"/>
          </w:tcPr>
          <w:p w14:paraId="0F8EAD83"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Quindío, Risaralda, Caldas, Valle del Cauca, Tolima</w:t>
            </w:r>
          </w:p>
        </w:tc>
        <w:tc>
          <w:tcPr>
            <w:tcW w:w="1417" w:type="dxa"/>
            <w:vAlign w:val="center"/>
          </w:tcPr>
          <w:p w14:paraId="6FA340F2"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1999</w:t>
            </w:r>
          </w:p>
        </w:tc>
        <w:tc>
          <w:tcPr>
            <w:tcW w:w="1985" w:type="dxa"/>
            <w:vAlign w:val="center"/>
          </w:tcPr>
          <w:p w14:paraId="64FF734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 xml:space="preserve">1.250 (aprox.) </w:t>
            </w:r>
          </w:p>
        </w:tc>
      </w:tr>
      <w:tr w:rsidR="00F87376" w14:paraId="5710AA59" w14:textId="77777777">
        <w:tc>
          <w:tcPr>
            <w:tcW w:w="483" w:type="dxa"/>
          </w:tcPr>
          <w:p w14:paraId="03821CC6"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3061" w:type="dxa"/>
            <w:vAlign w:val="center"/>
          </w:tcPr>
          <w:p w14:paraId="3196965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 xml:space="preserve">Temporada invernal </w:t>
            </w:r>
          </w:p>
        </w:tc>
        <w:tc>
          <w:tcPr>
            <w:tcW w:w="2410" w:type="dxa"/>
            <w:vAlign w:val="center"/>
          </w:tcPr>
          <w:p w14:paraId="7912939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Todo el país</w:t>
            </w:r>
          </w:p>
        </w:tc>
        <w:tc>
          <w:tcPr>
            <w:tcW w:w="1417" w:type="dxa"/>
            <w:vAlign w:val="center"/>
          </w:tcPr>
          <w:p w14:paraId="58B42D9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2010-2011</w:t>
            </w:r>
          </w:p>
        </w:tc>
        <w:tc>
          <w:tcPr>
            <w:tcW w:w="1985" w:type="dxa"/>
            <w:vAlign w:val="center"/>
          </w:tcPr>
          <w:p w14:paraId="1344F250"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400 (aprox.)</w:t>
            </w:r>
          </w:p>
        </w:tc>
      </w:tr>
      <w:tr w:rsidR="00F87376" w14:paraId="5DCEA050" w14:textId="77777777">
        <w:tc>
          <w:tcPr>
            <w:tcW w:w="483" w:type="dxa"/>
          </w:tcPr>
          <w:p w14:paraId="3563F685"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3061" w:type="dxa"/>
            <w:vAlign w:val="center"/>
          </w:tcPr>
          <w:p w14:paraId="56F50C2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Avalancha en Salgar</w:t>
            </w:r>
          </w:p>
        </w:tc>
        <w:tc>
          <w:tcPr>
            <w:tcW w:w="2410" w:type="dxa"/>
            <w:vAlign w:val="center"/>
          </w:tcPr>
          <w:p w14:paraId="11E02B15"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Antioquia</w:t>
            </w:r>
          </w:p>
        </w:tc>
        <w:tc>
          <w:tcPr>
            <w:tcW w:w="1417" w:type="dxa"/>
            <w:vAlign w:val="center"/>
          </w:tcPr>
          <w:p w14:paraId="5FE18238"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2015</w:t>
            </w:r>
          </w:p>
        </w:tc>
        <w:tc>
          <w:tcPr>
            <w:tcW w:w="1985" w:type="dxa"/>
            <w:vAlign w:val="center"/>
          </w:tcPr>
          <w:p w14:paraId="694D8405"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83</w:t>
            </w:r>
          </w:p>
        </w:tc>
      </w:tr>
      <w:tr w:rsidR="00F87376" w14:paraId="578E441C" w14:textId="77777777">
        <w:tc>
          <w:tcPr>
            <w:tcW w:w="483" w:type="dxa"/>
            <w:vAlign w:val="center"/>
          </w:tcPr>
          <w:p w14:paraId="5AE8F780"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3061" w:type="dxa"/>
            <w:vAlign w:val="center"/>
          </w:tcPr>
          <w:p w14:paraId="366BCC8E"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Deslizamiento de tierras Manizales</w:t>
            </w:r>
          </w:p>
        </w:tc>
        <w:tc>
          <w:tcPr>
            <w:tcW w:w="2410" w:type="dxa"/>
            <w:vAlign w:val="center"/>
          </w:tcPr>
          <w:p w14:paraId="6093425E"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Caldas</w:t>
            </w:r>
          </w:p>
        </w:tc>
        <w:tc>
          <w:tcPr>
            <w:tcW w:w="1417" w:type="dxa"/>
            <w:vAlign w:val="center"/>
          </w:tcPr>
          <w:p w14:paraId="0C6607BD"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2017</w:t>
            </w:r>
          </w:p>
        </w:tc>
        <w:tc>
          <w:tcPr>
            <w:tcW w:w="1985" w:type="dxa"/>
            <w:vAlign w:val="center"/>
          </w:tcPr>
          <w:p w14:paraId="41438D3D"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17</w:t>
            </w:r>
          </w:p>
        </w:tc>
      </w:tr>
      <w:tr w:rsidR="00F87376" w14:paraId="69DC2C2A" w14:textId="77777777">
        <w:tc>
          <w:tcPr>
            <w:tcW w:w="483" w:type="dxa"/>
          </w:tcPr>
          <w:p w14:paraId="07D7D60B"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3061" w:type="dxa"/>
            <w:vAlign w:val="center"/>
          </w:tcPr>
          <w:p w14:paraId="7E3B1EBD"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Tragedia de Mocoa</w:t>
            </w:r>
          </w:p>
        </w:tc>
        <w:tc>
          <w:tcPr>
            <w:tcW w:w="2410" w:type="dxa"/>
            <w:vAlign w:val="center"/>
          </w:tcPr>
          <w:p w14:paraId="3D172216"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Putumayo</w:t>
            </w:r>
          </w:p>
        </w:tc>
        <w:tc>
          <w:tcPr>
            <w:tcW w:w="1417" w:type="dxa"/>
            <w:vAlign w:val="center"/>
          </w:tcPr>
          <w:p w14:paraId="3B836F59"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2017</w:t>
            </w:r>
          </w:p>
        </w:tc>
        <w:tc>
          <w:tcPr>
            <w:tcW w:w="1985" w:type="dxa"/>
            <w:vAlign w:val="center"/>
          </w:tcPr>
          <w:p w14:paraId="3C537C8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336</w:t>
            </w:r>
          </w:p>
        </w:tc>
      </w:tr>
      <w:tr w:rsidR="00F87376" w14:paraId="1BD165DD" w14:textId="77777777">
        <w:tc>
          <w:tcPr>
            <w:tcW w:w="483" w:type="dxa"/>
          </w:tcPr>
          <w:p w14:paraId="3E97362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3061" w:type="dxa"/>
            <w:vAlign w:val="center"/>
          </w:tcPr>
          <w:p w14:paraId="4A05496A"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Huracán Iota</w:t>
            </w:r>
          </w:p>
        </w:tc>
        <w:tc>
          <w:tcPr>
            <w:tcW w:w="2410" w:type="dxa"/>
            <w:vAlign w:val="center"/>
          </w:tcPr>
          <w:p w14:paraId="47DE39C7"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San Andrés</w:t>
            </w:r>
          </w:p>
        </w:tc>
        <w:tc>
          <w:tcPr>
            <w:tcW w:w="1417" w:type="dxa"/>
            <w:vAlign w:val="center"/>
          </w:tcPr>
          <w:p w14:paraId="335B7211"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2020</w:t>
            </w:r>
          </w:p>
        </w:tc>
        <w:tc>
          <w:tcPr>
            <w:tcW w:w="1985" w:type="dxa"/>
            <w:vAlign w:val="center"/>
          </w:tcPr>
          <w:p w14:paraId="5633C9CB" w14:textId="77777777" w:rsidR="00F87376" w:rsidRDefault="00C13B6C">
            <w:pPr>
              <w:rPr>
                <w:rFonts w:ascii="Arial Narrow" w:eastAsia="Arial Narrow" w:hAnsi="Arial Narrow" w:cs="Arial Narrow"/>
                <w:sz w:val="24"/>
                <w:szCs w:val="24"/>
              </w:rPr>
            </w:pPr>
            <w:r>
              <w:rPr>
                <w:rFonts w:ascii="Arial Narrow" w:eastAsia="Arial Narrow" w:hAnsi="Arial Narrow" w:cs="Arial Narrow"/>
                <w:sz w:val="24"/>
                <w:szCs w:val="24"/>
              </w:rPr>
              <w:t>42</w:t>
            </w:r>
          </w:p>
        </w:tc>
      </w:tr>
    </w:tbl>
    <w:p w14:paraId="4B3D7F17" w14:textId="77777777" w:rsidR="00F87376" w:rsidRDefault="00C13B6C">
      <w:pPr>
        <w:spacing w:after="280"/>
        <w:jc w:val="center"/>
        <w:rPr>
          <w:rFonts w:ascii="Arial Narrow" w:eastAsia="Arial Narrow" w:hAnsi="Arial Narrow" w:cs="Arial Narrow"/>
          <w:i/>
          <w:sz w:val="24"/>
          <w:szCs w:val="24"/>
        </w:rPr>
      </w:pPr>
      <w:r>
        <w:rPr>
          <w:rFonts w:ascii="Arial Narrow" w:eastAsia="Arial Narrow" w:hAnsi="Arial Narrow" w:cs="Arial Narrow"/>
          <w:b/>
          <w:i/>
          <w:sz w:val="24"/>
          <w:szCs w:val="24"/>
        </w:rPr>
        <w:t>Fuente:</w:t>
      </w:r>
      <w:r>
        <w:rPr>
          <w:rFonts w:ascii="Arial Narrow" w:eastAsia="Arial Narrow" w:hAnsi="Arial Narrow" w:cs="Arial Narrow"/>
          <w:i/>
          <w:sz w:val="24"/>
          <w:szCs w:val="24"/>
        </w:rPr>
        <w:t xml:space="preserve"> Recuperado de la exposición de motivos del proyecto. Realización UTL Representante Wilmer Castellanos</w:t>
      </w:r>
    </w:p>
    <w:p w14:paraId="11416ADA"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Así mismo, es de conocimiento que en Colombia no existe una cultura, ni ciudadana ni gubernamental, alrededor de la prevención del riesgo o la adaptación</w:t>
      </w:r>
      <w:r>
        <w:rPr>
          <w:rFonts w:ascii="Arial Narrow" w:eastAsia="Arial Narrow" w:hAnsi="Arial Narrow" w:cs="Arial Narrow"/>
          <w:sz w:val="24"/>
          <w:szCs w:val="24"/>
        </w:rPr>
        <w:t>/mitigación al cambio climático. Por el contrario, varios de los sucesos relacionados en la tabla anterior se pudieron evitar por la toma de decisiones que previamente se habían advertido.</w:t>
      </w:r>
    </w:p>
    <w:p w14:paraId="15ACEA57"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Por mencionar algunos casos, en 1974 la tragedia de la Quebrada Bla</w:t>
      </w:r>
      <w:r>
        <w:rPr>
          <w:rFonts w:ascii="Arial Narrow" w:eastAsia="Arial Narrow" w:hAnsi="Arial Narrow" w:cs="Arial Narrow"/>
          <w:sz w:val="24"/>
          <w:szCs w:val="24"/>
        </w:rPr>
        <w:t>nca se pudo prevenir con el cierre temporal de la vía “Carretera al Llano” con la autorización del entonces presidente Misael Pastrana. Sin embargo, la situación se tomó como no prioritaria y se dio el lamentable desenlace con cerca de 500 muertos.</w:t>
      </w:r>
      <w:r>
        <w:rPr>
          <w:rFonts w:ascii="Arial Narrow" w:eastAsia="Arial Narrow" w:hAnsi="Arial Narrow" w:cs="Arial Narrow"/>
          <w:sz w:val="24"/>
          <w:szCs w:val="24"/>
          <w:vertAlign w:val="superscript"/>
        </w:rPr>
        <w:footnoteReference w:id="19"/>
      </w:r>
    </w:p>
    <w:p w14:paraId="25A6C77A"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 xml:space="preserve">Otro </w:t>
      </w:r>
      <w:r>
        <w:rPr>
          <w:rFonts w:ascii="Arial Narrow" w:eastAsia="Arial Narrow" w:hAnsi="Arial Narrow" w:cs="Arial Narrow"/>
          <w:sz w:val="24"/>
          <w:szCs w:val="24"/>
        </w:rPr>
        <w:t>de los casos más lamentables e históricos, antes de la tragedia de Armero, varios geólogos y organismos vulcanológicos, habían advertido sobre la actividad volcánica que terminó con el desastre de noviembre de 1985, ante lo cual se decía “cuando termine la</w:t>
      </w:r>
      <w:r>
        <w:rPr>
          <w:rFonts w:ascii="Arial Narrow" w:eastAsia="Arial Narrow" w:hAnsi="Arial Narrow" w:cs="Arial Narrow"/>
          <w:sz w:val="24"/>
          <w:szCs w:val="24"/>
        </w:rPr>
        <w:t xml:space="preserve"> emergencia, será inevitable hacer un </w:t>
      </w:r>
      <w:r>
        <w:rPr>
          <w:rFonts w:ascii="Arial Narrow" w:eastAsia="Arial Narrow" w:hAnsi="Arial Narrow" w:cs="Arial Narrow"/>
          <w:sz w:val="24"/>
          <w:szCs w:val="24"/>
        </w:rPr>
        <w:lastRenderedPageBreak/>
        <w:t>enjuiciamiento sereno pero severo a las autoridades que, pudiendo evitar la más grande tragedia en la historia del país, permitieron que se cumplieran las más apocalípticas profecías”</w:t>
      </w:r>
      <w:r>
        <w:rPr>
          <w:rFonts w:ascii="Arial Narrow" w:eastAsia="Arial Narrow" w:hAnsi="Arial Narrow" w:cs="Arial Narrow"/>
          <w:sz w:val="24"/>
          <w:szCs w:val="24"/>
          <w:vertAlign w:val="superscript"/>
        </w:rPr>
        <w:footnoteReference w:id="20"/>
      </w:r>
    </w:p>
    <w:p w14:paraId="0A3F4BD2"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En tal sentido, que la ausencia de la educación, capacitación y enseñanza, consolidada en una cultura alrededor del tema, en gestión del riesgo y cambio climático ha desmotivado acciones de prevención y reducción de los sucesos lamentables que han afectado</w:t>
      </w:r>
      <w:r>
        <w:rPr>
          <w:rFonts w:ascii="Arial Narrow" w:eastAsia="Arial Narrow" w:hAnsi="Arial Narrow" w:cs="Arial Narrow"/>
          <w:sz w:val="24"/>
          <w:szCs w:val="24"/>
        </w:rPr>
        <w:t xml:space="preserve"> las condiciones territoriales, económicas y el cuidado de la vida de los colombianos. </w:t>
      </w:r>
    </w:p>
    <w:p w14:paraId="394C691E"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sz w:val="24"/>
          <w:szCs w:val="24"/>
        </w:rPr>
        <w:t>Ahora bien, las acciones de reacción y apoyo, especialmente las denominadas reconstrucciones, han sido procesos donde los sobre costos, los atrasos y la corrupción impa</w:t>
      </w:r>
      <w:r>
        <w:rPr>
          <w:rFonts w:ascii="Arial Narrow" w:eastAsia="Arial Narrow" w:hAnsi="Arial Narrow" w:cs="Arial Narrow"/>
          <w:sz w:val="24"/>
          <w:szCs w:val="24"/>
        </w:rPr>
        <w:t xml:space="preserve">ctan negativamente la calidad de vida y la apropiación del territorio por parte de los ciudadanos. </w:t>
      </w:r>
    </w:p>
    <w:p w14:paraId="436975B8" w14:textId="77777777" w:rsidR="00F87376" w:rsidRDefault="00C13B6C">
      <w:pPr>
        <w:spacing w:before="280" w:after="280"/>
        <w:jc w:val="both"/>
        <w:rPr>
          <w:rFonts w:ascii="Arial Narrow" w:eastAsia="Arial Narrow" w:hAnsi="Arial Narrow" w:cs="Arial Narrow"/>
          <w:color w:val="141414"/>
          <w:sz w:val="24"/>
          <w:szCs w:val="24"/>
        </w:rPr>
      </w:pPr>
      <w:r>
        <w:rPr>
          <w:rFonts w:ascii="Arial Narrow" w:eastAsia="Arial Narrow" w:hAnsi="Arial Narrow" w:cs="Arial Narrow"/>
          <w:sz w:val="24"/>
          <w:szCs w:val="24"/>
        </w:rPr>
        <w:t>Recientemente, por ejemplo, en la reconstrucción de San Andrés y Providencia, debido al desastre causado por el Huracán Iota, Transparencia por Colombia ide</w:t>
      </w:r>
      <w:r>
        <w:rPr>
          <w:rFonts w:ascii="Arial Narrow" w:eastAsia="Arial Narrow" w:hAnsi="Arial Narrow" w:cs="Arial Narrow"/>
          <w:sz w:val="24"/>
          <w:szCs w:val="24"/>
        </w:rPr>
        <w:t>ntificó riesgos de corrupción debido a la “</w:t>
      </w:r>
      <w:r>
        <w:rPr>
          <w:rFonts w:ascii="Arial Narrow" w:eastAsia="Arial Narrow" w:hAnsi="Arial Narrow" w:cs="Arial Narrow"/>
          <w:color w:val="141414"/>
          <w:sz w:val="24"/>
          <w:szCs w:val="24"/>
        </w:rPr>
        <w:t>Falta de información pública y pocos espacios de diálogos con la comunidad, son algunas de las irregularidades”</w:t>
      </w:r>
      <w:r>
        <w:rPr>
          <w:rFonts w:ascii="Arial Narrow" w:eastAsia="Arial Narrow" w:hAnsi="Arial Narrow" w:cs="Arial Narrow"/>
          <w:color w:val="141414"/>
          <w:sz w:val="24"/>
          <w:szCs w:val="24"/>
          <w:vertAlign w:val="superscript"/>
        </w:rPr>
        <w:footnoteReference w:id="21"/>
      </w:r>
      <w:r>
        <w:rPr>
          <w:rFonts w:ascii="Arial Narrow" w:eastAsia="Arial Narrow" w:hAnsi="Arial Narrow" w:cs="Arial Narrow"/>
          <w:color w:val="141414"/>
          <w:sz w:val="24"/>
          <w:szCs w:val="24"/>
        </w:rPr>
        <w:t>.</w:t>
      </w:r>
    </w:p>
    <w:p w14:paraId="3FD5FB2C" w14:textId="77777777" w:rsidR="00F87376" w:rsidRDefault="00C13B6C">
      <w:pPr>
        <w:spacing w:before="280" w:after="280"/>
        <w:jc w:val="both"/>
        <w:rPr>
          <w:rFonts w:ascii="Arial Narrow" w:eastAsia="Arial Narrow" w:hAnsi="Arial Narrow" w:cs="Arial Narrow"/>
          <w:sz w:val="24"/>
          <w:szCs w:val="24"/>
        </w:rPr>
      </w:pPr>
      <w:r>
        <w:rPr>
          <w:rFonts w:ascii="Arial Narrow" w:eastAsia="Arial Narrow" w:hAnsi="Arial Narrow" w:cs="Arial Narrow"/>
          <w:color w:val="141414"/>
          <w:sz w:val="24"/>
          <w:szCs w:val="24"/>
        </w:rPr>
        <w:t>De tal manera que la implementación de la Cátedra para la Gestión del Riesgo y el Cambio Climático</w:t>
      </w:r>
      <w:r>
        <w:rPr>
          <w:rFonts w:ascii="Arial Narrow" w:eastAsia="Arial Narrow" w:hAnsi="Arial Narrow" w:cs="Arial Narrow"/>
          <w:color w:val="141414"/>
          <w:sz w:val="24"/>
          <w:szCs w:val="24"/>
        </w:rPr>
        <w:t xml:space="preserve"> y las otras disposiciones, como instrumentos de prevención de riesgos, fortalecimiento de la cultura y capacitación para la toma de decisiones, es también fundamental para evitar la pérdida y el mal uso del erario público. </w:t>
      </w:r>
    </w:p>
    <w:p w14:paraId="0F118CF9" w14:textId="77777777" w:rsidR="00F87376" w:rsidRDefault="00C13B6C">
      <w:pPr>
        <w:spacing w:before="280" w:after="280"/>
        <w:jc w:val="both"/>
        <w:rPr>
          <w:rFonts w:ascii="Arial Narrow" w:eastAsia="Arial Narrow" w:hAnsi="Arial Narrow" w:cs="Arial Narrow"/>
          <w:color w:val="141414"/>
          <w:sz w:val="24"/>
          <w:szCs w:val="24"/>
        </w:rPr>
      </w:pPr>
      <w:r>
        <w:rPr>
          <w:rFonts w:ascii="Arial Narrow" w:eastAsia="Arial Narrow" w:hAnsi="Arial Narrow" w:cs="Arial Narrow"/>
          <w:color w:val="141414"/>
          <w:sz w:val="24"/>
          <w:szCs w:val="24"/>
        </w:rPr>
        <w:t>Finalmente, es tarea de lo público tener iniciativas ejemplares donde los servidores cuiden su propia vida ante posibles situaciones de riesgos y desastres. Por tal razón, teniendo instaurado un instrumento como la inducción y la reinducción, sería indispe</w:t>
      </w:r>
      <w:r>
        <w:rPr>
          <w:rFonts w:ascii="Arial Narrow" w:eastAsia="Arial Narrow" w:hAnsi="Arial Narrow" w:cs="Arial Narrow"/>
          <w:color w:val="141414"/>
          <w:sz w:val="24"/>
          <w:szCs w:val="24"/>
        </w:rPr>
        <w:t xml:space="preserve">nsable que se incluya la gestión del riesgo y el cambio climático, de manera complementaria. </w:t>
      </w:r>
    </w:p>
    <w:p w14:paraId="2F59D299" w14:textId="77777777" w:rsidR="00F87376" w:rsidRDefault="00F87376">
      <w:pPr>
        <w:spacing w:after="0"/>
        <w:jc w:val="both"/>
        <w:rPr>
          <w:rFonts w:ascii="Arial Narrow" w:eastAsia="Arial Narrow" w:hAnsi="Arial Narrow" w:cs="Arial Narrow"/>
          <w:i/>
          <w:sz w:val="24"/>
          <w:szCs w:val="24"/>
        </w:rPr>
      </w:pPr>
    </w:p>
    <w:p w14:paraId="23F0FC85"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IMPACTO FISCAL</w:t>
      </w:r>
    </w:p>
    <w:p w14:paraId="6F1431FC" w14:textId="77777777" w:rsidR="00F87376" w:rsidRDefault="00F87376">
      <w:pPr>
        <w:spacing w:after="0"/>
        <w:ind w:left="720"/>
        <w:jc w:val="both"/>
        <w:rPr>
          <w:rFonts w:ascii="Arial Narrow" w:eastAsia="Arial Narrow" w:hAnsi="Arial Narrow" w:cs="Arial Narrow"/>
          <w:b/>
          <w:sz w:val="24"/>
          <w:szCs w:val="24"/>
        </w:rPr>
      </w:pPr>
    </w:p>
    <w:p w14:paraId="74CE8F2C"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Es necesario señalar que de acuerdo con las sentencias C-315 de 2008 y C-490 de 2011, la Corte manifestó que:</w:t>
      </w:r>
    </w:p>
    <w:p w14:paraId="33578A4A" w14:textId="77777777" w:rsidR="00F87376" w:rsidRDefault="00F87376">
      <w:pPr>
        <w:spacing w:after="0"/>
        <w:ind w:left="567" w:right="571"/>
        <w:jc w:val="both"/>
        <w:rPr>
          <w:rFonts w:ascii="Arial Narrow" w:eastAsia="Arial Narrow" w:hAnsi="Arial Narrow" w:cs="Arial Narrow"/>
          <w:i/>
          <w:sz w:val="24"/>
          <w:szCs w:val="24"/>
        </w:rPr>
      </w:pPr>
    </w:p>
    <w:p w14:paraId="406103BD" w14:textId="77777777" w:rsidR="00F87376" w:rsidRDefault="00C13B6C">
      <w:pPr>
        <w:spacing w:after="0"/>
        <w:ind w:left="567" w:right="571"/>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“Las obligaciones previstas en el </w:t>
      </w:r>
      <w:r>
        <w:rPr>
          <w:rFonts w:ascii="Arial Narrow" w:eastAsia="Arial Narrow" w:hAnsi="Arial Narrow" w:cs="Arial Narrow"/>
          <w:i/>
          <w:sz w:val="24"/>
          <w:szCs w:val="24"/>
        </w:rPr>
        <w:t xml:space="preserve">artículo 7º de la Ley 819 de 2003 constituyen un parámetro de racionalidad legislativa, que está encaminado a cumplir propósitos constitucionalmente valiosos, entre ellos el orden de las finanzas públicas, la estabilidad macroeconómica y la </w:t>
      </w:r>
      <w:r>
        <w:rPr>
          <w:rFonts w:ascii="Arial Narrow" w:eastAsia="Arial Narrow" w:hAnsi="Arial Narrow" w:cs="Arial Narrow"/>
          <w:i/>
          <w:sz w:val="24"/>
          <w:szCs w:val="24"/>
        </w:rPr>
        <w:lastRenderedPageBreak/>
        <w:t>aplicación efec</w:t>
      </w:r>
      <w:r>
        <w:rPr>
          <w:rFonts w:ascii="Arial Narrow" w:eastAsia="Arial Narrow" w:hAnsi="Arial Narrow" w:cs="Arial Narrow"/>
          <w:i/>
          <w:sz w:val="24"/>
          <w:szCs w:val="24"/>
        </w:rPr>
        <w:t>tiva de las leyes. Esto último en tanto un estudio previo de la compatibilidad entre el contenido del proyecto de ley y las proyecciones de la política económica, disminuye el margen de incertidumbre respecto de la ejecución material de las previsiones leg</w:t>
      </w:r>
      <w:r>
        <w:rPr>
          <w:rFonts w:ascii="Arial Narrow" w:eastAsia="Arial Narrow" w:hAnsi="Arial Narrow" w:cs="Arial Narrow"/>
          <w:i/>
          <w:sz w:val="24"/>
          <w:szCs w:val="24"/>
        </w:rPr>
        <w:t xml:space="preserve">islativas. </w:t>
      </w:r>
    </w:p>
    <w:p w14:paraId="64D92EBE" w14:textId="77777777" w:rsidR="00F87376" w:rsidRDefault="00F87376">
      <w:pPr>
        <w:spacing w:after="0"/>
        <w:ind w:left="567" w:right="571"/>
        <w:jc w:val="both"/>
        <w:rPr>
          <w:rFonts w:ascii="Arial Narrow" w:eastAsia="Arial Narrow" w:hAnsi="Arial Narrow" w:cs="Arial Narrow"/>
          <w:i/>
          <w:sz w:val="24"/>
          <w:szCs w:val="24"/>
        </w:rPr>
      </w:pPr>
    </w:p>
    <w:p w14:paraId="7AE31AFE" w14:textId="77777777" w:rsidR="00F87376" w:rsidRDefault="00C13B6C">
      <w:pPr>
        <w:spacing w:after="0"/>
        <w:ind w:left="567" w:right="571"/>
        <w:jc w:val="both"/>
        <w:rPr>
          <w:rFonts w:ascii="Arial Narrow" w:eastAsia="Arial Narrow" w:hAnsi="Arial Narrow" w:cs="Arial Narrow"/>
          <w:i/>
          <w:sz w:val="24"/>
          <w:szCs w:val="24"/>
        </w:rPr>
      </w:pPr>
      <w:r>
        <w:rPr>
          <w:rFonts w:ascii="Arial Narrow" w:eastAsia="Arial Narrow" w:hAnsi="Arial Narrow" w:cs="Arial Narrow"/>
          <w:b/>
          <w:i/>
          <w:sz w:val="24"/>
          <w:szCs w:val="24"/>
          <w:u w:val="single"/>
        </w:rPr>
        <w:t xml:space="preserve">El mandato de adecuación entre la justificación de los proyectos de ley y la planeación de la política económica, empero, no puede comprenderse como un requisito de trámite para la aprobación de las iniciativas legislativas, cuyo cumplimiento </w:t>
      </w:r>
      <w:r>
        <w:rPr>
          <w:rFonts w:ascii="Arial Narrow" w:eastAsia="Arial Narrow" w:hAnsi="Arial Narrow" w:cs="Arial Narrow"/>
          <w:b/>
          <w:i/>
          <w:sz w:val="24"/>
          <w:szCs w:val="24"/>
          <w:u w:val="single"/>
        </w:rPr>
        <w:t>recaiga exclusivamente en el Congreso</w:t>
      </w:r>
      <w:r>
        <w:rPr>
          <w:rFonts w:ascii="Arial Narrow" w:eastAsia="Arial Narrow" w:hAnsi="Arial Narrow" w:cs="Arial Narrow"/>
          <w:i/>
          <w:sz w:val="24"/>
          <w:szCs w:val="24"/>
        </w:rPr>
        <w:t>. Ello en tanto (i) el Congreso carece de las instancias de evaluación técnica para determinar el impacto fiscal de cada proyecto, la determinación de las fuentes adicionales de financiación y la compatibilidad con el m</w:t>
      </w:r>
      <w:r>
        <w:rPr>
          <w:rFonts w:ascii="Arial Narrow" w:eastAsia="Arial Narrow" w:hAnsi="Arial Narrow" w:cs="Arial Narrow"/>
          <w:i/>
          <w:sz w:val="24"/>
          <w:szCs w:val="24"/>
        </w:rPr>
        <w:t>arco fiscal de mediano plazo; y (</w:t>
      </w:r>
      <w:proofErr w:type="spellStart"/>
      <w:r>
        <w:rPr>
          <w:rFonts w:ascii="Arial Narrow" w:eastAsia="Arial Narrow" w:hAnsi="Arial Narrow" w:cs="Arial Narrow"/>
          <w:i/>
          <w:sz w:val="24"/>
          <w:szCs w:val="24"/>
        </w:rPr>
        <w:t>ii</w:t>
      </w:r>
      <w:proofErr w:type="spellEnd"/>
      <w:r>
        <w:rPr>
          <w:rFonts w:ascii="Arial Narrow" w:eastAsia="Arial Narrow" w:hAnsi="Arial Narrow" w:cs="Arial Narrow"/>
          <w:i/>
          <w:sz w:val="24"/>
          <w:szCs w:val="24"/>
        </w:rPr>
        <w:t xml:space="preserve">) aceptar una interpretación de esta naturaleza constituiría una carga irrazonable para el Legislador y otorgaría un poder correlativo de veto al Ejecutivo, a través del Ministerio de Hacienda, respecto de la competencia </w:t>
      </w:r>
      <w:r>
        <w:rPr>
          <w:rFonts w:ascii="Arial Narrow" w:eastAsia="Arial Narrow" w:hAnsi="Arial Narrow" w:cs="Arial Narrow"/>
          <w:i/>
          <w:sz w:val="24"/>
          <w:szCs w:val="24"/>
        </w:rPr>
        <w:t xml:space="preserve">del Congreso para hacer las leyes. </w:t>
      </w:r>
      <w:r>
        <w:rPr>
          <w:rFonts w:ascii="Arial Narrow" w:eastAsia="Arial Narrow" w:hAnsi="Arial Narrow" w:cs="Arial Narrow"/>
          <w:b/>
          <w:i/>
          <w:sz w:val="24"/>
          <w:szCs w:val="24"/>
          <w:u w:val="single"/>
        </w:rPr>
        <w:t>Un poder de este carácter, que involucra una barrera en la función constitucional de producción normativa, se muestra incompatible con el balance entre los poderes públicos y el principio democrático</w:t>
      </w:r>
      <w:r>
        <w:rPr>
          <w:rFonts w:ascii="Arial Narrow" w:eastAsia="Arial Narrow" w:hAnsi="Arial Narrow" w:cs="Arial Narrow"/>
          <w:i/>
          <w:sz w:val="24"/>
          <w:szCs w:val="24"/>
        </w:rPr>
        <w:t>. Si se considera dich</w:t>
      </w:r>
      <w:r>
        <w:rPr>
          <w:rFonts w:ascii="Arial Narrow" w:eastAsia="Arial Narrow" w:hAnsi="Arial Narrow" w:cs="Arial Narrow"/>
          <w:i/>
          <w:sz w:val="24"/>
          <w:szCs w:val="24"/>
        </w:rPr>
        <w:t>o mandato como un mecanismo de racionalidad legislativa, su cumplimiento corresponde inicialmente al Ministerio de Hacienda y Crédito Público, una vez el Congreso ha valorado, mediante las herramientas que tiene a su alcance, la compatibilidad entre los ga</w:t>
      </w:r>
      <w:r>
        <w:rPr>
          <w:rFonts w:ascii="Arial Narrow" w:eastAsia="Arial Narrow" w:hAnsi="Arial Narrow" w:cs="Arial Narrow"/>
          <w:i/>
          <w:sz w:val="24"/>
          <w:szCs w:val="24"/>
        </w:rPr>
        <w:t xml:space="preserve">stos que genera la iniciativa legislativa y las proyecciones de la política económica trazada por el Gobierno. (…). El artículo 7º de la Ley 819/03 </w:t>
      </w:r>
      <w:r>
        <w:rPr>
          <w:rFonts w:ascii="Arial Narrow" w:eastAsia="Arial Narrow" w:hAnsi="Arial Narrow" w:cs="Arial Narrow"/>
          <w:b/>
          <w:i/>
          <w:sz w:val="24"/>
          <w:szCs w:val="24"/>
          <w:u w:val="single"/>
        </w:rPr>
        <w:t>no puede interpretarse de modo tal que la falta de concurrencia del Ministerio de Hacienda y Crédito Público</w:t>
      </w:r>
      <w:r>
        <w:rPr>
          <w:rFonts w:ascii="Arial Narrow" w:eastAsia="Arial Narrow" w:hAnsi="Arial Narrow" w:cs="Arial Narrow"/>
          <w:b/>
          <w:i/>
          <w:sz w:val="24"/>
          <w:szCs w:val="24"/>
          <w:u w:val="single"/>
        </w:rPr>
        <w:t xml:space="preserve"> dentro del proceso legislativo afecte la validez constitucional del trámite respectivo.</w:t>
      </w:r>
      <w:r>
        <w:rPr>
          <w:rFonts w:ascii="Arial Narrow" w:eastAsia="Arial Narrow" w:hAnsi="Arial Narrow" w:cs="Arial Narrow"/>
          <w:i/>
          <w:sz w:val="24"/>
          <w:szCs w:val="24"/>
        </w:rPr>
        <w:t xml:space="preserve">” (Resaltado fuera del texto.) </w:t>
      </w:r>
    </w:p>
    <w:p w14:paraId="758F78A8" w14:textId="77777777" w:rsidR="00F87376" w:rsidRDefault="00F87376">
      <w:pPr>
        <w:spacing w:after="0"/>
        <w:ind w:right="4"/>
        <w:jc w:val="both"/>
        <w:rPr>
          <w:rFonts w:ascii="Arial Narrow" w:eastAsia="Arial Narrow" w:hAnsi="Arial Narrow" w:cs="Arial Narrow"/>
          <w:sz w:val="24"/>
          <w:szCs w:val="24"/>
        </w:rPr>
      </w:pPr>
    </w:p>
    <w:p w14:paraId="1C14C4F0" w14:textId="77777777" w:rsidR="00F87376" w:rsidRDefault="00C13B6C">
      <w:pPr>
        <w:spacing w:after="0"/>
        <w:ind w:right="4"/>
        <w:jc w:val="both"/>
        <w:rPr>
          <w:rFonts w:ascii="Arial Narrow" w:eastAsia="Arial Narrow" w:hAnsi="Arial Narrow" w:cs="Arial Narrow"/>
          <w:sz w:val="24"/>
          <w:szCs w:val="24"/>
        </w:rPr>
      </w:pPr>
      <w:r>
        <w:rPr>
          <w:rFonts w:ascii="Arial Narrow" w:eastAsia="Arial Narrow" w:hAnsi="Arial Narrow" w:cs="Arial Narrow"/>
          <w:sz w:val="24"/>
          <w:szCs w:val="24"/>
        </w:rPr>
        <w:t xml:space="preserve">Además, se debe tener en cuenta como sustento, el pronunciamiento de la Corte Constitucional en la Sentencia C-502 de 2007, en la cual </w:t>
      </w:r>
      <w:r>
        <w:rPr>
          <w:rFonts w:ascii="Arial Narrow" w:eastAsia="Arial Narrow" w:hAnsi="Arial Narrow" w:cs="Arial Narrow"/>
          <w:sz w:val="24"/>
          <w:szCs w:val="24"/>
        </w:rPr>
        <w:t>se puntualizó que el impacto fiscal de las normas no puede convertirse en óbice y barrera, para que las corporaciones públicas ejerzan su función legislativa y normativa:</w:t>
      </w:r>
    </w:p>
    <w:p w14:paraId="63D3E10F" w14:textId="77777777" w:rsidR="00F87376" w:rsidRDefault="00F87376">
      <w:pPr>
        <w:spacing w:after="0"/>
        <w:ind w:right="4"/>
        <w:jc w:val="both"/>
        <w:rPr>
          <w:rFonts w:ascii="Arial Narrow" w:eastAsia="Arial Narrow" w:hAnsi="Arial Narrow" w:cs="Arial Narrow"/>
          <w:sz w:val="24"/>
          <w:szCs w:val="24"/>
        </w:rPr>
      </w:pPr>
    </w:p>
    <w:p w14:paraId="526DED4A" w14:textId="77777777" w:rsidR="00F87376" w:rsidRDefault="00C13B6C">
      <w:pPr>
        <w:tabs>
          <w:tab w:val="left" w:pos="8931"/>
        </w:tabs>
        <w:spacing w:after="0"/>
        <w:ind w:left="567" w:right="571"/>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la realidad, aceptar que las condiciones establecidas en el artículo 7° de la Ley 819 de 2003 </w:t>
      </w:r>
      <w:r>
        <w:rPr>
          <w:rFonts w:ascii="Arial Narrow" w:eastAsia="Arial Narrow" w:hAnsi="Arial Narrow" w:cs="Arial Narrow"/>
          <w:b/>
          <w:sz w:val="24"/>
          <w:szCs w:val="24"/>
          <w:u w:val="single"/>
        </w:rPr>
        <w:t>constituyen un requisito de trámite que le incumbe cumplir única y exclusivamente al Congreso reduce desproporcionadamente la capacidad de iniciativa legislat</w:t>
      </w:r>
      <w:r>
        <w:rPr>
          <w:rFonts w:ascii="Arial Narrow" w:eastAsia="Arial Narrow" w:hAnsi="Arial Narrow" w:cs="Arial Narrow"/>
          <w:b/>
          <w:sz w:val="24"/>
          <w:szCs w:val="24"/>
          <w:u w:val="single"/>
        </w:rPr>
        <w:t>iva que reside en el Congreso de la República</w:t>
      </w:r>
      <w:r>
        <w:rPr>
          <w:rFonts w:ascii="Arial Narrow" w:eastAsia="Arial Narrow" w:hAnsi="Arial Narrow" w:cs="Arial Narrow"/>
          <w:sz w:val="24"/>
          <w:szCs w:val="24"/>
        </w:rPr>
        <w:t>, con lo cual se vulnera el principio de separación de las Ramas del Poder Público, en la medida en que se lesiona seriamente la autonomía del Legislativo.</w:t>
      </w:r>
    </w:p>
    <w:p w14:paraId="5E351EDA" w14:textId="77777777" w:rsidR="00F87376" w:rsidRDefault="00F87376">
      <w:pPr>
        <w:tabs>
          <w:tab w:val="left" w:pos="8931"/>
        </w:tabs>
        <w:spacing w:after="0"/>
        <w:ind w:left="567" w:right="571"/>
        <w:jc w:val="both"/>
        <w:rPr>
          <w:rFonts w:ascii="Arial Narrow" w:eastAsia="Arial Narrow" w:hAnsi="Arial Narrow" w:cs="Arial Narrow"/>
          <w:sz w:val="24"/>
          <w:szCs w:val="24"/>
        </w:rPr>
      </w:pPr>
    </w:p>
    <w:p w14:paraId="36ED6B69" w14:textId="77777777" w:rsidR="00F87376" w:rsidRDefault="00C13B6C">
      <w:pPr>
        <w:tabs>
          <w:tab w:val="left" w:pos="8931"/>
        </w:tabs>
        <w:spacing w:after="0"/>
        <w:ind w:left="567" w:right="571"/>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Precisamente, los obstáculos casi insuperables que se </w:t>
      </w:r>
      <w:r>
        <w:rPr>
          <w:rFonts w:ascii="Arial Narrow" w:eastAsia="Arial Narrow" w:hAnsi="Arial Narrow" w:cs="Arial Narrow"/>
          <w:sz w:val="24"/>
          <w:szCs w:val="24"/>
        </w:rPr>
        <w:t xml:space="preserve">generarían para la actividad legislativa del Congreso de la República conducirían a concederle una forma de poder de veto al </w:t>
      </w:r>
      <w:proofErr w:type="gramStart"/>
      <w:r>
        <w:rPr>
          <w:rFonts w:ascii="Arial Narrow" w:eastAsia="Arial Narrow" w:hAnsi="Arial Narrow" w:cs="Arial Narrow"/>
          <w:sz w:val="24"/>
          <w:szCs w:val="24"/>
        </w:rPr>
        <w:t>Ministro</w:t>
      </w:r>
      <w:proofErr w:type="gramEnd"/>
      <w:r>
        <w:rPr>
          <w:rFonts w:ascii="Arial Narrow" w:eastAsia="Arial Narrow" w:hAnsi="Arial Narrow" w:cs="Arial Narrow"/>
          <w:sz w:val="24"/>
          <w:szCs w:val="24"/>
        </w:rPr>
        <w:t xml:space="preserve"> de Hacienda sobre las iniciativas de ley en el Parlamento.</w:t>
      </w:r>
    </w:p>
    <w:p w14:paraId="4D3E694B" w14:textId="77777777" w:rsidR="00F87376" w:rsidRDefault="00F87376">
      <w:pPr>
        <w:tabs>
          <w:tab w:val="left" w:pos="8931"/>
        </w:tabs>
        <w:spacing w:after="0"/>
        <w:ind w:left="567" w:right="571"/>
        <w:jc w:val="both"/>
        <w:rPr>
          <w:rFonts w:ascii="Arial Narrow" w:eastAsia="Arial Narrow" w:hAnsi="Arial Narrow" w:cs="Arial Narrow"/>
          <w:sz w:val="24"/>
          <w:szCs w:val="24"/>
        </w:rPr>
      </w:pPr>
    </w:p>
    <w:p w14:paraId="6E5A4D64" w14:textId="77777777" w:rsidR="00F87376" w:rsidRDefault="00C13B6C">
      <w:pPr>
        <w:tabs>
          <w:tab w:val="left" w:pos="8931"/>
        </w:tabs>
        <w:spacing w:after="0"/>
        <w:ind w:left="567" w:right="571"/>
        <w:jc w:val="both"/>
        <w:rPr>
          <w:rFonts w:ascii="Arial Narrow" w:eastAsia="Arial Narrow" w:hAnsi="Arial Narrow" w:cs="Arial Narrow"/>
          <w:sz w:val="24"/>
          <w:szCs w:val="24"/>
        </w:rPr>
      </w:pPr>
      <w:r>
        <w:rPr>
          <w:rFonts w:ascii="Arial Narrow" w:eastAsia="Arial Narrow" w:hAnsi="Arial Narrow" w:cs="Arial Narrow"/>
          <w:sz w:val="24"/>
          <w:szCs w:val="24"/>
        </w:rPr>
        <w:t>Es decir, el mencionado artículo debe interpretarse en el sent</w:t>
      </w:r>
      <w:r>
        <w:rPr>
          <w:rFonts w:ascii="Arial Narrow" w:eastAsia="Arial Narrow" w:hAnsi="Arial Narrow" w:cs="Arial Narrow"/>
          <w:sz w:val="24"/>
          <w:szCs w:val="24"/>
        </w:rPr>
        <w:t xml:space="preserve">ido de que su fin es obtener que las leyes que se dicten tengan en cuenta las realidades macroeconómicas, </w:t>
      </w:r>
      <w:r>
        <w:rPr>
          <w:rFonts w:ascii="Arial Narrow" w:eastAsia="Arial Narrow" w:hAnsi="Arial Narrow" w:cs="Arial Narrow"/>
          <w:b/>
          <w:sz w:val="24"/>
          <w:szCs w:val="24"/>
          <w:u w:val="single"/>
        </w:rPr>
        <w:t>pero sin crear barreras insalvables en el ejercicio de la función legislativa ni crear un poder de veto legislativo en cabeza del ministro de Hacienda</w:t>
      </w:r>
      <w:r>
        <w:rPr>
          <w:rFonts w:ascii="Arial Narrow" w:eastAsia="Arial Narrow" w:hAnsi="Arial Narrow" w:cs="Arial Narrow"/>
          <w:sz w:val="24"/>
          <w:szCs w:val="24"/>
        </w:rPr>
        <w:t>.” (Resaltado fuera de texto).</w:t>
      </w:r>
    </w:p>
    <w:p w14:paraId="1957EBCB" w14:textId="77777777" w:rsidR="00F87376" w:rsidRDefault="00F87376">
      <w:pPr>
        <w:tabs>
          <w:tab w:val="left" w:pos="8931"/>
        </w:tabs>
        <w:spacing w:after="0"/>
        <w:ind w:right="571"/>
        <w:jc w:val="both"/>
        <w:rPr>
          <w:rFonts w:ascii="Arial Narrow" w:eastAsia="Arial Narrow" w:hAnsi="Arial Narrow" w:cs="Arial Narrow"/>
          <w:sz w:val="24"/>
          <w:szCs w:val="24"/>
        </w:rPr>
      </w:pPr>
    </w:p>
    <w:p w14:paraId="5CFD84F7" w14:textId="77777777" w:rsidR="00F87376" w:rsidRDefault="00C13B6C">
      <w:pPr>
        <w:tabs>
          <w:tab w:val="left" w:pos="8931"/>
        </w:tabs>
        <w:spacing w:after="0"/>
        <w:ind w:right="4"/>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igual modo, al respecto del impacto fiscal que los proyectos de ley pudieran generar, la Corte ha dicho en sentencia C-315 de 2008 que si bien compete a los miembros del Congreso la responsabilidad de estimar y tomar en cuenta el esfuerzo fiscal que el </w:t>
      </w:r>
      <w:r>
        <w:rPr>
          <w:rFonts w:ascii="Arial Narrow" w:eastAsia="Arial Narrow" w:hAnsi="Arial Narrow" w:cs="Arial Narrow"/>
          <w:sz w:val="24"/>
          <w:szCs w:val="24"/>
        </w:rPr>
        <w:t>proyecto bajo estudio puede implicar para el erario público, es claro que es el Poder Ejecutivo, y al interior de aquél el Ministerio de Hacienda y Crédito Público, el que dispone de los elementos técnicos necesarios para valorar correctamente ese impacto,</w:t>
      </w:r>
      <w:r>
        <w:rPr>
          <w:rFonts w:ascii="Arial Narrow" w:eastAsia="Arial Narrow" w:hAnsi="Arial Narrow" w:cs="Arial Narrow"/>
          <w:sz w:val="24"/>
          <w:szCs w:val="24"/>
        </w:rPr>
        <w:t xml:space="preserve"> y a partir de ello, llegado el caso, demostrar a los miembros del órgano legislativo la inviabilidad financiera de la propuesta que se estudia.</w:t>
      </w:r>
    </w:p>
    <w:p w14:paraId="04E2D6BE" w14:textId="77777777" w:rsidR="00F87376" w:rsidRDefault="00F87376">
      <w:pPr>
        <w:tabs>
          <w:tab w:val="left" w:pos="8931"/>
        </w:tabs>
        <w:spacing w:after="0"/>
        <w:ind w:right="4"/>
        <w:jc w:val="both"/>
        <w:rPr>
          <w:rFonts w:ascii="Arial Narrow" w:eastAsia="Arial Narrow" w:hAnsi="Arial Narrow" w:cs="Arial Narrow"/>
          <w:sz w:val="24"/>
          <w:szCs w:val="24"/>
        </w:rPr>
      </w:pPr>
    </w:p>
    <w:p w14:paraId="0D54F6CA" w14:textId="77777777" w:rsidR="00F87376" w:rsidRDefault="00C13B6C">
      <w:pPr>
        <w:tabs>
          <w:tab w:val="left" w:pos="8931"/>
        </w:tabs>
        <w:spacing w:after="0"/>
        <w:ind w:right="4"/>
        <w:jc w:val="both"/>
        <w:rPr>
          <w:rFonts w:ascii="Arial Narrow" w:eastAsia="Arial Narrow" w:hAnsi="Arial Narrow" w:cs="Arial Narrow"/>
          <w:sz w:val="24"/>
          <w:szCs w:val="24"/>
        </w:rPr>
      </w:pPr>
      <w:r>
        <w:rPr>
          <w:rFonts w:ascii="Arial Narrow" w:eastAsia="Arial Narrow" w:hAnsi="Arial Narrow" w:cs="Arial Narrow"/>
          <w:sz w:val="24"/>
          <w:szCs w:val="24"/>
        </w:rPr>
        <w:t>Por lo anteriormente señalado, se concluye que el Gobierno conserva la potestad para decidir si incluye o no d</w:t>
      </w:r>
      <w:r>
        <w:rPr>
          <w:rFonts w:ascii="Arial Narrow" w:eastAsia="Arial Narrow" w:hAnsi="Arial Narrow" w:cs="Arial Narrow"/>
          <w:sz w:val="24"/>
          <w:szCs w:val="24"/>
        </w:rPr>
        <w:t>entro de sus prioridades, y de acuerdo con la disponibilidad presupuestal, los recursos requeridos para lograr el objetivo del presente Proyecto de Ley, sin que ello implique que la justificación de este y la planeación de tipo presupuestal y económica, se</w:t>
      </w:r>
      <w:r>
        <w:rPr>
          <w:rFonts w:ascii="Arial Narrow" w:eastAsia="Arial Narrow" w:hAnsi="Arial Narrow" w:cs="Arial Narrow"/>
          <w:sz w:val="24"/>
          <w:szCs w:val="24"/>
        </w:rPr>
        <w:t xml:space="preserve"> convierta en una traba dentro del trámite legislativo para la aprobación de la presente ley.</w:t>
      </w:r>
    </w:p>
    <w:p w14:paraId="0F8C6CF7" w14:textId="77777777" w:rsidR="00F87376" w:rsidRDefault="00F87376">
      <w:pPr>
        <w:spacing w:after="0"/>
        <w:jc w:val="both"/>
        <w:rPr>
          <w:rFonts w:ascii="Arial Narrow" w:eastAsia="Arial Narrow" w:hAnsi="Arial Narrow" w:cs="Arial Narrow"/>
          <w:sz w:val="24"/>
          <w:szCs w:val="24"/>
        </w:rPr>
      </w:pPr>
    </w:p>
    <w:p w14:paraId="193D0172" w14:textId="77777777" w:rsidR="00F87376" w:rsidRDefault="00C13B6C">
      <w:pPr>
        <w:pBdr>
          <w:top w:val="nil"/>
          <w:left w:val="nil"/>
          <w:bottom w:val="nil"/>
          <w:right w:val="nil"/>
          <w:between w:val="nil"/>
        </w:pBdr>
        <w:tabs>
          <w:tab w:val="left" w:pos="8931"/>
        </w:tabs>
        <w:spacing w:after="0"/>
        <w:ind w:right="4"/>
        <w:jc w:val="both"/>
        <w:rPr>
          <w:rFonts w:ascii="Arial Narrow" w:eastAsia="Arial Narrow" w:hAnsi="Arial Narrow" w:cs="Arial Narrow"/>
          <w:sz w:val="24"/>
          <w:szCs w:val="24"/>
        </w:rPr>
      </w:pPr>
      <w:r>
        <w:rPr>
          <w:rFonts w:ascii="Arial Narrow" w:eastAsia="Arial Narrow" w:hAnsi="Arial Narrow" w:cs="Arial Narrow"/>
          <w:sz w:val="24"/>
          <w:szCs w:val="24"/>
        </w:rPr>
        <w:t xml:space="preserve">Sin </w:t>
      </w:r>
      <w:proofErr w:type="gramStart"/>
      <w:r>
        <w:rPr>
          <w:rFonts w:ascii="Arial Narrow" w:eastAsia="Arial Narrow" w:hAnsi="Arial Narrow" w:cs="Arial Narrow"/>
          <w:sz w:val="24"/>
          <w:szCs w:val="24"/>
        </w:rPr>
        <w:t>embargo</w:t>
      </w:r>
      <w:proofErr w:type="gramEnd"/>
      <w:r>
        <w:rPr>
          <w:rFonts w:ascii="Arial Narrow" w:eastAsia="Arial Narrow" w:hAnsi="Arial Narrow" w:cs="Arial Narrow"/>
          <w:sz w:val="24"/>
          <w:szCs w:val="24"/>
        </w:rPr>
        <w:t xml:space="preserve"> lo anterior, teniendo en cuenta el análisis previo realizado por el autor de la iniciativa, se concluye que el presente proyecto de ley en su articul</w:t>
      </w:r>
      <w:r>
        <w:rPr>
          <w:rFonts w:ascii="Arial Narrow" w:eastAsia="Arial Narrow" w:hAnsi="Arial Narrow" w:cs="Arial Narrow"/>
          <w:sz w:val="24"/>
          <w:szCs w:val="24"/>
        </w:rPr>
        <w:t>ado, no ordena a las entidades públicas que impliquen erogaciones presupuestales. En este orden de ideas se tiene que el presente proyecto de ley no vulnera la Constitución al no generar gastos presupuestales al Gobierno Nacional, dado que este va dirigido</w:t>
      </w:r>
      <w:r>
        <w:rPr>
          <w:rFonts w:ascii="Arial Narrow" w:eastAsia="Arial Narrow" w:hAnsi="Arial Narrow" w:cs="Arial Narrow"/>
          <w:sz w:val="24"/>
          <w:szCs w:val="24"/>
        </w:rPr>
        <w:t xml:space="preserve"> a la implementación de una cátedra para la gestión del riesgo y el cambio climático dentro de los objetivos específicos de la educación media y la educación media técnica.</w:t>
      </w:r>
    </w:p>
    <w:p w14:paraId="546D315A" w14:textId="77777777" w:rsidR="00F87376" w:rsidRDefault="00F87376">
      <w:pPr>
        <w:pBdr>
          <w:top w:val="nil"/>
          <w:left w:val="nil"/>
          <w:bottom w:val="nil"/>
          <w:right w:val="nil"/>
          <w:between w:val="nil"/>
        </w:pBdr>
        <w:tabs>
          <w:tab w:val="left" w:pos="8931"/>
        </w:tabs>
        <w:spacing w:after="0"/>
        <w:ind w:right="4"/>
        <w:jc w:val="both"/>
        <w:rPr>
          <w:rFonts w:ascii="Arial Narrow" w:eastAsia="Arial Narrow" w:hAnsi="Arial Narrow" w:cs="Arial Narrow"/>
          <w:sz w:val="24"/>
          <w:szCs w:val="24"/>
        </w:rPr>
      </w:pPr>
    </w:p>
    <w:p w14:paraId="7C0B39B6"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CONFLICTO DE INTERÉS</w:t>
      </w:r>
    </w:p>
    <w:p w14:paraId="55B1EA29" w14:textId="77777777" w:rsidR="00F87376" w:rsidRDefault="00F87376">
      <w:pPr>
        <w:spacing w:after="0"/>
        <w:ind w:left="720"/>
        <w:jc w:val="both"/>
        <w:rPr>
          <w:rFonts w:ascii="Arial Narrow" w:eastAsia="Arial Narrow" w:hAnsi="Arial Narrow" w:cs="Arial Narrow"/>
          <w:b/>
          <w:sz w:val="24"/>
          <w:szCs w:val="24"/>
        </w:rPr>
      </w:pPr>
    </w:p>
    <w:p w14:paraId="2571083A" w14:textId="77777777" w:rsidR="00F87376" w:rsidRDefault="00C13B6C">
      <w:pPr>
        <w:spacing w:after="0"/>
        <w:jc w:val="both"/>
        <w:rPr>
          <w:rFonts w:ascii="Arial Narrow" w:eastAsia="Arial Narrow" w:hAnsi="Arial Narrow" w:cs="Arial Narrow"/>
          <w:sz w:val="24"/>
          <w:szCs w:val="24"/>
        </w:rPr>
      </w:pPr>
      <w:sdt>
        <w:sdtPr>
          <w:tag w:val="goog_rdk_0"/>
          <w:id w:val="-384108598"/>
        </w:sdtPr>
        <w:sdtEndPr/>
        <w:sdtContent>
          <w:r>
            <w:rPr>
              <w:rFonts w:ascii="Arial" w:eastAsia="Arial" w:hAnsi="Arial" w:cs="Arial"/>
              <w:sz w:val="24"/>
              <w:szCs w:val="24"/>
            </w:rPr>
            <w:t>Según lo dispuesto en el artículo 3 de la Ley 2003 de 2019 q</w:t>
          </w:r>
          <w:r>
            <w:rPr>
              <w:rFonts w:ascii="Arial" w:eastAsia="Arial" w:hAnsi="Arial" w:cs="Arial"/>
              <w:sz w:val="24"/>
              <w:szCs w:val="24"/>
            </w:rPr>
            <w:t>ue modificó el artículo 291 de la Ley 5 de 1992 “el autor del proyecto y el ponente presentaran en el cuerpo de la exposición de motivos un acápite que describa las circunstancias o eventos que podrían generar un conflicto de interés para la discusión y v</w:t>
          </w:r>
          <w:r>
            <w:rPr>
              <w:rFonts w:ascii="Arial" w:eastAsia="Arial" w:hAnsi="Arial" w:cs="Arial"/>
              <w:sz w:val="24"/>
              <w:szCs w:val="24"/>
            </w:rPr>
            <w:t xml:space="preserve">otación del proyecto, de acuerdo con el artículo 286. Estos serán criterios guías para que los otros congresistas tomen una </w:t>
          </w:r>
          <w:r>
            <w:rPr>
              <w:rFonts w:ascii="Arial" w:eastAsia="Arial" w:hAnsi="Arial" w:cs="Arial"/>
              <w:sz w:val="24"/>
              <w:szCs w:val="24"/>
            </w:rPr>
            <w:lastRenderedPageBreak/>
            <w:t xml:space="preserve">decisión en torno a si se encuentran en una causal de impedimento, no obstante, otras causales que el Congresista pueda encontrar”. </w:t>
          </w:r>
        </w:sdtContent>
      </w:sdt>
    </w:p>
    <w:p w14:paraId="7C557108" w14:textId="77777777" w:rsidR="00F87376" w:rsidRDefault="00F87376">
      <w:pPr>
        <w:spacing w:after="0"/>
        <w:jc w:val="both"/>
        <w:rPr>
          <w:rFonts w:ascii="Arial Narrow" w:eastAsia="Arial Narrow" w:hAnsi="Arial Narrow" w:cs="Arial Narrow"/>
          <w:sz w:val="24"/>
          <w:szCs w:val="24"/>
        </w:rPr>
      </w:pPr>
    </w:p>
    <w:p w14:paraId="74DE498C"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lo cual, en cumplimiento de lo dispuesto en el marco normativo citado, me permito señalar que en el trámite de este proyecto podrán presentarse conflictos de interés moral por parte de aquellos congresistas que por razones de conciencia no quieran </w:t>
      </w:r>
      <w:r>
        <w:rPr>
          <w:rFonts w:ascii="Arial Narrow" w:eastAsia="Arial Narrow" w:hAnsi="Arial Narrow" w:cs="Arial Narrow"/>
          <w:sz w:val="24"/>
          <w:szCs w:val="24"/>
        </w:rPr>
        <w:t>participar en la discusión y votación del presente proyecto. De igual forma, podrían incurrir en conflicto de interés los congresistas, cónyuge, compañero o compañera permanente, o parientes dentro del segundo grado de consanguinidad, segundo de afinidad o</w:t>
      </w:r>
      <w:r>
        <w:rPr>
          <w:rFonts w:ascii="Arial Narrow" w:eastAsia="Arial Narrow" w:hAnsi="Arial Narrow" w:cs="Arial Narrow"/>
          <w:sz w:val="24"/>
          <w:szCs w:val="24"/>
        </w:rPr>
        <w:t xml:space="preserve"> primero civil que puedan obtener beneficios directos o actuales del presente proyecto. </w:t>
      </w:r>
    </w:p>
    <w:p w14:paraId="0EB873A0" w14:textId="77777777" w:rsidR="00F87376" w:rsidRDefault="00F87376">
      <w:pPr>
        <w:spacing w:after="0"/>
        <w:jc w:val="both"/>
        <w:rPr>
          <w:rFonts w:ascii="Arial Narrow" w:eastAsia="Arial Narrow" w:hAnsi="Arial Narrow" w:cs="Arial Narrow"/>
          <w:sz w:val="24"/>
          <w:szCs w:val="24"/>
        </w:rPr>
      </w:pPr>
    </w:p>
    <w:p w14:paraId="55388D07" w14:textId="77777777" w:rsidR="00F87376" w:rsidRDefault="00F87376">
      <w:pPr>
        <w:spacing w:after="0"/>
        <w:jc w:val="both"/>
        <w:rPr>
          <w:rFonts w:ascii="Arial Narrow" w:eastAsia="Arial Narrow" w:hAnsi="Arial Narrow" w:cs="Arial Narrow"/>
          <w:sz w:val="24"/>
          <w:szCs w:val="24"/>
        </w:rPr>
      </w:pPr>
    </w:p>
    <w:p w14:paraId="75871F74" w14:textId="77777777" w:rsidR="00F87376" w:rsidRDefault="00C13B6C">
      <w:pPr>
        <w:numPr>
          <w:ilvl w:val="0"/>
          <w:numId w:val="1"/>
        </w:num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PROPOSICIÓN</w:t>
      </w:r>
    </w:p>
    <w:p w14:paraId="5BCEA425" w14:textId="77777777" w:rsidR="00F87376" w:rsidRDefault="00F87376">
      <w:pPr>
        <w:spacing w:after="0"/>
        <w:jc w:val="both"/>
        <w:rPr>
          <w:rFonts w:ascii="Arial Narrow" w:eastAsia="Arial Narrow" w:hAnsi="Arial Narrow" w:cs="Arial Narrow"/>
          <w:sz w:val="24"/>
          <w:szCs w:val="24"/>
        </w:rPr>
      </w:pPr>
    </w:p>
    <w:p w14:paraId="217BF4C9"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los argumentos esbozados anteriormente, presento ponencia positiva y solicito a los miembros de </w:t>
      </w:r>
      <w:proofErr w:type="gramStart"/>
      <w:r>
        <w:rPr>
          <w:rFonts w:ascii="Arial Narrow" w:eastAsia="Arial Narrow" w:hAnsi="Arial Narrow" w:cs="Arial Narrow"/>
          <w:sz w:val="24"/>
          <w:szCs w:val="24"/>
        </w:rPr>
        <w:t>la  Cámara</w:t>
      </w:r>
      <w:proofErr w:type="gramEnd"/>
      <w:r>
        <w:rPr>
          <w:rFonts w:ascii="Arial Narrow" w:eastAsia="Arial Narrow" w:hAnsi="Arial Narrow" w:cs="Arial Narrow"/>
          <w:sz w:val="24"/>
          <w:szCs w:val="24"/>
        </w:rPr>
        <w:t xml:space="preserve"> de Representantes dar segundo debate al P</w:t>
      </w:r>
      <w:r>
        <w:rPr>
          <w:rFonts w:ascii="Arial Narrow" w:eastAsia="Arial Narrow" w:hAnsi="Arial Narrow" w:cs="Arial Narrow"/>
          <w:sz w:val="24"/>
          <w:szCs w:val="24"/>
        </w:rPr>
        <w:t>royecto de Ley No. 290 de 2022 Cámara “Por medio de la cual se establece la cátedra para la Gestión del Riesgo y El Cambio Climático en Colombia y se dictan otras disposiciones”.</w:t>
      </w:r>
    </w:p>
    <w:p w14:paraId="2B6A9897" w14:textId="77777777" w:rsidR="00F87376" w:rsidRDefault="00F87376">
      <w:pPr>
        <w:spacing w:after="0"/>
        <w:jc w:val="both"/>
        <w:rPr>
          <w:rFonts w:ascii="Arial Narrow" w:eastAsia="Arial Narrow" w:hAnsi="Arial Narrow" w:cs="Arial Narrow"/>
          <w:sz w:val="24"/>
          <w:szCs w:val="24"/>
        </w:rPr>
      </w:pPr>
    </w:p>
    <w:p w14:paraId="336C9CF7" w14:textId="77777777" w:rsidR="00F87376" w:rsidRDefault="00F87376">
      <w:pPr>
        <w:spacing w:after="0"/>
        <w:jc w:val="both"/>
        <w:rPr>
          <w:rFonts w:ascii="Arial Narrow" w:eastAsia="Arial Narrow" w:hAnsi="Arial Narrow" w:cs="Arial Narrow"/>
          <w:i/>
          <w:sz w:val="24"/>
          <w:szCs w:val="24"/>
          <w:highlight w:val="white"/>
        </w:rPr>
      </w:pPr>
    </w:p>
    <w:p w14:paraId="68CE8DD7"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57245057" w14:textId="6C664446" w:rsidR="00F87376" w:rsidRDefault="00F87376">
      <w:pPr>
        <w:spacing w:after="0"/>
        <w:jc w:val="both"/>
        <w:rPr>
          <w:rFonts w:ascii="Arial Narrow" w:eastAsia="Arial Narrow" w:hAnsi="Arial Narrow" w:cs="Arial Narrow"/>
          <w:sz w:val="24"/>
          <w:szCs w:val="24"/>
        </w:rPr>
      </w:pPr>
    </w:p>
    <w:p w14:paraId="272AEE47" w14:textId="77777777" w:rsidR="00F87376" w:rsidRDefault="00F87376">
      <w:pPr>
        <w:spacing w:before="28" w:after="28"/>
        <w:jc w:val="both"/>
        <w:rPr>
          <w:rFonts w:ascii="Arial Narrow" w:eastAsia="Arial Narrow" w:hAnsi="Arial Narrow" w:cs="Arial Narrow"/>
          <w:sz w:val="24"/>
          <w:szCs w:val="24"/>
        </w:rPr>
      </w:pPr>
    </w:p>
    <w:tbl>
      <w:tblPr>
        <w:tblStyle w:val="af7"/>
        <w:tblW w:w="46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tblGrid>
      <w:tr w:rsidR="00F87376" w14:paraId="78BA0DC2" w14:textId="77777777">
        <w:tc>
          <w:tcPr>
            <w:tcW w:w="4680" w:type="dxa"/>
            <w:tcBorders>
              <w:top w:val="nil"/>
              <w:left w:val="single" w:sz="8" w:space="0" w:color="FFFFFF"/>
              <w:bottom w:val="single" w:sz="8" w:space="0" w:color="FFFFFF"/>
              <w:right w:val="dotted" w:sz="8" w:space="0" w:color="FFFFFF"/>
            </w:tcBorders>
            <w:shd w:val="clear" w:color="auto" w:fill="auto"/>
            <w:tcMar>
              <w:top w:w="100" w:type="dxa"/>
              <w:left w:w="100" w:type="dxa"/>
              <w:bottom w:w="100" w:type="dxa"/>
              <w:right w:w="100" w:type="dxa"/>
            </w:tcMar>
          </w:tcPr>
          <w:p w14:paraId="3503D703" w14:textId="77777777" w:rsidR="00F87376" w:rsidRDefault="00F87376">
            <w:pPr>
              <w:widowControl w:val="0"/>
              <w:rPr>
                <w:rFonts w:ascii="Arial Narrow" w:eastAsia="Arial Narrow" w:hAnsi="Arial Narrow" w:cs="Arial Narrow"/>
                <w:b/>
                <w:sz w:val="24"/>
                <w:szCs w:val="24"/>
              </w:rPr>
            </w:pPr>
          </w:p>
          <w:p w14:paraId="6F5C50EC" w14:textId="77777777" w:rsidR="00F87376" w:rsidRDefault="00F87376">
            <w:pPr>
              <w:jc w:val="both"/>
              <w:rPr>
                <w:rFonts w:ascii="Arial Narrow" w:eastAsia="Arial Narrow" w:hAnsi="Arial Narrow" w:cs="Arial Narrow"/>
                <w:b/>
                <w:sz w:val="24"/>
                <w:szCs w:val="24"/>
              </w:rPr>
            </w:pPr>
          </w:p>
          <w:p w14:paraId="43996ED6" w14:textId="77777777" w:rsidR="00F87376" w:rsidRDefault="00C13B6C">
            <w:pPr>
              <w:jc w:val="both"/>
              <w:rPr>
                <w:rFonts w:ascii="Arial Narrow" w:eastAsia="Arial Narrow" w:hAnsi="Arial Narrow" w:cs="Arial Narrow"/>
                <w:b/>
                <w:sz w:val="24"/>
                <w:szCs w:val="24"/>
              </w:rPr>
            </w:pPr>
            <w:r>
              <w:rPr>
                <w:rFonts w:ascii="Arial Narrow" w:eastAsia="Arial Narrow" w:hAnsi="Arial Narrow" w:cs="Arial Narrow"/>
                <w:b/>
                <w:sz w:val="24"/>
                <w:szCs w:val="24"/>
              </w:rPr>
              <w:t>JAIME RAÚL SALAMANCA TORRES</w:t>
            </w:r>
            <w:r>
              <w:rPr>
                <w:rFonts w:ascii="Arial Narrow" w:eastAsia="Arial Narrow" w:hAnsi="Arial Narrow" w:cs="Arial Narrow"/>
                <w:b/>
                <w:sz w:val="24"/>
                <w:szCs w:val="24"/>
              </w:rPr>
              <w:tab/>
              <w:t xml:space="preserve">       </w:t>
            </w:r>
          </w:p>
          <w:p w14:paraId="703DE061" w14:textId="77777777" w:rsidR="00F87376" w:rsidRDefault="00C13B6C">
            <w:pPr>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REPRESENTANTE A LA CÁMARA </w:t>
            </w:r>
            <w:r>
              <w:rPr>
                <w:rFonts w:ascii="Arial Narrow" w:eastAsia="Arial Narrow" w:hAnsi="Arial Narrow" w:cs="Arial Narrow"/>
                <w:b/>
                <w:sz w:val="24"/>
                <w:szCs w:val="24"/>
              </w:rPr>
              <w:tab/>
            </w:r>
            <w:r>
              <w:rPr>
                <w:rFonts w:ascii="Arial Narrow" w:eastAsia="Arial Narrow" w:hAnsi="Arial Narrow" w:cs="Arial Narrow"/>
                <w:b/>
                <w:sz w:val="24"/>
                <w:szCs w:val="24"/>
              </w:rPr>
              <w:tab/>
              <w:t xml:space="preserve">                 </w:t>
            </w:r>
          </w:p>
          <w:p w14:paraId="10D5E4E0" w14:textId="77777777" w:rsidR="00F87376" w:rsidRDefault="00C13B6C">
            <w:pPr>
              <w:rPr>
                <w:rFonts w:ascii="Arial Narrow" w:eastAsia="Arial Narrow" w:hAnsi="Arial Narrow" w:cs="Arial Narrow"/>
                <w:sz w:val="24"/>
                <w:szCs w:val="24"/>
              </w:rPr>
            </w:pPr>
            <w:r>
              <w:rPr>
                <w:rFonts w:ascii="Arial Narrow" w:eastAsia="Arial Narrow" w:hAnsi="Arial Narrow" w:cs="Arial Narrow"/>
                <w:b/>
                <w:sz w:val="24"/>
                <w:szCs w:val="24"/>
              </w:rPr>
              <w:t xml:space="preserve">COORDINADOR PONENTE        </w:t>
            </w:r>
          </w:p>
        </w:tc>
      </w:tr>
      <w:tr w:rsidR="00F87376" w14:paraId="103BCA5F" w14:textId="77777777">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AEC803" w14:textId="77777777" w:rsidR="00F87376" w:rsidRDefault="00F87376">
            <w:pPr>
              <w:widowControl w:val="0"/>
              <w:pBdr>
                <w:top w:val="nil"/>
                <w:left w:val="nil"/>
                <w:bottom w:val="nil"/>
                <w:right w:val="nil"/>
                <w:between w:val="nil"/>
              </w:pBdr>
              <w:rPr>
                <w:rFonts w:ascii="Arial Narrow" w:eastAsia="Arial Narrow" w:hAnsi="Arial Narrow" w:cs="Arial Narrow"/>
                <w:sz w:val="24"/>
                <w:szCs w:val="24"/>
              </w:rPr>
            </w:pPr>
          </w:p>
        </w:tc>
      </w:tr>
    </w:tbl>
    <w:p w14:paraId="60CF6997" w14:textId="77777777" w:rsidR="00F87376" w:rsidRDefault="00F87376">
      <w:pPr>
        <w:spacing w:after="0"/>
        <w:rPr>
          <w:rFonts w:ascii="Arial Narrow" w:eastAsia="Arial Narrow" w:hAnsi="Arial Narrow" w:cs="Arial Narrow"/>
          <w:b/>
          <w:sz w:val="24"/>
          <w:szCs w:val="24"/>
        </w:rPr>
      </w:pPr>
    </w:p>
    <w:p w14:paraId="10129FD9" w14:textId="77777777" w:rsidR="00F87376" w:rsidRDefault="00F87376">
      <w:pPr>
        <w:spacing w:after="0"/>
        <w:rPr>
          <w:rFonts w:ascii="Arial Narrow" w:eastAsia="Arial Narrow" w:hAnsi="Arial Narrow" w:cs="Arial Narrow"/>
          <w:b/>
          <w:sz w:val="24"/>
          <w:szCs w:val="24"/>
        </w:rPr>
      </w:pPr>
    </w:p>
    <w:p w14:paraId="358B0114" w14:textId="77777777" w:rsidR="00F87376" w:rsidRDefault="00F87376">
      <w:pPr>
        <w:spacing w:after="0"/>
        <w:rPr>
          <w:rFonts w:ascii="Arial Narrow" w:eastAsia="Arial Narrow" w:hAnsi="Arial Narrow" w:cs="Arial Narrow"/>
          <w:b/>
          <w:sz w:val="24"/>
          <w:szCs w:val="24"/>
        </w:rPr>
      </w:pPr>
    </w:p>
    <w:p w14:paraId="30B52D6A" w14:textId="77777777" w:rsidR="00F87376" w:rsidRDefault="00F87376">
      <w:pPr>
        <w:spacing w:after="0"/>
        <w:rPr>
          <w:rFonts w:ascii="Arial Narrow" w:eastAsia="Arial Narrow" w:hAnsi="Arial Narrow" w:cs="Arial Narrow"/>
          <w:b/>
          <w:sz w:val="24"/>
          <w:szCs w:val="24"/>
        </w:rPr>
      </w:pPr>
    </w:p>
    <w:p w14:paraId="319C0A7C" w14:textId="77777777" w:rsidR="00F87376" w:rsidRDefault="00F87376">
      <w:pPr>
        <w:spacing w:after="0"/>
        <w:rPr>
          <w:rFonts w:ascii="Arial Narrow" w:eastAsia="Arial Narrow" w:hAnsi="Arial Narrow" w:cs="Arial Narrow"/>
          <w:b/>
          <w:sz w:val="24"/>
          <w:szCs w:val="24"/>
        </w:rPr>
      </w:pPr>
    </w:p>
    <w:p w14:paraId="4A4AFBC1" w14:textId="77777777" w:rsidR="00F87376" w:rsidRDefault="00F87376">
      <w:pPr>
        <w:spacing w:after="0"/>
        <w:rPr>
          <w:rFonts w:ascii="Arial Narrow" w:eastAsia="Arial Narrow" w:hAnsi="Arial Narrow" w:cs="Arial Narrow"/>
          <w:b/>
          <w:sz w:val="24"/>
          <w:szCs w:val="24"/>
        </w:rPr>
      </w:pPr>
    </w:p>
    <w:p w14:paraId="39A90A9B" w14:textId="77777777" w:rsidR="00F87376" w:rsidRDefault="00F87376">
      <w:pPr>
        <w:spacing w:after="0"/>
        <w:rPr>
          <w:rFonts w:ascii="Arial Narrow" w:eastAsia="Arial Narrow" w:hAnsi="Arial Narrow" w:cs="Arial Narrow"/>
          <w:b/>
          <w:sz w:val="24"/>
          <w:szCs w:val="24"/>
        </w:rPr>
      </w:pPr>
    </w:p>
    <w:p w14:paraId="2508C0F0" w14:textId="77777777" w:rsidR="00F87376" w:rsidRDefault="00F87376">
      <w:pPr>
        <w:spacing w:after="0"/>
        <w:rPr>
          <w:rFonts w:ascii="Arial Narrow" w:eastAsia="Arial Narrow" w:hAnsi="Arial Narrow" w:cs="Arial Narrow"/>
          <w:b/>
          <w:sz w:val="24"/>
          <w:szCs w:val="24"/>
        </w:rPr>
      </w:pPr>
    </w:p>
    <w:p w14:paraId="5BDE8EDA" w14:textId="77777777" w:rsidR="00F87376" w:rsidRDefault="00F87376">
      <w:pPr>
        <w:spacing w:after="0"/>
        <w:rPr>
          <w:rFonts w:ascii="Arial Narrow" w:eastAsia="Arial Narrow" w:hAnsi="Arial Narrow" w:cs="Arial Narrow"/>
          <w:b/>
          <w:sz w:val="24"/>
          <w:szCs w:val="24"/>
        </w:rPr>
      </w:pPr>
    </w:p>
    <w:p w14:paraId="041B2EF8" w14:textId="77777777" w:rsidR="00F87376" w:rsidRDefault="00F87376">
      <w:pPr>
        <w:spacing w:after="0"/>
        <w:rPr>
          <w:rFonts w:ascii="Arial Narrow" w:eastAsia="Arial Narrow" w:hAnsi="Arial Narrow" w:cs="Arial Narrow"/>
          <w:b/>
          <w:sz w:val="24"/>
          <w:szCs w:val="24"/>
        </w:rPr>
      </w:pPr>
    </w:p>
    <w:p w14:paraId="21E5978B" w14:textId="77777777" w:rsidR="00F87376" w:rsidRDefault="00F87376">
      <w:pPr>
        <w:spacing w:after="0"/>
        <w:rPr>
          <w:rFonts w:ascii="Arial Narrow" w:eastAsia="Arial Narrow" w:hAnsi="Arial Narrow" w:cs="Arial Narrow"/>
          <w:b/>
          <w:sz w:val="24"/>
          <w:szCs w:val="24"/>
        </w:rPr>
      </w:pPr>
    </w:p>
    <w:p w14:paraId="7FF372DA" w14:textId="77777777" w:rsidR="00F87376" w:rsidRDefault="00F87376">
      <w:pPr>
        <w:spacing w:after="0"/>
        <w:rPr>
          <w:rFonts w:ascii="Arial Narrow" w:eastAsia="Arial Narrow" w:hAnsi="Arial Narrow" w:cs="Arial Narrow"/>
          <w:b/>
          <w:sz w:val="24"/>
          <w:szCs w:val="24"/>
        </w:rPr>
      </w:pPr>
    </w:p>
    <w:p w14:paraId="398A20B6" w14:textId="77777777" w:rsidR="00F87376" w:rsidRDefault="00F87376">
      <w:pPr>
        <w:spacing w:after="0"/>
        <w:rPr>
          <w:rFonts w:ascii="Arial Narrow" w:eastAsia="Arial Narrow" w:hAnsi="Arial Narrow" w:cs="Arial Narrow"/>
          <w:b/>
          <w:sz w:val="24"/>
          <w:szCs w:val="24"/>
        </w:rPr>
      </w:pPr>
    </w:p>
    <w:p w14:paraId="0315C85A" w14:textId="77777777" w:rsidR="00F87376" w:rsidRDefault="00F87376">
      <w:pPr>
        <w:spacing w:after="0"/>
        <w:rPr>
          <w:rFonts w:ascii="Arial Narrow" w:eastAsia="Arial Narrow" w:hAnsi="Arial Narrow" w:cs="Arial Narrow"/>
          <w:b/>
          <w:sz w:val="24"/>
          <w:szCs w:val="24"/>
        </w:rPr>
      </w:pPr>
    </w:p>
    <w:p w14:paraId="75B3DD30" w14:textId="77777777" w:rsidR="00F87376" w:rsidRDefault="00C13B6C">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TEXTO PROPUESTO PARA SEGUNDO DEBATE AL</w:t>
      </w:r>
    </w:p>
    <w:p w14:paraId="103978FF" w14:textId="77777777" w:rsidR="00F87376" w:rsidRDefault="00C13B6C">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PROYECTO DE LEY </w:t>
      </w:r>
      <w:proofErr w:type="spellStart"/>
      <w:r>
        <w:rPr>
          <w:rFonts w:ascii="Arial Narrow" w:eastAsia="Arial Narrow" w:hAnsi="Arial Narrow" w:cs="Arial Narrow"/>
          <w:b/>
          <w:sz w:val="24"/>
          <w:szCs w:val="24"/>
        </w:rPr>
        <w:t>N°</w:t>
      </w:r>
      <w:proofErr w:type="spellEnd"/>
      <w:r>
        <w:rPr>
          <w:rFonts w:ascii="Arial Narrow" w:eastAsia="Arial Narrow" w:hAnsi="Arial Narrow" w:cs="Arial Narrow"/>
          <w:b/>
          <w:sz w:val="24"/>
          <w:szCs w:val="24"/>
        </w:rPr>
        <w:t xml:space="preserve"> 290 DE 2022</w:t>
      </w:r>
    </w:p>
    <w:p w14:paraId="07E3911A" w14:textId="77777777" w:rsidR="00F87376" w:rsidRDefault="00F87376">
      <w:pPr>
        <w:spacing w:after="0"/>
        <w:jc w:val="both"/>
        <w:rPr>
          <w:rFonts w:ascii="Arial Narrow" w:eastAsia="Arial Narrow" w:hAnsi="Arial Narrow" w:cs="Arial Narrow"/>
          <w:b/>
          <w:sz w:val="24"/>
          <w:szCs w:val="24"/>
        </w:rPr>
      </w:pPr>
    </w:p>
    <w:p w14:paraId="40424A58" w14:textId="77777777" w:rsidR="00F87376" w:rsidRDefault="00C13B6C">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 LA CUAL SE ESTABLECE LA CÁTEDRA PARA LA GESTIÓN DEL RIESGO Y EL CAMBIO CLIMÁTICO EN COLOMBIA Y SE DICTAN OTRAS DISPOSICIONES”</w:t>
      </w:r>
    </w:p>
    <w:p w14:paraId="4A2AD8C7" w14:textId="77777777" w:rsidR="00F87376" w:rsidRDefault="00F87376">
      <w:pPr>
        <w:spacing w:after="0"/>
        <w:jc w:val="center"/>
        <w:rPr>
          <w:rFonts w:ascii="Arial Narrow" w:eastAsia="Arial Narrow" w:hAnsi="Arial Narrow" w:cs="Arial Narrow"/>
          <w:b/>
          <w:sz w:val="24"/>
          <w:szCs w:val="24"/>
        </w:rPr>
      </w:pPr>
    </w:p>
    <w:p w14:paraId="68CB16B8" w14:textId="77777777" w:rsidR="00F87376" w:rsidRDefault="00C13B6C">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LA REPÚBLICA DE COLOMBIA</w:t>
      </w:r>
    </w:p>
    <w:p w14:paraId="5233752C" w14:textId="77777777" w:rsidR="00F87376" w:rsidRDefault="00F87376">
      <w:pPr>
        <w:spacing w:after="0"/>
        <w:jc w:val="center"/>
        <w:rPr>
          <w:rFonts w:ascii="Arial Narrow" w:eastAsia="Arial Narrow" w:hAnsi="Arial Narrow" w:cs="Arial Narrow"/>
          <w:b/>
          <w:sz w:val="24"/>
          <w:szCs w:val="24"/>
        </w:rPr>
      </w:pPr>
    </w:p>
    <w:p w14:paraId="1B22FB25" w14:textId="77777777" w:rsidR="00F87376" w:rsidRDefault="00C13B6C">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DECRETA</w:t>
      </w:r>
    </w:p>
    <w:p w14:paraId="28096BF9" w14:textId="77777777" w:rsidR="00F87376" w:rsidRDefault="00F87376">
      <w:pPr>
        <w:spacing w:after="0"/>
        <w:jc w:val="center"/>
        <w:rPr>
          <w:rFonts w:ascii="Arial Narrow" w:eastAsia="Arial Narrow" w:hAnsi="Arial Narrow" w:cs="Arial Narrow"/>
          <w:b/>
          <w:sz w:val="24"/>
          <w:szCs w:val="24"/>
        </w:rPr>
      </w:pPr>
    </w:p>
    <w:p w14:paraId="0C7FE569"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 xml:space="preserve">La presente ley tiene por objeto establecer </w:t>
      </w:r>
      <w:r>
        <w:rPr>
          <w:rFonts w:ascii="Arial Narrow" w:eastAsia="Arial Narrow" w:hAnsi="Arial Narrow" w:cs="Arial Narrow"/>
          <w:sz w:val="24"/>
          <w:szCs w:val="24"/>
        </w:rPr>
        <w:t>la cátedra para la gestión del riesgo y el cambio climático dentro de los objetivos específicos de la educación media y la educación media técnica. Adicionalmente, instaurar la capacitación a funcionarios públicos por elección popular, así como la inducció</w:t>
      </w:r>
      <w:r>
        <w:rPr>
          <w:rFonts w:ascii="Arial Narrow" w:eastAsia="Arial Narrow" w:hAnsi="Arial Narrow" w:cs="Arial Narrow"/>
          <w:sz w:val="24"/>
          <w:szCs w:val="24"/>
        </w:rPr>
        <w:t xml:space="preserve">n y reinducción a servidores públicos en Colombia. </w:t>
      </w:r>
    </w:p>
    <w:p w14:paraId="2190983B" w14:textId="77777777" w:rsidR="00F87376" w:rsidRDefault="00F87376">
      <w:pPr>
        <w:spacing w:after="0"/>
        <w:jc w:val="both"/>
        <w:rPr>
          <w:rFonts w:ascii="Arial Narrow" w:eastAsia="Arial Narrow" w:hAnsi="Arial Narrow" w:cs="Arial Narrow"/>
          <w:sz w:val="24"/>
          <w:szCs w:val="24"/>
        </w:rPr>
      </w:pPr>
    </w:p>
    <w:p w14:paraId="432CD3EB"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sz w:val="24"/>
          <w:szCs w:val="24"/>
        </w:rPr>
        <w:t>Reconociendo el principio de autonomía universitaria, las instituciones de educación superior podrán incorporar la cátedra objeto de esta ley, en concordancia con sus programas académicos y su</w:t>
      </w:r>
      <w:r>
        <w:rPr>
          <w:rFonts w:ascii="Arial Narrow" w:eastAsia="Arial Narrow" w:hAnsi="Arial Narrow" w:cs="Arial Narrow"/>
          <w:sz w:val="24"/>
          <w:szCs w:val="24"/>
        </w:rPr>
        <w:t xml:space="preserve"> modelo educativo.</w:t>
      </w:r>
    </w:p>
    <w:p w14:paraId="29CAB8F6" w14:textId="77777777" w:rsidR="00F87376" w:rsidRDefault="00F87376">
      <w:pPr>
        <w:spacing w:after="0"/>
        <w:jc w:val="both"/>
        <w:rPr>
          <w:rFonts w:ascii="Arial Narrow" w:eastAsia="Arial Narrow" w:hAnsi="Arial Narrow" w:cs="Arial Narrow"/>
          <w:b/>
          <w:sz w:val="24"/>
          <w:szCs w:val="24"/>
        </w:rPr>
      </w:pPr>
    </w:p>
    <w:p w14:paraId="61267FFE"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2°.</w:t>
      </w:r>
      <w:r>
        <w:rPr>
          <w:rFonts w:ascii="Arial Narrow" w:eastAsia="Arial Narrow" w:hAnsi="Arial Narrow" w:cs="Arial Narrow"/>
          <w:sz w:val="24"/>
          <w:szCs w:val="24"/>
        </w:rPr>
        <w:t xml:space="preserve"> Adiciónese un parágrafo 2 y modifíquese el literal </w:t>
      </w:r>
      <w:proofErr w:type="gramStart"/>
      <w:r>
        <w:rPr>
          <w:rFonts w:ascii="Arial Narrow" w:eastAsia="Arial Narrow" w:hAnsi="Arial Narrow" w:cs="Arial Narrow"/>
          <w:sz w:val="24"/>
          <w:szCs w:val="24"/>
        </w:rPr>
        <w:t>B“ del</w:t>
      </w:r>
      <w:proofErr w:type="gramEnd"/>
      <w:r>
        <w:rPr>
          <w:rFonts w:ascii="Arial Narrow" w:eastAsia="Arial Narrow" w:hAnsi="Arial Narrow" w:cs="Arial Narrow"/>
          <w:sz w:val="24"/>
          <w:szCs w:val="24"/>
        </w:rPr>
        <w:t xml:space="preserve"> artículo 30 de la Ley 115 de 1994, los cuales quedarán así: </w:t>
      </w:r>
    </w:p>
    <w:p w14:paraId="1D09302E" w14:textId="77777777" w:rsidR="00F87376" w:rsidRDefault="00F87376">
      <w:pPr>
        <w:spacing w:after="0"/>
        <w:jc w:val="both"/>
        <w:rPr>
          <w:rFonts w:ascii="Arial Narrow" w:eastAsia="Arial Narrow" w:hAnsi="Arial Narrow" w:cs="Arial Narrow"/>
          <w:sz w:val="24"/>
          <w:szCs w:val="24"/>
        </w:rPr>
      </w:pPr>
    </w:p>
    <w:p w14:paraId="048A26B0"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sz w:val="24"/>
          <w:szCs w:val="24"/>
        </w:rPr>
        <w:t>b) La profundización en conocimientos avanzados de las ciencias naturales, la gestión del riesgo y el c</w:t>
      </w:r>
      <w:r>
        <w:rPr>
          <w:rFonts w:ascii="Arial Narrow" w:eastAsia="Arial Narrow" w:hAnsi="Arial Narrow" w:cs="Arial Narrow"/>
          <w:sz w:val="24"/>
          <w:szCs w:val="24"/>
        </w:rPr>
        <w:t xml:space="preserve">ambio climático. </w:t>
      </w:r>
    </w:p>
    <w:p w14:paraId="42FAD679" w14:textId="77777777" w:rsidR="00F87376" w:rsidRDefault="00F87376">
      <w:pPr>
        <w:spacing w:after="0"/>
        <w:ind w:left="720"/>
        <w:jc w:val="both"/>
        <w:rPr>
          <w:rFonts w:ascii="Arial Narrow" w:eastAsia="Arial Narrow" w:hAnsi="Arial Narrow" w:cs="Arial Narrow"/>
          <w:sz w:val="24"/>
          <w:szCs w:val="24"/>
        </w:rPr>
      </w:pPr>
    </w:p>
    <w:p w14:paraId="2C02C410"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Los contenidos de sobre Gestión del Riesgo y Cambio Climático serán definidos por el Ministerio de Educación, Ministerio de Ambiente y Desarrollo Sostenible y por la Unidad Nacional para la Gestión del Riesgo de Desastres.</w:t>
      </w:r>
    </w:p>
    <w:p w14:paraId="01286711" w14:textId="77777777" w:rsidR="00F87376" w:rsidRDefault="00F87376">
      <w:pPr>
        <w:spacing w:after="0"/>
        <w:jc w:val="both"/>
        <w:rPr>
          <w:rFonts w:ascii="Arial Narrow" w:eastAsia="Arial Narrow" w:hAnsi="Arial Narrow" w:cs="Arial Narrow"/>
          <w:sz w:val="24"/>
          <w:szCs w:val="24"/>
        </w:rPr>
      </w:pPr>
    </w:p>
    <w:p w14:paraId="0606B512"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3°.</w:t>
      </w:r>
      <w:r>
        <w:rPr>
          <w:rFonts w:ascii="Arial Narrow" w:eastAsia="Arial Narrow" w:hAnsi="Arial Narrow" w:cs="Arial Narrow"/>
          <w:sz w:val="24"/>
          <w:szCs w:val="24"/>
        </w:rPr>
        <w:t xml:space="preserve">  Adiciónese un parágrafo 2 y modifíquese el artículo 32 de la Ley 115 de 1994, los cuales quedarán así:</w:t>
      </w:r>
    </w:p>
    <w:p w14:paraId="4A5D285D" w14:textId="77777777" w:rsidR="00F87376" w:rsidRDefault="00F87376">
      <w:pPr>
        <w:spacing w:after="0"/>
        <w:jc w:val="both"/>
        <w:rPr>
          <w:rFonts w:ascii="Arial Narrow" w:eastAsia="Arial Narrow" w:hAnsi="Arial Narrow" w:cs="Arial Narrow"/>
          <w:sz w:val="24"/>
          <w:szCs w:val="24"/>
        </w:rPr>
      </w:pPr>
    </w:p>
    <w:p w14:paraId="72E25F4B"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32. Educación media técnica. </w:t>
      </w:r>
      <w:r>
        <w:rPr>
          <w:rFonts w:ascii="Arial Narrow" w:eastAsia="Arial Narrow" w:hAnsi="Arial Narrow" w:cs="Arial Narrow"/>
          <w:sz w:val="24"/>
          <w:szCs w:val="24"/>
        </w:rPr>
        <w:t>La educación media técnica prepara a los estudiantes para el desempeño laboral en uno de los sector</w:t>
      </w:r>
      <w:r>
        <w:rPr>
          <w:rFonts w:ascii="Arial Narrow" w:eastAsia="Arial Narrow" w:hAnsi="Arial Narrow" w:cs="Arial Narrow"/>
          <w:sz w:val="24"/>
          <w:szCs w:val="24"/>
        </w:rPr>
        <w:t xml:space="preserve">es de la producción y de los servicios, y para la continuación en la educación superior. </w:t>
      </w:r>
    </w:p>
    <w:p w14:paraId="716EA339"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sz w:val="24"/>
          <w:szCs w:val="24"/>
        </w:rPr>
        <w:t>Estará dirigida a la formación calificada en especialidades tales como: agropecuaria, comercio, finanzas, administración, ecología, medio ambiente, gestión del riesgo</w:t>
      </w:r>
      <w:r>
        <w:rPr>
          <w:rFonts w:ascii="Arial Narrow" w:eastAsia="Arial Narrow" w:hAnsi="Arial Narrow" w:cs="Arial Narrow"/>
          <w:sz w:val="24"/>
          <w:szCs w:val="24"/>
        </w:rPr>
        <w:t xml:space="preserve"> y cambio climático, industria, informática, minería, salud, recreación, turismo, deporte y las demás que requiera el sector productivo y de servicios. Debe incorporar, en su formación teórica y práctica, lo más avanzado de la ciencia y de la técnica, para</w:t>
      </w:r>
      <w:r>
        <w:rPr>
          <w:rFonts w:ascii="Arial Narrow" w:eastAsia="Arial Narrow" w:hAnsi="Arial Narrow" w:cs="Arial Narrow"/>
          <w:sz w:val="24"/>
          <w:szCs w:val="24"/>
        </w:rPr>
        <w:t xml:space="preserve"> que el estudiante esté en capacidad de adaptarse a las nuevas tecnologías y al avance de la ciencia. </w:t>
      </w:r>
    </w:p>
    <w:p w14:paraId="3C78BFF6" w14:textId="77777777" w:rsidR="00F87376" w:rsidRDefault="00F87376">
      <w:pPr>
        <w:spacing w:after="0"/>
        <w:ind w:left="720"/>
        <w:jc w:val="both"/>
        <w:rPr>
          <w:rFonts w:ascii="Arial Narrow" w:eastAsia="Arial Narrow" w:hAnsi="Arial Narrow" w:cs="Arial Narrow"/>
          <w:sz w:val="24"/>
          <w:szCs w:val="24"/>
        </w:rPr>
      </w:pPr>
    </w:p>
    <w:p w14:paraId="7F691CC0"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sz w:val="24"/>
          <w:szCs w:val="24"/>
        </w:rPr>
        <w:t>Las especialidades que ofrezcan</w:t>
      </w:r>
      <w:r>
        <w:rPr>
          <w:rFonts w:ascii="Arial Narrow" w:eastAsia="Arial Narrow" w:hAnsi="Arial Narrow" w:cs="Arial Narrow"/>
          <w:sz w:val="24"/>
          <w:szCs w:val="24"/>
        </w:rPr>
        <w:t xml:space="preserve"> los distintos establecimientos educativos, deben corresponder a las necesidades regionales.</w:t>
      </w:r>
    </w:p>
    <w:p w14:paraId="7E80F086"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339851C5"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Para la creación de instituciones de educación media técnica o para la incorporación de otras y para la oferta de programas, se deberá tener una inf</w:t>
      </w:r>
      <w:r>
        <w:rPr>
          <w:rFonts w:ascii="Arial Narrow" w:eastAsia="Arial Narrow" w:hAnsi="Arial Narrow" w:cs="Arial Narrow"/>
          <w:sz w:val="24"/>
          <w:szCs w:val="24"/>
        </w:rPr>
        <w:t xml:space="preserve">raestructura adecuada, el personal docente especializado y establecer una coordinación con el Servicio Nacional de Aprendizaje, SENA u otras instituciones de capacitación laboral o del sector productivo. </w:t>
      </w:r>
    </w:p>
    <w:p w14:paraId="7585CD9A" w14:textId="77777777" w:rsidR="00F87376" w:rsidRDefault="00F87376">
      <w:pPr>
        <w:spacing w:after="0"/>
        <w:ind w:left="720"/>
        <w:jc w:val="both"/>
        <w:rPr>
          <w:rFonts w:ascii="Arial Narrow" w:eastAsia="Arial Narrow" w:hAnsi="Arial Narrow" w:cs="Arial Narrow"/>
          <w:sz w:val="24"/>
          <w:szCs w:val="24"/>
        </w:rPr>
      </w:pPr>
    </w:p>
    <w:p w14:paraId="292D8163"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b/>
          <w:sz w:val="24"/>
          <w:szCs w:val="24"/>
        </w:rPr>
        <w:t>Parágrafo 2.</w:t>
      </w:r>
      <w:r>
        <w:rPr>
          <w:rFonts w:ascii="Arial Narrow" w:eastAsia="Arial Narrow" w:hAnsi="Arial Narrow" w:cs="Arial Narrow"/>
          <w:sz w:val="24"/>
          <w:szCs w:val="24"/>
        </w:rPr>
        <w:t xml:space="preserve"> El Servicio Nacional de Aprendizaje –</w:t>
      </w:r>
      <w:r>
        <w:rPr>
          <w:rFonts w:ascii="Arial Narrow" w:eastAsia="Arial Narrow" w:hAnsi="Arial Narrow" w:cs="Arial Narrow"/>
          <w:sz w:val="24"/>
          <w:szCs w:val="24"/>
        </w:rPr>
        <w:t xml:space="preserve"> SENA es el encargado de la oferta de la educación media técnica sobre gestión del riesgo y cambio climático.</w:t>
      </w:r>
    </w:p>
    <w:p w14:paraId="51C970EE" w14:textId="77777777" w:rsidR="00F87376" w:rsidRDefault="00F87376">
      <w:pPr>
        <w:spacing w:after="0"/>
        <w:jc w:val="both"/>
        <w:rPr>
          <w:rFonts w:ascii="Arial Narrow" w:eastAsia="Arial Narrow" w:hAnsi="Arial Narrow" w:cs="Arial Narrow"/>
          <w:sz w:val="24"/>
          <w:szCs w:val="24"/>
        </w:rPr>
      </w:pPr>
    </w:p>
    <w:p w14:paraId="37FE3C9E"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4°</w:t>
      </w:r>
      <w:r>
        <w:rPr>
          <w:rFonts w:ascii="Arial Narrow" w:eastAsia="Arial Narrow" w:hAnsi="Arial Narrow" w:cs="Arial Narrow"/>
          <w:sz w:val="24"/>
          <w:szCs w:val="24"/>
        </w:rPr>
        <w:t>. Adiciónese un parágrafo 3 al artículo 78 de la Ley 115 de 1994, el cual quedará así:</w:t>
      </w:r>
    </w:p>
    <w:p w14:paraId="2F68514A" w14:textId="77777777" w:rsidR="00F87376" w:rsidRDefault="00F87376">
      <w:pPr>
        <w:spacing w:after="0"/>
        <w:jc w:val="both"/>
        <w:rPr>
          <w:rFonts w:ascii="Arial Narrow" w:eastAsia="Arial Narrow" w:hAnsi="Arial Narrow" w:cs="Arial Narrow"/>
          <w:sz w:val="24"/>
          <w:szCs w:val="24"/>
        </w:rPr>
      </w:pPr>
    </w:p>
    <w:p w14:paraId="50036032"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b/>
          <w:sz w:val="24"/>
          <w:szCs w:val="24"/>
        </w:rPr>
        <w:t>Parágrafo 3:</w:t>
      </w:r>
      <w:r>
        <w:rPr>
          <w:rFonts w:ascii="Arial Narrow" w:eastAsia="Arial Narrow" w:hAnsi="Arial Narrow" w:cs="Arial Narrow"/>
          <w:sz w:val="24"/>
          <w:szCs w:val="24"/>
        </w:rPr>
        <w:t xml:space="preserve"> Establézcase la Comisión Asesora </w:t>
      </w:r>
      <w:r>
        <w:rPr>
          <w:rFonts w:ascii="Arial Narrow" w:eastAsia="Arial Narrow" w:hAnsi="Arial Narrow" w:cs="Arial Narrow"/>
          <w:sz w:val="24"/>
          <w:szCs w:val="24"/>
        </w:rPr>
        <w:t>del Ministerio de Educación Nacional para la enseñanza de la cátedra de Gestión del Riesgo y Cambio Climático, como órgano consultivo para la elaboración de los documentos que orientan el diseño curricular de todos los colegios del país. La comisión estará</w:t>
      </w:r>
      <w:r>
        <w:rPr>
          <w:rFonts w:ascii="Arial Narrow" w:eastAsia="Arial Narrow" w:hAnsi="Arial Narrow" w:cs="Arial Narrow"/>
          <w:sz w:val="24"/>
          <w:szCs w:val="24"/>
        </w:rPr>
        <w:t xml:space="preserve"> compuesta por un (1) representante del Ministerio de Medio Ambiente y Desarrollo Sostenible, un (1) representante de la Unidad Nacional para la Gestión del Riesgo de Desastres, un (1) representante de las ONG debidamente registradas en temas de gestión de</w:t>
      </w:r>
      <w:r>
        <w:rPr>
          <w:rFonts w:ascii="Arial Narrow" w:eastAsia="Arial Narrow" w:hAnsi="Arial Narrow" w:cs="Arial Narrow"/>
          <w:sz w:val="24"/>
          <w:szCs w:val="24"/>
        </w:rPr>
        <w:t>l riesgo y/o cambio climático, un (1) representante de los programas de educación superior en licenciatura en ciencias naturales, escogido a través de las organizaciones de universidades y un (1) representante de los docentes que enseñen ciencias naturales</w:t>
      </w:r>
      <w:r>
        <w:rPr>
          <w:rFonts w:ascii="Arial Narrow" w:eastAsia="Arial Narrow" w:hAnsi="Arial Narrow" w:cs="Arial Narrow"/>
          <w:sz w:val="24"/>
          <w:szCs w:val="24"/>
        </w:rPr>
        <w:t xml:space="preserve"> en instituciones de educación media académica y media técnica, escogido a través de las organizaciones de maestros. El Gobierno nacional reglamentará la composición y funcionamiento de esta comisión en un plazo no mayor a seis (6) meses después de entrar </w:t>
      </w:r>
      <w:r>
        <w:rPr>
          <w:rFonts w:ascii="Arial Narrow" w:eastAsia="Arial Narrow" w:hAnsi="Arial Narrow" w:cs="Arial Narrow"/>
          <w:sz w:val="24"/>
          <w:szCs w:val="24"/>
        </w:rPr>
        <w:t>en vigencia la presente ley.</w:t>
      </w:r>
    </w:p>
    <w:p w14:paraId="2C8E2F9D" w14:textId="77777777" w:rsidR="00F87376" w:rsidRDefault="00F87376">
      <w:pPr>
        <w:spacing w:after="0"/>
        <w:jc w:val="both"/>
        <w:rPr>
          <w:rFonts w:ascii="Arial Narrow" w:eastAsia="Arial Narrow" w:hAnsi="Arial Narrow" w:cs="Arial Narrow"/>
          <w:sz w:val="24"/>
          <w:szCs w:val="24"/>
        </w:rPr>
      </w:pPr>
    </w:p>
    <w:p w14:paraId="65C55E85"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Artículo 5°.</w:t>
      </w:r>
      <w:r>
        <w:rPr>
          <w:rFonts w:ascii="Arial Narrow" w:eastAsia="Arial Narrow" w:hAnsi="Arial Narrow" w:cs="Arial Narrow"/>
          <w:sz w:val="24"/>
          <w:szCs w:val="24"/>
        </w:rPr>
        <w:t xml:space="preserve"> Adiciónese un parágrafo 2 al artículo 79 de la Ley 115 de 1994. Plan de estudios, el cual quedará así:</w:t>
      </w:r>
    </w:p>
    <w:p w14:paraId="5FC7EEE7" w14:textId="77777777" w:rsidR="00F87376" w:rsidRDefault="00F87376">
      <w:pPr>
        <w:spacing w:after="0"/>
        <w:jc w:val="both"/>
        <w:rPr>
          <w:rFonts w:ascii="Arial Narrow" w:eastAsia="Arial Narrow" w:hAnsi="Arial Narrow" w:cs="Arial Narrow"/>
          <w:sz w:val="24"/>
          <w:szCs w:val="24"/>
        </w:rPr>
      </w:pPr>
    </w:p>
    <w:p w14:paraId="142504EA" w14:textId="77777777" w:rsidR="00F87376" w:rsidRDefault="00C13B6C">
      <w:pPr>
        <w:spacing w:after="0"/>
        <w:ind w:left="7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En ejercicio de su autonomía, los establecimientos educativos adecuarán sus Proyectos Educativo</w:t>
      </w:r>
      <w:r>
        <w:rPr>
          <w:rFonts w:ascii="Arial Narrow" w:eastAsia="Arial Narrow" w:hAnsi="Arial Narrow" w:cs="Arial Narrow"/>
          <w:sz w:val="24"/>
          <w:szCs w:val="24"/>
        </w:rPr>
        <w:t>s Institucionales para el cumplimiento de lo preceptuado en esta ley, en relación con la enseñanza de la cátedra de gestión del riesgo y cambio climático como disciplina integrada en los lineamientos curriculares de educación media académica y media técnic</w:t>
      </w:r>
      <w:r>
        <w:rPr>
          <w:rFonts w:ascii="Arial Narrow" w:eastAsia="Arial Narrow" w:hAnsi="Arial Narrow" w:cs="Arial Narrow"/>
          <w:sz w:val="24"/>
          <w:szCs w:val="24"/>
        </w:rPr>
        <w:t>a, que elabore el Ministerio de Educación Nacional.”</w:t>
      </w:r>
    </w:p>
    <w:p w14:paraId="6B3A352F" w14:textId="77777777" w:rsidR="00F87376" w:rsidRDefault="00F87376">
      <w:pPr>
        <w:spacing w:after="0"/>
        <w:jc w:val="both"/>
        <w:rPr>
          <w:rFonts w:ascii="Arial Narrow" w:eastAsia="Arial Narrow" w:hAnsi="Arial Narrow" w:cs="Arial Narrow"/>
          <w:sz w:val="24"/>
          <w:szCs w:val="24"/>
        </w:rPr>
      </w:pPr>
    </w:p>
    <w:p w14:paraId="33174469"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 </w:t>
      </w:r>
      <w:r>
        <w:rPr>
          <w:rFonts w:ascii="Arial Narrow" w:eastAsia="Arial Narrow" w:hAnsi="Arial Narrow" w:cs="Arial Narrow"/>
          <w:sz w:val="24"/>
          <w:szCs w:val="24"/>
        </w:rPr>
        <w:t xml:space="preserve">Los funcionarios públicos de elección popular en Colombia recibirán capacitación certificada y obligatoria mediante la asistencia al módulo de Gestión del Riesgo y Cambio Climático. </w:t>
      </w:r>
    </w:p>
    <w:p w14:paraId="1EA83F32" w14:textId="77777777" w:rsidR="00F87376" w:rsidRDefault="00F87376">
      <w:pPr>
        <w:spacing w:after="0"/>
        <w:jc w:val="both"/>
        <w:rPr>
          <w:rFonts w:ascii="Arial Narrow" w:eastAsia="Arial Narrow" w:hAnsi="Arial Narrow" w:cs="Arial Narrow"/>
          <w:sz w:val="24"/>
          <w:szCs w:val="24"/>
        </w:rPr>
      </w:pPr>
    </w:p>
    <w:p w14:paraId="378D2CD8"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Parág</w:t>
      </w:r>
      <w:r>
        <w:rPr>
          <w:rFonts w:ascii="Arial Narrow" w:eastAsia="Arial Narrow" w:hAnsi="Arial Narrow" w:cs="Arial Narrow"/>
          <w:b/>
          <w:sz w:val="24"/>
          <w:szCs w:val="24"/>
        </w:rPr>
        <w:t xml:space="preserve">rafo 1. </w:t>
      </w:r>
      <w:r>
        <w:rPr>
          <w:rFonts w:ascii="Arial Narrow" w:eastAsia="Arial Narrow" w:hAnsi="Arial Narrow" w:cs="Arial Narrow"/>
          <w:sz w:val="24"/>
          <w:szCs w:val="24"/>
        </w:rPr>
        <w:t>El módulo de Gestión del Riesgo y Cambio Climático será una sección independiente dentro de la capacitación realizada a funcionarios públicos de elección popular en Colombia impartida por la Escuela Superior de Administración Pública -ESAP, según l</w:t>
      </w:r>
      <w:r>
        <w:rPr>
          <w:rFonts w:ascii="Arial Narrow" w:eastAsia="Arial Narrow" w:hAnsi="Arial Narrow" w:cs="Arial Narrow"/>
          <w:sz w:val="24"/>
          <w:szCs w:val="24"/>
        </w:rPr>
        <w:t>o contempla la ley 489 de 1998 y la demás normativa que la reglamenta.</w:t>
      </w:r>
    </w:p>
    <w:p w14:paraId="3DFE1F7A" w14:textId="77777777" w:rsidR="00F87376" w:rsidRDefault="00F87376">
      <w:pPr>
        <w:spacing w:after="0"/>
        <w:jc w:val="both"/>
        <w:rPr>
          <w:rFonts w:ascii="Arial Narrow" w:eastAsia="Arial Narrow" w:hAnsi="Arial Narrow" w:cs="Arial Narrow"/>
          <w:sz w:val="24"/>
          <w:szCs w:val="24"/>
        </w:rPr>
      </w:pPr>
    </w:p>
    <w:p w14:paraId="590A7053"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Será la Escuela Superior de Administración Pública ESAP la encargada de definir la modalidad, la duración y el mínimo de asistencia para la certificación entregada al func</w:t>
      </w:r>
      <w:r>
        <w:rPr>
          <w:rFonts w:ascii="Arial Narrow" w:eastAsia="Arial Narrow" w:hAnsi="Arial Narrow" w:cs="Arial Narrow"/>
          <w:sz w:val="24"/>
          <w:szCs w:val="24"/>
        </w:rPr>
        <w:t xml:space="preserve">ionario público de elección popular. </w:t>
      </w:r>
    </w:p>
    <w:p w14:paraId="0083F44D" w14:textId="77777777" w:rsidR="00F87376" w:rsidRDefault="00F87376">
      <w:pPr>
        <w:spacing w:after="0"/>
        <w:jc w:val="both"/>
        <w:rPr>
          <w:rFonts w:ascii="Arial Narrow" w:eastAsia="Arial Narrow" w:hAnsi="Arial Narrow" w:cs="Arial Narrow"/>
          <w:sz w:val="24"/>
          <w:szCs w:val="24"/>
        </w:rPr>
      </w:pPr>
    </w:p>
    <w:p w14:paraId="613FE0C6"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3. </w:t>
      </w:r>
      <w:r>
        <w:rPr>
          <w:rFonts w:ascii="Arial Narrow" w:eastAsia="Arial Narrow" w:hAnsi="Arial Narrow" w:cs="Arial Narrow"/>
          <w:sz w:val="24"/>
          <w:szCs w:val="24"/>
        </w:rPr>
        <w:t>Los contenidos relacionados con la sección independiente de Gestión del Riesgo y el Cambio Climático serán orientados, en conjunto, por la Escuela Superior de Administración Pública - ESAP, la Unidad Naci</w:t>
      </w:r>
      <w:r>
        <w:rPr>
          <w:rFonts w:ascii="Arial Narrow" w:eastAsia="Arial Narrow" w:hAnsi="Arial Narrow" w:cs="Arial Narrow"/>
          <w:sz w:val="24"/>
          <w:szCs w:val="24"/>
        </w:rPr>
        <w:t xml:space="preserve">onal para la Gestión del Riesgo de Desastres – UNGRD y el Ministerio de Medio Ambiente y Desarrollo Sostenible. </w:t>
      </w:r>
    </w:p>
    <w:p w14:paraId="6A9EEB9D" w14:textId="77777777" w:rsidR="00F87376" w:rsidRDefault="00F87376">
      <w:pPr>
        <w:spacing w:after="0"/>
        <w:jc w:val="both"/>
        <w:rPr>
          <w:rFonts w:ascii="Arial Narrow" w:eastAsia="Arial Narrow" w:hAnsi="Arial Narrow" w:cs="Arial Narrow"/>
          <w:sz w:val="24"/>
          <w:szCs w:val="24"/>
        </w:rPr>
      </w:pPr>
    </w:p>
    <w:p w14:paraId="6DC1C99D"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Parágrafo 4.</w:t>
      </w:r>
      <w:r>
        <w:rPr>
          <w:rFonts w:ascii="Arial Narrow" w:eastAsia="Arial Narrow" w:hAnsi="Arial Narrow" w:cs="Arial Narrow"/>
          <w:sz w:val="24"/>
          <w:szCs w:val="24"/>
        </w:rPr>
        <w:t xml:space="preserve"> El certificado de la asistencia al módulo independiente “de Gestión del Riesgo y Cambio Climático” es requisito para la posesión </w:t>
      </w:r>
      <w:r>
        <w:rPr>
          <w:rFonts w:ascii="Arial Narrow" w:eastAsia="Arial Narrow" w:hAnsi="Arial Narrow" w:cs="Arial Narrow"/>
          <w:sz w:val="24"/>
          <w:szCs w:val="24"/>
        </w:rPr>
        <w:t>del funcionario público de elección popular.</w:t>
      </w:r>
    </w:p>
    <w:p w14:paraId="3E60753C" w14:textId="77777777" w:rsidR="00F87376" w:rsidRDefault="00F87376">
      <w:pPr>
        <w:spacing w:after="0"/>
        <w:jc w:val="both"/>
        <w:rPr>
          <w:rFonts w:ascii="Arial Narrow" w:eastAsia="Arial Narrow" w:hAnsi="Arial Narrow" w:cs="Arial Narrow"/>
          <w:sz w:val="24"/>
          <w:szCs w:val="24"/>
        </w:rPr>
      </w:pPr>
    </w:p>
    <w:p w14:paraId="157E598A"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7°.</w:t>
      </w:r>
      <w:r>
        <w:rPr>
          <w:rFonts w:ascii="Arial Narrow" w:eastAsia="Arial Narrow" w:hAnsi="Arial Narrow" w:cs="Arial Narrow"/>
          <w:sz w:val="24"/>
          <w:szCs w:val="24"/>
        </w:rPr>
        <w:t xml:space="preserve"> Las entidades públicas estarán obligadas a incorporar en los programas de inducción y reinducción, a servidores públicos, la información sobre prevención y acciones alrededor de la Gestión del Ries</w:t>
      </w:r>
      <w:r>
        <w:rPr>
          <w:rFonts w:ascii="Arial Narrow" w:eastAsia="Arial Narrow" w:hAnsi="Arial Narrow" w:cs="Arial Narrow"/>
          <w:sz w:val="24"/>
          <w:szCs w:val="24"/>
        </w:rPr>
        <w:t xml:space="preserve">go y el Cambio Climático, según sus planes institucionales como lo contempla Decreto Ley 1567 de 1998 y las demás normativa </w:t>
      </w:r>
      <w:proofErr w:type="gramStart"/>
      <w:r>
        <w:rPr>
          <w:rFonts w:ascii="Arial Narrow" w:eastAsia="Arial Narrow" w:hAnsi="Arial Narrow" w:cs="Arial Narrow"/>
          <w:sz w:val="24"/>
          <w:szCs w:val="24"/>
        </w:rPr>
        <w:t>que  reglamenta</w:t>
      </w:r>
      <w:proofErr w:type="gramEnd"/>
      <w:r>
        <w:rPr>
          <w:rFonts w:ascii="Arial Narrow" w:eastAsia="Arial Narrow" w:hAnsi="Arial Narrow" w:cs="Arial Narrow"/>
          <w:sz w:val="24"/>
          <w:szCs w:val="24"/>
        </w:rPr>
        <w:t xml:space="preserve"> la materia.</w:t>
      </w:r>
    </w:p>
    <w:p w14:paraId="2B3DB556" w14:textId="77777777" w:rsidR="00F87376" w:rsidRDefault="00F87376">
      <w:pPr>
        <w:spacing w:after="0"/>
        <w:jc w:val="both"/>
        <w:rPr>
          <w:rFonts w:ascii="Arial Narrow" w:eastAsia="Arial Narrow" w:hAnsi="Arial Narrow" w:cs="Arial Narrow"/>
          <w:sz w:val="24"/>
          <w:szCs w:val="24"/>
        </w:rPr>
      </w:pPr>
    </w:p>
    <w:p w14:paraId="7962728A"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8°.</w:t>
      </w:r>
      <w:r>
        <w:rPr>
          <w:rFonts w:ascii="Arial Narrow" w:eastAsia="Arial Narrow" w:hAnsi="Arial Narrow" w:cs="Arial Narrow"/>
          <w:sz w:val="24"/>
          <w:szCs w:val="24"/>
        </w:rPr>
        <w:t xml:space="preserve"> El Gobierno Nacional tendrá un plazo de doce (12) meses para la reglamentación y aplicación de esta ley. </w:t>
      </w:r>
    </w:p>
    <w:p w14:paraId="50D11137" w14:textId="77777777" w:rsidR="00F87376" w:rsidRDefault="00F87376">
      <w:pPr>
        <w:spacing w:after="0"/>
        <w:jc w:val="both"/>
        <w:rPr>
          <w:rFonts w:ascii="Arial Narrow" w:eastAsia="Arial Narrow" w:hAnsi="Arial Narrow" w:cs="Arial Narrow"/>
          <w:sz w:val="24"/>
          <w:szCs w:val="24"/>
        </w:rPr>
      </w:pPr>
    </w:p>
    <w:p w14:paraId="7F8E5932"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9°. </w:t>
      </w:r>
      <w:r>
        <w:rPr>
          <w:rFonts w:ascii="Arial Narrow" w:eastAsia="Arial Narrow" w:hAnsi="Arial Narrow" w:cs="Arial Narrow"/>
          <w:sz w:val="24"/>
          <w:szCs w:val="24"/>
        </w:rPr>
        <w:t>La presente ley rige a partir de la fecha de su promulgación y deroga todas las disposiciones que le sean contrarias.</w:t>
      </w:r>
    </w:p>
    <w:p w14:paraId="1300DACA" w14:textId="77777777" w:rsidR="00F87376" w:rsidRDefault="00F87376">
      <w:pPr>
        <w:spacing w:after="0"/>
        <w:jc w:val="both"/>
        <w:rPr>
          <w:rFonts w:ascii="Arial Narrow" w:eastAsia="Arial Narrow" w:hAnsi="Arial Narrow" w:cs="Arial Narrow"/>
          <w:b/>
          <w:sz w:val="24"/>
          <w:szCs w:val="24"/>
        </w:rPr>
      </w:pPr>
    </w:p>
    <w:p w14:paraId="22D6222B" w14:textId="77777777" w:rsidR="00F87376" w:rsidRDefault="00C13B6C">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0BE99A99" w14:textId="05BADABD" w:rsidR="00F87376" w:rsidRDefault="00F87376">
      <w:pPr>
        <w:widowControl w:val="0"/>
        <w:spacing w:after="0" w:line="240" w:lineRule="auto"/>
        <w:rPr>
          <w:rFonts w:ascii="Arial Narrow" w:eastAsia="Arial Narrow" w:hAnsi="Arial Narrow" w:cs="Arial Narrow"/>
          <w:sz w:val="24"/>
          <w:szCs w:val="24"/>
        </w:rPr>
      </w:pPr>
    </w:p>
    <w:p w14:paraId="1BDCA44B" w14:textId="77777777" w:rsidR="00F87376" w:rsidRDefault="00F87376">
      <w:pPr>
        <w:spacing w:before="28" w:after="28"/>
        <w:jc w:val="both"/>
        <w:rPr>
          <w:rFonts w:ascii="Arial Narrow" w:eastAsia="Arial Narrow" w:hAnsi="Arial Narrow" w:cs="Arial Narrow"/>
          <w:sz w:val="24"/>
          <w:szCs w:val="24"/>
        </w:rPr>
      </w:pPr>
    </w:p>
    <w:tbl>
      <w:tblPr>
        <w:tblStyle w:val="af8"/>
        <w:tblW w:w="46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tblGrid>
      <w:tr w:rsidR="00F87376" w14:paraId="61E7A443" w14:textId="77777777">
        <w:tc>
          <w:tcPr>
            <w:tcW w:w="4680" w:type="dxa"/>
            <w:tcBorders>
              <w:top w:val="nil"/>
              <w:left w:val="single" w:sz="8" w:space="0" w:color="FFFFFF"/>
              <w:bottom w:val="single" w:sz="8" w:space="0" w:color="FFFFFF"/>
              <w:right w:val="dotted" w:sz="8" w:space="0" w:color="FFFFFF"/>
            </w:tcBorders>
            <w:shd w:val="clear" w:color="auto" w:fill="auto"/>
            <w:tcMar>
              <w:top w:w="100" w:type="dxa"/>
              <w:left w:w="100" w:type="dxa"/>
              <w:bottom w:w="100" w:type="dxa"/>
              <w:right w:w="100" w:type="dxa"/>
            </w:tcMar>
          </w:tcPr>
          <w:p w14:paraId="7A979A5F" w14:textId="77777777" w:rsidR="00F87376" w:rsidRDefault="00F87376">
            <w:pPr>
              <w:widowControl w:val="0"/>
              <w:rPr>
                <w:rFonts w:ascii="Arial Narrow" w:eastAsia="Arial Narrow" w:hAnsi="Arial Narrow" w:cs="Arial Narrow"/>
                <w:b/>
                <w:sz w:val="24"/>
                <w:szCs w:val="24"/>
              </w:rPr>
            </w:pPr>
          </w:p>
          <w:p w14:paraId="250A3981" w14:textId="77777777" w:rsidR="00F87376" w:rsidRDefault="00F87376">
            <w:pPr>
              <w:jc w:val="both"/>
              <w:rPr>
                <w:rFonts w:ascii="Arial Narrow" w:eastAsia="Arial Narrow" w:hAnsi="Arial Narrow" w:cs="Arial Narrow"/>
                <w:b/>
                <w:sz w:val="24"/>
                <w:szCs w:val="24"/>
              </w:rPr>
            </w:pPr>
          </w:p>
          <w:p w14:paraId="144CE19B" w14:textId="77777777" w:rsidR="00F87376" w:rsidRDefault="00C13B6C">
            <w:pPr>
              <w:jc w:val="both"/>
              <w:rPr>
                <w:rFonts w:ascii="Arial Narrow" w:eastAsia="Arial Narrow" w:hAnsi="Arial Narrow" w:cs="Arial Narrow"/>
                <w:b/>
                <w:sz w:val="24"/>
                <w:szCs w:val="24"/>
              </w:rPr>
            </w:pPr>
            <w:r>
              <w:rPr>
                <w:rFonts w:ascii="Arial Narrow" w:eastAsia="Arial Narrow" w:hAnsi="Arial Narrow" w:cs="Arial Narrow"/>
                <w:b/>
                <w:sz w:val="24"/>
                <w:szCs w:val="24"/>
              </w:rPr>
              <w:t>JAIME RAÚL SALAMANCA TORRES</w:t>
            </w:r>
            <w:r>
              <w:rPr>
                <w:rFonts w:ascii="Arial Narrow" w:eastAsia="Arial Narrow" w:hAnsi="Arial Narrow" w:cs="Arial Narrow"/>
                <w:b/>
                <w:sz w:val="24"/>
                <w:szCs w:val="24"/>
              </w:rPr>
              <w:tab/>
              <w:t xml:space="preserve">       </w:t>
            </w:r>
          </w:p>
          <w:p w14:paraId="6477C5AF" w14:textId="77777777" w:rsidR="00F87376" w:rsidRDefault="00C13B6C">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REPRESENTANTE A LA CÁMARA             </w:t>
            </w:r>
          </w:p>
        </w:tc>
      </w:tr>
    </w:tbl>
    <w:p w14:paraId="0E958871" w14:textId="77777777" w:rsidR="00F87376" w:rsidRDefault="00C13B6C">
      <w:pPr>
        <w:spacing w:after="0"/>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sectPr w:rsidR="00F87376">
      <w:headerReference w:type="default" r:id="rId10"/>
      <w:footerReference w:type="default" r:id="rId11"/>
      <w:pgSz w:w="12240" w:h="15840"/>
      <w:pgMar w:top="26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534F" w14:textId="77777777" w:rsidR="00000000" w:rsidRDefault="00C13B6C">
      <w:pPr>
        <w:spacing w:after="0" w:line="240" w:lineRule="auto"/>
      </w:pPr>
      <w:r>
        <w:separator/>
      </w:r>
    </w:p>
  </w:endnote>
  <w:endnote w:type="continuationSeparator" w:id="0">
    <w:p w14:paraId="5EC8EFB3" w14:textId="77777777" w:rsidR="00000000" w:rsidRDefault="00C1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F32D" w14:textId="77777777" w:rsidR="00F87376" w:rsidRDefault="00C13B6C">
    <w:pPr>
      <w:pBdr>
        <w:top w:val="nil"/>
        <w:left w:val="nil"/>
        <w:bottom w:val="nil"/>
        <w:right w:val="nil"/>
        <w:between w:val="nil"/>
      </w:pBdr>
      <w:spacing w:after="0" w:line="240" w:lineRule="auto"/>
      <w:jc w:val="center"/>
      <w:rPr>
        <w:color w:val="000000"/>
      </w:rPr>
    </w:pPr>
    <w:r>
      <w:rPr>
        <w:noProof/>
        <w:color w:val="000000"/>
      </w:rPr>
      <w:drawing>
        <wp:inline distT="0" distB="0" distL="114300" distR="114300" wp14:anchorId="6CB202BD" wp14:editId="041FEDD9">
          <wp:extent cx="3117850" cy="263525"/>
          <wp:effectExtent l="0" t="0" r="0" b="0"/>
          <wp:docPr id="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117850" cy="2635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3A1F" w14:textId="77777777" w:rsidR="00000000" w:rsidRDefault="00C13B6C">
      <w:pPr>
        <w:spacing w:after="0" w:line="240" w:lineRule="auto"/>
      </w:pPr>
      <w:r>
        <w:separator/>
      </w:r>
    </w:p>
  </w:footnote>
  <w:footnote w:type="continuationSeparator" w:id="0">
    <w:p w14:paraId="7C63D237" w14:textId="77777777" w:rsidR="00000000" w:rsidRDefault="00C13B6C">
      <w:pPr>
        <w:spacing w:after="0" w:line="240" w:lineRule="auto"/>
      </w:pPr>
      <w:r>
        <w:continuationSeparator/>
      </w:r>
    </w:p>
  </w:footnote>
  <w:footnote w:id="1">
    <w:p w14:paraId="57F44192"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ONU (1983). Periodo Extraordinario de Sesiones de la Asamblea General de la ONU. Disponible en la web: </w:t>
      </w:r>
      <w:hyperlink r:id="rId1">
        <w:r>
          <w:rPr>
            <w:rFonts w:ascii="Arial" w:eastAsia="Arial" w:hAnsi="Arial" w:cs="Arial"/>
            <w:color w:val="0563C1"/>
            <w:sz w:val="16"/>
            <w:szCs w:val="16"/>
            <w:u w:val="single"/>
          </w:rPr>
          <w:t>https://www.un.org/spanish/conferences/cumbre&amp;5.htm</w:t>
        </w:r>
      </w:hyperlink>
      <w:r>
        <w:rPr>
          <w:rFonts w:ascii="Arial" w:eastAsia="Arial" w:hAnsi="Arial" w:cs="Arial"/>
          <w:sz w:val="16"/>
          <w:szCs w:val="16"/>
        </w:rPr>
        <w:t xml:space="preserve"> </w:t>
      </w:r>
    </w:p>
  </w:footnote>
  <w:footnote w:id="2">
    <w:p w14:paraId="50847087"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MINISTERIO DE AMBIENTE Y DESARROLLO SOSTENIBLE (2016). Convención de Viena y Protocolo de Montreal. Disponible en la web: </w:t>
      </w:r>
      <w:hyperlink r:id="rId2" w:anchor=":~:text=El%2016%20de%20septiembre%20de,de%20numerosas%20sustancias%20que%20son">
        <w:r>
          <w:rPr>
            <w:rFonts w:ascii="Arial" w:eastAsia="Arial" w:hAnsi="Arial" w:cs="Arial"/>
            <w:color w:val="0563C1"/>
            <w:sz w:val="16"/>
            <w:szCs w:val="16"/>
            <w:u w:val="single"/>
          </w:rPr>
          <w:t>https://www.minambiente.gov.co/asuntos-ambiental</w:t>
        </w:r>
        <w:r>
          <w:rPr>
            <w:rFonts w:ascii="Arial" w:eastAsia="Arial" w:hAnsi="Arial" w:cs="Arial"/>
            <w:color w:val="0563C1"/>
            <w:sz w:val="16"/>
            <w:szCs w:val="16"/>
            <w:u w:val="single"/>
          </w:rPr>
          <w:t>es-sectorial-y-urbana/convencion-de-viena-y-protocolo-de-montreal/#:~:text=El%2016%20de%20septiembre%20de,de%20numerosas%20sustancias%20que%20son</w:t>
        </w:r>
      </w:hyperlink>
      <w:r>
        <w:rPr>
          <w:rFonts w:ascii="Arial" w:eastAsia="Arial" w:hAnsi="Arial" w:cs="Arial"/>
          <w:sz w:val="16"/>
          <w:szCs w:val="16"/>
        </w:rPr>
        <w:t xml:space="preserve"> </w:t>
      </w:r>
    </w:p>
  </w:footnote>
  <w:footnote w:id="3">
    <w:p w14:paraId="03DDD9DE"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Ibid.</w:t>
      </w:r>
    </w:p>
  </w:footnote>
  <w:footnote w:id="4">
    <w:p w14:paraId="70FBBF8F" w14:textId="77777777" w:rsidR="00F87376" w:rsidRDefault="00C13B6C">
      <w:pPr>
        <w:spacing w:after="0" w:line="240" w:lineRule="auto"/>
        <w:jc w:val="both"/>
        <w:rPr>
          <w:sz w:val="20"/>
          <w:szCs w:val="20"/>
        </w:rPr>
      </w:pPr>
      <w:r>
        <w:rPr>
          <w:vertAlign w:val="superscript"/>
        </w:rPr>
        <w:footnoteRef/>
      </w:r>
      <w:r>
        <w:rPr>
          <w:rFonts w:ascii="Arial" w:eastAsia="Arial" w:hAnsi="Arial" w:cs="Arial"/>
          <w:sz w:val="16"/>
          <w:szCs w:val="16"/>
        </w:rPr>
        <w:t xml:space="preserve"> ONU (1992). Convención Marco de las Naciones Unidas Sobre Cambio Climático, Artículo 2.   Disponibl</w:t>
      </w:r>
      <w:r>
        <w:rPr>
          <w:rFonts w:ascii="Arial" w:eastAsia="Arial" w:hAnsi="Arial" w:cs="Arial"/>
          <w:sz w:val="16"/>
          <w:szCs w:val="16"/>
        </w:rPr>
        <w:t xml:space="preserve">e en la web: </w:t>
      </w:r>
      <w:hyperlink r:id="rId3">
        <w:r>
          <w:rPr>
            <w:rFonts w:ascii="Arial" w:eastAsia="Arial" w:hAnsi="Arial" w:cs="Arial"/>
            <w:color w:val="0563C1"/>
            <w:sz w:val="16"/>
            <w:szCs w:val="16"/>
            <w:u w:val="single"/>
          </w:rPr>
          <w:t>https://unfccc.int/resource/docs/convkp/convsp.pdf</w:t>
        </w:r>
      </w:hyperlink>
      <w:r>
        <w:rPr>
          <w:sz w:val="20"/>
          <w:szCs w:val="20"/>
        </w:rPr>
        <w:t xml:space="preserve"> </w:t>
      </w:r>
    </w:p>
  </w:footnote>
  <w:footnote w:id="5">
    <w:p w14:paraId="04F0CDB5" w14:textId="77777777" w:rsidR="00F87376" w:rsidRDefault="00C13B6C">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GASS, Caparros (2007). El informe Stern sobre la Economía del Cambio Climático. Revista científica Ecosistemas. Madrid,</w:t>
      </w:r>
      <w:r>
        <w:rPr>
          <w:rFonts w:ascii="Arial" w:eastAsia="Arial" w:hAnsi="Arial" w:cs="Arial"/>
          <w:sz w:val="16"/>
          <w:szCs w:val="16"/>
        </w:rPr>
        <w:t xml:space="preserve"> España. Pág. 124</w:t>
      </w:r>
    </w:p>
  </w:footnote>
  <w:footnote w:id="6">
    <w:p w14:paraId="25105CDE" w14:textId="77777777" w:rsidR="00F87376" w:rsidRDefault="00C13B6C">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ONU (2012). </w:t>
      </w:r>
      <w:r>
        <w:rPr>
          <w:rFonts w:ascii="Arial" w:eastAsia="Arial" w:hAnsi="Arial" w:cs="Arial"/>
          <w:sz w:val="16"/>
          <w:szCs w:val="16"/>
          <w:highlight w:val="white"/>
        </w:rPr>
        <w:t>La Conferencia de Naciones Unidas Sobre Desarrollo Sustentable. Rio de Janeiro. Pág. 22</w:t>
      </w:r>
    </w:p>
  </w:footnote>
  <w:footnote w:id="7">
    <w:p w14:paraId="7FC76864"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proofErr w:type="spellStart"/>
      <w:r>
        <w:rPr>
          <w:rFonts w:ascii="Arial" w:eastAsia="Arial" w:hAnsi="Arial" w:cs="Arial"/>
          <w:sz w:val="16"/>
          <w:szCs w:val="16"/>
        </w:rPr>
        <w:t>EffeVerde</w:t>
      </w:r>
      <w:proofErr w:type="spellEnd"/>
      <w:r>
        <w:rPr>
          <w:rFonts w:ascii="Arial" w:eastAsia="Arial" w:hAnsi="Arial" w:cs="Arial"/>
          <w:sz w:val="16"/>
          <w:szCs w:val="16"/>
        </w:rPr>
        <w:t xml:space="preserve"> (2015). Las 10 claves más importantes del Acuerdo de Paris. Disponible en la web: </w:t>
      </w:r>
      <w:hyperlink r:id="rId4">
        <w:r>
          <w:rPr>
            <w:rFonts w:ascii="Arial" w:eastAsia="Arial" w:hAnsi="Arial" w:cs="Arial"/>
            <w:color w:val="0563C1"/>
            <w:sz w:val="16"/>
            <w:szCs w:val="16"/>
            <w:u w:val="single"/>
          </w:rPr>
          <w:t>https://efeverde.com/las-10-claves-mas-importantes-del-acuerdo-paris/</w:t>
        </w:r>
      </w:hyperlink>
      <w:r>
        <w:rPr>
          <w:rFonts w:ascii="Arial" w:eastAsia="Arial" w:hAnsi="Arial" w:cs="Arial"/>
          <w:sz w:val="16"/>
          <w:szCs w:val="16"/>
        </w:rPr>
        <w:t xml:space="preserve"> </w:t>
      </w:r>
    </w:p>
  </w:footnote>
  <w:footnote w:id="8">
    <w:p w14:paraId="1FFCC9ED"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Artículo 5, numeral 9, ley 99 de 1993. Disponible en la web: </w:t>
      </w:r>
      <w:hyperlink r:id="rId5">
        <w:r>
          <w:rPr>
            <w:rFonts w:ascii="Arial" w:eastAsia="Arial" w:hAnsi="Arial" w:cs="Arial"/>
            <w:color w:val="0563C1"/>
            <w:sz w:val="16"/>
            <w:szCs w:val="16"/>
            <w:u w:val="single"/>
          </w:rPr>
          <w:t>https://www.minambiente.gov.co/wp-content/uploads/2021/08/ley-99-1993.pdf</w:t>
        </w:r>
      </w:hyperlink>
      <w:r>
        <w:rPr>
          <w:rFonts w:ascii="Arial" w:eastAsia="Arial" w:hAnsi="Arial" w:cs="Arial"/>
          <w:sz w:val="16"/>
          <w:szCs w:val="16"/>
        </w:rPr>
        <w:t xml:space="preserve"> </w:t>
      </w:r>
    </w:p>
  </w:footnote>
  <w:footnote w:id="9">
    <w:p w14:paraId="3FDB5DD8" w14:textId="77777777" w:rsidR="00F87376" w:rsidRDefault="00C13B6C">
      <w:pPr>
        <w:spacing w:after="0" w:line="240" w:lineRule="auto"/>
        <w:rPr>
          <w:sz w:val="20"/>
          <w:szCs w:val="20"/>
        </w:rPr>
      </w:pPr>
      <w:r>
        <w:rPr>
          <w:vertAlign w:val="superscript"/>
        </w:rPr>
        <w:footnoteRef/>
      </w:r>
      <w:r>
        <w:rPr>
          <w:rFonts w:ascii="Arial" w:eastAsia="Arial" w:hAnsi="Arial" w:cs="Arial"/>
          <w:sz w:val="16"/>
          <w:szCs w:val="16"/>
        </w:rPr>
        <w:t xml:space="preserve"> Artículo 2, ley 164 de 1994. Disponible en la web: </w:t>
      </w:r>
      <w:hyperlink r:id="rId6">
        <w:r>
          <w:rPr>
            <w:rFonts w:ascii="Arial" w:eastAsia="Arial" w:hAnsi="Arial" w:cs="Arial"/>
            <w:color w:val="0563C1"/>
            <w:sz w:val="16"/>
            <w:szCs w:val="16"/>
            <w:u w:val="single"/>
          </w:rPr>
          <w:t>http://www.secretariasenado.gov.co/senado/basedoc/ley_0164_1994.html</w:t>
        </w:r>
      </w:hyperlink>
      <w:r>
        <w:rPr>
          <w:sz w:val="20"/>
          <w:szCs w:val="20"/>
        </w:rPr>
        <w:t xml:space="preserve"> </w:t>
      </w:r>
    </w:p>
  </w:footnote>
  <w:footnote w:id="10">
    <w:p w14:paraId="5DABEBA7"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DEPARTAMENTO NACIONAL DE PLANEACION Y OTROS </w:t>
      </w:r>
      <w:r>
        <w:rPr>
          <w:rFonts w:ascii="Arial" w:eastAsia="Arial" w:hAnsi="Arial" w:cs="Arial"/>
          <w:sz w:val="16"/>
          <w:szCs w:val="16"/>
        </w:rPr>
        <w:t>(2011). CONPES 3700 Estrategia institucional para la articulación de políticas y acciones en materia de Cambio Climático. Bogotá D.C, Colombia. Pág. 5.</w:t>
      </w:r>
    </w:p>
  </w:footnote>
  <w:footnote w:id="11">
    <w:p w14:paraId="277C4AC0" w14:textId="77777777" w:rsidR="00F87376" w:rsidRDefault="00C13B6C">
      <w:pPr>
        <w:spacing w:after="0" w:line="240" w:lineRule="auto"/>
        <w:rPr>
          <w:sz w:val="20"/>
          <w:szCs w:val="20"/>
        </w:rPr>
      </w:pPr>
      <w:r>
        <w:rPr>
          <w:vertAlign w:val="superscript"/>
        </w:rPr>
        <w:footnoteRef/>
      </w:r>
      <w:r>
        <w:rPr>
          <w:rFonts w:ascii="Arial" w:eastAsia="Arial" w:hAnsi="Arial" w:cs="Arial"/>
          <w:sz w:val="16"/>
          <w:szCs w:val="16"/>
        </w:rPr>
        <w:t xml:space="preserve"> Artículo 21, numerales 14, ley 1523 de 2012. Disponible en la web: </w:t>
      </w:r>
      <w:hyperlink r:id="rId7">
        <w:r>
          <w:rPr>
            <w:rFonts w:ascii="Arial" w:eastAsia="Arial" w:hAnsi="Arial" w:cs="Arial"/>
            <w:color w:val="0563C1"/>
            <w:sz w:val="16"/>
            <w:szCs w:val="16"/>
            <w:u w:val="single"/>
          </w:rPr>
          <w:t>https://www.funcionpublica.gov.co/eva/gestornormativo/norma.php?i=47141</w:t>
        </w:r>
      </w:hyperlink>
      <w:r>
        <w:rPr>
          <w:sz w:val="20"/>
          <w:szCs w:val="20"/>
        </w:rPr>
        <w:t xml:space="preserve"> </w:t>
      </w:r>
    </w:p>
  </w:footnote>
  <w:footnote w:id="12">
    <w:p w14:paraId="664C5C7F" w14:textId="77777777" w:rsidR="00F87376" w:rsidRDefault="00C13B6C">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Ibid. Artículo 23, numeral 2.</w:t>
      </w:r>
    </w:p>
  </w:footnote>
  <w:footnote w:id="13">
    <w:p w14:paraId="1A856F8C" w14:textId="77777777" w:rsidR="00F87376" w:rsidRDefault="00C13B6C">
      <w:pPr>
        <w:spacing w:after="0"/>
        <w:jc w:val="both"/>
        <w:rPr>
          <w:rFonts w:ascii="Arial" w:eastAsia="Arial" w:hAnsi="Arial" w:cs="Arial"/>
          <w:color w:val="333333"/>
          <w:sz w:val="16"/>
          <w:szCs w:val="16"/>
          <w:highlight w:val="white"/>
        </w:rPr>
      </w:pPr>
      <w:r>
        <w:rPr>
          <w:vertAlign w:val="superscript"/>
        </w:rPr>
        <w:footnoteRef/>
      </w:r>
      <w:r>
        <w:rPr>
          <w:rFonts w:ascii="Arial" w:eastAsia="Arial" w:hAnsi="Arial" w:cs="Arial"/>
          <w:sz w:val="16"/>
          <w:szCs w:val="16"/>
        </w:rPr>
        <w:t xml:space="preserve"> MINISTERIO DE MEDIO AMBIENTE (2016). Decreto 298 de 2016 “</w:t>
      </w:r>
      <w:r>
        <w:rPr>
          <w:rFonts w:ascii="Arial" w:eastAsia="Arial" w:hAnsi="Arial" w:cs="Arial"/>
          <w:color w:val="333333"/>
          <w:sz w:val="16"/>
          <w:szCs w:val="16"/>
          <w:highlight w:val="white"/>
        </w:rPr>
        <w:t xml:space="preserve">Por el cual se establece la organización y funcionamiento del Sistema Nacional de Cambio Climático y se dictan otras disposiciones", artículo 1°. Disponible en la web: </w:t>
      </w:r>
      <w:hyperlink r:id="rId8">
        <w:r>
          <w:rPr>
            <w:rFonts w:ascii="Arial" w:eastAsia="Arial" w:hAnsi="Arial" w:cs="Arial"/>
            <w:color w:val="0563C1"/>
            <w:sz w:val="16"/>
            <w:szCs w:val="16"/>
            <w:highlight w:val="white"/>
            <w:u w:val="single"/>
          </w:rPr>
          <w:t>https://www.funcionpublica.gov.co/eva/gestornormativo/norma.php?i=68173</w:t>
        </w:r>
      </w:hyperlink>
      <w:r>
        <w:rPr>
          <w:rFonts w:ascii="Arial" w:eastAsia="Arial" w:hAnsi="Arial" w:cs="Arial"/>
          <w:color w:val="333333"/>
          <w:sz w:val="16"/>
          <w:szCs w:val="16"/>
          <w:highlight w:val="white"/>
        </w:rPr>
        <w:t xml:space="preserve"> </w:t>
      </w:r>
    </w:p>
  </w:footnote>
  <w:footnote w:id="14">
    <w:p w14:paraId="0C15078F" w14:textId="77777777" w:rsidR="00F87376" w:rsidRDefault="00C13B6C">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DEPARTAMENTO NACIONAL DE PLANEACION (2019). CONPES 3934 Política de crecimiento verde: objetivos, estrategias y comprom</w:t>
      </w:r>
      <w:r>
        <w:rPr>
          <w:rFonts w:ascii="Arial" w:eastAsia="Arial" w:hAnsi="Arial" w:cs="Arial"/>
          <w:sz w:val="16"/>
          <w:szCs w:val="16"/>
        </w:rPr>
        <w:t>isos de la política. Bogotá D.C, Colombia. Pág. 16.</w:t>
      </w:r>
    </w:p>
  </w:footnote>
  <w:footnote w:id="15">
    <w:p w14:paraId="1DCFA72F"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Artículo 17, Ley 1931 de 2018. Disponible en la web: </w:t>
      </w:r>
      <w:hyperlink r:id="rId9">
        <w:r>
          <w:rPr>
            <w:rFonts w:ascii="Arial" w:eastAsia="Arial" w:hAnsi="Arial" w:cs="Arial"/>
            <w:color w:val="0563C1"/>
            <w:sz w:val="16"/>
            <w:szCs w:val="16"/>
            <w:u w:val="single"/>
          </w:rPr>
          <w:t>https://www.funcionpublica.gov.co/eva/gestornormativo/norm</w:t>
        </w:r>
        <w:r>
          <w:rPr>
            <w:rFonts w:ascii="Arial" w:eastAsia="Arial" w:hAnsi="Arial" w:cs="Arial"/>
            <w:color w:val="0563C1"/>
            <w:sz w:val="16"/>
            <w:szCs w:val="16"/>
            <w:u w:val="single"/>
          </w:rPr>
          <w:t>a.php?i=87765</w:t>
        </w:r>
      </w:hyperlink>
      <w:r>
        <w:rPr>
          <w:rFonts w:ascii="Arial" w:eastAsia="Arial" w:hAnsi="Arial" w:cs="Arial"/>
          <w:sz w:val="16"/>
          <w:szCs w:val="16"/>
        </w:rPr>
        <w:t xml:space="preserve"> </w:t>
      </w:r>
    </w:p>
  </w:footnote>
  <w:footnote w:id="16">
    <w:p w14:paraId="424D6C53" w14:textId="77777777" w:rsidR="00F87376" w:rsidRDefault="00C13B6C">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INSTITUTO COLOMBIANO DE BIENESTAR FAMILIAR (2017). CARTILLA PARA LA PREVENCIÓN DE DESASTRES. Primera Edición. Dirección de Gestión Human</w:t>
      </w:r>
      <w:r>
        <w:rPr>
          <w:rFonts w:ascii="Arial" w:eastAsia="Arial" w:hAnsi="Arial" w:cs="Arial"/>
          <w:sz w:val="16"/>
          <w:szCs w:val="16"/>
        </w:rPr>
        <w:t>a Planes de Emergencias y Contingencias. Bogotá D.C. Colombia. Pág. 3.</w:t>
      </w:r>
    </w:p>
  </w:footnote>
  <w:footnote w:id="17">
    <w:p w14:paraId="2F41731C"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Unidad Nacional para la Gestión del Riesgo de Desastre (2022). ¿Qué es la reducción del Riesgo? Disponible en la web: </w:t>
      </w:r>
      <w:hyperlink r:id="rId10">
        <w:r>
          <w:rPr>
            <w:rFonts w:ascii="Arial" w:eastAsia="Arial" w:hAnsi="Arial" w:cs="Arial"/>
            <w:color w:val="0563C1"/>
            <w:sz w:val="16"/>
            <w:szCs w:val="16"/>
            <w:u w:val="single"/>
          </w:rPr>
          <w:t>https://portal.gestiondelriesgo.gov.co/Paginas/Reduccion-Riesgo-Desastres.aspx</w:t>
        </w:r>
      </w:hyperlink>
      <w:r>
        <w:rPr>
          <w:rFonts w:ascii="Arial" w:eastAsia="Arial" w:hAnsi="Arial" w:cs="Arial"/>
          <w:sz w:val="16"/>
          <w:szCs w:val="16"/>
        </w:rPr>
        <w:t xml:space="preserve"> </w:t>
      </w:r>
    </w:p>
  </w:footnote>
  <w:footnote w:id="18">
    <w:p w14:paraId="7CE9D388" w14:textId="77777777" w:rsidR="00F87376" w:rsidRDefault="00C13B6C">
      <w:pPr>
        <w:spacing w:after="0" w:line="240" w:lineRule="auto"/>
        <w:rPr>
          <w:sz w:val="20"/>
          <w:szCs w:val="20"/>
        </w:rPr>
      </w:pPr>
      <w:r>
        <w:rPr>
          <w:vertAlign w:val="superscript"/>
        </w:rPr>
        <w:footnoteRef/>
      </w:r>
      <w:r>
        <w:rPr>
          <w:rFonts w:ascii="Arial" w:eastAsia="Arial" w:hAnsi="Arial" w:cs="Arial"/>
          <w:sz w:val="16"/>
          <w:szCs w:val="16"/>
        </w:rPr>
        <w:t xml:space="preserve"> Ibid. INSTITUTO COLOMBIANO DE BIENESTAR FAMILIAR (2017). Pág. 6.</w:t>
      </w:r>
    </w:p>
  </w:footnote>
  <w:footnote w:id="19">
    <w:p w14:paraId="31650ADC"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EL TIEMPO (1999). TRAGEDIA QUEBRADA BLANCA. Disponible en la web: </w:t>
      </w:r>
      <w:hyperlink r:id="rId11">
        <w:r>
          <w:rPr>
            <w:rFonts w:ascii="Arial" w:eastAsia="Arial" w:hAnsi="Arial" w:cs="Arial"/>
            <w:color w:val="0563C1"/>
            <w:sz w:val="16"/>
            <w:szCs w:val="16"/>
            <w:u w:val="single"/>
          </w:rPr>
          <w:t>https://www.eltiempo.com/archivo/documento/MAM-940142</w:t>
        </w:r>
      </w:hyperlink>
      <w:r>
        <w:rPr>
          <w:rFonts w:ascii="Arial" w:eastAsia="Arial" w:hAnsi="Arial" w:cs="Arial"/>
          <w:sz w:val="16"/>
          <w:szCs w:val="16"/>
        </w:rPr>
        <w:t xml:space="preserve"> </w:t>
      </w:r>
    </w:p>
  </w:footnote>
  <w:footnote w:id="20">
    <w:p w14:paraId="0C5E568B" w14:textId="77777777" w:rsidR="00F87376" w:rsidRDefault="00C13B6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D. Samper Pizano. (1985). “Apocalipsis anunciado”. El Tiempo, Bogotá D.C. Colombia. </w:t>
      </w:r>
    </w:p>
    <w:bookmarkStart w:id="3" w:name="_heading=h.17g7dbsaz74p" w:colFirst="0" w:colLast="0"/>
    <w:bookmarkEnd w:id="3"/>
  </w:footnote>
  <w:footnote w:id="21">
    <w:p w14:paraId="1A2AC3F4" w14:textId="77777777" w:rsidR="00F87376" w:rsidRDefault="00C13B6C">
      <w:pPr>
        <w:keepNext/>
        <w:keepLines/>
        <w:pBdr>
          <w:top w:val="nil"/>
          <w:left w:val="nil"/>
          <w:bottom w:val="nil"/>
          <w:right w:val="nil"/>
          <w:between w:val="nil"/>
        </w:pBdr>
        <w:shd w:val="clear" w:color="auto" w:fill="FFFFFF"/>
        <w:spacing w:after="0" w:line="240" w:lineRule="auto"/>
        <w:jc w:val="both"/>
        <w:rPr>
          <w:rFonts w:ascii="Arial" w:eastAsia="Arial" w:hAnsi="Arial" w:cs="Arial"/>
          <w:color w:val="000000"/>
          <w:sz w:val="16"/>
          <w:szCs w:val="16"/>
        </w:rPr>
      </w:pPr>
      <w:bookmarkStart w:id="4" w:name="_heading=h.17g7dbsaz74p" w:colFirst="0" w:colLast="0"/>
      <w:bookmarkEnd w:id="4"/>
      <w:r>
        <w:rPr>
          <w:vertAlign w:val="superscript"/>
        </w:rPr>
        <w:footnoteRef/>
      </w:r>
      <w:r>
        <w:rPr>
          <w:rFonts w:ascii="Arial" w:eastAsia="Arial" w:hAnsi="Arial" w:cs="Arial"/>
          <w:color w:val="000000"/>
          <w:sz w:val="16"/>
          <w:szCs w:val="16"/>
        </w:rPr>
        <w:t xml:space="preserve"> TRANSPARENCIA POR COLOMBIA (2021). Diagnóstico ciudadano al proceso de reconstrucción del Archipiélago de San Andrés, Providencia y Santa Catalina. Transparencia por Colombia y Open </w:t>
      </w:r>
      <w:proofErr w:type="spellStart"/>
      <w:r>
        <w:rPr>
          <w:rFonts w:ascii="Arial" w:eastAsia="Arial" w:hAnsi="Arial" w:cs="Arial"/>
          <w:color w:val="000000"/>
          <w:sz w:val="16"/>
          <w:szCs w:val="16"/>
        </w:rPr>
        <w:t>Society</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Founditions</w:t>
      </w:r>
      <w:proofErr w:type="spellEnd"/>
      <w:r>
        <w:rPr>
          <w:rFonts w:ascii="Arial" w:eastAsia="Arial" w:hAnsi="Arial" w:cs="Arial"/>
          <w:color w:val="000000"/>
          <w:sz w:val="16"/>
          <w:szCs w:val="16"/>
        </w:rPr>
        <w:t xml:space="preserve">. Bogotá D.C.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1E5C" w14:textId="77777777" w:rsidR="00F87376" w:rsidRDefault="00C13B6C">
    <w:pPr>
      <w:pBdr>
        <w:top w:val="nil"/>
        <w:left w:val="nil"/>
        <w:bottom w:val="nil"/>
        <w:right w:val="nil"/>
        <w:between w:val="nil"/>
      </w:pBdr>
      <w:spacing w:after="0" w:line="240" w:lineRule="auto"/>
      <w:jc w:val="center"/>
      <w:rPr>
        <w:color w:val="000000"/>
      </w:rPr>
    </w:pPr>
    <w:r>
      <w:rPr>
        <w:noProof/>
        <w:color w:val="000000"/>
      </w:rPr>
      <w:drawing>
        <wp:inline distT="0" distB="0" distL="114300" distR="114300" wp14:anchorId="55293F4E" wp14:editId="2A6E835B">
          <wp:extent cx="2895600" cy="857250"/>
          <wp:effectExtent l="0" t="0" r="0" b="0"/>
          <wp:docPr id="77" name="image4.png" descr="http://2.bp.blogspot.com/--denv3eMKMA/Uhu2fGNIstI/AAAAAAAAAs8/FOqvEaiVOIw/s1600/logo+congreso.png"/>
          <wp:cNvGraphicFramePr/>
          <a:graphic xmlns:a="http://schemas.openxmlformats.org/drawingml/2006/main">
            <a:graphicData uri="http://schemas.openxmlformats.org/drawingml/2006/picture">
              <pic:pic xmlns:pic="http://schemas.openxmlformats.org/drawingml/2006/picture">
                <pic:nvPicPr>
                  <pic:cNvPr id="0" name="image4.png" descr="http://2.bp.blogspot.com/--denv3eMKMA/Uhu2fGNIstI/AAAAAAAAAs8/FOqvEaiVOIw/s1600/logo+congreso.png"/>
                  <pic:cNvPicPr preferRelativeResize="0"/>
                </pic:nvPicPr>
                <pic:blipFill>
                  <a:blip r:embed="rId1"/>
                  <a:srcRect/>
                  <a:stretch>
                    <a:fillRect/>
                  </a:stretch>
                </pic:blipFill>
                <pic:spPr>
                  <a:xfrm>
                    <a:off x="0" y="0"/>
                    <a:ext cx="2895600" cy="857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E2556"/>
    <w:multiLevelType w:val="multilevel"/>
    <w:tmpl w:val="FA508F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71704D2"/>
    <w:multiLevelType w:val="multilevel"/>
    <w:tmpl w:val="31AE3D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516893"/>
    <w:multiLevelType w:val="multilevel"/>
    <w:tmpl w:val="4C42E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8DC3129"/>
    <w:multiLevelType w:val="multilevel"/>
    <w:tmpl w:val="729A0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85"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376"/>
    <w:rsid w:val="00C13B6C"/>
    <w:rsid w:val="00F873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2C24"/>
  <w15:docId w15:val="{451C94DC-EA14-4A35-BA77-6692EF9C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DF5574"/>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C87D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7D45"/>
  </w:style>
  <w:style w:type="paragraph" w:styleId="Piedepgina">
    <w:name w:val="footer"/>
    <w:basedOn w:val="Normal"/>
    <w:link w:val="PiedepginaCar"/>
    <w:uiPriority w:val="99"/>
    <w:unhideWhenUsed/>
    <w:rsid w:val="00C87D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7D45"/>
  </w:style>
  <w:style w:type="table" w:styleId="Tablaconcuadrcula">
    <w:name w:val="Table Grid"/>
    <w:basedOn w:val="Tablanormal"/>
    <w:uiPriority w:val="39"/>
    <w:rsid w:val="008A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4"/>
    <w:pPr>
      <w:spacing w:after="0" w:line="240" w:lineRule="auto"/>
    </w:p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106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610"/>
    <w:rPr>
      <w:rFonts w:ascii="Tahoma" w:hAnsi="Tahoma" w:cs="Tahoma"/>
      <w:sz w:val="16"/>
      <w:szCs w:val="16"/>
    </w:rPr>
  </w:style>
  <w:style w:type="table" w:customStyle="1" w:styleId="ac">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2"/>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funcionpublica.gov.co/eva/gestornormativo/norma.php?i=68173" TargetMode="External"/><Relationship Id="rId3" Type="http://schemas.openxmlformats.org/officeDocument/2006/relationships/hyperlink" Target="https://unfccc.int/resource/docs/convkp/convsp.pdf" TargetMode="External"/><Relationship Id="rId7" Type="http://schemas.openxmlformats.org/officeDocument/2006/relationships/hyperlink" Target="https://www.funcionpublica.gov.co/eva/gestornormativo/norma.php?i=47141" TargetMode="External"/><Relationship Id="rId2" Type="http://schemas.openxmlformats.org/officeDocument/2006/relationships/hyperlink" Target="https://www.minambiente.gov.co/asuntos-ambientales-sectorial-y-urbana/convencion-de-viena-y-protocolo-de-montreal/" TargetMode="External"/><Relationship Id="rId1" Type="http://schemas.openxmlformats.org/officeDocument/2006/relationships/hyperlink" Target="https://www.un.org/spanish/conferences/cumbre&amp;5.htm" TargetMode="External"/><Relationship Id="rId6" Type="http://schemas.openxmlformats.org/officeDocument/2006/relationships/hyperlink" Target="http://www.secretariasenado.gov.co/senado/basedoc/ley_0164_1994.html" TargetMode="External"/><Relationship Id="rId11" Type="http://schemas.openxmlformats.org/officeDocument/2006/relationships/hyperlink" Target="https://www.eltiempo.com/archivo/documento/MAM-940142" TargetMode="External"/><Relationship Id="rId5" Type="http://schemas.openxmlformats.org/officeDocument/2006/relationships/hyperlink" Target="https://www.minambiente.gov.co/wp-content/uploads/2021/08/ley-99-1993.pdf" TargetMode="External"/><Relationship Id="rId10" Type="http://schemas.openxmlformats.org/officeDocument/2006/relationships/hyperlink" Target="https://portal.gestiondelriesgo.gov.co/Paginas/Reduccion-Riesgo-Desastres.aspx" TargetMode="External"/><Relationship Id="rId4" Type="http://schemas.openxmlformats.org/officeDocument/2006/relationships/hyperlink" Target="https://efeverde.com/las-10-claves-mas-importantes-del-acuerdo-paris/" TargetMode="External"/><Relationship Id="rId9" Type="http://schemas.openxmlformats.org/officeDocument/2006/relationships/hyperlink" Target="https://www.funcionpublica.gov.co/eva/gestornormativo/norma.php?i=877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UNofctExObS9o+gn7VDgZNOMyw==">AMUW2mW/BWGsTQDn8LMEgtT+B+d/Matj1F6YwVFnZWoPjqqmM1gDKp+XjSbiTBoz3fZOtu3whjgcgZm96qF2FSNxTKLmBVnyDRTi81MVrxqZNOfDZYlSCvxm7g4Hn6h8nsQNYPk6L1phFYVLMagadndmdSPgDczoLJz1MtSJ6vW9+HaLsvONKZbDSzV73YgWdopG6oWdXZQ8WggMBGP2hQ+NkKaEiwT1IA==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7530</Words>
  <Characters>41419</Characters>
  <Application>Microsoft Office Word</Application>
  <DocSecurity>0</DocSecurity>
  <Lines>345</Lines>
  <Paragraphs>97</Paragraphs>
  <ScaleCrop>false</ScaleCrop>
  <Company/>
  <LinksUpToDate>false</LinksUpToDate>
  <CharactersWithSpaces>48852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Andres Vargas Infante</dc:creator>
  <cp:lastModifiedBy>Hasbleidy Suarez Sanchez</cp:lastModifiedBy>
  <cp:revision>2</cp:revision>
  <dcterms:created xsi:type="dcterms:W3CDTF">2023-03-23T17:11:00Z</dcterms:created>
  <dcterms:modified xsi:type="dcterms:W3CDTF">2023-03-23T17:11:00Z</dcterms:modified>
</cp:coreProperties>
</file>