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2F28" w14:textId="77777777" w:rsidR="007724C1" w:rsidRPr="006D364E" w:rsidRDefault="007724C1" w:rsidP="007724C1">
      <w:pPr>
        <w:pStyle w:val="Sinespaciado"/>
        <w:jc w:val="center"/>
        <w:rPr>
          <w:rFonts w:ascii="Edwardian Script ITC" w:hAnsi="Edwardian Script ITC"/>
          <w:b/>
          <w:sz w:val="36"/>
          <w:szCs w:val="36"/>
        </w:rPr>
      </w:pPr>
      <w:r w:rsidRPr="006D364E">
        <w:rPr>
          <w:rFonts w:ascii="Edwardian Script ITC" w:hAnsi="Edwardian Script ITC"/>
          <w:b/>
          <w:sz w:val="36"/>
          <w:szCs w:val="36"/>
        </w:rPr>
        <w:t>Rama Legislativa del Poder Público</w:t>
      </w:r>
    </w:p>
    <w:p w14:paraId="5D2DFD6D" w14:textId="77777777" w:rsidR="007724C1" w:rsidRPr="006D364E" w:rsidRDefault="007724C1" w:rsidP="007724C1">
      <w:pPr>
        <w:pStyle w:val="Sinespaciado"/>
        <w:jc w:val="center"/>
        <w:rPr>
          <w:rFonts w:ascii="Edwardian Script ITC" w:hAnsi="Edwardian Script ITC"/>
          <w:b/>
          <w:sz w:val="36"/>
          <w:szCs w:val="36"/>
        </w:rPr>
      </w:pPr>
      <w:r w:rsidRPr="006D364E">
        <w:rPr>
          <w:rFonts w:ascii="Edwardian Script ITC" w:hAnsi="Edwardian Script ITC"/>
          <w:b/>
          <w:sz w:val="36"/>
          <w:szCs w:val="36"/>
        </w:rPr>
        <w:t>Comisión Séptima Constitucional Permanente</w:t>
      </w:r>
    </w:p>
    <w:p w14:paraId="48602E04" w14:textId="77777777" w:rsidR="007724C1" w:rsidRPr="006D364E" w:rsidRDefault="007724C1" w:rsidP="007724C1">
      <w:pPr>
        <w:pStyle w:val="Sinespaciado"/>
        <w:jc w:val="center"/>
        <w:rPr>
          <w:rFonts w:ascii="Edwardian Script ITC" w:hAnsi="Edwardian Script ITC"/>
          <w:b/>
          <w:sz w:val="36"/>
          <w:szCs w:val="36"/>
        </w:rPr>
      </w:pPr>
      <w:r w:rsidRPr="006D364E">
        <w:rPr>
          <w:rFonts w:ascii="Edwardian Script ITC" w:hAnsi="Edwardian Script ITC"/>
          <w:b/>
          <w:sz w:val="36"/>
          <w:szCs w:val="36"/>
        </w:rPr>
        <w:t>Legislatura 202</w:t>
      </w:r>
      <w:r>
        <w:rPr>
          <w:rFonts w:ascii="Edwardian Script ITC" w:hAnsi="Edwardian Script ITC"/>
          <w:b/>
          <w:sz w:val="36"/>
          <w:szCs w:val="36"/>
        </w:rPr>
        <w:t>2-2023</w:t>
      </w:r>
    </w:p>
    <w:p w14:paraId="4C488B55" w14:textId="77777777" w:rsidR="00F32281" w:rsidRDefault="00F32281">
      <w:pPr>
        <w:pBdr>
          <w:top w:val="nil"/>
          <w:left w:val="nil"/>
          <w:bottom w:val="nil"/>
          <w:right w:val="nil"/>
          <w:between w:val="nil"/>
        </w:pBdr>
        <w:spacing w:after="0" w:line="240" w:lineRule="auto"/>
        <w:jc w:val="center"/>
        <w:rPr>
          <w:rFonts w:ascii="Pinyon Script" w:eastAsia="Pinyon Script" w:hAnsi="Pinyon Script" w:cs="Pinyon Script"/>
          <w:b/>
          <w:color w:val="000000"/>
          <w:sz w:val="18"/>
          <w:szCs w:val="18"/>
          <w:highlight w:val="yellow"/>
        </w:rPr>
      </w:pPr>
    </w:p>
    <w:p w14:paraId="042A7B5D" w14:textId="77777777" w:rsidR="00FE24D6" w:rsidRDefault="00FE24D6" w:rsidP="00D22485">
      <w:pPr>
        <w:pStyle w:val="Sinespaciado"/>
        <w:jc w:val="both"/>
        <w:rPr>
          <w:rFonts w:ascii="Arial" w:hAnsi="Arial" w:cs="Arial"/>
          <w:b/>
          <w:bCs/>
          <w:color w:val="000000"/>
        </w:rPr>
      </w:pPr>
    </w:p>
    <w:p w14:paraId="16160EC1" w14:textId="54ACCC67" w:rsidR="00F32281" w:rsidRPr="00D22485" w:rsidRDefault="00C631DC" w:rsidP="00D22485">
      <w:pPr>
        <w:pStyle w:val="Sinespaciado"/>
        <w:jc w:val="both"/>
        <w:rPr>
          <w:rFonts w:ascii="Arial" w:hAnsi="Arial" w:cs="Arial"/>
          <w:b/>
          <w:bCs/>
        </w:rPr>
      </w:pPr>
      <w:r w:rsidRPr="00D22485">
        <w:rPr>
          <w:rFonts w:ascii="Arial" w:hAnsi="Arial" w:cs="Arial"/>
          <w:b/>
          <w:bCs/>
          <w:color w:val="000000"/>
        </w:rPr>
        <w:t xml:space="preserve">TEXTO DEFINITIVO APROBADO EN PRIMER DEBATE DEL PROYECTO DE </w:t>
      </w:r>
      <w:r w:rsidRPr="00D22485">
        <w:rPr>
          <w:rFonts w:ascii="Arial" w:hAnsi="Arial" w:cs="Arial"/>
          <w:b/>
          <w:bCs/>
        </w:rPr>
        <w:t>LEY PROYECTO DE LEY NO. 031 DE 2022 CÁMARA “POR LA CUAL SE ADICIONA UN PARÁGRAFO TRANSITORIO AL ARTÍCULO 2 DE LA LEY 797 DE 2003 QUE MODIFICÓ EL LITERAL E) DEL ARTÍCULO 13 DE LA LEY 100 DE 1993”</w:t>
      </w:r>
    </w:p>
    <w:p w14:paraId="37E7FA83" w14:textId="77777777" w:rsidR="00F32281" w:rsidRPr="00D22485" w:rsidRDefault="00F32281" w:rsidP="00D22485">
      <w:pPr>
        <w:pStyle w:val="Sinespaciado"/>
        <w:jc w:val="both"/>
        <w:rPr>
          <w:rFonts w:ascii="Arial" w:hAnsi="Arial" w:cs="Arial"/>
          <w:color w:val="000000"/>
        </w:rPr>
      </w:pPr>
    </w:p>
    <w:p w14:paraId="59824556" w14:textId="2F48E421" w:rsidR="00F32281" w:rsidRPr="00D22485" w:rsidRDefault="00C631DC" w:rsidP="00D22485">
      <w:pPr>
        <w:pStyle w:val="Sinespaciado"/>
        <w:jc w:val="center"/>
        <w:rPr>
          <w:rFonts w:ascii="Arial" w:hAnsi="Arial" w:cs="Arial"/>
          <w:color w:val="000000"/>
        </w:rPr>
      </w:pPr>
      <w:r w:rsidRPr="00D22485">
        <w:rPr>
          <w:rFonts w:ascii="Arial" w:hAnsi="Arial" w:cs="Arial"/>
          <w:color w:val="000000"/>
        </w:rPr>
        <w:t xml:space="preserve">(Aprobado en la Sesión presencial del </w:t>
      </w:r>
      <w:r w:rsidRPr="00D22485">
        <w:rPr>
          <w:rFonts w:ascii="Arial" w:hAnsi="Arial" w:cs="Arial"/>
        </w:rPr>
        <w:t xml:space="preserve">16 </w:t>
      </w:r>
      <w:r w:rsidRPr="00D22485">
        <w:rPr>
          <w:rFonts w:ascii="Arial" w:hAnsi="Arial" w:cs="Arial"/>
          <w:color w:val="000000"/>
        </w:rPr>
        <w:t xml:space="preserve">de </w:t>
      </w:r>
      <w:r w:rsidRPr="00D22485">
        <w:rPr>
          <w:rFonts w:ascii="Arial" w:hAnsi="Arial" w:cs="Arial"/>
        </w:rPr>
        <w:t>noviembre</w:t>
      </w:r>
      <w:r w:rsidRPr="00D22485">
        <w:rPr>
          <w:rFonts w:ascii="Arial" w:hAnsi="Arial" w:cs="Arial"/>
          <w:color w:val="000000"/>
        </w:rPr>
        <w:t xml:space="preserve"> de 2022, Comisión VII Constitucional Permanente de la H. Cámara de Representantes, Acta No. </w:t>
      </w:r>
      <w:r w:rsidR="00980703" w:rsidRPr="00D22485">
        <w:rPr>
          <w:rFonts w:ascii="Arial" w:hAnsi="Arial" w:cs="Arial"/>
          <w:color w:val="000000"/>
        </w:rPr>
        <w:t>21</w:t>
      </w:r>
      <w:r w:rsidRPr="00D22485">
        <w:rPr>
          <w:rFonts w:ascii="Arial" w:hAnsi="Arial" w:cs="Arial"/>
          <w:color w:val="000000"/>
        </w:rPr>
        <w:t>)</w:t>
      </w:r>
    </w:p>
    <w:p w14:paraId="75AAD499" w14:textId="77777777" w:rsidR="00F32281" w:rsidRPr="00D22485" w:rsidRDefault="00F32281" w:rsidP="00D22485">
      <w:pPr>
        <w:pStyle w:val="Sinespaciado"/>
        <w:jc w:val="both"/>
        <w:rPr>
          <w:rFonts w:ascii="Arial" w:hAnsi="Arial" w:cs="Arial"/>
          <w:color w:val="000000"/>
        </w:rPr>
      </w:pPr>
    </w:p>
    <w:p w14:paraId="5141CD70" w14:textId="77777777" w:rsidR="00FE24D6" w:rsidRDefault="00FE24D6" w:rsidP="00D22485">
      <w:pPr>
        <w:pStyle w:val="Sinespaciado"/>
        <w:jc w:val="center"/>
        <w:rPr>
          <w:rFonts w:ascii="Arial" w:hAnsi="Arial" w:cs="Arial"/>
          <w:b/>
          <w:bCs/>
          <w:color w:val="000000"/>
        </w:rPr>
      </w:pPr>
    </w:p>
    <w:p w14:paraId="35AAE20D" w14:textId="6CCB607F" w:rsidR="00F32281" w:rsidRPr="00D22485" w:rsidRDefault="00C631DC" w:rsidP="00D22485">
      <w:pPr>
        <w:pStyle w:val="Sinespaciado"/>
        <w:jc w:val="center"/>
        <w:rPr>
          <w:rFonts w:ascii="Arial" w:hAnsi="Arial" w:cs="Arial"/>
          <w:b/>
          <w:bCs/>
          <w:color w:val="000000"/>
        </w:rPr>
      </w:pPr>
      <w:r w:rsidRPr="00D22485">
        <w:rPr>
          <w:rFonts w:ascii="Arial" w:hAnsi="Arial" w:cs="Arial"/>
          <w:b/>
          <w:bCs/>
          <w:color w:val="000000"/>
        </w:rPr>
        <w:t>EL CONGRESO DE COLOMBIA</w:t>
      </w:r>
    </w:p>
    <w:p w14:paraId="77AED8EC" w14:textId="77777777" w:rsidR="00F32281" w:rsidRPr="00D22485" w:rsidRDefault="00F32281" w:rsidP="00D22485">
      <w:pPr>
        <w:pStyle w:val="Sinespaciado"/>
        <w:jc w:val="both"/>
        <w:rPr>
          <w:rFonts w:ascii="Arial" w:hAnsi="Arial" w:cs="Arial"/>
          <w:color w:val="000000"/>
        </w:rPr>
      </w:pPr>
    </w:p>
    <w:p w14:paraId="09C4CB86" w14:textId="2CA9C191" w:rsidR="00F32281" w:rsidRDefault="00C631DC" w:rsidP="00D22485">
      <w:pPr>
        <w:pStyle w:val="Sinespaciado"/>
        <w:jc w:val="center"/>
        <w:rPr>
          <w:rFonts w:ascii="Arial" w:hAnsi="Arial" w:cs="Arial"/>
          <w:b/>
          <w:bCs/>
          <w:color w:val="000000"/>
        </w:rPr>
      </w:pPr>
      <w:r w:rsidRPr="00D22485">
        <w:rPr>
          <w:rFonts w:ascii="Arial" w:hAnsi="Arial" w:cs="Arial"/>
          <w:b/>
          <w:bCs/>
          <w:color w:val="000000"/>
        </w:rPr>
        <w:t>DECRETA:</w:t>
      </w:r>
    </w:p>
    <w:p w14:paraId="0773A947" w14:textId="77777777" w:rsidR="00D22485" w:rsidRPr="00D22485" w:rsidRDefault="00D22485" w:rsidP="00D22485">
      <w:pPr>
        <w:pStyle w:val="Sinespaciado"/>
        <w:jc w:val="center"/>
        <w:rPr>
          <w:rFonts w:ascii="Arial" w:hAnsi="Arial" w:cs="Arial"/>
          <w:b/>
          <w:bCs/>
          <w:color w:val="000000"/>
        </w:rPr>
      </w:pPr>
    </w:p>
    <w:p w14:paraId="3246B56F" w14:textId="77777777" w:rsidR="00FE24D6" w:rsidRDefault="00FE24D6" w:rsidP="00D22485">
      <w:pPr>
        <w:pStyle w:val="Sinespaciado"/>
        <w:jc w:val="both"/>
        <w:rPr>
          <w:rFonts w:ascii="Arial" w:hAnsi="Arial" w:cs="Arial"/>
          <w:b/>
          <w:bCs/>
        </w:rPr>
      </w:pPr>
    </w:p>
    <w:p w14:paraId="5DC09BD6" w14:textId="647331B4" w:rsidR="00F32281" w:rsidRPr="00D22485" w:rsidRDefault="00C631DC" w:rsidP="00D22485">
      <w:pPr>
        <w:pStyle w:val="Sinespaciado"/>
        <w:jc w:val="both"/>
        <w:rPr>
          <w:rFonts w:ascii="Arial" w:hAnsi="Arial" w:cs="Arial"/>
        </w:rPr>
      </w:pPr>
      <w:r w:rsidRPr="00D22485">
        <w:rPr>
          <w:rFonts w:ascii="Arial" w:hAnsi="Arial" w:cs="Arial"/>
          <w:b/>
          <w:bCs/>
        </w:rPr>
        <w:t>Artículo 1</w:t>
      </w:r>
      <w:r w:rsidRPr="00D22485">
        <w:rPr>
          <w:rFonts w:ascii="Arial" w:hAnsi="Arial" w:cs="Arial"/>
        </w:rPr>
        <w:t>. Adiciónese un parágrafo transitorio al artículo 2 de la Ley 797 de 2003 que modificó el literal e) del artículo 13 de la Ley 100 de 1993.</w:t>
      </w:r>
    </w:p>
    <w:p w14:paraId="41273782" w14:textId="77777777" w:rsidR="00F32281" w:rsidRPr="00D22485" w:rsidRDefault="00C631DC" w:rsidP="00D22485">
      <w:pPr>
        <w:pStyle w:val="Sinespaciado"/>
        <w:jc w:val="both"/>
        <w:rPr>
          <w:rFonts w:ascii="Arial" w:hAnsi="Arial" w:cs="Arial"/>
        </w:rPr>
      </w:pPr>
      <w:r w:rsidRPr="00D22485">
        <w:rPr>
          <w:rFonts w:ascii="Arial" w:hAnsi="Arial" w:cs="Arial"/>
        </w:rPr>
        <w:t xml:space="preserve"> </w:t>
      </w:r>
    </w:p>
    <w:p w14:paraId="18895D1B" w14:textId="77777777" w:rsidR="00F32281" w:rsidRPr="00D22485" w:rsidRDefault="00C631DC" w:rsidP="00D22485">
      <w:pPr>
        <w:pStyle w:val="Sinespaciado"/>
        <w:jc w:val="both"/>
        <w:rPr>
          <w:rFonts w:ascii="Arial" w:hAnsi="Arial" w:cs="Arial"/>
        </w:rPr>
      </w:pPr>
      <w:r w:rsidRPr="006322DE">
        <w:rPr>
          <w:rFonts w:ascii="Arial" w:hAnsi="Arial" w:cs="Arial"/>
          <w:b/>
          <w:bCs/>
        </w:rPr>
        <w:t>Parágrafo transitorio.</w:t>
      </w:r>
      <w:r w:rsidRPr="00D22485">
        <w:rPr>
          <w:rFonts w:ascii="Arial" w:hAnsi="Arial" w:cs="Arial"/>
        </w:rPr>
        <w:t xml:space="preserve"> A partir de la promulgación de la presente ley, los afiliados al Sistema General de Seguridad Social en pensiones podrán trasladarse durante el término de un año, entre los Regím</w:t>
      </w:r>
      <w:bookmarkStart w:id="0" w:name="_GoBack"/>
      <w:bookmarkEnd w:id="0"/>
      <w:r w:rsidRPr="00D22485">
        <w:rPr>
          <w:rFonts w:ascii="Arial" w:hAnsi="Arial" w:cs="Arial"/>
        </w:rPr>
        <w:t>enes Pensionales</w:t>
      </w:r>
      <w:r w:rsidRPr="00D22485">
        <w:rPr>
          <w:rFonts w:ascii="Arial" w:hAnsi="Arial" w:cs="Arial"/>
          <w:strike/>
        </w:rPr>
        <w:t>,</w:t>
      </w:r>
      <w:r w:rsidRPr="00D22485">
        <w:rPr>
          <w:rFonts w:ascii="Arial" w:hAnsi="Arial" w:cs="Arial"/>
        </w:rPr>
        <w:t xml:space="preserve"> de ahorro individual con solidaridad y Prima Media con prestación definida, en cualquier edad, y por una única vez por el término de vigencia de la presente ley.</w:t>
      </w:r>
    </w:p>
    <w:p w14:paraId="68C59758" w14:textId="77777777" w:rsidR="00F32281" w:rsidRPr="00D22485" w:rsidRDefault="00C631DC" w:rsidP="00D22485">
      <w:pPr>
        <w:pStyle w:val="Sinespaciado"/>
        <w:jc w:val="both"/>
        <w:rPr>
          <w:rFonts w:ascii="Arial" w:hAnsi="Arial" w:cs="Arial"/>
        </w:rPr>
      </w:pPr>
      <w:r w:rsidRPr="00D22485">
        <w:rPr>
          <w:rFonts w:ascii="Arial" w:hAnsi="Arial" w:cs="Arial"/>
        </w:rPr>
        <w:t xml:space="preserve"> </w:t>
      </w:r>
    </w:p>
    <w:p w14:paraId="7F4BF031" w14:textId="77777777" w:rsidR="00F32281" w:rsidRPr="00D22485" w:rsidRDefault="00C631DC" w:rsidP="00D22485">
      <w:pPr>
        <w:pStyle w:val="Sinespaciado"/>
        <w:jc w:val="both"/>
        <w:rPr>
          <w:rFonts w:ascii="Arial" w:hAnsi="Arial" w:cs="Arial"/>
        </w:rPr>
      </w:pPr>
      <w:r w:rsidRPr="00D22485">
        <w:rPr>
          <w:rFonts w:ascii="Arial" w:hAnsi="Arial" w:cs="Arial"/>
        </w:rPr>
        <w:t>Una vez se solicite el respectivo traslado, las administradoras de pensiones deberán emitir al afiliado por escrito el concepto de la doble asesoría, el cual deberá incluir el camino pensional con la proyección de valor de la mesada en cada régimen, respetando el principio de la libertad informada, con el fin que el afiliado tenga certeza y claridad sobre la conveniencia de permanecer en el régimen pensional que se encuentra o definitivamente se dé el respectivo traslado. Es obligación por parte de las administradoras de pensiones emitir el respectivo concepto dentro de los 20 días hábiles siguientes a la petición de traslado.</w:t>
      </w:r>
    </w:p>
    <w:p w14:paraId="1F4A9737" w14:textId="77777777" w:rsidR="00F32281" w:rsidRPr="00D22485" w:rsidRDefault="00C631DC" w:rsidP="00D22485">
      <w:pPr>
        <w:pStyle w:val="Sinespaciado"/>
        <w:jc w:val="both"/>
        <w:rPr>
          <w:rFonts w:ascii="Arial" w:hAnsi="Arial" w:cs="Arial"/>
        </w:rPr>
      </w:pPr>
      <w:r w:rsidRPr="00D22485">
        <w:rPr>
          <w:rFonts w:ascii="Arial" w:hAnsi="Arial" w:cs="Arial"/>
        </w:rPr>
        <w:t xml:space="preserve"> </w:t>
      </w:r>
    </w:p>
    <w:p w14:paraId="0B97E5EF" w14:textId="77777777" w:rsidR="00F32281" w:rsidRPr="00D22485" w:rsidRDefault="00C631DC" w:rsidP="00D22485">
      <w:pPr>
        <w:pStyle w:val="Sinespaciado"/>
        <w:jc w:val="both"/>
        <w:rPr>
          <w:rFonts w:ascii="Arial" w:hAnsi="Arial" w:cs="Arial"/>
        </w:rPr>
      </w:pPr>
      <w:r w:rsidRPr="00D22485">
        <w:rPr>
          <w:rFonts w:ascii="Arial" w:hAnsi="Arial" w:cs="Arial"/>
        </w:rPr>
        <w:t>La Administradora Colombiana de Pensiones Colpensiones y los Fondos de Pensiones podrán hacer uso de las tecnologías de información y Comunicación para agilizar las asesorías que tenga como fin el traslado de afiliados de los que habla el presente parágrafo.</w:t>
      </w:r>
    </w:p>
    <w:p w14:paraId="5D5CCA34" w14:textId="77777777" w:rsidR="00F32281" w:rsidRPr="00D22485" w:rsidRDefault="00C631DC" w:rsidP="00D22485">
      <w:pPr>
        <w:pStyle w:val="Sinespaciado"/>
        <w:jc w:val="both"/>
        <w:rPr>
          <w:rFonts w:ascii="Arial" w:hAnsi="Arial" w:cs="Arial"/>
        </w:rPr>
      </w:pPr>
      <w:r w:rsidRPr="00D22485">
        <w:rPr>
          <w:rFonts w:ascii="Arial" w:hAnsi="Arial" w:cs="Arial"/>
        </w:rPr>
        <w:t xml:space="preserve"> </w:t>
      </w:r>
    </w:p>
    <w:p w14:paraId="4BC61890" w14:textId="77777777" w:rsidR="00F32281" w:rsidRPr="00D22485" w:rsidRDefault="00C631DC" w:rsidP="00D22485">
      <w:pPr>
        <w:pStyle w:val="Sinespaciado"/>
        <w:jc w:val="both"/>
        <w:rPr>
          <w:rFonts w:ascii="Arial" w:hAnsi="Arial" w:cs="Arial"/>
        </w:rPr>
      </w:pPr>
      <w:r w:rsidRPr="00D22485">
        <w:rPr>
          <w:rFonts w:ascii="Arial" w:hAnsi="Arial" w:cs="Arial"/>
        </w:rPr>
        <w:t>Una vez se apruebe el respectivo traslado de régimen pensional, la administradora tendrá la obligación de transferir el monto total que corresponda al afiliado; en el Régimen de Prima Media el total de semanas cotizadas, y en el Régimen de Ahorro Individual el total del capital ahorrado, los gastos de administración, comisiones de valores, seguros previsionales y demás emolumentos que integren la cuenta del afiliado.</w:t>
      </w:r>
    </w:p>
    <w:p w14:paraId="09A926D4" w14:textId="77777777" w:rsidR="00F32281" w:rsidRPr="00D22485" w:rsidRDefault="00C631DC" w:rsidP="00D22485">
      <w:pPr>
        <w:pStyle w:val="Sinespaciado"/>
        <w:jc w:val="both"/>
        <w:rPr>
          <w:rFonts w:ascii="Arial" w:hAnsi="Arial" w:cs="Arial"/>
        </w:rPr>
      </w:pPr>
      <w:r w:rsidRPr="00D22485">
        <w:rPr>
          <w:rFonts w:ascii="Arial" w:hAnsi="Arial" w:cs="Arial"/>
        </w:rPr>
        <w:t xml:space="preserve"> </w:t>
      </w:r>
    </w:p>
    <w:p w14:paraId="394356AD" w14:textId="77777777" w:rsidR="00F32281" w:rsidRPr="00D22485" w:rsidRDefault="00C631DC" w:rsidP="00D22485">
      <w:pPr>
        <w:pStyle w:val="Sinespaciado"/>
        <w:jc w:val="both"/>
        <w:rPr>
          <w:rFonts w:ascii="Arial" w:hAnsi="Arial" w:cs="Arial"/>
        </w:rPr>
      </w:pPr>
      <w:r w:rsidRPr="00D22485">
        <w:rPr>
          <w:rFonts w:ascii="Arial" w:hAnsi="Arial" w:cs="Arial"/>
        </w:rPr>
        <w:t>Durante el término de vigencia de esta disposición transitoria serán suspendidas las normas que le sean contrarias.</w:t>
      </w:r>
    </w:p>
    <w:p w14:paraId="67610582" w14:textId="77777777" w:rsidR="00F32281" w:rsidRPr="00D22485" w:rsidRDefault="00C631DC" w:rsidP="00D22485">
      <w:pPr>
        <w:pStyle w:val="Sinespaciado"/>
        <w:jc w:val="both"/>
        <w:rPr>
          <w:rFonts w:ascii="Arial" w:hAnsi="Arial" w:cs="Arial"/>
        </w:rPr>
      </w:pPr>
      <w:r w:rsidRPr="00D22485">
        <w:rPr>
          <w:rFonts w:ascii="Arial" w:hAnsi="Arial" w:cs="Arial"/>
        </w:rPr>
        <w:lastRenderedPageBreak/>
        <w:t xml:space="preserve"> </w:t>
      </w:r>
    </w:p>
    <w:p w14:paraId="101D4431" w14:textId="77777777" w:rsidR="00F32281" w:rsidRPr="00D22485" w:rsidRDefault="00C631DC" w:rsidP="00D22485">
      <w:pPr>
        <w:pStyle w:val="Sinespaciado"/>
        <w:jc w:val="both"/>
        <w:rPr>
          <w:rFonts w:ascii="Arial" w:hAnsi="Arial" w:cs="Arial"/>
        </w:rPr>
      </w:pPr>
      <w:r w:rsidRPr="006322DE">
        <w:rPr>
          <w:rFonts w:ascii="Arial" w:hAnsi="Arial" w:cs="Arial"/>
          <w:b/>
          <w:bCs/>
        </w:rPr>
        <w:t xml:space="preserve">Artículo 2. Vigencia. </w:t>
      </w:r>
      <w:r w:rsidRPr="00D22485">
        <w:rPr>
          <w:rFonts w:ascii="Arial" w:hAnsi="Arial" w:cs="Arial"/>
        </w:rPr>
        <w:t>La presente Ley rige a partir de su promulgación y deroga las disposiciones que le sean contrarias.</w:t>
      </w:r>
    </w:p>
    <w:p w14:paraId="4DCDB7DC" w14:textId="77777777" w:rsidR="00F32281" w:rsidRPr="00747254" w:rsidRDefault="00F32281" w:rsidP="00747254">
      <w:pPr>
        <w:pStyle w:val="Sinespaciado"/>
        <w:rPr>
          <w:rFonts w:ascii="Arial" w:hAnsi="Arial" w:cs="Arial"/>
          <w:highlight w:val="yellow"/>
        </w:rPr>
      </w:pPr>
    </w:p>
    <w:p w14:paraId="46553372" w14:textId="77777777" w:rsidR="00F32281" w:rsidRPr="00747254" w:rsidRDefault="00F32281" w:rsidP="00747254">
      <w:pPr>
        <w:pStyle w:val="Sinespaciado"/>
        <w:rPr>
          <w:rFonts w:ascii="Arial" w:hAnsi="Arial" w:cs="Arial"/>
        </w:rPr>
      </w:pPr>
    </w:p>
    <w:p w14:paraId="595061F5" w14:textId="7BCAE6DE" w:rsidR="003F42DE" w:rsidRPr="00747254" w:rsidRDefault="003F42DE" w:rsidP="00747254">
      <w:pPr>
        <w:pStyle w:val="Sinespaciado"/>
        <w:rPr>
          <w:rFonts w:ascii="Arial" w:hAnsi="Arial" w:cs="Arial"/>
        </w:rPr>
      </w:pPr>
    </w:p>
    <w:p w14:paraId="3207BDF2" w14:textId="77777777" w:rsidR="003F42DE" w:rsidRPr="00747254" w:rsidRDefault="003F42DE" w:rsidP="00747254">
      <w:pPr>
        <w:pStyle w:val="Sinespaciado"/>
        <w:rPr>
          <w:rFonts w:ascii="Arial" w:hAnsi="Arial" w:cs="Arial"/>
        </w:rPr>
      </w:pPr>
    </w:p>
    <w:p w14:paraId="7F7825B4" w14:textId="77777777" w:rsidR="00E42C76" w:rsidRPr="00747254" w:rsidRDefault="00E42C76" w:rsidP="00747254">
      <w:pPr>
        <w:pStyle w:val="Sinespaciado"/>
        <w:rPr>
          <w:rFonts w:ascii="Arial" w:hAnsi="Arial" w:cs="Arial"/>
        </w:rPr>
      </w:pPr>
    </w:p>
    <w:p w14:paraId="7A9611A3" w14:textId="0E6FF942" w:rsidR="00E42C76" w:rsidRPr="00747254" w:rsidRDefault="00C631DC" w:rsidP="00747254">
      <w:pPr>
        <w:pStyle w:val="Sinespaciado"/>
        <w:rPr>
          <w:rFonts w:ascii="Arial" w:hAnsi="Arial" w:cs="Arial"/>
          <w:b/>
        </w:rPr>
      </w:pPr>
      <w:r w:rsidRPr="00747254">
        <w:rPr>
          <w:rFonts w:ascii="Arial" w:hAnsi="Arial" w:cs="Arial"/>
          <w:b/>
        </w:rPr>
        <w:t>ALFREDO MONDRAGÓN G</w:t>
      </w:r>
      <w:r w:rsidR="00FE24D6" w:rsidRPr="00747254">
        <w:rPr>
          <w:rFonts w:ascii="Arial" w:hAnsi="Arial" w:cs="Arial"/>
          <w:b/>
        </w:rPr>
        <w:t>ARZON</w:t>
      </w:r>
      <w:r w:rsidR="00FE24D6" w:rsidRPr="00747254">
        <w:rPr>
          <w:rFonts w:ascii="Arial" w:hAnsi="Arial" w:cs="Arial"/>
          <w:b/>
        </w:rPr>
        <w:tab/>
      </w:r>
      <w:r w:rsidR="00E42C76" w:rsidRPr="00747254">
        <w:rPr>
          <w:rFonts w:ascii="Arial" w:hAnsi="Arial" w:cs="Arial"/>
          <w:b/>
        </w:rPr>
        <w:t>MARÍA FERNANDA CARRASCAL ROJAS</w:t>
      </w:r>
    </w:p>
    <w:p w14:paraId="3807FE31" w14:textId="725714C6" w:rsidR="00E42C76" w:rsidRPr="00747254" w:rsidRDefault="00E42C76" w:rsidP="00747254">
      <w:pPr>
        <w:pStyle w:val="Sinespaciado"/>
        <w:rPr>
          <w:rFonts w:ascii="Arial" w:hAnsi="Arial" w:cs="Arial"/>
          <w:bCs/>
        </w:rPr>
      </w:pPr>
      <w:r w:rsidRPr="00747254">
        <w:rPr>
          <w:rFonts w:ascii="Arial" w:hAnsi="Arial" w:cs="Arial"/>
          <w:bCs/>
        </w:rPr>
        <w:t>Representante a la Cámara</w:t>
      </w:r>
      <w:r w:rsidR="00C631DC" w:rsidRPr="00747254">
        <w:rPr>
          <w:rFonts w:ascii="Arial" w:hAnsi="Arial" w:cs="Arial"/>
          <w:bCs/>
        </w:rPr>
        <w:t xml:space="preserve">    </w:t>
      </w:r>
      <w:r w:rsidR="00747254" w:rsidRPr="00747254">
        <w:rPr>
          <w:rFonts w:ascii="Arial" w:hAnsi="Arial" w:cs="Arial"/>
          <w:bCs/>
        </w:rPr>
        <w:tab/>
      </w:r>
      <w:r w:rsidR="00747254" w:rsidRPr="00747254">
        <w:rPr>
          <w:rFonts w:ascii="Arial" w:hAnsi="Arial" w:cs="Arial"/>
          <w:bCs/>
        </w:rPr>
        <w:tab/>
      </w:r>
      <w:r w:rsidRPr="00747254">
        <w:rPr>
          <w:rFonts w:ascii="Arial" w:hAnsi="Arial" w:cs="Arial"/>
          <w:bCs/>
        </w:rPr>
        <w:t>Representante a la Cámara</w:t>
      </w:r>
    </w:p>
    <w:p w14:paraId="4B3116E3" w14:textId="64D46649" w:rsidR="00F32281" w:rsidRPr="00747254" w:rsidRDefault="00F32281" w:rsidP="00747254">
      <w:pPr>
        <w:pStyle w:val="Sinespaciado"/>
        <w:rPr>
          <w:rFonts w:ascii="Arial" w:hAnsi="Arial" w:cs="Arial"/>
        </w:rPr>
      </w:pPr>
    </w:p>
    <w:p w14:paraId="4364EB9E" w14:textId="77777777" w:rsidR="00747254" w:rsidRPr="00747254" w:rsidRDefault="00747254" w:rsidP="00747254">
      <w:pPr>
        <w:pStyle w:val="Sinespaciado"/>
        <w:rPr>
          <w:rFonts w:ascii="Arial" w:hAnsi="Arial" w:cs="Arial"/>
        </w:rPr>
      </w:pPr>
    </w:p>
    <w:p w14:paraId="22961A18" w14:textId="488CA48B" w:rsidR="00F32281" w:rsidRPr="00747254" w:rsidRDefault="00C631DC" w:rsidP="00747254">
      <w:pPr>
        <w:pStyle w:val="Sinespaciado"/>
        <w:rPr>
          <w:rFonts w:ascii="Arial" w:hAnsi="Arial" w:cs="Arial"/>
        </w:rPr>
      </w:pPr>
      <w:r w:rsidRPr="00747254">
        <w:rPr>
          <w:rFonts w:ascii="Arial" w:hAnsi="Arial" w:cs="Arial"/>
        </w:rPr>
        <w:t xml:space="preserve"> </w:t>
      </w:r>
    </w:p>
    <w:p w14:paraId="2A63BC18" w14:textId="77777777" w:rsidR="00747254" w:rsidRDefault="00747254" w:rsidP="00747254">
      <w:pPr>
        <w:pStyle w:val="Sinespaciado"/>
        <w:rPr>
          <w:rFonts w:ascii="Arial" w:hAnsi="Arial" w:cs="Arial"/>
          <w:b/>
        </w:rPr>
      </w:pPr>
    </w:p>
    <w:p w14:paraId="0D75F8E5" w14:textId="77777777" w:rsidR="00747254" w:rsidRDefault="00747254" w:rsidP="00747254">
      <w:pPr>
        <w:pStyle w:val="Sinespaciado"/>
        <w:rPr>
          <w:rFonts w:ascii="Arial" w:hAnsi="Arial" w:cs="Arial"/>
          <w:b/>
        </w:rPr>
      </w:pPr>
    </w:p>
    <w:p w14:paraId="7373CF46" w14:textId="4F33B365" w:rsidR="00F32281" w:rsidRPr="00747254" w:rsidRDefault="00C631DC" w:rsidP="00747254">
      <w:pPr>
        <w:pStyle w:val="Sinespaciado"/>
        <w:rPr>
          <w:rFonts w:ascii="Arial" w:hAnsi="Arial" w:cs="Arial"/>
          <w:b/>
        </w:rPr>
      </w:pPr>
      <w:r w:rsidRPr="00747254">
        <w:rPr>
          <w:rFonts w:ascii="Arial" w:hAnsi="Arial" w:cs="Arial"/>
          <w:b/>
        </w:rPr>
        <w:t>JAIRO HUMBERTO CRISTO C</w:t>
      </w:r>
      <w:r w:rsidR="00BF07AD" w:rsidRPr="00747254">
        <w:rPr>
          <w:rFonts w:ascii="Arial" w:hAnsi="Arial" w:cs="Arial"/>
          <w:b/>
        </w:rPr>
        <w:t>ORREA</w:t>
      </w:r>
      <w:r w:rsidR="00747254" w:rsidRPr="00747254">
        <w:rPr>
          <w:rFonts w:ascii="Arial" w:hAnsi="Arial" w:cs="Arial"/>
          <w:b/>
        </w:rPr>
        <w:t xml:space="preserve"> </w:t>
      </w:r>
      <w:r w:rsidR="00BF07AD" w:rsidRPr="00747254">
        <w:rPr>
          <w:rFonts w:ascii="Arial" w:hAnsi="Arial" w:cs="Arial"/>
          <w:b/>
        </w:rPr>
        <w:tab/>
      </w:r>
      <w:r w:rsidRPr="00747254">
        <w:rPr>
          <w:rFonts w:ascii="Arial" w:hAnsi="Arial" w:cs="Arial"/>
          <w:b/>
        </w:rPr>
        <w:t>GERARDO YEPES CARO</w:t>
      </w:r>
    </w:p>
    <w:p w14:paraId="3CE3B85A" w14:textId="0C6048C5" w:rsidR="00F32281" w:rsidRPr="00747254" w:rsidRDefault="00BF07AD" w:rsidP="00747254">
      <w:pPr>
        <w:pStyle w:val="Sinespaciado"/>
        <w:rPr>
          <w:rFonts w:ascii="Arial" w:hAnsi="Arial" w:cs="Arial"/>
        </w:rPr>
      </w:pPr>
      <w:r w:rsidRPr="00747254">
        <w:rPr>
          <w:rFonts w:ascii="Arial" w:hAnsi="Arial" w:cs="Arial"/>
          <w:bCs/>
        </w:rPr>
        <w:t xml:space="preserve">Representante a la Cámara        </w:t>
      </w:r>
      <w:r w:rsidR="00C631DC" w:rsidRPr="00747254">
        <w:rPr>
          <w:rFonts w:ascii="Arial" w:hAnsi="Arial" w:cs="Arial"/>
        </w:rPr>
        <w:tab/>
      </w:r>
      <w:r w:rsidR="00C631DC" w:rsidRPr="00747254">
        <w:rPr>
          <w:rFonts w:ascii="Arial" w:hAnsi="Arial" w:cs="Arial"/>
        </w:rPr>
        <w:tab/>
        <w:t xml:space="preserve">Representante a la Cámara </w:t>
      </w:r>
    </w:p>
    <w:p w14:paraId="07241B5B" w14:textId="77777777" w:rsidR="00F32281" w:rsidRPr="00747254" w:rsidRDefault="00C631DC" w:rsidP="00747254">
      <w:pPr>
        <w:pStyle w:val="Sinespaciado"/>
        <w:rPr>
          <w:rFonts w:ascii="Arial" w:hAnsi="Arial" w:cs="Arial"/>
        </w:rPr>
      </w:pPr>
      <w:r w:rsidRPr="00747254">
        <w:rPr>
          <w:rFonts w:ascii="Arial" w:hAnsi="Arial" w:cs="Arial"/>
        </w:rPr>
        <w:t xml:space="preserve"> </w:t>
      </w:r>
    </w:p>
    <w:p w14:paraId="0F3A308D" w14:textId="77777777" w:rsidR="00F32281" w:rsidRDefault="00F32281">
      <w:pPr>
        <w:spacing w:before="240" w:after="0" w:line="288" w:lineRule="auto"/>
        <w:jc w:val="both"/>
        <w:rPr>
          <w:rFonts w:ascii="Arial" w:eastAsia="Arial" w:hAnsi="Arial" w:cs="Arial"/>
        </w:rPr>
      </w:pPr>
    </w:p>
    <w:p w14:paraId="4665576E" w14:textId="77777777" w:rsidR="00F32281" w:rsidRDefault="00C631DC">
      <w:pPr>
        <w:spacing w:before="240" w:after="0" w:line="288" w:lineRule="auto"/>
        <w:jc w:val="both"/>
        <w:rPr>
          <w:rFonts w:ascii="Arial" w:eastAsia="Arial" w:hAnsi="Arial" w:cs="Arial"/>
        </w:rPr>
      </w:pPr>
      <w:r>
        <w:rPr>
          <w:rFonts w:ascii="Arial" w:eastAsia="Arial" w:hAnsi="Arial" w:cs="Arial"/>
        </w:rPr>
        <w:t xml:space="preserve"> </w:t>
      </w:r>
    </w:p>
    <w:p w14:paraId="38D7F85E" w14:textId="77777777" w:rsidR="00F32281" w:rsidRDefault="00F32281">
      <w:pPr>
        <w:spacing w:before="240" w:after="0" w:line="288" w:lineRule="auto"/>
        <w:jc w:val="both"/>
        <w:rPr>
          <w:rFonts w:ascii="Arial" w:eastAsia="Arial" w:hAnsi="Arial" w:cs="Arial"/>
        </w:rPr>
      </w:pPr>
    </w:p>
    <w:p w14:paraId="50600D15" w14:textId="77777777" w:rsidR="00F32281" w:rsidRDefault="00C631DC">
      <w:pPr>
        <w:spacing w:after="0"/>
        <w:ind w:left="2160" w:firstLine="720"/>
        <w:jc w:val="center"/>
        <w:rPr>
          <w:rFonts w:ascii="Arial" w:eastAsia="Arial" w:hAnsi="Arial" w:cs="Arial"/>
          <w:color w:val="000000"/>
        </w:rPr>
      </w:pPr>
      <w:r>
        <w:rPr>
          <w:rFonts w:ascii="Arial" w:eastAsia="Arial" w:hAnsi="Arial" w:cs="Arial"/>
        </w:rPr>
        <w:tab/>
      </w:r>
      <w:r>
        <w:rPr>
          <w:rFonts w:ascii="Arial" w:eastAsia="Arial" w:hAnsi="Arial" w:cs="Arial"/>
        </w:rPr>
        <w:tab/>
      </w:r>
    </w:p>
    <w:sectPr w:rsidR="00F32281" w:rsidSect="00FE24D6">
      <w:headerReference w:type="default" r:id="rId7"/>
      <w:footerReference w:type="default" r:id="rId8"/>
      <w:pgSz w:w="12240" w:h="15840" w:code="1"/>
      <w:pgMar w:top="1701" w:right="1701" w:bottom="567" w:left="1701" w:header="624"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2A4E" w14:textId="77777777" w:rsidR="000E2CDA" w:rsidRDefault="000E2CDA">
      <w:pPr>
        <w:spacing w:after="0" w:line="240" w:lineRule="auto"/>
      </w:pPr>
      <w:r>
        <w:separator/>
      </w:r>
    </w:p>
  </w:endnote>
  <w:endnote w:type="continuationSeparator" w:id="0">
    <w:p w14:paraId="35422646" w14:textId="77777777" w:rsidR="000E2CDA" w:rsidRDefault="000E2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88B7E" w14:textId="77777777" w:rsidR="00F32281" w:rsidRDefault="00F32281">
    <w:pPr>
      <w:pBdr>
        <w:top w:val="nil"/>
        <w:left w:val="nil"/>
        <w:bottom w:val="nil"/>
        <w:right w:val="nil"/>
        <w:between w:val="nil"/>
      </w:pBdr>
      <w:tabs>
        <w:tab w:val="center" w:pos="4419"/>
        <w:tab w:val="right" w:pos="8838"/>
      </w:tabs>
      <w:spacing w:after="0" w:line="240" w:lineRule="auto"/>
      <w:jc w:val="right"/>
      <w:rPr>
        <w:color w:val="000000"/>
      </w:rPr>
    </w:pPr>
  </w:p>
  <w:p w14:paraId="484C3238" w14:textId="77777777" w:rsidR="00F32281" w:rsidRDefault="00F3228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A13F1" w14:textId="77777777" w:rsidR="000E2CDA" w:rsidRDefault="000E2CDA">
      <w:pPr>
        <w:spacing w:after="0" w:line="240" w:lineRule="auto"/>
      </w:pPr>
      <w:r>
        <w:separator/>
      </w:r>
    </w:p>
  </w:footnote>
  <w:footnote w:type="continuationSeparator" w:id="0">
    <w:p w14:paraId="449D4AD2" w14:textId="77777777" w:rsidR="000E2CDA" w:rsidRDefault="000E2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1C38A" w14:textId="77777777" w:rsidR="00F32281" w:rsidRDefault="00C631DC">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778F1F6" wp14:editId="45E71A8C">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281"/>
    <w:rsid w:val="000E2CDA"/>
    <w:rsid w:val="003F42DE"/>
    <w:rsid w:val="006322DE"/>
    <w:rsid w:val="00747254"/>
    <w:rsid w:val="007724C1"/>
    <w:rsid w:val="00980703"/>
    <w:rsid w:val="00BF07AD"/>
    <w:rsid w:val="00C13E2C"/>
    <w:rsid w:val="00C631DC"/>
    <w:rsid w:val="00D13635"/>
    <w:rsid w:val="00D22485"/>
    <w:rsid w:val="00E42C76"/>
    <w:rsid w:val="00E85DA5"/>
    <w:rsid w:val="00F32281"/>
    <w:rsid w:val="00FE24D6"/>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4047"/>
  <w15:docId w15:val="{C0757701-5B7F-4CEF-B546-BE46BE78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kmkRr+qBQFxp19cPVK5KHZeeUw==">AMUW2mVQjNHuovVW5jbsm+NuHmFbIIbAcJMaX0iNn/+jye60GCWhbBqIIRS9FNLven+1JFQHfGDd/ZKKDlOKQvxoUzTYYwVNRWbOyeKG7tS4FPFXMuJQ8apAViCgYS04DKsskRJL+azT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2</cp:revision>
  <dcterms:created xsi:type="dcterms:W3CDTF">2022-11-21T18:05:00Z</dcterms:created>
  <dcterms:modified xsi:type="dcterms:W3CDTF">2022-11-21T18:05:00Z</dcterms:modified>
</cp:coreProperties>
</file>