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70D07" w14:textId="01545D31" w:rsidR="00575216" w:rsidRDefault="00575216" w:rsidP="000D1F0E">
      <w:pPr>
        <w:jc w:val="both"/>
      </w:pPr>
      <w:bookmarkStart w:id="0" w:name="_GoBack"/>
      <w:bookmarkEnd w:id="0"/>
    </w:p>
    <w:p w14:paraId="1C87CBD0" w14:textId="20A2A815" w:rsidR="0056271E" w:rsidRDefault="0056271E" w:rsidP="000D1F0E">
      <w:pPr>
        <w:jc w:val="both"/>
      </w:pPr>
    </w:p>
    <w:p w14:paraId="13CE3614" w14:textId="77777777" w:rsidR="0031472F" w:rsidRPr="0031472F" w:rsidRDefault="0031472F" w:rsidP="00897ACA">
      <w:pPr>
        <w:jc w:val="center"/>
        <w:rPr>
          <w:rFonts w:ascii="Century Gothic" w:hAnsi="Century Gothic"/>
        </w:rPr>
      </w:pPr>
    </w:p>
    <w:p w14:paraId="03EE1934" w14:textId="77777777" w:rsidR="00214288" w:rsidRPr="00214288" w:rsidRDefault="00214288" w:rsidP="00897ACA">
      <w:pPr>
        <w:jc w:val="center"/>
        <w:rPr>
          <w:rFonts w:ascii="Century Gothic" w:hAnsi="Century Gothic"/>
          <w:lang w:val="es-ES_tradnl"/>
        </w:rPr>
      </w:pPr>
      <w:r w:rsidRPr="00214288">
        <w:rPr>
          <w:rFonts w:ascii="Century Gothic" w:hAnsi="Century Gothic"/>
          <w:b/>
          <w:lang w:val="es-ES_tradnl"/>
        </w:rPr>
        <w:t>INFORME DE PONENCIA PARA SEGUNDO DEBATE DEL PROYECTO DE LEY No. 157 DE 2022 CÁMARA</w:t>
      </w:r>
      <w:bookmarkStart w:id="1" w:name="_heading=h.gjdgxs" w:colFirst="0" w:colLast="0"/>
      <w:bookmarkEnd w:id="1"/>
    </w:p>
    <w:p w14:paraId="6049A4D3" w14:textId="77777777" w:rsidR="00214288" w:rsidRPr="00214288" w:rsidRDefault="00214288" w:rsidP="00897ACA">
      <w:pPr>
        <w:jc w:val="center"/>
        <w:rPr>
          <w:rFonts w:ascii="Century Gothic" w:hAnsi="Century Gothic"/>
          <w:lang w:val="es-ES_tradnl"/>
        </w:rPr>
      </w:pPr>
    </w:p>
    <w:p w14:paraId="044510B1" w14:textId="77777777" w:rsidR="00214288" w:rsidRPr="00214288" w:rsidRDefault="00214288" w:rsidP="00897ACA">
      <w:pPr>
        <w:jc w:val="center"/>
        <w:rPr>
          <w:rFonts w:ascii="Century Gothic" w:hAnsi="Century Gothic"/>
          <w:lang w:val="es-ES_tradnl"/>
        </w:rPr>
      </w:pPr>
      <w:r w:rsidRPr="00214288">
        <w:rPr>
          <w:rFonts w:ascii="Century Gothic" w:hAnsi="Century Gothic"/>
          <w:lang w:val="es-ES_tradnl"/>
        </w:rPr>
        <w:t>Bogotá, D. C., 24 de marzo de 2023</w:t>
      </w:r>
    </w:p>
    <w:p w14:paraId="689E0833" w14:textId="64FC9993" w:rsidR="00214288" w:rsidRPr="00214288" w:rsidRDefault="00214288" w:rsidP="00897ACA">
      <w:pPr>
        <w:jc w:val="center"/>
        <w:rPr>
          <w:rFonts w:ascii="Century Gothic" w:hAnsi="Century Gothic"/>
          <w:lang w:val="es-ES_tradnl"/>
        </w:rPr>
      </w:pPr>
    </w:p>
    <w:p w14:paraId="11AD8BAF" w14:textId="77777777" w:rsidR="00214288" w:rsidRPr="00214288" w:rsidRDefault="00214288" w:rsidP="00897ACA">
      <w:pPr>
        <w:jc w:val="center"/>
        <w:rPr>
          <w:rFonts w:ascii="Century Gothic" w:hAnsi="Century Gothic"/>
          <w:lang w:val="es-ES_tradnl"/>
        </w:rPr>
      </w:pPr>
      <w:r w:rsidRPr="00214288">
        <w:rPr>
          <w:rFonts w:ascii="Century Gothic" w:hAnsi="Century Gothic"/>
          <w:lang w:val="es-ES_tradnl"/>
        </w:rPr>
        <w:t>Presidente</w:t>
      </w:r>
    </w:p>
    <w:p w14:paraId="49D4756A" w14:textId="77777777" w:rsidR="00214288" w:rsidRPr="00214288" w:rsidRDefault="00214288" w:rsidP="00897ACA">
      <w:pPr>
        <w:jc w:val="center"/>
        <w:rPr>
          <w:rFonts w:ascii="Century Gothic" w:hAnsi="Century Gothic"/>
          <w:b/>
          <w:lang w:val="es-ES_tradnl"/>
        </w:rPr>
      </w:pPr>
      <w:r w:rsidRPr="00214288">
        <w:rPr>
          <w:rFonts w:ascii="Century Gothic" w:hAnsi="Century Gothic"/>
          <w:b/>
          <w:lang w:val="es-ES_tradnl"/>
        </w:rPr>
        <w:t>JUAN CARLOS WILLS.</w:t>
      </w:r>
    </w:p>
    <w:p w14:paraId="76A9503A" w14:textId="499C78F0" w:rsidR="00214288" w:rsidRPr="00214288" w:rsidRDefault="00214288" w:rsidP="00897ACA">
      <w:pPr>
        <w:jc w:val="center"/>
        <w:rPr>
          <w:rFonts w:ascii="Century Gothic" w:hAnsi="Century Gothic"/>
          <w:lang w:val="es-ES_tradnl"/>
        </w:rPr>
      </w:pPr>
      <w:r w:rsidRPr="00214288">
        <w:rPr>
          <w:rFonts w:ascii="Century Gothic" w:hAnsi="Century Gothic"/>
          <w:lang w:val="es-ES_tradnl"/>
        </w:rPr>
        <w:t>Comisión Primera Constitucional Permanente</w:t>
      </w:r>
    </w:p>
    <w:p w14:paraId="5877B06A" w14:textId="77777777" w:rsidR="00214288" w:rsidRPr="00214288" w:rsidRDefault="00214288" w:rsidP="00897ACA">
      <w:pPr>
        <w:jc w:val="center"/>
        <w:rPr>
          <w:rFonts w:ascii="Century Gothic" w:hAnsi="Century Gothic"/>
        </w:rPr>
      </w:pPr>
      <w:r w:rsidRPr="00214288">
        <w:rPr>
          <w:rFonts w:ascii="Century Gothic" w:hAnsi="Century Gothic"/>
          <w:lang w:val="es-ES_tradnl"/>
        </w:rPr>
        <w:t>Cámara de Representantes</w:t>
      </w:r>
    </w:p>
    <w:p w14:paraId="02B7A95B" w14:textId="77777777" w:rsidR="00214288" w:rsidRPr="00214288" w:rsidRDefault="00214288" w:rsidP="000D1F0E">
      <w:pPr>
        <w:jc w:val="both"/>
        <w:rPr>
          <w:rFonts w:ascii="Century Gothic" w:hAnsi="Century Gothic"/>
          <w:b/>
          <w:lang w:val="es-ES_tradnl"/>
        </w:rPr>
      </w:pPr>
    </w:p>
    <w:p w14:paraId="5AE8A92D" w14:textId="77777777" w:rsidR="00214288" w:rsidRPr="00214288" w:rsidRDefault="00214288" w:rsidP="000D1F0E">
      <w:pPr>
        <w:jc w:val="both"/>
        <w:rPr>
          <w:rFonts w:ascii="Century Gothic" w:hAnsi="Century Gothic"/>
          <w:i/>
        </w:rPr>
      </w:pPr>
      <w:r w:rsidRPr="00214288">
        <w:rPr>
          <w:rFonts w:ascii="Century Gothic" w:hAnsi="Century Gothic"/>
          <w:b/>
          <w:lang w:val="es-ES_tradnl"/>
        </w:rPr>
        <w:t xml:space="preserve">REFERENCIA: Informe de ponencia positiva para segundo debate del Proyecto de Ley No. 157 del 2022 Cámara, </w:t>
      </w:r>
      <w:r w:rsidRPr="00214288">
        <w:rPr>
          <w:rFonts w:ascii="Century Gothic" w:hAnsi="Century Gothic"/>
          <w:lang w:val="es-ES_tradnl"/>
        </w:rPr>
        <w:t>“</w:t>
      </w:r>
      <w:r w:rsidRPr="00214288">
        <w:rPr>
          <w:rFonts w:ascii="Century Gothic" w:hAnsi="Century Gothic"/>
          <w:i/>
        </w:rPr>
        <w:t>Por medio del cual se modifican los artículos 61 y 155 de la Ley 1448 de 2011, y se amplían los términos para declarar ante el Ministerio Público”.</w:t>
      </w:r>
    </w:p>
    <w:p w14:paraId="2AAF0821" w14:textId="77777777" w:rsidR="00214288" w:rsidRPr="00214288" w:rsidRDefault="00214288" w:rsidP="000D1F0E">
      <w:pPr>
        <w:jc w:val="both"/>
        <w:rPr>
          <w:rFonts w:ascii="Century Gothic" w:hAnsi="Century Gothic"/>
          <w:b/>
        </w:rPr>
      </w:pPr>
    </w:p>
    <w:p w14:paraId="17D7B03C" w14:textId="2371488B" w:rsidR="00214288" w:rsidRPr="00214288" w:rsidRDefault="00214288" w:rsidP="000D1F0E">
      <w:pPr>
        <w:jc w:val="both"/>
        <w:rPr>
          <w:rFonts w:ascii="Century Gothic" w:hAnsi="Century Gothic"/>
          <w:lang w:val="es-ES_tradnl"/>
        </w:rPr>
      </w:pPr>
      <w:r w:rsidRPr="00214288">
        <w:rPr>
          <w:rFonts w:ascii="Century Gothic" w:hAnsi="Century Gothic"/>
          <w:lang w:val="es-ES_tradnl"/>
        </w:rPr>
        <w:t xml:space="preserve">Honorable Señor </w:t>
      </w:r>
      <w:proofErr w:type="gramStart"/>
      <w:r w:rsidRPr="00214288">
        <w:rPr>
          <w:rFonts w:ascii="Century Gothic" w:hAnsi="Century Gothic"/>
          <w:lang w:val="es-ES_tradnl"/>
        </w:rPr>
        <w:t>Presidente</w:t>
      </w:r>
      <w:proofErr w:type="gramEnd"/>
      <w:r w:rsidR="00A43ED8">
        <w:rPr>
          <w:rFonts w:ascii="Century Gothic" w:hAnsi="Century Gothic"/>
          <w:lang w:val="es-ES_tradnl"/>
        </w:rPr>
        <w:t>:</w:t>
      </w:r>
    </w:p>
    <w:p w14:paraId="6FEC6793" w14:textId="77777777" w:rsidR="00214288" w:rsidRPr="00214288" w:rsidRDefault="00214288" w:rsidP="000D1F0E">
      <w:pPr>
        <w:jc w:val="both"/>
        <w:rPr>
          <w:rFonts w:ascii="Century Gothic" w:hAnsi="Century Gothic"/>
          <w:i/>
          <w:lang w:val="es-ES_tradnl"/>
        </w:rPr>
      </w:pPr>
      <w:r w:rsidRPr="00214288">
        <w:rPr>
          <w:rFonts w:ascii="Century Gothic" w:hAnsi="Century Gothic"/>
          <w:lang w:val="es-ES_tradnl"/>
        </w:rPr>
        <w:t xml:space="preserve">En cumplimiento de la designación hecha por la Mesa Directiva de la Comisión Primera Constitucional de la Cámara de Representantes y de acuerdo con las disposiciones contenidas en la Ley 5 de 1992, me permito rendir informe de ponencia para segundo debate del Proyecto de Ley número 157 de 2022 Cámara, </w:t>
      </w:r>
      <w:r w:rsidRPr="00214288">
        <w:rPr>
          <w:rFonts w:ascii="Century Gothic" w:hAnsi="Century Gothic"/>
          <w:i/>
          <w:lang w:val="es-ES_tradnl"/>
        </w:rPr>
        <w:t>“</w:t>
      </w:r>
      <w:r w:rsidRPr="00214288">
        <w:rPr>
          <w:rFonts w:ascii="Century Gothic" w:hAnsi="Century Gothic"/>
          <w:i/>
        </w:rPr>
        <w:t>Por medio del cual se modifican los artículos 61 y 155 de la Ley 1448 de 2011, y se amplían los términos para declarar ante el Ministerio Público”.</w:t>
      </w:r>
    </w:p>
    <w:p w14:paraId="530894C3" w14:textId="544AE000" w:rsidR="00214288" w:rsidRDefault="004C2FFC" w:rsidP="000D1F0E">
      <w:pPr>
        <w:jc w:val="both"/>
        <w:rPr>
          <w:rFonts w:ascii="Century Gothic" w:hAnsi="Century Gothic"/>
          <w:lang w:val="es-ES_tradnl"/>
        </w:rPr>
      </w:pPr>
      <w:r>
        <w:rPr>
          <w:rFonts w:ascii="Century Gothic" w:hAnsi="Century Gothic"/>
          <w:lang w:val="es-ES_tradnl"/>
        </w:rPr>
        <w:t>Atentamente</w:t>
      </w:r>
      <w:r w:rsidR="00214288" w:rsidRPr="00214288">
        <w:rPr>
          <w:rFonts w:ascii="Century Gothic" w:hAnsi="Century Gothic"/>
          <w:lang w:val="es-ES_tradnl"/>
        </w:rPr>
        <w:t>,</w:t>
      </w:r>
    </w:p>
    <w:p w14:paraId="6517920D" w14:textId="77777777" w:rsidR="004C2FFC" w:rsidRPr="00214288" w:rsidRDefault="004C2FFC" w:rsidP="000D1F0E">
      <w:pPr>
        <w:jc w:val="both"/>
        <w:rPr>
          <w:rFonts w:ascii="Century Gothic" w:hAnsi="Century Gothic"/>
          <w:lang w:val="es-ES_tradnl"/>
        </w:rPr>
      </w:pPr>
    </w:p>
    <w:p w14:paraId="0B3FD08A" w14:textId="77777777" w:rsidR="00214288" w:rsidRPr="00214288" w:rsidRDefault="00214288" w:rsidP="000D1F0E">
      <w:pPr>
        <w:jc w:val="both"/>
        <w:rPr>
          <w:rFonts w:ascii="Century Gothic" w:hAnsi="Century Gothic"/>
          <w:lang w:val="es-ES_tradnl"/>
        </w:rPr>
      </w:pPr>
    </w:p>
    <w:p w14:paraId="5C0D987E" w14:textId="77777777" w:rsidR="00214288" w:rsidRPr="00214288" w:rsidRDefault="00214288" w:rsidP="000D1F0E">
      <w:pPr>
        <w:jc w:val="both"/>
        <w:rPr>
          <w:rFonts w:ascii="Century Gothic" w:hAnsi="Century Gothic"/>
          <w:b/>
          <w:lang w:val="es-ES_tradnl"/>
        </w:rPr>
      </w:pPr>
      <w:r w:rsidRPr="00214288">
        <w:rPr>
          <w:rFonts w:ascii="Century Gothic" w:hAnsi="Century Gothic"/>
          <w:b/>
          <w:lang w:val="es-ES_tradnl"/>
        </w:rPr>
        <w:t>ORLANDO CASTILLO ADVINCULA.</w:t>
      </w:r>
    </w:p>
    <w:p w14:paraId="10A00DD7"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 xml:space="preserve">Representante a la Cámara </w:t>
      </w:r>
    </w:p>
    <w:p w14:paraId="673FB271"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CITREP No. 9, Pacífico Medio.</w:t>
      </w:r>
    </w:p>
    <w:p w14:paraId="11AD81E1" w14:textId="77777777" w:rsidR="00214288" w:rsidRPr="00214288" w:rsidRDefault="00214288" w:rsidP="000D1F0E">
      <w:pPr>
        <w:jc w:val="both"/>
        <w:rPr>
          <w:rFonts w:ascii="Century Gothic" w:hAnsi="Century Gothic"/>
          <w:b/>
          <w:u w:val="single"/>
        </w:rPr>
      </w:pPr>
    </w:p>
    <w:p w14:paraId="485C4CA2" w14:textId="77777777" w:rsidR="00214288" w:rsidRPr="00214288" w:rsidRDefault="00214288" w:rsidP="000D1F0E">
      <w:pPr>
        <w:jc w:val="both"/>
        <w:rPr>
          <w:rFonts w:ascii="Century Gothic" w:hAnsi="Century Gothic"/>
          <w:b/>
          <w:u w:val="single"/>
        </w:rPr>
      </w:pPr>
    </w:p>
    <w:p w14:paraId="0CF30914" w14:textId="77777777" w:rsidR="000D1F0E" w:rsidRDefault="000D1F0E" w:rsidP="000D1F0E">
      <w:pPr>
        <w:jc w:val="both"/>
        <w:rPr>
          <w:rFonts w:ascii="Century Gothic" w:hAnsi="Century Gothic"/>
          <w:b/>
          <w:u w:val="single"/>
        </w:rPr>
      </w:pPr>
    </w:p>
    <w:p w14:paraId="17F4D006" w14:textId="17C21D84" w:rsidR="00214288" w:rsidRPr="00214288" w:rsidRDefault="00214288" w:rsidP="000D1F0E">
      <w:pPr>
        <w:jc w:val="both"/>
        <w:rPr>
          <w:rFonts w:ascii="Century Gothic" w:hAnsi="Century Gothic"/>
          <w:b/>
          <w:u w:val="single"/>
        </w:rPr>
      </w:pPr>
      <w:r w:rsidRPr="00214288">
        <w:rPr>
          <w:rFonts w:ascii="Century Gothic" w:hAnsi="Century Gothic"/>
          <w:b/>
          <w:u w:val="single"/>
        </w:rPr>
        <w:t>CONSIDERACIONES GENERALES.</w:t>
      </w:r>
    </w:p>
    <w:p w14:paraId="25DD429C" w14:textId="77777777" w:rsidR="00214288" w:rsidRPr="00214288" w:rsidRDefault="00214288" w:rsidP="000D1F0E">
      <w:pPr>
        <w:jc w:val="both"/>
        <w:rPr>
          <w:rFonts w:ascii="Century Gothic" w:hAnsi="Century Gothic"/>
          <w:b/>
          <w:u w:val="single"/>
        </w:rPr>
      </w:pPr>
    </w:p>
    <w:p w14:paraId="345118A3" w14:textId="77777777" w:rsidR="00214288" w:rsidRPr="00214288" w:rsidRDefault="00214288" w:rsidP="000D1F0E">
      <w:pPr>
        <w:numPr>
          <w:ilvl w:val="0"/>
          <w:numId w:val="5"/>
        </w:numPr>
        <w:jc w:val="both"/>
        <w:rPr>
          <w:rFonts w:ascii="Century Gothic" w:hAnsi="Century Gothic"/>
          <w:b/>
        </w:rPr>
      </w:pPr>
      <w:r w:rsidRPr="00214288">
        <w:rPr>
          <w:rFonts w:ascii="Century Gothic" w:hAnsi="Century Gothic"/>
          <w:b/>
        </w:rPr>
        <w:t xml:space="preserve">INTRODUCCIÓN. </w:t>
      </w:r>
    </w:p>
    <w:p w14:paraId="5BC69F67" w14:textId="77777777" w:rsidR="00214288" w:rsidRPr="00214288" w:rsidRDefault="00214288" w:rsidP="000D1F0E">
      <w:pPr>
        <w:jc w:val="both"/>
        <w:rPr>
          <w:rFonts w:ascii="Century Gothic" w:hAnsi="Century Gothic"/>
          <w:bCs/>
        </w:rPr>
      </w:pPr>
      <w:r w:rsidRPr="00214288">
        <w:rPr>
          <w:rFonts w:ascii="Century Gothic" w:hAnsi="Century Gothic"/>
          <w:bCs/>
        </w:rPr>
        <w:t xml:space="preserve">El propósito principal de la presente iniciativa legislativa consiste en </w:t>
      </w:r>
      <w:r w:rsidRPr="00214288">
        <w:rPr>
          <w:rFonts w:ascii="Century Gothic" w:hAnsi="Century Gothic"/>
          <w:bCs/>
          <w:u w:val="single"/>
        </w:rPr>
        <w:t>ampliar el término</w:t>
      </w:r>
      <w:r w:rsidRPr="00214288">
        <w:rPr>
          <w:rFonts w:ascii="Century Gothic" w:hAnsi="Century Gothic"/>
          <w:bCs/>
        </w:rPr>
        <w:t xml:space="preserve"> para que las personas que se consideren víctimas del conflicto armado, en los términos del artículo 3 de la Ley 1448 de 2011 (en adelante Ley de Víctimas), puedan presentar su declaración ante el Ministerio Público. A su vez, se busca otorgar un término adicional y transitorio para que las personas que sufrieron hechos </w:t>
      </w:r>
      <w:proofErr w:type="spellStart"/>
      <w:r w:rsidRPr="00214288">
        <w:rPr>
          <w:rFonts w:ascii="Century Gothic" w:hAnsi="Century Gothic"/>
          <w:bCs/>
        </w:rPr>
        <w:t>victimizantes</w:t>
      </w:r>
      <w:proofErr w:type="spellEnd"/>
      <w:r w:rsidRPr="00214288">
        <w:rPr>
          <w:rFonts w:ascii="Century Gothic" w:hAnsi="Century Gothic"/>
          <w:bCs/>
        </w:rPr>
        <w:t xml:space="preserve"> con anterioridad a la promulgación de la Ley de Víctimas, cuyo plazo de declaración venció el 10 de junio de 2015, puedan hacerlo, en especial aquellas personas que no están cobijadas por circunstancias de caso fortuito o fuerza mayor.</w:t>
      </w:r>
    </w:p>
    <w:p w14:paraId="6DDE0EBA" w14:textId="77777777" w:rsidR="00214288" w:rsidRPr="00214288" w:rsidRDefault="00214288" w:rsidP="000D1F0E">
      <w:pPr>
        <w:jc w:val="both"/>
        <w:rPr>
          <w:rFonts w:ascii="Century Gothic" w:hAnsi="Century Gothic"/>
          <w:bCs/>
        </w:rPr>
      </w:pPr>
    </w:p>
    <w:p w14:paraId="7AE7ED61" w14:textId="77777777" w:rsidR="00214288" w:rsidRPr="00214288" w:rsidRDefault="00214288" w:rsidP="000D1F0E">
      <w:pPr>
        <w:numPr>
          <w:ilvl w:val="0"/>
          <w:numId w:val="4"/>
        </w:numPr>
        <w:jc w:val="both"/>
        <w:rPr>
          <w:rFonts w:ascii="Century Gothic" w:hAnsi="Century Gothic"/>
          <w:bCs/>
        </w:rPr>
      </w:pPr>
      <w:r w:rsidRPr="00214288">
        <w:rPr>
          <w:rFonts w:ascii="Century Gothic" w:hAnsi="Century Gothic"/>
          <w:bCs/>
        </w:rPr>
        <w:t xml:space="preserve">Frente al artículo 61 de la Ley 1448 de 2011, con el presente proyecto de Ley se busca que la persona víctima de desplazamiento forzado rinda su declaración ante cualquiera de las instituciones que integran el Ministerio Público dentro de los </w:t>
      </w:r>
      <w:r w:rsidRPr="00214288">
        <w:rPr>
          <w:rFonts w:ascii="Century Gothic" w:hAnsi="Century Gothic"/>
          <w:bCs/>
          <w:u w:val="single"/>
        </w:rPr>
        <w:t>tres (3) años</w:t>
      </w:r>
      <w:r w:rsidRPr="00214288">
        <w:rPr>
          <w:rFonts w:ascii="Century Gothic" w:hAnsi="Century Gothic"/>
          <w:bCs/>
        </w:rPr>
        <w:t xml:space="preserve"> siguientes a la ocurrencia del hecho, siempre y cuando estos hechos hubiesen ocurrido a partir del 1° de enero de 1985, y no se encuentre registrada en el Registro Único de Víctimas; actualmente, el plazo previsto es de dos (2) años. </w:t>
      </w:r>
    </w:p>
    <w:p w14:paraId="14563F87" w14:textId="77777777" w:rsidR="00214288" w:rsidRPr="00214288" w:rsidRDefault="00214288" w:rsidP="000D1F0E">
      <w:pPr>
        <w:jc w:val="both"/>
        <w:rPr>
          <w:rFonts w:ascii="Century Gothic" w:hAnsi="Century Gothic"/>
          <w:bCs/>
        </w:rPr>
      </w:pPr>
      <w:r w:rsidRPr="00214288">
        <w:rPr>
          <w:rFonts w:ascii="Century Gothic" w:hAnsi="Century Gothic"/>
          <w:bCs/>
        </w:rPr>
        <w:t xml:space="preserve">En adición, ampliar los plazos previstos en los parágrafos 1° y 2° a </w:t>
      </w:r>
      <w:r w:rsidRPr="00214288">
        <w:rPr>
          <w:rFonts w:ascii="Century Gothic" w:hAnsi="Century Gothic"/>
          <w:bCs/>
          <w:u w:val="single"/>
        </w:rPr>
        <w:t>tres (3) años</w:t>
      </w:r>
      <w:r w:rsidRPr="00214288">
        <w:rPr>
          <w:rFonts w:ascii="Century Gothic" w:hAnsi="Century Gothic"/>
          <w:bCs/>
        </w:rPr>
        <w:t xml:space="preserve">; actualmente el plazo previsto es de dos (2) años. </w:t>
      </w:r>
    </w:p>
    <w:p w14:paraId="028B201E" w14:textId="77777777" w:rsidR="00214288" w:rsidRPr="00214288" w:rsidRDefault="00214288" w:rsidP="000D1F0E">
      <w:pPr>
        <w:numPr>
          <w:ilvl w:val="0"/>
          <w:numId w:val="4"/>
        </w:numPr>
        <w:jc w:val="both"/>
        <w:rPr>
          <w:rFonts w:ascii="Century Gothic" w:hAnsi="Century Gothic"/>
          <w:bCs/>
          <w:u w:val="single"/>
        </w:rPr>
      </w:pPr>
      <w:r w:rsidRPr="00214288">
        <w:rPr>
          <w:rFonts w:ascii="Century Gothic" w:hAnsi="Century Gothic"/>
          <w:bCs/>
        </w:rPr>
        <w:t xml:space="preserve">Frente al artículo 155 de la Ley 1448 de 2011, con el presente proyecto de Ley se busca que las personas que hayan sido victimizadas con posterioridad a la vigencia de la Ley 1448 de 2011 rindan su declaración ante el Ministerio Público en un término de </w:t>
      </w:r>
      <w:r w:rsidRPr="00214288">
        <w:rPr>
          <w:rFonts w:ascii="Century Gothic" w:hAnsi="Century Gothic"/>
          <w:bCs/>
          <w:u w:val="single"/>
        </w:rPr>
        <w:t>tres (3) años;</w:t>
      </w:r>
      <w:r w:rsidRPr="00214288">
        <w:rPr>
          <w:rFonts w:ascii="Century Gothic" w:hAnsi="Century Gothic"/>
          <w:bCs/>
        </w:rPr>
        <w:t xml:space="preserve"> actualmente el plazo previsto es de dos (2) años.</w:t>
      </w:r>
    </w:p>
    <w:p w14:paraId="11FBF190" w14:textId="3F657E3D" w:rsidR="00214288" w:rsidRPr="00214288" w:rsidRDefault="00214288" w:rsidP="000D1F0E">
      <w:pPr>
        <w:jc w:val="both"/>
        <w:rPr>
          <w:rFonts w:ascii="Century Gothic" w:hAnsi="Century Gothic"/>
          <w:bCs/>
        </w:rPr>
      </w:pPr>
      <w:r w:rsidRPr="00214288">
        <w:rPr>
          <w:rFonts w:ascii="Century Gothic" w:hAnsi="Century Gothic"/>
          <w:bCs/>
        </w:rPr>
        <w:t>En adición, se propone incorporar un parágrafo transitorio, para que las personas que se consideren víctimas del conflicto armado, en los términos del artículo 3 de la Ley en comento, que hayan sido victimizadas con anterioridad a la</w:t>
      </w:r>
      <w:r w:rsidR="00135377">
        <w:rPr>
          <w:rFonts w:ascii="Century Gothic" w:hAnsi="Century Gothic"/>
          <w:bCs/>
        </w:rPr>
        <w:t xml:space="preserve"> </w:t>
      </w:r>
      <w:r w:rsidRPr="00214288">
        <w:rPr>
          <w:rFonts w:ascii="Century Gothic" w:hAnsi="Century Gothic"/>
          <w:bCs/>
        </w:rPr>
        <w:t xml:space="preserve">promulgación de la Ley 1448 de 2011, y no hayan rendido declaración ante el Ministerio Público, puedan hacerlo hasta el 8 de enero de 2025, </w:t>
      </w:r>
      <w:r w:rsidRPr="00214288">
        <w:rPr>
          <w:rFonts w:ascii="Century Gothic" w:hAnsi="Century Gothic"/>
        </w:rPr>
        <w:t>en concordancia con lo modificado por el artículo 2 de la Ley 2078 de 2021,</w:t>
      </w:r>
      <w:r w:rsidRPr="00214288">
        <w:rPr>
          <w:rFonts w:ascii="Century Gothic" w:hAnsi="Century Gothic"/>
          <w:i/>
        </w:rPr>
        <w:t xml:space="preserve"> </w:t>
      </w:r>
      <w:r w:rsidRPr="00214288">
        <w:rPr>
          <w:rFonts w:ascii="Century Gothic" w:hAnsi="Century Gothic"/>
          <w:bCs/>
          <w:i/>
        </w:rPr>
        <w:t>"Por medio de la cual se modifica la ley 1448 de 2011 y los Decretos Ley étnicos 4633 de 2011, 4634 de 2011y 4635 de 2011, prorrogando por 10 años su vigencia".</w:t>
      </w:r>
    </w:p>
    <w:p w14:paraId="096EE354" w14:textId="77777777" w:rsidR="00214288" w:rsidRPr="00214288" w:rsidRDefault="00214288" w:rsidP="000D1F0E">
      <w:pPr>
        <w:jc w:val="both"/>
        <w:rPr>
          <w:rFonts w:ascii="Century Gothic" w:hAnsi="Century Gothic"/>
          <w:bCs/>
        </w:rPr>
      </w:pPr>
    </w:p>
    <w:p w14:paraId="696348FA" w14:textId="77777777" w:rsidR="00135377" w:rsidRDefault="00135377" w:rsidP="000D1F0E">
      <w:pPr>
        <w:jc w:val="both"/>
        <w:rPr>
          <w:rFonts w:ascii="Century Gothic" w:hAnsi="Century Gothic"/>
          <w:bCs/>
        </w:rPr>
      </w:pPr>
    </w:p>
    <w:p w14:paraId="1407E277" w14:textId="77777777" w:rsidR="000D1F0E" w:rsidRDefault="000D1F0E" w:rsidP="000D1F0E">
      <w:pPr>
        <w:jc w:val="both"/>
        <w:rPr>
          <w:rFonts w:ascii="Century Gothic" w:hAnsi="Century Gothic"/>
          <w:bCs/>
        </w:rPr>
      </w:pPr>
    </w:p>
    <w:p w14:paraId="7E13C1F6" w14:textId="62AFF99D" w:rsidR="00214288" w:rsidRPr="00214288" w:rsidRDefault="00214288" w:rsidP="000D1F0E">
      <w:pPr>
        <w:jc w:val="both"/>
        <w:rPr>
          <w:rFonts w:ascii="Century Gothic" w:hAnsi="Century Gothic"/>
          <w:bCs/>
        </w:rPr>
      </w:pPr>
      <w:r w:rsidRPr="00214288">
        <w:rPr>
          <w:rFonts w:ascii="Century Gothic" w:hAnsi="Century Gothic"/>
          <w:bCs/>
        </w:rPr>
        <w:t>Cabe resaltar que la Ley 1448 de 2011 fue promulgada el 10 de junio de 2011.</w:t>
      </w:r>
    </w:p>
    <w:p w14:paraId="57050043" w14:textId="77777777" w:rsidR="00214288" w:rsidRPr="00214288" w:rsidRDefault="00214288" w:rsidP="000D1F0E">
      <w:pPr>
        <w:jc w:val="both"/>
        <w:rPr>
          <w:rFonts w:ascii="Century Gothic" w:hAnsi="Century Gothic"/>
          <w:bCs/>
        </w:rPr>
      </w:pPr>
    </w:p>
    <w:p w14:paraId="75E7FAF4" w14:textId="77777777" w:rsidR="00214288" w:rsidRPr="00214288" w:rsidRDefault="00214288" w:rsidP="000D1F0E">
      <w:pPr>
        <w:numPr>
          <w:ilvl w:val="0"/>
          <w:numId w:val="5"/>
        </w:numPr>
        <w:jc w:val="both"/>
        <w:rPr>
          <w:rFonts w:ascii="Century Gothic" w:hAnsi="Century Gothic"/>
          <w:b/>
          <w:bCs/>
        </w:rPr>
      </w:pPr>
      <w:r w:rsidRPr="00214288">
        <w:rPr>
          <w:rFonts w:ascii="Century Gothic" w:hAnsi="Century Gothic"/>
          <w:b/>
          <w:bCs/>
        </w:rPr>
        <w:t>TRÁMITE LEGISLATIVO.</w:t>
      </w:r>
    </w:p>
    <w:p w14:paraId="344C69E7" w14:textId="20F384BA" w:rsidR="00214288" w:rsidRPr="00214288" w:rsidRDefault="00214288" w:rsidP="000D1F0E">
      <w:pPr>
        <w:jc w:val="both"/>
        <w:rPr>
          <w:rFonts w:ascii="Century Gothic" w:hAnsi="Century Gothic"/>
        </w:rPr>
      </w:pPr>
      <w:r w:rsidRPr="00214288">
        <w:rPr>
          <w:rFonts w:ascii="Century Gothic" w:hAnsi="Century Gothic"/>
        </w:rPr>
        <w:t xml:space="preserve">La presente iniciativa legislativa fue radicada en la Cámara de Representantes, el 24 de agosto de 2022, y publicada en la Gaceta No. 1026 de 2022. De conformidad con la Ley 3 de 1992, y al tratar sobre la Ley de Víctimas fue asignada a la Comisión Primera Constitucional de la Cámara de Representantes. La Mesa Directiva de la Comisión designó al Honorable Representante por la CITREP No. 9, Orlando Castillo </w:t>
      </w:r>
      <w:proofErr w:type="spellStart"/>
      <w:r w:rsidRPr="00214288">
        <w:rPr>
          <w:rFonts w:ascii="Century Gothic" w:hAnsi="Century Gothic"/>
        </w:rPr>
        <w:t>Advincula</w:t>
      </w:r>
      <w:proofErr w:type="spellEnd"/>
      <w:r w:rsidRPr="00214288">
        <w:rPr>
          <w:rFonts w:ascii="Century Gothic" w:hAnsi="Century Gothic"/>
        </w:rPr>
        <w:t xml:space="preserve"> como ponente único para primer debate, quién rindió ponencia positiva sin modificaciones, la cual fue publicada en la Gaceta No. 1227 de 2022. </w:t>
      </w:r>
    </w:p>
    <w:p w14:paraId="57C0AE35" w14:textId="77777777" w:rsidR="00214288" w:rsidRPr="00214288" w:rsidRDefault="00214288" w:rsidP="000D1F0E">
      <w:pPr>
        <w:jc w:val="both"/>
        <w:rPr>
          <w:rFonts w:ascii="Century Gothic" w:hAnsi="Century Gothic"/>
        </w:rPr>
      </w:pPr>
      <w:r w:rsidRPr="00214288">
        <w:rPr>
          <w:rFonts w:ascii="Century Gothic" w:hAnsi="Century Gothic"/>
        </w:rPr>
        <w:t>El proyecto de Ley surtió su discusión y correspondiente votación para primer debate en la sesión del 29 de noviembre de 2022, de la Comisión Primera de la Cámara de Representantes, siendo aprobado -por unanimidad- con modificaciones por parte de sus miembros, como consta en el acta No. 31 de la comisión. Para segundo debate fue designado por la Mesa Directiva el mismo ponente.</w:t>
      </w:r>
    </w:p>
    <w:p w14:paraId="15E80FA2" w14:textId="77777777" w:rsidR="00214288" w:rsidRPr="00214288" w:rsidRDefault="00214288" w:rsidP="000D1F0E">
      <w:pPr>
        <w:jc w:val="both"/>
        <w:rPr>
          <w:rFonts w:ascii="Century Gothic" w:hAnsi="Century Gothic"/>
        </w:rPr>
      </w:pPr>
    </w:p>
    <w:p w14:paraId="02AC6E4E" w14:textId="77777777" w:rsidR="00214288" w:rsidRPr="00214288" w:rsidRDefault="00214288" w:rsidP="000D1F0E">
      <w:pPr>
        <w:numPr>
          <w:ilvl w:val="0"/>
          <w:numId w:val="5"/>
        </w:numPr>
        <w:jc w:val="both"/>
        <w:rPr>
          <w:rFonts w:ascii="Century Gothic" w:hAnsi="Century Gothic"/>
        </w:rPr>
      </w:pPr>
      <w:r w:rsidRPr="00214288">
        <w:rPr>
          <w:rFonts w:ascii="Century Gothic" w:hAnsi="Century Gothic"/>
          <w:b/>
        </w:rPr>
        <w:t xml:space="preserve">OBJETO DEL PROYECTO. </w:t>
      </w:r>
    </w:p>
    <w:p w14:paraId="501127E1" w14:textId="5BD648F2" w:rsidR="00214288" w:rsidRPr="00214288" w:rsidRDefault="00214288" w:rsidP="000D1F0E">
      <w:pPr>
        <w:jc w:val="both"/>
        <w:rPr>
          <w:rFonts w:ascii="Century Gothic" w:hAnsi="Century Gothic"/>
        </w:rPr>
      </w:pPr>
      <w:r w:rsidRPr="00214288">
        <w:rPr>
          <w:rFonts w:ascii="Century Gothic" w:hAnsi="Century Gothic"/>
        </w:rPr>
        <w:t xml:space="preserve">La presente Ley tiene por objeto ampliar los términos para que aquellas personas que se consideren víctimas del conflicto armado, dentro de lo establecido por la Ley 1448 de 2011 y que hayan sufrido hechos </w:t>
      </w:r>
      <w:proofErr w:type="spellStart"/>
      <w:r w:rsidRPr="00214288">
        <w:rPr>
          <w:rFonts w:ascii="Century Gothic" w:hAnsi="Century Gothic"/>
        </w:rPr>
        <w:t>victimizantes</w:t>
      </w:r>
      <w:proofErr w:type="spellEnd"/>
      <w:r w:rsidRPr="00214288">
        <w:rPr>
          <w:rFonts w:ascii="Century Gothic" w:hAnsi="Century Gothic"/>
        </w:rPr>
        <w:t xml:space="preserve"> con anterioridad y/o posterioridad a su promulgación puedan rendir su declaración ante el Ministerio Público, en concordancia con las modificaciones propuestas por la Ley 2078 de 2021.</w:t>
      </w:r>
    </w:p>
    <w:p w14:paraId="3D33C45F" w14:textId="693D6548" w:rsidR="00214288" w:rsidRPr="00214288" w:rsidRDefault="00214288" w:rsidP="000D1F0E">
      <w:pPr>
        <w:numPr>
          <w:ilvl w:val="0"/>
          <w:numId w:val="5"/>
        </w:numPr>
        <w:jc w:val="both"/>
        <w:rPr>
          <w:rFonts w:ascii="Century Gothic" w:hAnsi="Century Gothic"/>
          <w:b/>
        </w:rPr>
      </w:pPr>
      <w:r w:rsidRPr="00214288">
        <w:rPr>
          <w:rFonts w:ascii="Century Gothic" w:hAnsi="Century Gothic"/>
          <w:b/>
        </w:rPr>
        <w:t>ANTECEDENTES DEL PROYECTO DE LEY.</w:t>
      </w:r>
    </w:p>
    <w:p w14:paraId="78B3E5B4" w14:textId="77777777" w:rsidR="00214288" w:rsidRPr="00214288" w:rsidRDefault="00214288" w:rsidP="000D1F0E">
      <w:pPr>
        <w:jc w:val="both"/>
        <w:rPr>
          <w:rFonts w:ascii="Century Gothic" w:hAnsi="Century Gothic"/>
        </w:rPr>
      </w:pPr>
      <w:r w:rsidRPr="00214288">
        <w:rPr>
          <w:rFonts w:ascii="Century Gothic" w:hAnsi="Century Gothic"/>
        </w:rPr>
        <w:t>Como lo advierten los autores en la exposición de motivos, la Constitución Política de Colombia, en su artículo 13, nos manifiesta que todas las personas nacen libres e iguales ante la Ley, recibirán la misma protección y trato de las autoridades y gozarán de los mismos derechos, libertades y oportunidades sin ninguna discriminación por razones de sexo, raza, origen nacional, entre otras. El Estado promoverá las condiciones para que la igualdad sea real y efectiva, y adoptará medidas en favor de grupos marginados.</w:t>
      </w:r>
    </w:p>
    <w:p w14:paraId="51253BB3" w14:textId="77777777" w:rsidR="00135377" w:rsidRDefault="00135377" w:rsidP="000D1F0E">
      <w:pPr>
        <w:jc w:val="both"/>
        <w:rPr>
          <w:rFonts w:ascii="Century Gothic" w:hAnsi="Century Gothic"/>
        </w:rPr>
      </w:pPr>
    </w:p>
    <w:p w14:paraId="171D2077" w14:textId="77777777" w:rsidR="00135377" w:rsidRDefault="00135377" w:rsidP="000D1F0E">
      <w:pPr>
        <w:jc w:val="both"/>
        <w:rPr>
          <w:rFonts w:ascii="Century Gothic" w:hAnsi="Century Gothic"/>
        </w:rPr>
      </w:pPr>
    </w:p>
    <w:p w14:paraId="061280BA" w14:textId="77777777" w:rsidR="00135377" w:rsidRDefault="00135377" w:rsidP="000D1F0E">
      <w:pPr>
        <w:jc w:val="both"/>
        <w:rPr>
          <w:rFonts w:ascii="Century Gothic" w:hAnsi="Century Gothic"/>
        </w:rPr>
      </w:pPr>
    </w:p>
    <w:p w14:paraId="6E5945DC" w14:textId="77777777" w:rsidR="00135377" w:rsidRDefault="00135377" w:rsidP="000D1F0E">
      <w:pPr>
        <w:jc w:val="both"/>
        <w:rPr>
          <w:rFonts w:ascii="Century Gothic" w:hAnsi="Century Gothic"/>
        </w:rPr>
      </w:pPr>
    </w:p>
    <w:p w14:paraId="29375762" w14:textId="77777777" w:rsidR="000D1F0E" w:rsidRDefault="000D1F0E" w:rsidP="000D1F0E">
      <w:pPr>
        <w:jc w:val="both"/>
        <w:rPr>
          <w:rFonts w:ascii="Century Gothic" w:hAnsi="Century Gothic"/>
        </w:rPr>
      </w:pPr>
    </w:p>
    <w:p w14:paraId="56484DE7" w14:textId="0D87AE53" w:rsidR="00214288" w:rsidRPr="00214288" w:rsidRDefault="00214288" w:rsidP="000D1F0E">
      <w:pPr>
        <w:jc w:val="both"/>
        <w:rPr>
          <w:rFonts w:ascii="Century Gothic" w:hAnsi="Century Gothic"/>
        </w:rPr>
      </w:pPr>
      <w:r w:rsidRPr="00214288">
        <w:rPr>
          <w:rFonts w:ascii="Century Gothic" w:hAnsi="Century Gothic"/>
        </w:rPr>
        <w:t xml:space="preserve">Mediante la Ley 1448 de 2011 se les brindó a los grupos afectados por el conflicto armado una forma de poder expresar los hechos por los cuáles fueron víctimas y así el estado poder reparar los daños ocasionados, estableciendo así un conjunto de medidas judiciales, administrativas, sociales y económicas, individuales y colectivas, en beneficio de las víctimas, dentro de un marco de justicia transicional. </w:t>
      </w:r>
    </w:p>
    <w:p w14:paraId="52BE918C" w14:textId="31E4E049" w:rsidR="00214288" w:rsidRPr="00214288" w:rsidRDefault="00214288" w:rsidP="000D1F0E">
      <w:pPr>
        <w:jc w:val="both"/>
        <w:rPr>
          <w:rFonts w:ascii="Century Gothic" w:hAnsi="Century Gothic"/>
        </w:rPr>
      </w:pPr>
      <w:r w:rsidRPr="00214288">
        <w:rPr>
          <w:rFonts w:ascii="Century Gothic" w:hAnsi="Century Gothic"/>
        </w:rPr>
        <w:t>Con el presente proyecto de Ley, el autor busca poder ampliar los términos previstos en los artículos 61 y 155 de la Ley 1448 de 2011, para rendir declaración ante el Ministerio Público, teniendo en cuenta que:</w:t>
      </w:r>
    </w:p>
    <w:p w14:paraId="73E29879" w14:textId="77777777" w:rsidR="00214288" w:rsidRPr="00214288" w:rsidRDefault="00214288" w:rsidP="000D1F0E">
      <w:pPr>
        <w:numPr>
          <w:ilvl w:val="0"/>
          <w:numId w:val="8"/>
        </w:numPr>
        <w:jc w:val="both"/>
        <w:rPr>
          <w:rFonts w:ascii="Century Gothic" w:hAnsi="Century Gothic"/>
        </w:rPr>
      </w:pPr>
      <w:r w:rsidRPr="00214288">
        <w:rPr>
          <w:rFonts w:ascii="Century Gothic" w:hAnsi="Century Gothic"/>
        </w:rPr>
        <w:t xml:space="preserve">La persona víctima de </w:t>
      </w:r>
      <w:r w:rsidRPr="00214288">
        <w:rPr>
          <w:rFonts w:ascii="Century Gothic" w:hAnsi="Century Gothic"/>
          <w:b/>
        </w:rPr>
        <w:t xml:space="preserve">desplazamiento forzado </w:t>
      </w:r>
      <w:r w:rsidRPr="00214288">
        <w:rPr>
          <w:rFonts w:ascii="Century Gothic" w:hAnsi="Century Gothic"/>
        </w:rPr>
        <w:t xml:space="preserve">únicamente cuenta con dos (2) años posteriores al hecho que dio origen al desplazamiento, para rendir su declaración ante el Ministerio Público, siempre y cuando los hechos hubiesen ocurrido a partir del 1 de enero de 1985, y no esté incluida en el Registro Único de Víctimas, lo cual resulta ser un plazo </w:t>
      </w:r>
      <w:r w:rsidRPr="00214288">
        <w:rPr>
          <w:rFonts w:ascii="Century Gothic" w:hAnsi="Century Gothic"/>
          <w:b/>
        </w:rPr>
        <w:t>insuficiente</w:t>
      </w:r>
      <w:r w:rsidRPr="00214288">
        <w:rPr>
          <w:rFonts w:ascii="Century Gothic" w:hAnsi="Century Gothic"/>
        </w:rPr>
        <w:t xml:space="preserve">, debido a ser un hecho </w:t>
      </w:r>
      <w:proofErr w:type="spellStart"/>
      <w:r w:rsidRPr="00214288">
        <w:rPr>
          <w:rFonts w:ascii="Century Gothic" w:hAnsi="Century Gothic"/>
        </w:rPr>
        <w:t>victimizante</w:t>
      </w:r>
      <w:proofErr w:type="spellEnd"/>
      <w:r w:rsidRPr="00214288">
        <w:rPr>
          <w:rFonts w:ascii="Century Gothic" w:hAnsi="Century Gothic"/>
        </w:rPr>
        <w:t xml:space="preserve"> sujeto a un enfoque diferencial, con base en lo establecido en el artículo 13 ibidem. </w:t>
      </w:r>
    </w:p>
    <w:p w14:paraId="57005A62" w14:textId="77777777" w:rsidR="00214288" w:rsidRPr="00214288" w:rsidRDefault="00214288" w:rsidP="000D1F0E">
      <w:pPr>
        <w:jc w:val="both"/>
        <w:rPr>
          <w:rFonts w:ascii="Century Gothic" w:hAnsi="Century Gothic"/>
        </w:rPr>
      </w:pPr>
    </w:p>
    <w:p w14:paraId="43984854" w14:textId="77777777" w:rsidR="00214288" w:rsidRPr="00214288" w:rsidRDefault="00214288" w:rsidP="000D1F0E">
      <w:pPr>
        <w:numPr>
          <w:ilvl w:val="0"/>
          <w:numId w:val="8"/>
        </w:numPr>
        <w:jc w:val="both"/>
        <w:rPr>
          <w:rFonts w:ascii="Century Gothic" w:hAnsi="Century Gothic"/>
        </w:rPr>
      </w:pPr>
      <w:r w:rsidRPr="00214288">
        <w:rPr>
          <w:rFonts w:ascii="Century Gothic" w:hAnsi="Century Gothic"/>
        </w:rPr>
        <w:t>Las víctimas victimizadas con anterioridad al 10 de junio de 2011 tuvieron cuatro (4) años, contados a partir de dicha fecha en que se promulgó la Ley 1448 de 2011, para rendir su declaración ante el Ministerio Público. Es decir, hasta el 10 de junio de 2015.</w:t>
      </w:r>
    </w:p>
    <w:p w14:paraId="441B997B" w14:textId="77777777" w:rsidR="00214288" w:rsidRPr="00214288" w:rsidRDefault="00214288" w:rsidP="000D1F0E">
      <w:pPr>
        <w:jc w:val="both"/>
        <w:rPr>
          <w:rFonts w:ascii="Century Gothic" w:hAnsi="Century Gothic"/>
        </w:rPr>
      </w:pPr>
    </w:p>
    <w:p w14:paraId="71DBCACA" w14:textId="77777777" w:rsidR="00214288" w:rsidRPr="00214288" w:rsidRDefault="00214288" w:rsidP="000D1F0E">
      <w:pPr>
        <w:numPr>
          <w:ilvl w:val="0"/>
          <w:numId w:val="8"/>
        </w:numPr>
        <w:jc w:val="both"/>
        <w:rPr>
          <w:rFonts w:ascii="Century Gothic" w:hAnsi="Century Gothic"/>
        </w:rPr>
      </w:pPr>
      <w:r w:rsidRPr="00214288">
        <w:rPr>
          <w:rFonts w:ascii="Century Gothic" w:hAnsi="Century Gothic"/>
        </w:rPr>
        <w:t xml:space="preserve">Las víctimas victimizadas con posterioridad a la vigencia de la Ley 1448 de 2011, es decir, 10 de junio de 2011, únicamente cuentan con dos (2) años contados a partir de la ocurrencia del hecho </w:t>
      </w:r>
      <w:proofErr w:type="spellStart"/>
      <w:r w:rsidRPr="00214288">
        <w:rPr>
          <w:rFonts w:ascii="Century Gothic" w:hAnsi="Century Gothic"/>
        </w:rPr>
        <w:t>victimizante</w:t>
      </w:r>
      <w:proofErr w:type="spellEnd"/>
      <w:r w:rsidRPr="00214288">
        <w:rPr>
          <w:rFonts w:ascii="Century Gothic" w:hAnsi="Century Gothic"/>
        </w:rPr>
        <w:t>, para rendir su declaración ante el Ministerio Público.</w:t>
      </w:r>
    </w:p>
    <w:p w14:paraId="4238006B" w14:textId="347D0EA3" w:rsidR="00214288" w:rsidRPr="00214288" w:rsidRDefault="00214288" w:rsidP="000D1F0E">
      <w:pPr>
        <w:jc w:val="both"/>
        <w:rPr>
          <w:rFonts w:ascii="Century Gothic" w:hAnsi="Century Gothic"/>
        </w:rPr>
      </w:pPr>
      <w:r w:rsidRPr="00214288">
        <w:rPr>
          <w:rFonts w:ascii="Century Gothic" w:hAnsi="Century Gothic"/>
        </w:rPr>
        <w:t xml:space="preserve">Con la presente iniciativa legislativa, el término legal para poder rendir declaración ante el Ministerio Público, por el hecho </w:t>
      </w:r>
      <w:proofErr w:type="spellStart"/>
      <w:r w:rsidRPr="00214288">
        <w:rPr>
          <w:rFonts w:ascii="Century Gothic" w:hAnsi="Century Gothic"/>
        </w:rPr>
        <w:t>victimizante</w:t>
      </w:r>
      <w:proofErr w:type="spellEnd"/>
      <w:r w:rsidRPr="00214288">
        <w:rPr>
          <w:rFonts w:ascii="Century Gothic" w:hAnsi="Century Gothic"/>
        </w:rPr>
        <w:t xml:space="preserve"> de desplazamiento forzado y por aquellos hechos </w:t>
      </w:r>
      <w:proofErr w:type="spellStart"/>
      <w:r w:rsidRPr="00214288">
        <w:rPr>
          <w:rFonts w:ascii="Century Gothic" w:hAnsi="Century Gothic"/>
        </w:rPr>
        <w:t>victimizantes</w:t>
      </w:r>
      <w:proofErr w:type="spellEnd"/>
      <w:r w:rsidRPr="00214288">
        <w:rPr>
          <w:rFonts w:ascii="Century Gothic" w:hAnsi="Century Gothic"/>
        </w:rPr>
        <w:t xml:space="preserve"> ocurridos con posterioridad a la promulgación y vigencia de la Ley en mención quedaría </w:t>
      </w:r>
      <w:r w:rsidRPr="00214288">
        <w:rPr>
          <w:rFonts w:ascii="Century Gothic" w:hAnsi="Century Gothic"/>
          <w:u w:val="single"/>
        </w:rPr>
        <w:t>de tres (3) años,</w:t>
      </w:r>
      <w:r w:rsidRPr="00214288">
        <w:rPr>
          <w:rFonts w:ascii="Century Gothic" w:hAnsi="Century Gothic"/>
        </w:rPr>
        <w:t xml:space="preserve"> y se otorgaría un plazo adicional -y transitorio- </w:t>
      </w:r>
      <w:r w:rsidRPr="00214288">
        <w:rPr>
          <w:rFonts w:ascii="Century Gothic" w:hAnsi="Century Gothic"/>
          <w:bCs/>
        </w:rPr>
        <w:t>para que las víctimas que hayan sido victimizadas con anterioridad a la promulgación de la Ley 1448 de 2011, y no hayan rendido declaración ante el Ministerio Público, puedan hacerlo, hasta enero de 2023.</w:t>
      </w:r>
      <w:r w:rsidRPr="00214288">
        <w:rPr>
          <w:rFonts w:ascii="Century Gothic" w:hAnsi="Century Gothic"/>
        </w:rPr>
        <w:t xml:space="preserve"> Con ella, se busca que las víctimas puedan ejercer su derecho a rendir declaración ante el Ministerio Público, sobre las diferentes situaciones y hechos violentos que vivieron a raíz del conflicto armado que se registra en múltiples territorios del país, perpetrados por diferentes actores. </w:t>
      </w:r>
    </w:p>
    <w:p w14:paraId="06EC592F" w14:textId="77777777" w:rsidR="00F66E37" w:rsidRDefault="00F66E37" w:rsidP="000D1F0E">
      <w:pPr>
        <w:jc w:val="both"/>
        <w:rPr>
          <w:rFonts w:ascii="Century Gothic" w:hAnsi="Century Gothic"/>
        </w:rPr>
      </w:pPr>
    </w:p>
    <w:p w14:paraId="335B9ECF" w14:textId="77777777" w:rsidR="00F66E37" w:rsidRDefault="00F66E37" w:rsidP="000D1F0E">
      <w:pPr>
        <w:jc w:val="both"/>
        <w:rPr>
          <w:rFonts w:ascii="Century Gothic" w:hAnsi="Century Gothic"/>
        </w:rPr>
      </w:pPr>
    </w:p>
    <w:p w14:paraId="27546091" w14:textId="77777777" w:rsidR="000D1F0E" w:rsidRDefault="000D1F0E" w:rsidP="000D1F0E">
      <w:pPr>
        <w:jc w:val="both"/>
        <w:rPr>
          <w:rFonts w:ascii="Century Gothic" w:hAnsi="Century Gothic"/>
        </w:rPr>
      </w:pPr>
    </w:p>
    <w:p w14:paraId="15A2C0DA" w14:textId="4B200B0A" w:rsidR="00214288" w:rsidRPr="00214288" w:rsidRDefault="00214288" w:rsidP="000D1F0E">
      <w:pPr>
        <w:jc w:val="both"/>
        <w:rPr>
          <w:rFonts w:ascii="Century Gothic" w:hAnsi="Century Gothic"/>
        </w:rPr>
      </w:pPr>
      <w:r w:rsidRPr="00214288">
        <w:rPr>
          <w:rFonts w:ascii="Century Gothic" w:hAnsi="Century Gothic"/>
        </w:rPr>
        <w:t>Se quiere lograr determinar la responsabilidad del Estado en crear las condiciones necesarias para que las víctimas puedan acceder a ser escuchadas y garantizar este derecho a todos los colombianos que han pasado por esta situación de vulnerabilidad, y puedan vivir dignamente. La realización plena de este derecho es una herramienta para cumplir los fines y propósitos de un Estado democrático.</w:t>
      </w:r>
    </w:p>
    <w:p w14:paraId="1AA5C397" w14:textId="77777777" w:rsidR="00214288" w:rsidRPr="00214288" w:rsidRDefault="00214288" w:rsidP="000D1F0E">
      <w:pPr>
        <w:jc w:val="both"/>
        <w:rPr>
          <w:rFonts w:ascii="Century Gothic" w:hAnsi="Century Gothic"/>
        </w:rPr>
      </w:pPr>
      <w:r w:rsidRPr="00214288">
        <w:rPr>
          <w:rFonts w:ascii="Century Gothic" w:hAnsi="Century Gothic"/>
        </w:rPr>
        <w:t>Con la prórroga de la Ley 1448 de 2011, materializada mediante la Ley 2078 de 2021, resultaría moderado y equitativo ampliar el plazo para que las personas víctimas del desplazamiento forzado y/o que se consideren víctimas del conflicto armado dentro de lo establecido en la Ley 1448 de 2011, -y que no hayan declarado- puedan rendir su declaración ante el Ministerio Público en un término proporcional y razonable, pues, por un lado, los términos vigentes resultan insuficientes y, por otro, están condicionados a una situación particular en el tiempo que no está cobijada por la norma prorrogada.</w:t>
      </w:r>
    </w:p>
    <w:p w14:paraId="644D3E83" w14:textId="77777777" w:rsidR="00214288" w:rsidRPr="00214288" w:rsidRDefault="00214288" w:rsidP="000D1F0E">
      <w:pPr>
        <w:jc w:val="both"/>
        <w:rPr>
          <w:rFonts w:ascii="Century Gothic" w:hAnsi="Century Gothic"/>
        </w:rPr>
      </w:pPr>
    </w:p>
    <w:p w14:paraId="02640C73" w14:textId="77777777" w:rsidR="00214288" w:rsidRPr="00214288" w:rsidRDefault="00214288" w:rsidP="000D1F0E">
      <w:pPr>
        <w:numPr>
          <w:ilvl w:val="0"/>
          <w:numId w:val="5"/>
        </w:numPr>
        <w:jc w:val="both"/>
        <w:rPr>
          <w:rFonts w:ascii="Century Gothic" w:hAnsi="Century Gothic"/>
          <w:b/>
        </w:rPr>
      </w:pPr>
      <w:r w:rsidRPr="00214288">
        <w:rPr>
          <w:rFonts w:ascii="Century Gothic" w:hAnsi="Century Gothic"/>
          <w:b/>
        </w:rPr>
        <w:t>JUSTIFICACIÓN.</w:t>
      </w:r>
    </w:p>
    <w:p w14:paraId="14E8B02C" w14:textId="158E6705" w:rsidR="00214288" w:rsidRPr="00214288" w:rsidRDefault="00214288" w:rsidP="000D1F0E">
      <w:pPr>
        <w:jc w:val="both"/>
        <w:rPr>
          <w:rFonts w:ascii="Century Gothic" w:hAnsi="Century Gothic"/>
        </w:rPr>
      </w:pPr>
      <w:r w:rsidRPr="00214288">
        <w:rPr>
          <w:rFonts w:ascii="Century Gothic" w:hAnsi="Century Gothic"/>
        </w:rPr>
        <w:t>El conflicto armado en Colombia se da desde el año de 1960</w:t>
      </w:r>
      <w:r w:rsidRPr="00214288">
        <w:rPr>
          <w:rFonts w:ascii="Arial" w:hAnsi="Arial" w:cs="Arial"/>
        </w:rPr>
        <w:t>​</w:t>
      </w:r>
      <w:r w:rsidRPr="00214288">
        <w:rPr>
          <w:rFonts w:ascii="Century Gothic" w:hAnsi="Century Gothic"/>
        </w:rPr>
        <w:t xml:space="preserve"> y se extiende hasta la actualidad. Los principales actores involucrados han sido el Estado colombiano, las guerrillas de extrema izquierda y los grupos paramilitares de extrema derecha. A estos se le han sumado los carteles del narcotráfico, las llamadas bandas criminales (</w:t>
      </w:r>
      <w:proofErr w:type="spellStart"/>
      <w:r w:rsidRPr="00214288">
        <w:rPr>
          <w:rFonts w:ascii="Century Gothic" w:hAnsi="Century Gothic"/>
        </w:rPr>
        <w:t>Bacrim</w:t>
      </w:r>
      <w:proofErr w:type="spellEnd"/>
      <w:r w:rsidRPr="00214288">
        <w:rPr>
          <w:rFonts w:ascii="Century Gothic" w:hAnsi="Century Gothic"/>
        </w:rPr>
        <w:t>), y Grupos Armados Organizados (GAO).</w:t>
      </w:r>
    </w:p>
    <w:p w14:paraId="571ADF0A" w14:textId="77777777" w:rsidR="00214288" w:rsidRPr="00214288" w:rsidRDefault="00214288" w:rsidP="000D1F0E">
      <w:pPr>
        <w:jc w:val="both"/>
        <w:rPr>
          <w:rFonts w:ascii="Century Gothic" w:hAnsi="Century Gothic"/>
        </w:rPr>
      </w:pPr>
      <w:r w:rsidRPr="00214288">
        <w:rPr>
          <w:rFonts w:ascii="Century Gothic" w:hAnsi="Century Gothic"/>
        </w:rPr>
        <w:t>El conflicto armado interno colombiano ha generado miles de muertos, lisiados, secuestrados, desaparecidos y afectados por diferentes acciones violentas generando una crisis de desplazamiento forzado. Colombia es clasificado como uno de los países más violentos del mundo</w:t>
      </w:r>
      <w:r w:rsidRPr="00214288">
        <w:rPr>
          <w:rFonts w:ascii="Century Gothic" w:hAnsi="Century Gothic"/>
          <w:vertAlign w:val="superscript"/>
        </w:rPr>
        <w:t xml:space="preserve"> </w:t>
      </w:r>
      <w:r w:rsidRPr="00214288">
        <w:rPr>
          <w:rFonts w:ascii="Century Gothic" w:hAnsi="Century Gothic"/>
        </w:rPr>
        <w:t>y uno de los más afectados por el </w:t>
      </w:r>
      <w:hyperlink r:id="rId7" w:tooltip="Narcotráfico en Colombia" w:history="1">
        <w:r w:rsidRPr="00214288">
          <w:rPr>
            <w:rStyle w:val="Hipervnculo"/>
            <w:rFonts w:ascii="Century Gothic" w:hAnsi="Century Gothic"/>
          </w:rPr>
          <w:t>narcotráfico</w:t>
        </w:r>
      </w:hyperlink>
      <w:r w:rsidRPr="00214288">
        <w:rPr>
          <w:rFonts w:ascii="Century Gothic" w:hAnsi="Century Gothic"/>
        </w:rPr>
        <w:t>.</w:t>
      </w:r>
      <w:r w:rsidRPr="00214288">
        <w:rPr>
          <w:rFonts w:ascii="Arial" w:hAnsi="Arial" w:cs="Arial"/>
        </w:rPr>
        <w:t>​</w:t>
      </w:r>
      <w:r w:rsidRPr="00214288">
        <w:rPr>
          <w:rFonts w:ascii="Century Gothic" w:hAnsi="Century Gothic"/>
        </w:rPr>
        <w:t xml:space="preserve"> Desde 1960 se han registrado innumerables combates, asaltos,</w:t>
      </w:r>
      <w:r w:rsidRPr="00214288">
        <w:rPr>
          <w:rFonts w:ascii="Century Gothic" w:hAnsi="Century Gothic" w:cs="Century Gothic"/>
        </w:rPr>
        <w:t> </w:t>
      </w:r>
      <w:hyperlink r:id="rId8" w:tooltip="Tomas Guerrilleras en Colombia" w:history="1">
        <w:r w:rsidRPr="00214288">
          <w:rPr>
            <w:rStyle w:val="Hipervnculo"/>
            <w:rFonts w:ascii="Century Gothic" w:hAnsi="Century Gothic"/>
          </w:rPr>
          <w:t>tomas guerrilleras</w:t>
        </w:r>
      </w:hyperlink>
      <w:r w:rsidRPr="00214288">
        <w:rPr>
          <w:rFonts w:ascii="Century Gothic" w:hAnsi="Century Gothic"/>
        </w:rPr>
        <w:t>, incursiones armadas, </w:t>
      </w:r>
      <w:hyperlink r:id="rId9" w:tooltip="Desaparición forzada en Colombia" w:history="1">
        <w:r w:rsidRPr="00214288">
          <w:rPr>
            <w:rStyle w:val="Hipervnculo"/>
            <w:rFonts w:ascii="Century Gothic" w:hAnsi="Century Gothic"/>
          </w:rPr>
          <w:t>desapariciones forzadas</w:t>
        </w:r>
      </w:hyperlink>
      <w:r w:rsidRPr="00214288">
        <w:rPr>
          <w:rFonts w:ascii="Century Gothic" w:hAnsi="Century Gothic"/>
        </w:rPr>
        <w:t>.</w:t>
      </w:r>
    </w:p>
    <w:p w14:paraId="305510F2" w14:textId="77777777" w:rsidR="00214288" w:rsidRPr="00214288" w:rsidRDefault="00214288" w:rsidP="000D1F0E">
      <w:pPr>
        <w:jc w:val="both"/>
        <w:rPr>
          <w:rFonts w:ascii="Century Gothic" w:hAnsi="Century Gothic"/>
        </w:rPr>
      </w:pPr>
      <w:r w:rsidRPr="00214288">
        <w:rPr>
          <w:rFonts w:ascii="Century Gothic" w:hAnsi="Century Gothic"/>
        </w:rPr>
        <w:t>Es en el año 2011 que nace la Ley de Víctimas y Restitución de Tierras (Ley 1448 de 2011), y se reconoce la existencia de un conflicto armado interno.</w:t>
      </w:r>
    </w:p>
    <w:p w14:paraId="715CAB29" w14:textId="77777777" w:rsidR="00214288" w:rsidRPr="00214288" w:rsidRDefault="00214288" w:rsidP="000D1F0E">
      <w:pPr>
        <w:jc w:val="both"/>
        <w:rPr>
          <w:rFonts w:ascii="Century Gothic" w:hAnsi="Century Gothic"/>
        </w:rPr>
      </w:pPr>
      <w:r w:rsidRPr="00214288">
        <w:rPr>
          <w:rFonts w:ascii="Century Gothic" w:hAnsi="Century Gothic"/>
        </w:rPr>
        <w:t>Por consiguiente, se hace importante determinar el principio de igualdad como un mandato que comprende, entre otras, el dar el mismo trato a situaciones de hecho idénticas, donde La Corte Constitucional ha caracterizado los derechos de las víctimas como un subconjunto dentro de los derechos fundamentales que (i) comportan obligaciones para el Estado y los particulares; (</w:t>
      </w:r>
      <w:proofErr w:type="spellStart"/>
      <w:r w:rsidRPr="00214288">
        <w:rPr>
          <w:rFonts w:ascii="Century Gothic" w:hAnsi="Century Gothic"/>
        </w:rPr>
        <w:t>ii</w:t>
      </w:r>
      <w:proofErr w:type="spellEnd"/>
      <w:r w:rsidRPr="00214288">
        <w:rPr>
          <w:rFonts w:ascii="Century Gothic" w:hAnsi="Century Gothic"/>
        </w:rPr>
        <w:t>) tienen un contenido complejo, cuyo conocimiento es esencial, con miras al diseño de las garantías necesarias para su eficacia (…) y son indivisibles, pues su materialización es una exigencia de la dignidad humana.</w:t>
      </w:r>
    </w:p>
    <w:p w14:paraId="0B1F30B2" w14:textId="77777777" w:rsidR="00214288" w:rsidRPr="00214288" w:rsidRDefault="00214288" w:rsidP="000D1F0E">
      <w:pPr>
        <w:jc w:val="both"/>
        <w:rPr>
          <w:rFonts w:ascii="Century Gothic" w:hAnsi="Century Gothic"/>
        </w:rPr>
      </w:pPr>
    </w:p>
    <w:p w14:paraId="782085C2" w14:textId="77777777" w:rsidR="00AE2338" w:rsidRDefault="00AE2338" w:rsidP="000D1F0E">
      <w:pPr>
        <w:jc w:val="both"/>
        <w:rPr>
          <w:rFonts w:ascii="Century Gothic" w:hAnsi="Century Gothic"/>
        </w:rPr>
      </w:pPr>
    </w:p>
    <w:p w14:paraId="44E67234" w14:textId="77777777" w:rsidR="00AE2338" w:rsidRDefault="00AE2338" w:rsidP="000D1F0E">
      <w:pPr>
        <w:jc w:val="both"/>
        <w:rPr>
          <w:rFonts w:ascii="Century Gothic" w:hAnsi="Century Gothic"/>
        </w:rPr>
      </w:pPr>
    </w:p>
    <w:p w14:paraId="469BC640" w14:textId="12B856CB" w:rsidR="00214288" w:rsidRPr="00214288" w:rsidRDefault="00214288" w:rsidP="000D1F0E">
      <w:pPr>
        <w:jc w:val="both"/>
        <w:rPr>
          <w:rFonts w:ascii="Century Gothic" w:hAnsi="Century Gothic"/>
          <w:b/>
          <w:bCs/>
          <w:i/>
          <w:iCs/>
        </w:rPr>
      </w:pPr>
      <w:r w:rsidRPr="00214288">
        <w:rPr>
          <w:rFonts w:ascii="Century Gothic" w:hAnsi="Century Gothic"/>
        </w:rPr>
        <w:t xml:space="preserve">A su vez, el Máximo Órgano Constitucional ha indicado, frente a los derechos de las víctimas y los deberes que les son correlativos, y del contenido del mandato de protección de las víctimas que: </w:t>
      </w:r>
      <w:r w:rsidRPr="00214288">
        <w:rPr>
          <w:rFonts w:ascii="Century Gothic" w:hAnsi="Century Gothic"/>
          <w:i/>
          <w:iCs/>
        </w:rPr>
        <w:t>“(i) un derecho a que el Estado adopte normas que precisen el alcance de los derechos a la verdad, a la justicia, y a la reparación, así como las condiciones que permiten su exigibilidad, (</w:t>
      </w:r>
      <w:proofErr w:type="spellStart"/>
      <w:r w:rsidRPr="00214288">
        <w:rPr>
          <w:rFonts w:ascii="Century Gothic" w:hAnsi="Century Gothic"/>
          <w:i/>
          <w:iCs/>
        </w:rPr>
        <w:t>ii</w:t>
      </w:r>
      <w:proofErr w:type="spellEnd"/>
      <w:r w:rsidRPr="00214288">
        <w:rPr>
          <w:rFonts w:ascii="Century Gothic" w:hAnsi="Century Gothic"/>
          <w:i/>
          <w:iCs/>
        </w:rPr>
        <w:t>) un derecho a que el Estado adopte normas que establezcan las condiciones para la investigación, juzgamiento y sanción de los responsables y hagan posible la búsqueda de la verdad; (</w:t>
      </w:r>
      <w:proofErr w:type="spellStart"/>
      <w:r w:rsidRPr="00214288">
        <w:rPr>
          <w:rFonts w:ascii="Century Gothic" w:hAnsi="Century Gothic"/>
          <w:i/>
          <w:iCs/>
        </w:rPr>
        <w:t>iii</w:t>
      </w:r>
      <w:proofErr w:type="spellEnd"/>
      <w:r w:rsidRPr="00214288">
        <w:rPr>
          <w:rFonts w:ascii="Century Gothic" w:hAnsi="Century Gothic"/>
          <w:i/>
          <w:iCs/>
        </w:rPr>
        <w:t>) un derecho a que el Estado adopte normas que garanticen adecuadamente la reparación de las víctimas; (</w:t>
      </w:r>
      <w:proofErr w:type="spellStart"/>
      <w:r w:rsidRPr="00214288">
        <w:rPr>
          <w:rFonts w:ascii="Century Gothic" w:hAnsi="Century Gothic"/>
          <w:i/>
          <w:iCs/>
        </w:rPr>
        <w:t>iv</w:t>
      </w:r>
      <w:proofErr w:type="spellEnd"/>
      <w:r w:rsidRPr="00214288">
        <w:rPr>
          <w:rFonts w:ascii="Century Gothic" w:hAnsi="Century Gothic"/>
          <w:i/>
          <w:iCs/>
        </w:rPr>
        <w:t xml:space="preserve">) un derecho a que existan instituciones judiciales o administrativas, así como procedimientos efectivos ante unas y otras, para propiciar la búsqueda de la verdad y obtener la reparación en sus diversos componentes; y </w:t>
      </w:r>
      <w:r w:rsidRPr="00214288">
        <w:rPr>
          <w:rFonts w:ascii="Century Gothic" w:hAnsi="Century Gothic"/>
          <w:b/>
          <w:bCs/>
          <w:i/>
          <w:iCs/>
        </w:rPr>
        <w:t>(v) un derecho a que no se impida u obstaculice el ejercicio de las acciones previstas en el ordenamiento a efectos de obtener la verdad, la justicia y la reparación”.</w:t>
      </w:r>
    </w:p>
    <w:p w14:paraId="7162F392" w14:textId="017B6F4F" w:rsidR="00214288" w:rsidRPr="00214288" w:rsidRDefault="00214288" w:rsidP="000D1F0E">
      <w:pPr>
        <w:jc w:val="both"/>
        <w:rPr>
          <w:rFonts w:ascii="Century Gothic" w:hAnsi="Century Gothic"/>
        </w:rPr>
      </w:pPr>
      <w:r w:rsidRPr="00214288">
        <w:rPr>
          <w:rFonts w:ascii="Century Gothic" w:hAnsi="Century Gothic"/>
        </w:rPr>
        <w:t>La Ley 1448 de 2011, con la prórroga materializada mediante la Ley 2078 de 2021, incentiva y nos permite determinar que es necesario ampliar los plazos para que las personas víctimas del desplazamiento forzado, entre otros actos violentos, y/o que se consideren víctimas del conflicto armado dentro de lo establecido en la Ley 1448 de 2011, -que no hayan declarado frente a la autoridad competente- puedan rendir su declaración ante el Ministerio Público.</w:t>
      </w:r>
    </w:p>
    <w:p w14:paraId="01D8AB63" w14:textId="77777777" w:rsidR="00214288" w:rsidRPr="00214288" w:rsidRDefault="00214288" w:rsidP="000D1F0E">
      <w:pPr>
        <w:jc w:val="both"/>
        <w:rPr>
          <w:rFonts w:ascii="Century Gothic" w:hAnsi="Century Gothic"/>
        </w:rPr>
      </w:pPr>
      <w:r w:rsidRPr="00214288">
        <w:rPr>
          <w:rFonts w:ascii="Century Gothic" w:hAnsi="Century Gothic"/>
        </w:rPr>
        <w:t>Si se prorrogó la Ley 1448 de 2011, lo más coherente, justo y sensato es que también se amplíen los términos para que las personas que no hayan logrado declarar y se consideren víctimas conforme lo establecido en el artículo 3 de la precitada Ley puedan hacerlo.</w:t>
      </w:r>
    </w:p>
    <w:p w14:paraId="062B6740" w14:textId="77777777" w:rsidR="00214288" w:rsidRPr="00214288" w:rsidRDefault="00214288" w:rsidP="000D1F0E">
      <w:pPr>
        <w:jc w:val="both"/>
        <w:rPr>
          <w:rFonts w:ascii="Century Gothic" w:hAnsi="Century Gothic"/>
        </w:rPr>
      </w:pPr>
      <w:r w:rsidRPr="00214288">
        <w:rPr>
          <w:rFonts w:ascii="Century Gothic" w:hAnsi="Century Gothic"/>
        </w:rPr>
        <w:t xml:space="preserve">De conformidad con el presente proyecto de Ley, se pretende que las prerrogativas de la Ley 1448 de 2011 puedan ser destinadas para: </w:t>
      </w:r>
    </w:p>
    <w:p w14:paraId="4A24B37A" w14:textId="77777777" w:rsidR="00214288" w:rsidRPr="00214288" w:rsidRDefault="00214288" w:rsidP="000D1F0E">
      <w:pPr>
        <w:jc w:val="both"/>
        <w:rPr>
          <w:rFonts w:ascii="Century Gothic" w:hAnsi="Century Gothic"/>
        </w:rPr>
      </w:pPr>
    </w:p>
    <w:p w14:paraId="7D06361E" w14:textId="77777777" w:rsidR="00214288" w:rsidRPr="00214288" w:rsidRDefault="00214288" w:rsidP="000D1F0E">
      <w:pPr>
        <w:numPr>
          <w:ilvl w:val="0"/>
          <w:numId w:val="1"/>
        </w:numPr>
        <w:jc w:val="both"/>
        <w:rPr>
          <w:rFonts w:ascii="Century Gothic" w:hAnsi="Century Gothic"/>
        </w:rPr>
      </w:pPr>
      <w:r w:rsidRPr="00214288">
        <w:rPr>
          <w:rFonts w:ascii="Century Gothic" w:hAnsi="Century Gothic"/>
        </w:rPr>
        <w:t>Personas víctimas de desplazamiento forzado que no pudieron rendir su declaración ante el Ministerio Público, dentro de los dos (2) años siguientes a la ocurrencia del hecho que dio origen al desplazamiento, siempre y cuando estos hechos hubiesen ocurrido a partir del 1 de enero de 1985 y no se encuentren registradas en el Registro Único de Víctimas.</w:t>
      </w:r>
    </w:p>
    <w:p w14:paraId="72572531" w14:textId="77777777" w:rsidR="00214288" w:rsidRPr="00214288" w:rsidRDefault="00214288" w:rsidP="000D1F0E">
      <w:pPr>
        <w:jc w:val="both"/>
        <w:rPr>
          <w:rFonts w:ascii="Century Gothic" w:hAnsi="Century Gothic"/>
        </w:rPr>
      </w:pPr>
    </w:p>
    <w:p w14:paraId="143AB23A" w14:textId="77777777" w:rsidR="00214288" w:rsidRDefault="00214288" w:rsidP="000D1F0E">
      <w:pPr>
        <w:numPr>
          <w:ilvl w:val="0"/>
          <w:numId w:val="1"/>
        </w:numPr>
        <w:jc w:val="both"/>
        <w:rPr>
          <w:rFonts w:ascii="Century Gothic" w:hAnsi="Century Gothic"/>
        </w:rPr>
      </w:pPr>
      <w:r w:rsidRPr="00214288">
        <w:rPr>
          <w:rFonts w:ascii="Century Gothic" w:hAnsi="Century Gothic"/>
        </w:rPr>
        <w:t xml:space="preserve">Las personas que padecieron hechos </w:t>
      </w:r>
      <w:proofErr w:type="spellStart"/>
      <w:r w:rsidRPr="00214288">
        <w:rPr>
          <w:rFonts w:ascii="Century Gothic" w:hAnsi="Century Gothic"/>
        </w:rPr>
        <w:t>victimizantes</w:t>
      </w:r>
      <w:proofErr w:type="spellEnd"/>
      <w:r w:rsidRPr="00214288">
        <w:rPr>
          <w:rFonts w:ascii="Century Gothic" w:hAnsi="Century Gothic"/>
        </w:rPr>
        <w:t xml:space="preserve"> con antelación a la promulgación de la Ley de víctimas, y no les fue posible rendir su declaración ante el Ministerio Público, entre el 10 de junio de 2011 y 10 de junio de 2015. </w:t>
      </w:r>
    </w:p>
    <w:p w14:paraId="631C013E" w14:textId="77777777" w:rsidR="00CA0AC3" w:rsidRPr="00214288" w:rsidRDefault="00CA0AC3" w:rsidP="000D1F0E">
      <w:pPr>
        <w:jc w:val="both"/>
        <w:rPr>
          <w:rFonts w:ascii="Century Gothic" w:hAnsi="Century Gothic"/>
        </w:rPr>
      </w:pPr>
    </w:p>
    <w:p w14:paraId="2AD4246D" w14:textId="77777777" w:rsidR="00214288" w:rsidRPr="00214288" w:rsidRDefault="00214288" w:rsidP="000D1F0E">
      <w:pPr>
        <w:jc w:val="both"/>
        <w:rPr>
          <w:rFonts w:ascii="Century Gothic" w:hAnsi="Century Gothic"/>
        </w:rPr>
      </w:pPr>
    </w:p>
    <w:p w14:paraId="615B0511" w14:textId="77777777" w:rsidR="000D1F0E" w:rsidRDefault="000D1F0E" w:rsidP="000D1F0E">
      <w:pPr>
        <w:ind w:left="720"/>
        <w:jc w:val="both"/>
        <w:rPr>
          <w:rFonts w:ascii="Century Gothic" w:hAnsi="Century Gothic"/>
        </w:rPr>
      </w:pPr>
    </w:p>
    <w:p w14:paraId="27863CC5" w14:textId="6B095DA9" w:rsidR="00214288" w:rsidRPr="00214288" w:rsidRDefault="00214288" w:rsidP="000D1F0E">
      <w:pPr>
        <w:numPr>
          <w:ilvl w:val="0"/>
          <w:numId w:val="1"/>
        </w:numPr>
        <w:jc w:val="both"/>
        <w:rPr>
          <w:rFonts w:ascii="Century Gothic" w:hAnsi="Century Gothic"/>
        </w:rPr>
      </w:pPr>
      <w:r w:rsidRPr="00214288">
        <w:rPr>
          <w:rFonts w:ascii="Century Gothic" w:hAnsi="Century Gothic"/>
        </w:rPr>
        <w:t xml:space="preserve">Las personas que padecieron hechos </w:t>
      </w:r>
      <w:proofErr w:type="spellStart"/>
      <w:r w:rsidRPr="00214288">
        <w:rPr>
          <w:rFonts w:ascii="Century Gothic" w:hAnsi="Century Gothic"/>
        </w:rPr>
        <w:t>victimizantes</w:t>
      </w:r>
      <w:proofErr w:type="spellEnd"/>
      <w:r w:rsidRPr="00214288">
        <w:rPr>
          <w:rFonts w:ascii="Century Gothic" w:hAnsi="Century Gothic"/>
        </w:rPr>
        <w:t xml:space="preserve"> con posterioridad al 10 de junio de 2011, y que no pudieron realizar su declaración dentro de los dos (2) años siguientes a la ocurrencia del hecho.</w:t>
      </w:r>
    </w:p>
    <w:p w14:paraId="63D61CDE" w14:textId="77777777" w:rsidR="00214288" w:rsidRPr="00214288" w:rsidRDefault="00214288" w:rsidP="000D1F0E">
      <w:pPr>
        <w:jc w:val="both"/>
        <w:rPr>
          <w:rFonts w:ascii="Century Gothic" w:hAnsi="Century Gothic"/>
        </w:rPr>
      </w:pPr>
    </w:p>
    <w:p w14:paraId="281E5F8B" w14:textId="77777777" w:rsidR="00214288" w:rsidRPr="00214288" w:rsidRDefault="00214288" w:rsidP="000D1F0E">
      <w:pPr>
        <w:numPr>
          <w:ilvl w:val="0"/>
          <w:numId w:val="5"/>
        </w:numPr>
        <w:jc w:val="both"/>
        <w:rPr>
          <w:rFonts w:ascii="Century Gothic" w:hAnsi="Century Gothic"/>
          <w:b/>
        </w:rPr>
      </w:pPr>
      <w:r w:rsidRPr="00214288">
        <w:rPr>
          <w:rFonts w:ascii="Century Gothic" w:hAnsi="Century Gothic"/>
          <w:b/>
        </w:rPr>
        <w:t>ESTRUCTURA DEL PROYECTO DE LEY.</w:t>
      </w:r>
    </w:p>
    <w:p w14:paraId="42288D4B" w14:textId="341DF47B" w:rsidR="00214288" w:rsidRPr="00214288" w:rsidRDefault="00214288" w:rsidP="000D1F0E">
      <w:pPr>
        <w:jc w:val="both"/>
        <w:rPr>
          <w:rFonts w:ascii="Century Gothic" w:hAnsi="Century Gothic"/>
          <w:b/>
        </w:rPr>
      </w:pPr>
      <w:r w:rsidRPr="00214288">
        <w:rPr>
          <w:rFonts w:ascii="Century Gothic" w:hAnsi="Century Gothic"/>
          <w:b/>
        </w:rPr>
        <w:t xml:space="preserve"> </w:t>
      </w:r>
      <w:r w:rsidRPr="00214288">
        <w:rPr>
          <w:rFonts w:ascii="Century Gothic" w:hAnsi="Century Gothic"/>
          <w:bCs/>
        </w:rPr>
        <w:t>El Proyecto de Ley cuenta en su estructura con cinco (5) artículos. El primero refiere el objeto, el segundo y el tercero plantean las modificaciones propuestas y la introducción del parágrafo transitorio, el cuarto refiere sobre el plan de acción que debe expedir la Unidad para la Atención y Reparación Integral a las Víctimas frente a las barreras que limitan o impiden a las víctimas realizar su declaración ante el Ministerio Público, y el quinto sobre la vigencia.</w:t>
      </w:r>
    </w:p>
    <w:p w14:paraId="28C16105" w14:textId="77777777" w:rsidR="00214288" w:rsidRPr="00214288" w:rsidRDefault="00214288" w:rsidP="000D1F0E">
      <w:pPr>
        <w:jc w:val="both"/>
        <w:rPr>
          <w:rFonts w:ascii="Century Gothic" w:hAnsi="Century Gothic"/>
          <w:b/>
        </w:rPr>
      </w:pPr>
    </w:p>
    <w:p w14:paraId="1DB3D070" w14:textId="77777777" w:rsidR="00214288" w:rsidRPr="00214288" w:rsidRDefault="00214288" w:rsidP="000D1F0E">
      <w:pPr>
        <w:numPr>
          <w:ilvl w:val="0"/>
          <w:numId w:val="5"/>
        </w:numPr>
        <w:jc w:val="both"/>
        <w:rPr>
          <w:rFonts w:ascii="Century Gothic" w:hAnsi="Century Gothic"/>
          <w:b/>
        </w:rPr>
      </w:pPr>
      <w:r w:rsidRPr="00214288">
        <w:rPr>
          <w:rFonts w:ascii="Century Gothic" w:hAnsi="Century Gothic"/>
          <w:b/>
        </w:rPr>
        <w:t>NORMAS Y JURISPRUDENCIA QUE SOPORTAN EL PROYECTO.</w:t>
      </w:r>
    </w:p>
    <w:p w14:paraId="1C05C9DC" w14:textId="77777777" w:rsidR="00214288" w:rsidRPr="00214288" w:rsidRDefault="00214288" w:rsidP="000D1F0E">
      <w:pPr>
        <w:jc w:val="both"/>
        <w:rPr>
          <w:rFonts w:ascii="Century Gothic" w:hAnsi="Century Gothic"/>
        </w:rPr>
      </w:pPr>
      <w:r w:rsidRPr="00214288">
        <w:rPr>
          <w:rFonts w:ascii="Century Gothic" w:hAnsi="Century Gothic"/>
        </w:rPr>
        <w:t>El proyecto de Ley No. 157 del 2022, está jurídicamente sustentado en las siguientes normas constitucionales y legales, por lo cual su trámite es legal y legítimo.</w:t>
      </w:r>
    </w:p>
    <w:p w14:paraId="59D26CC0" w14:textId="2DF439C2" w:rsidR="00214288" w:rsidRPr="00214288" w:rsidRDefault="00214288" w:rsidP="000D1F0E">
      <w:pPr>
        <w:jc w:val="both"/>
        <w:rPr>
          <w:rFonts w:ascii="Century Gothic" w:hAnsi="Century Gothic"/>
          <w:b/>
        </w:rPr>
      </w:pPr>
      <w:r w:rsidRPr="00214288">
        <w:rPr>
          <w:rFonts w:ascii="Century Gothic" w:hAnsi="Century Gothic"/>
          <w:b/>
        </w:rPr>
        <w:t>COMPETENCIA DEL CONGRESO.</w:t>
      </w:r>
    </w:p>
    <w:p w14:paraId="78A2E973" w14:textId="77777777" w:rsidR="00214288" w:rsidRPr="00214288" w:rsidRDefault="00214288" w:rsidP="000D1F0E">
      <w:pPr>
        <w:numPr>
          <w:ilvl w:val="0"/>
          <w:numId w:val="6"/>
        </w:numPr>
        <w:jc w:val="both"/>
        <w:rPr>
          <w:rFonts w:ascii="Century Gothic" w:hAnsi="Century Gothic"/>
          <w:b/>
          <w:u w:val="single"/>
        </w:rPr>
      </w:pPr>
      <w:r w:rsidRPr="00214288">
        <w:rPr>
          <w:rFonts w:ascii="Century Gothic" w:hAnsi="Century Gothic"/>
          <w:b/>
          <w:u w:val="single"/>
        </w:rPr>
        <w:t>CONSTITUCIONAL:</w:t>
      </w:r>
    </w:p>
    <w:p w14:paraId="435CF748" w14:textId="77777777" w:rsidR="00214288" w:rsidRPr="00214288" w:rsidRDefault="00214288" w:rsidP="000D1F0E">
      <w:pPr>
        <w:jc w:val="both"/>
        <w:rPr>
          <w:rFonts w:ascii="Century Gothic" w:hAnsi="Century Gothic"/>
          <w:bCs/>
        </w:rPr>
      </w:pPr>
      <w:r w:rsidRPr="00214288">
        <w:rPr>
          <w:rFonts w:ascii="Century Gothic" w:hAnsi="Century Gothic"/>
          <w:bCs/>
        </w:rPr>
        <w:t>De conformidad con la Constitución Política de Colombia, en su artículo 13, todas las personas nacen libres e iguales ante la Ley, recibirán la misma protección y trato de las autoridades y gozarán de los mismos derechos, libertades y oportunidades sin ninguna discriminación por razones de sexo, raza, origen nacional, entre otras. El Estado promoverá las condiciones para que la igualdad sea real y efectiva, y adoptará medidas en favor de grupos marginados.</w:t>
      </w:r>
    </w:p>
    <w:p w14:paraId="42856321" w14:textId="77777777" w:rsidR="00214288" w:rsidRPr="00214288" w:rsidRDefault="00214288" w:rsidP="000D1F0E">
      <w:pPr>
        <w:jc w:val="both"/>
        <w:rPr>
          <w:rFonts w:ascii="Century Gothic" w:hAnsi="Century Gothic"/>
          <w:bCs/>
          <w:iCs/>
        </w:rPr>
      </w:pPr>
      <w:r w:rsidRPr="00214288">
        <w:rPr>
          <w:rFonts w:ascii="Century Gothic" w:hAnsi="Century Gothic"/>
          <w:bCs/>
          <w:iCs/>
        </w:rPr>
        <w:t>En el artículo 114 de la Carta, se enuncia que corresponde al Congreso de la República reformar la Constitución, hacer las leyes y ejercer control político sobre el gobierno y la administración.</w:t>
      </w:r>
    </w:p>
    <w:p w14:paraId="1238CDB2" w14:textId="77777777" w:rsidR="00214288" w:rsidRPr="00214288" w:rsidRDefault="00214288" w:rsidP="000D1F0E">
      <w:pPr>
        <w:jc w:val="both"/>
        <w:rPr>
          <w:rFonts w:ascii="Century Gothic" w:hAnsi="Century Gothic"/>
          <w:iCs/>
        </w:rPr>
      </w:pPr>
      <w:r w:rsidRPr="00214288">
        <w:rPr>
          <w:rFonts w:ascii="Century Gothic" w:hAnsi="Century Gothic"/>
          <w:iCs/>
        </w:rPr>
        <w:t xml:space="preserve">El Congreso de la República, estará integrado por el Senado y la Cámara de Representantes. </w:t>
      </w:r>
    </w:p>
    <w:p w14:paraId="2837DDF0" w14:textId="77777777" w:rsidR="00214288" w:rsidRPr="00214288" w:rsidRDefault="00214288" w:rsidP="000D1F0E">
      <w:pPr>
        <w:jc w:val="both"/>
        <w:rPr>
          <w:rFonts w:ascii="Century Gothic" w:hAnsi="Century Gothic"/>
          <w:iCs/>
        </w:rPr>
      </w:pPr>
    </w:p>
    <w:p w14:paraId="024A037A" w14:textId="77777777" w:rsidR="00214288" w:rsidRPr="00214288" w:rsidRDefault="00214288" w:rsidP="000D1F0E">
      <w:pPr>
        <w:numPr>
          <w:ilvl w:val="0"/>
          <w:numId w:val="6"/>
        </w:numPr>
        <w:jc w:val="both"/>
        <w:rPr>
          <w:rFonts w:ascii="Century Gothic" w:hAnsi="Century Gothic"/>
          <w:b/>
          <w:u w:val="single"/>
        </w:rPr>
      </w:pPr>
      <w:r w:rsidRPr="00214288">
        <w:rPr>
          <w:rFonts w:ascii="Century Gothic" w:hAnsi="Century Gothic"/>
          <w:b/>
          <w:u w:val="single"/>
        </w:rPr>
        <w:t>LEGAL:</w:t>
      </w:r>
    </w:p>
    <w:p w14:paraId="6C741724" w14:textId="77777777" w:rsidR="00214288" w:rsidRPr="00214288" w:rsidRDefault="00214288" w:rsidP="000D1F0E">
      <w:pPr>
        <w:jc w:val="both"/>
        <w:rPr>
          <w:rFonts w:ascii="Century Gothic" w:hAnsi="Century Gothic"/>
          <w:u w:val="single"/>
        </w:rPr>
      </w:pPr>
    </w:p>
    <w:p w14:paraId="7F734D56" w14:textId="77777777" w:rsidR="003D118A" w:rsidRDefault="003D118A" w:rsidP="000D1F0E">
      <w:pPr>
        <w:jc w:val="both"/>
        <w:rPr>
          <w:rFonts w:ascii="Century Gothic" w:hAnsi="Century Gothic"/>
        </w:rPr>
      </w:pPr>
    </w:p>
    <w:p w14:paraId="6E308366" w14:textId="77777777" w:rsidR="003D118A" w:rsidRDefault="003D118A" w:rsidP="000D1F0E">
      <w:pPr>
        <w:jc w:val="both"/>
        <w:rPr>
          <w:rFonts w:ascii="Century Gothic" w:hAnsi="Century Gothic"/>
        </w:rPr>
      </w:pPr>
    </w:p>
    <w:p w14:paraId="37BC446A" w14:textId="77777777" w:rsidR="003D118A" w:rsidRDefault="003D118A" w:rsidP="000D1F0E">
      <w:pPr>
        <w:jc w:val="both"/>
        <w:rPr>
          <w:rFonts w:ascii="Century Gothic" w:hAnsi="Century Gothic"/>
        </w:rPr>
      </w:pPr>
    </w:p>
    <w:p w14:paraId="3CA8A648" w14:textId="562DD7CA" w:rsidR="00214288" w:rsidRPr="00214288" w:rsidRDefault="00214288" w:rsidP="000D1F0E">
      <w:pPr>
        <w:jc w:val="both"/>
        <w:rPr>
          <w:rFonts w:ascii="Century Gothic" w:hAnsi="Century Gothic"/>
        </w:rPr>
      </w:pPr>
      <w:r w:rsidRPr="00214288">
        <w:rPr>
          <w:rFonts w:ascii="Century Gothic" w:hAnsi="Century Gothic"/>
        </w:rPr>
        <w:t>Mediante la Ley 1448 de 2011 (Ley de Víctimas), se dictan medidas de atención, asistencia y reparación integral a las víctimas del conflicto armado y se dictan otras disposiciones. Con ella se establecen un conjunto de medidas judiciales, administrativas, sociales y económicas, individuales y colectivas, en beneficio de las víctimas, dentro de un marco de justicia transicional que posibiliten hacer efectivo el goce de sus derechos a la verdad, la justicia y la reparación con garantía de no repetición, reconociendo su condición de víctimas y dignificándola a través de la materialización de sus derechos constitucionales.</w:t>
      </w:r>
    </w:p>
    <w:p w14:paraId="74047D82" w14:textId="77777777" w:rsidR="00214288" w:rsidRPr="00214288" w:rsidRDefault="00214288" w:rsidP="000D1F0E">
      <w:pPr>
        <w:jc w:val="both"/>
        <w:rPr>
          <w:rFonts w:ascii="Century Gothic" w:hAnsi="Century Gothic"/>
        </w:rPr>
      </w:pPr>
      <w:r w:rsidRPr="00214288">
        <w:rPr>
          <w:rFonts w:ascii="Century Gothic" w:hAnsi="Century Gothic"/>
        </w:rPr>
        <w:t>Conforme lo manifiesta el autor, en el artículo 3 de la Ley en comento se dispone que se consideran víctimas, para los efectos de la Ley 1448 de 2011, aquellas personas que individual o colectivamente hayan sufrido un daño por hechos ocurridos a partir del 1 de enero de 1985, como consecuencia de infracciones al Derecho Internacional Humanitario o de violaciones graves y manifiestas a las normas internacionales de Derechos Humanos, ocurridas con ocasión del conflicto armado, y se dictan otras disposiciones sobre dicha condición.</w:t>
      </w:r>
    </w:p>
    <w:p w14:paraId="7442D2F6" w14:textId="77777777" w:rsidR="00214288" w:rsidRPr="00214288" w:rsidRDefault="00214288" w:rsidP="000D1F0E">
      <w:pPr>
        <w:jc w:val="both"/>
        <w:rPr>
          <w:rFonts w:ascii="Century Gothic" w:hAnsi="Century Gothic"/>
        </w:rPr>
      </w:pPr>
      <w:r w:rsidRPr="00214288">
        <w:rPr>
          <w:rFonts w:ascii="Century Gothic" w:hAnsi="Century Gothic"/>
        </w:rPr>
        <w:t xml:space="preserve">Ahora bien, un </w:t>
      </w:r>
      <w:r w:rsidRPr="00214288">
        <w:rPr>
          <w:rFonts w:ascii="Century Gothic" w:hAnsi="Century Gothic"/>
          <w:b/>
        </w:rPr>
        <w:t xml:space="preserve">hecho </w:t>
      </w:r>
      <w:proofErr w:type="spellStart"/>
      <w:r w:rsidRPr="00214288">
        <w:rPr>
          <w:rFonts w:ascii="Century Gothic" w:hAnsi="Century Gothic"/>
          <w:b/>
        </w:rPr>
        <w:t>victimizante</w:t>
      </w:r>
      <w:proofErr w:type="spellEnd"/>
      <w:r w:rsidRPr="00214288">
        <w:rPr>
          <w:rFonts w:ascii="Century Gothic" w:hAnsi="Century Gothic"/>
        </w:rPr>
        <w:t xml:space="preserve"> es un hecho asociado al conflicto armado colombiano. Se trata de los delitos y situaciones de las cuales las personas fueron víctimas. Se registran 13 tipos de hechos </w:t>
      </w:r>
      <w:proofErr w:type="spellStart"/>
      <w:r w:rsidRPr="00214288">
        <w:rPr>
          <w:rFonts w:ascii="Century Gothic" w:hAnsi="Century Gothic"/>
        </w:rPr>
        <w:t>victimizantes</w:t>
      </w:r>
      <w:proofErr w:type="spellEnd"/>
      <w:r w:rsidRPr="00214288">
        <w:rPr>
          <w:rFonts w:ascii="Century Gothic" w:hAnsi="Century Gothic"/>
        </w:rPr>
        <w:t xml:space="preserve"> en el Registro Único de Víctimas – RUV, los cuales se enuncia a continuación.</w:t>
      </w:r>
    </w:p>
    <w:p w14:paraId="42A424B9" w14:textId="77777777" w:rsidR="00214288" w:rsidRPr="00214288" w:rsidRDefault="00214288" w:rsidP="000D1F0E">
      <w:pPr>
        <w:jc w:val="both"/>
        <w:rPr>
          <w:rFonts w:ascii="Century Gothic" w:hAnsi="Century Gothic"/>
        </w:rPr>
      </w:pPr>
    </w:p>
    <w:p w14:paraId="2E21A2B4" w14:textId="77777777" w:rsidR="00214288" w:rsidRPr="00214288" w:rsidRDefault="00214288" w:rsidP="000D1F0E">
      <w:pPr>
        <w:numPr>
          <w:ilvl w:val="0"/>
          <w:numId w:val="2"/>
        </w:numPr>
        <w:jc w:val="both"/>
        <w:rPr>
          <w:rFonts w:ascii="Century Gothic" w:hAnsi="Century Gothic"/>
        </w:rPr>
      </w:pPr>
      <w:r w:rsidRPr="00214288">
        <w:rPr>
          <w:rFonts w:ascii="Century Gothic" w:hAnsi="Century Gothic"/>
        </w:rPr>
        <w:t>Abandono y despojo de tierras.</w:t>
      </w:r>
    </w:p>
    <w:p w14:paraId="5B6B9088" w14:textId="77777777" w:rsidR="00214288" w:rsidRPr="00214288" w:rsidRDefault="00214288" w:rsidP="000D1F0E">
      <w:pPr>
        <w:numPr>
          <w:ilvl w:val="0"/>
          <w:numId w:val="2"/>
        </w:numPr>
        <w:jc w:val="both"/>
        <w:rPr>
          <w:rFonts w:ascii="Century Gothic" w:hAnsi="Century Gothic"/>
        </w:rPr>
      </w:pPr>
      <w:r w:rsidRPr="00214288">
        <w:rPr>
          <w:rFonts w:ascii="Century Gothic" w:hAnsi="Century Gothic"/>
        </w:rPr>
        <w:t>Amenaza.</w:t>
      </w:r>
    </w:p>
    <w:p w14:paraId="489493A3" w14:textId="77777777" w:rsidR="00214288" w:rsidRPr="00214288" w:rsidRDefault="00214288" w:rsidP="000D1F0E">
      <w:pPr>
        <w:numPr>
          <w:ilvl w:val="0"/>
          <w:numId w:val="2"/>
        </w:numPr>
        <w:jc w:val="both"/>
        <w:rPr>
          <w:rFonts w:ascii="Century Gothic" w:hAnsi="Century Gothic"/>
        </w:rPr>
      </w:pPr>
      <w:r w:rsidRPr="00214288">
        <w:rPr>
          <w:rFonts w:ascii="Century Gothic" w:hAnsi="Century Gothic"/>
        </w:rPr>
        <w:t>Violencia sexual.</w:t>
      </w:r>
    </w:p>
    <w:p w14:paraId="06F0B314" w14:textId="77777777" w:rsidR="00214288" w:rsidRPr="00214288" w:rsidRDefault="00214288" w:rsidP="000D1F0E">
      <w:pPr>
        <w:numPr>
          <w:ilvl w:val="0"/>
          <w:numId w:val="2"/>
        </w:numPr>
        <w:jc w:val="both"/>
        <w:rPr>
          <w:rFonts w:ascii="Century Gothic" w:hAnsi="Century Gothic"/>
        </w:rPr>
      </w:pPr>
      <w:r w:rsidRPr="00214288">
        <w:rPr>
          <w:rFonts w:ascii="Century Gothic" w:hAnsi="Century Gothic"/>
        </w:rPr>
        <w:t>Desaparición forzada.</w:t>
      </w:r>
    </w:p>
    <w:p w14:paraId="5B12B817" w14:textId="77777777" w:rsidR="00214288" w:rsidRPr="00214288" w:rsidRDefault="00214288" w:rsidP="000D1F0E">
      <w:pPr>
        <w:numPr>
          <w:ilvl w:val="0"/>
          <w:numId w:val="2"/>
        </w:numPr>
        <w:jc w:val="both"/>
        <w:rPr>
          <w:rFonts w:ascii="Century Gothic" w:hAnsi="Century Gothic"/>
        </w:rPr>
      </w:pPr>
      <w:r w:rsidRPr="00214288">
        <w:rPr>
          <w:rFonts w:ascii="Century Gothic" w:hAnsi="Century Gothic"/>
        </w:rPr>
        <w:t>Desplazamiento forzado.</w:t>
      </w:r>
    </w:p>
    <w:p w14:paraId="782D428A" w14:textId="77777777" w:rsidR="00214288" w:rsidRPr="00214288" w:rsidRDefault="00214288" w:rsidP="000D1F0E">
      <w:pPr>
        <w:numPr>
          <w:ilvl w:val="0"/>
          <w:numId w:val="2"/>
        </w:numPr>
        <w:jc w:val="both"/>
        <w:rPr>
          <w:rFonts w:ascii="Century Gothic" w:hAnsi="Century Gothic"/>
        </w:rPr>
      </w:pPr>
      <w:r w:rsidRPr="00214288">
        <w:rPr>
          <w:rFonts w:ascii="Century Gothic" w:hAnsi="Century Gothic"/>
        </w:rPr>
        <w:t>Homicidio.</w:t>
      </w:r>
    </w:p>
    <w:p w14:paraId="7B5E8F75" w14:textId="77777777" w:rsidR="00214288" w:rsidRPr="00214288" w:rsidRDefault="00214288" w:rsidP="000D1F0E">
      <w:pPr>
        <w:numPr>
          <w:ilvl w:val="0"/>
          <w:numId w:val="2"/>
        </w:numPr>
        <w:jc w:val="both"/>
        <w:rPr>
          <w:rFonts w:ascii="Century Gothic" w:hAnsi="Century Gothic"/>
        </w:rPr>
      </w:pPr>
      <w:r w:rsidRPr="00214288">
        <w:rPr>
          <w:rFonts w:ascii="Century Gothic" w:hAnsi="Century Gothic"/>
        </w:rPr>
        <w:t>Minas antipersonales, munición sin explotar, artefacto explosivo improvisado.</w:t>
      </w:r>
    </w:p>
    <w:p w14:paraId="75B267EC" w14:textId="77777777" w:rsidR="00214288" w:rsidRPr="00214288" w:rsidRDefault="00214288" w:rsidP="000D1F0E">
      <w:pPr>
        <w:numPr>
          <w:ilvl w:val="0"/>
          <w:numId w:val="2"/>
        </w:numPr>
        <w:jc w:val="both"/>
        <w:rPr>
          <w:rFonts w:ascii="Century Gothic" w:hAnsi="Century Gothic"/>
        </w:rPr>
      </w:pPr>
      <w:r w:rsidRPr="00214288">
        <w:rPr>
          <w:rFonts w:ascii="Century Gothic" w:hAnsi="Century Gothic"/>
        </w:rPr>
        <w:t>Secuestro.</w:t>
      </w:r>
    </w:p>
    <w:p w14:paraId="5849C2A4" w14:textId="77777777" w:rsidR="00214288" w:rsidRPr="00214288" w:rsidRDefault="00214288" w:rsidP="000D1F0E">
      <w:pPr>
        <w:numPr>
          <w:ilvl w:val="0"/>
          <w:numId w:val="2"/>
        </w:numPr>
        <w:jc w:val="both"/>
        <w:rPr>
          <w:rFonts w:ascii="Century Gothic" w:hAnsi="Century Gothic"/>
        </w:rPr>
      </w:pPr>
      <w:r w:rsidRPr="00214288">
        <w:rPr>
          <w:rFonts w:ascii="Century Gothic" w:hAnsi="Century Gothic"/>
        </w:rPr>
        <w:t>Tortura.</w:t>
      </w:r>
    </w:p>
    <w:p w14:paraId="20BCFBCD" w14:textId="77777777" w:rsidR="00214288" w:rsidRPr="00214288" w:rsidRDefault="00214288" w:rsidP="000D1F0E">
      <w:pPr>
        <w:numPr>
          <w:ilvl w:val="0"/>
          <w:numId w:val="2"/>
        </w:numPr>
        <w:jc w:val="both"/>
        <w:rPr>
          <w:rFonts w:ascii="Century Gothic" w:hAnsi="Century Gothic"/>
        </w:rPr>
      </w:pPr>
      <w:r w:rsidRPr="00214288">
        <w:rPr>
          <w:rFonts w:ascii="Century Gothic" w:hAnsi="Century Gothic"/>
        </w:rPr>
        <w:t>Reclutamiento forzado.</w:t>
      </w:r>
    </w:p>
    <w:p w14:paraId="0D14A25F" w14:textId="77777777" w:rsidR="00214288" w:rsidRDefault="00214288" w:rsidP="000D1F0E">
      <w:pPr>
        <w:numPr>
          <w:ilvl w:val="0"/>
          <w:numId w:val="2"/>
        </w:numPr>
        <w:jc w:val="both"/>
        <w:rPr>
          <w:rFonts w:ascii="Century Gothic" w:hAnsi="Century Gothic"/>
        </w:rPr>
      </w:pPr>
      <w:r w:rsidRPr="00214288">
        <w:rPr>
          <w:rFonts w:ascii="Century Gothic" w:hAnsi="Century Gothic"/>
        </w:rPr>
        <w:t>Confinamiento.</w:t>
      </w:r>
    </w:p>
    <w:p w14:paraId="50B79086" w14:textId="77777777" w:rsidR="00E73604" w:rsidRDefault="00E73604" w:rsidP="000D1F0E">
      <w:pPr>
        <w:jc w:val="both"/>
        <w:rPr>
          <w:rFonts w:ascii="Century Gothic" w:hAnsi="Century Gothic"/>
        </w:rPr>
      </w:pPr>
    </w:p>
    <w:p w14:paraId="310EACA4" w14:textId="77777777" w:rsidR="00E73604" w:rsidRDefault="00E73604" w:rsidP="000D1F0E">
      <w:pPr>
        <w:jc w:val="both"/>
        <w:rPr>
          <w:rFonts w:ascii="Century Gothic" w:hAnsi="Century Gothic"/>
        </w:rPr>
      </w:pPr>
    </w:p>
    <w:p w14:paraId="3302C3F1" w14:textId="77777777" w:rsidR="00E73604" w:rsidRPr="00214288" w:rsidRDefault="00E73604" w:rsidP="000D1F0E">
      <w:pPr>
        <w:jc w:val="both"/>
        <w:rPr>
          <w:rFonts w:ascii="Century Gothic" w:hAnsi="Century Gothic"/>
        </w:rPr>
      </w:pPr>
    </w:p>
    <w:p w14:paraId="6BA5C125" w14:textId="77777777" w:rsidR="00214288" w:rsidRPr="00214288" w:rsidRDefault="00214288" w:rsidP="000D1F0E">
      <w:pPr>
        <w:numPr>
          <w:ilvl w:val="0"/>
          <w:numId w:val="2"/>
        </w:numPr>
        <w:jc w:val="both"/>
        <w:rPr>
          <w:rFonts w:ascii="Century Gothic" w:hAnsi="Century Gothic"/>
        </w:rPr>
      </w:pPr>
      <w:r w:rsidRPr="00214288">
        <w:rPr>
          <w:rFonts w:ascii="Century Gothic" w:hAnsi="Century Gothic"/>
        </w:rPr>
        <w:t>Víctimas de actos terroristas.</w:t>
      </w:r>
    </w:p>
    <w:p w14:paraId="50EF8FD7" w14:textId="77777777" w:rsidR="00214288" w:rsidRPr="00214288" w:rsidRDefault="00214288" w:rsidP="000D1F0E">
      <w:pPr>
        <w:numPr>
          <w:ilvl w:val="0"/>
          <w:numId w:val="2"/>
        </w:numPr>
        <w:jc w:val="both"/>
        <w:rPr>
          <w:rFonts w:ascii="Century Gothic" w:hAnsi="Century Gothic"/>
        </w:rPr>
      </w:pPr>
      <w:r w:rsidRPr="00214288">
        <w:rPr>
          <w:rFonts w:ascii="Century Gothic" w:hAnsi="Century Gothic"/>
        </w:rPr>
        <w:t>Pérdida de bienes o inmuebles.</w:t>
      </w:r>
    </w:p>
    <w:p w14:paraId="4891DD9D" w14:textId="77777777" w:rsidR="00214288" w:rsidRPr="00214288" w:rsidRDefault="00214288" w:rsidP="000D1F0E">
      <w:pPr>
        <w:jc w:val="both"/>
        <w:rPr>
          <w:rFonts w:ascii="Century Gothic" w:hAnsi="Century Gothic"/>
        </w:rPr>
      </w:pPr>
      <w:r w:rsidRPr="00214288">
        <w:rPr>
          <w:rFonts w:ascii="Century Gothic" w:hAnsi="Century Gothic"/>
        </w:rPr>
        <w:t>En el artículo 6 ibidem nos indica que las medidas contempladas en esta Ley serán reconocidas sin distinción de género, respetando la libertad u orientación sexual, raza, la condición social, la profesión, el origen nacional o familiar, la lengua, el credo religioso, la opinión política o filosófica. De conformidad con el artículo 7, el Estado, a través de los órganos competentes, deberá garantizar un proceso justo y eficaz enmarcado en el artículo 29 Superior.</w:t>
      </w:r>
    </w:p>
    <w:p w14:paraId="6E00E944" w14:textId="77777777" w:rsidR="00214288" w:rsidRPr="00214288" w:rsidRDefault="00214288" w:rsidP="000D1F0E">
      <w:pPr>
        <w:jc w:val="both"/>
        <w:rPr>
          <w:rFonts w:ascii="Century Gothic" w:hAnsi="Century Gothic"/>
        </w:rPr>
      </w:pPr>
      <w:r w:rsidRPr="00214288">
        <w:rPr>
          <w:rFonts w:ascii="Century Gothic" w:hAnsi="Century Gothic"/>
        </w:rPr>
        <w:t xml:space="preserve">De conformidad con el artículo 25 ibidem, las víctimas, tienen derecho a ser reparadas de manera adecuada, diferenciada, transformadora y efectiva por el daño que han sufrido como consecuencia de las violaciones de que trata el artículo 3 de la Ley que es materia de análisis en este momento. La reparación comprende las medidas </w:t>
      </w:r>
      <w:r w:rsidRPr="00214288">
        <w:rPr>
          <w:rFonts w:ascii="Century Gothic" w:hAnsi="Century Gothic"/>
          <w:b/>
          <w:bCs/>
        </w:rPr>
        <w:t>de restitución, indemnización, rehabilitación, satisfacción y garantías de no repetición</w:t>
      </w:r>
      <w:r w:rsidRPr="00214288">
        <w:rPr>
          <w:rFonts w:ascii="Century Gothic" w:hAnsi="Century Gothic"/>
        </w:rPr>
        <w:t xml:space="preserve">, en sus dimensiones individual, colectiva, moral y simbólica. Cada una de estas medidas se implementa a favor de la víctima dependiendo de la vulneración en sus derechos y las características del hecho </w:t>
      </w:r>
      <w:proofErr w:type="spellStart"/>
      <w:r w:rsidRPr="00214288">
        <w:rPr>
          <w:rFonts w:ascii="Century Gothic" w:hAnsi="Century Gothic"/>
        </w:rPr>
        <w:t>victimizante</w:t>
      </w:r>
      <w:proofErr w:type="spellEnd"/>
      <w:r w:rsidRPr="00214288">
        <w:rPr>
          <w:rFonts w:ascii="Century Gothic" w:hAnsi="Century Gothic"/>
        </w:rPr>
        <w:t>.</w:t>
      </w:r>
    </w:p>
    <w:p w14:paraId="42251D4F" w14:textId="77777777" w:rsidR="00214288" w:rsidRPr="00214288" w:rsidRDefault="00214288" w:rsidP="000D1F0E">
      <w:pPr>
        <w:jc w:val="both"/>
        <w:rPr>
          <w:rFonts w:ascii="Century Gothic" w:hAnsi="Century Gothic"/>
        </w:rPr>
      </w:pPr>
      <w:r w:rsidRPr="00214288">
        <w:rPr>
          <w:rFonts w:ascii="Century Gothic" w:hAnsi="Century Gothic"/>
        </w:rPr>
        <w:t xml:space="preserve">En nuestra jurisprudencia evidenciamos que la Corte Constitucional manifiesta, mediante la Sentencia C-715 de 2012, que el daño acaecido por la violación flagrante de los derechos humanos genera a favor de la víctima el derecho fundamental a la reparación de los perjuicios directamente ocasionados con la trasgresión, a través de la restitución, la indemnización, la rehabilitación, la satisfacción y la garantía de no repetición consagradas en el Derecho Internacional. </w:t>
      </w:r>
    </w:p>
    <w:p w14:paraId="15955702" w14:textId="77777777" w:rsidR="00214288" w:rsidRPr="00214288" w:rsidRDefault="00214288" w:rsidP="000D1F0E">
      <w:pPr>
        <w:jc w:val="both"/>
        <w:rPr>
          <w:rFonts w:ascii="Century Gothic" w:hAnsi="Century Gothic"/>
        </w:rPr>
      </w:pPr>
      <w:r w:rsidRPr="00214288">
        <w:rPr>
          <w:rFonts w:ascii="Century Gothic" w:hAnsi="Century Gothic"/>
        </w:rPr>
        <w:t>La exigencia y la satisfacción de este derecho fundamental se dan independientemente de la identificación, aprehensión, enjuiciamiento o condena del victimario, debido a que aquel deriva precisamente de la condición de víctima, cuyos derechos corresponde al Estado salvaguardar la integridad de cada persona en el territorio colombiano, sin perjuicio de que pueda repetir contra el autor.</w:t>
      </w:r>
    </w:p>
    <w:p w14:paraId="7838D7D8" w14:textId="77777777" w:rsidR="00214288" w:rsidRPr="00214288" w:rsidRDefault="00214288" w:rsidP="000D1F0E">
      <w:pPr>
        <w:jc w:val="both"/>
        <w:rPr>
          <w:rFonts w:ascii="Century Gothic" w:hAnsi="Century Gothic"/>
          <w:b/>
          <w:bCs/>
          <w:i/>
        </w:rPr>
      </w:pPr>
      <w:r w:rsidRPr="00214288">
        <w:rPr>
          <w:rFonts w:ascii="Century Gothic" w:hAnsi="Century Gothic"/>
        </w:rPr>
        <w:t>Mediante la Ley 2078 del 8 de enero de 2021, se prorrogó la vigencia de la Ley 1448 de 2011 por diez (10) años, “</w:t>
      </w:r>
      <w:r w:rsidRPr="00214288">
        <w:rPr>
          <w:rFonts w:ascii="Century Gothic" w:hAnsi="Century Gothic"/>
          <w:i/>
        </w:rPr>
        <w:t xml:space="preserve">Por la cual se dictan medidas de atención, asistencia y reparación integral a las víctimas del conflicto armado interno y se dictan otras disposiciones, y de los </w:t>
      </w:r>
      <w:r w:rsidRPr="00214288">
        <w:rPr>
          <w:rFonts w:ascii="Century Gothic" w:hAnsi="Century Gothic"/>
          <w:b/>
          <w:bCs/>
          <w:i/>
        </w:rPr>
        <w:t>Decretos-Ley étnicos 4633 de 2011, 4634 de 2011, y 4635 de 2011”.</w:t>
      </w:r>
    </w:p>
    <w:p w14:paraId="37BD8117" w14:textId="77777777" w:rsidR="00214288" w:rsidRPr="00214288" w:rsidRDefault="00214288" w:rsidP="000D1F0E">
      <w:pPr>
        <w:jc w:val="both"/>
        <w:rPr>
          <w:rFonts w:ascii="Century Gothic" w:hAnsi="Century Gothic"/>
        </w:rPr>
      </w:pPr>
    </w:p>
    <w:p w14:paraId="416F2195" w14:textId="77777777" w:rsidR="00E73604" w:rsidRDefault="00E73604" w:rsidP="000D1F0E">
      <w:pPr>
        <w:jc w:val="both"/>
        <w:rPr>
          <w:rFonts w:ascii="Century Gothic" w:hAnsi="Century Gothic"/>
        </w:rPr>
      </w:pPr>
    </w:p>
    <w:p w14:paraId="3896112A" w14:textId="77777777" w:rsidR="00E73604" w:rsidRDefault="00E73604" w:rsidP="000D1F0E">
      <w:pPr>
        <w:jc w:val="both"/>
        <w:rPr>
          <w:rFonts w:ascii="Century Gothic" w:hAnsi="Century Gothic"/>
        </w:rPr>
      </w:pPr>
    </w:p>
    <w:p w14:paraId="3078D408" w14:textId="77777777" w:rsidR="00E73604" w:rsidRDefault="00E73604" w:rsidP="000D1F0E">
      <w:pPr>
        <w:jc w:val="both"/>
        <w:rPr>
          <w:rFonts w:ascii="Century Gothic" w:hAnsi="Century Gothic"/>
        </w:rPr>
      </w:pPr>
    </w:p>
    <w:p w14:paraId="7C0E2080" w14:textId="701D55FE" w:rsidR="00214288" w:rsidRPr="00214288" w:rsidRDefault="00214288" w:rsidP="000D1F0E">
      <w:pPr>
        <w:jc w:val="both"/>
        <w:rPr>
          <w:rFonts w:ascii="Century Gothic" w:hAnsi="Century Gothic"/>
        </w:rPr>
      </w:pPr>
      <w:r w:rsidRPr="00214288">
        <w:rPr>
          <w:rFonts w:ascii="Century Gothic" w:hAnsi="Century Gothic"/>
        </w:rPr>
        <w:t>Con dicha prórroga es necesario que sus alcances y contenidos en beneficio de la población víctima se mantengan y se extiendan a aquellas personas que objetivamente cumplan con los requisitos exigidos por la Ley, para ser víctimas, y que aún no ostenten tal condición, por no haber rendido su declaración ante el Ministerio Público en el tiempo que determine la ley.</w:t>
      </w:r>
    </w:p>
    <w:p w14:paraId="4501C3D6" w14:textId="77777777" w:rsidR="00214288" w:rsidRPr="00214288" w:rsidRDefault="00214288" w:rsidP="000D1F0E">
      <w:pPr>
        <w:jc w:val="both"/>
        <w:rPr>
          <w:rFonts w:ascii="Century Gothic" w:hAnsi="Century Gothic"/>
        </w:rPr>
      </w:pPr>
      <w:r w:rsidRPr="00214288">
        <w:rPr>
          <w:rFonts w:ascii="Century Gothic" w:hAnsi="Century Gothic"/>
        </w:rPr>
        <w:t xml:space="preserve">Lo anterior teniendo en cuenta que: </w:t>
      </w:r>
    </w:p>
    <w:p w14:paraId="6FC2D3F6" w14:textId="77777777" w:rsidR="00214288" w:rsidRPr="00214288" w:rsidRDefault="00214288" w:rsidP="000D1F0E">
      <w:pPr>
        <w:jc w:val="both"/>
        <w:rPr>
          <w:rFonts w:ascii="Century Gothic" w:hAnsi="Century Gothic"/>
        </w:rPr>
      </w:pPr>
    </w:p>
    <w:p w14:paraId="204A81CD" w14:textId="77777777" w:rsidR="00214288" w:rsidRPr="00214288" w:rsidRDefault="00214288" w:rsidP="000D1F0E">
      <w:pPr>
        <w:numPr>
          <w:ilvl w:val="0"/>
          <w:numId w:val="7"/>
        </w:numPr>
        <w:jc w:val="both"/>
        <w:rPr>
          <w:rFonts w:ascii="Century Gothic" w:hAnsi="Century Gothic"/>
        </w:rPr>
      </w:pPr>
      <w:r w:rsidRPr="00214288">
        <w:rPr>
          <w:rFonts w:ascii="Century Gothic" w:hAnsi="Century Gothic"/>
        </w:rPr>
        <w:t xml:space="preserve">La persona víctima de </w:t>
      </w:r>
      <w:r w:rsidRPr="00214288">
        <w:rPr>
          <w:rFonts w:ascii="Century Gothic" w:hAnsi="Century Gothic"/>
          <w:b/>
        </w:rPr>
        <w:t xml:space="preserve">desplazamiento forzado </w:t>
      </w:r>
      <w:r w:rsidRPr="00214288">
        <w:rPr>
          <w:rFonts w:ascii="Century Gothic" w:hAnsi="Century Gothic"/>
        </w:rPr>
        <w:t xml:space="preserve">únicamente cuenta con dos (2) años posteriores al hecho que dio origen al desplazamiento, para rendir su declaración ante el Ministerio Público, siempre y cuando los hechos hubiesen ocurrido a partir del 1 de enero de 1985, y no esté incluida en el Registro Único de Víctimas, lo cual resulta ser un plazo </w:t>
      </w:r>
      <w:r w:rsidRPr="00214288">
        <w:rPr>
          <w:rFonts w:ascii="Century Gothic" w:hAnsi="Century Gothic"/>
          <w:b/>
        </w:rPr>
        <w:t>insuficiente</w:t>
      </w:r>
      <w:r w:rsidRPr="00214288">
        <w:rPr>
          <w:rFonts w:ascii="Century Gothic" w:hAnsi="Century Gothic"/>
        </w:rPr>
        <w:t xml:space="preserve">, debido a ser un hecho </w:t>
      </w:r>
      <w:proofErr w:type="spellStart"/>
      <w:r w:rsidRPr="00214288">
        <w:rPr>
          <w:rFonts w:ascii="Century Gothic" w:hAnsi="Century Gothic"/>
        </w:rPr>
        <w:t>victimizante</w:t>
      </w:r>
      <w:proofErr w:type="spellEnd"/>
      <w:r w:rsidRPr="00214288">
        <w:rPr>
          <w:rFonts w:ascii="Century Gothic" w:hAnsi="Century Gothic"/>
        </w:rPr>
        <w:t xml:space="preserve"> sujeto a un enfoque diferencial, con base en lo establecido en el artículo 13 de la Ley de Víctimas, </w:t>
      </w:r>
      <w:r w:rsidRPr="00214288">
        <w:rPr>
          <w:rFonts w:ascii="Century Gothic" w:hAnsi="Century Gothic"/>
          <w:i/>
          <w:u w:val="single"/>
        </w:rPr>
        <w:t>por lo cual este proyecto de Ley propone ampliarlo un año para un total de tres (3) años.</w:t>
      </w:r>
      <w:r w:rsidRPr="00214288">
        <w:rPr>
          <w:rFonts w:ascii="Century Gothic" w:hAnsi="Century Gothic"/>
        </w:rPr>
        <w:t xml:space="preserve"> </w:t>
      </w:r>
    </w:p>
    <w:p w14:paraId="65624BA5" w14:textId="77777777" w:rsidR="00214288" w:rsidRPr="00214288" w:rsidRDefault="00214288" w:rsidP="000D1F0E">
      <w:pPr>
        <w:jc w:val="both"/>
        <w:rPr>
          <w:rFonts w:ascii="Century Gothic" w:hAnsi="Century Gothic"/>
        </w:rPr>
      </w:pPr>
    </w:p>
    <w:p w14:paraId="06FCDF4C" w14:textId="77777777" w:rsidR="00214288" w:rsidRPr="00214288" w:rsidRDefault="00214288" w:rsidP="000D1F0E">
      <w:pPr>
        <w:numPr>
          <w:ilvl w:val="0"/>
          <w:numId w:val="7"/>
        </w:numPr>
        <w:jc w:val="both"/>
        <w:rPr>
          <w:rFonts w:ascii="Century Gothic" w:hAnsi="Century Gothic"/>
        </w:rPr>
      </w:pPr>
      <w:r w:rsidRPr="00214288">
        <w:rPr>
          <w:rFonts w:ascii="Century Gothic" w:hAnsi="Century Gothic"/>
        </w:rPr>
        <w:t xml:space="preserve">Las víctimas victimizadas con anterioridad al 10 de junio de 2011 tuvieron cuatro (4) años, contados a partir de dicha fecha en que se promulgó la Ley 1448 de 2011, para rendir su declaración ante el Ministerio Público. Es decir, hasta el 10 de junio de 2015. </w:t>
      </w:r>
      <w:r w:rsidRPr="00214288">
        <w:rPr>
          <w:rFonts w:ascii="Century Gothic" w:hAnsi="Century Gothic"/>
          <w:i/>
          <w:u w:val="single"/>
        </w:rPr>
        <w:t>Se propone, con el presente proyecto, otorgar un plazo adicional y transitorio a estas personas.</w:t>
      </w:r>
    </w:p>
    <w:p w14:paraId="2E0F1EBB" w14:textId="77777777" w:rsidR="00214288" w:rsidRPr="00214288" w:rsidRDefault="00214288" w:rsidP="000D1F0E">
      <w:pPr>
        <w:jc w:val="both"/>
        <w:rPr>
          <w:rFonts w:ascii="Century Gothic" w:hAnsi="Century Gothic"/>
        </w:rPr>
      </w:pPr>
    </w:p>
    <w:p w14:paraId="151AC7A6" w14:textId="77777777" w:rsidR="00214288" w:rsidRPr="00214288" w:rsidRDefault="00214288" w:rsidP="000D1F0E">
      <w:pPr>
        <w:numPr>
          <w:ilvl w:val="0"/>
          <w:numId w:val="7"/>
        </w:numPr>
        <w:jc w:val="both"/>
        <w:rPr>
          <w:rFonts w:ascii="Century Gothic" w:hAnsi="Century Gothic"/>
        </w:rPr>
      </w:pPr>
      <w:r w:rsidRPr="00214288">
        <w:rPr>
          <w:rFonts w:ascii="Century Gothic" w:hAnsi="Century Gothic"/>
        </w:rPr>
        <w:t xml:space="preserve">Las víctimas victimizadas con posterioridad a la vigencia de la Ley 1448 de 2011, es decir, 10 de junio de 2011, únicamente cuentan con dos (2) años contados a partir de la ocurrencia del hecho </w:t>
      </w:r>
      <w:proofErr w:type="spellStart"/>
      <w:r w:rsidRPr="00214288">
        <w:rPr>
          <w:rFonts w:ascii="Century Gothic" w:hAnsi="Century Gothic"/>
        </w:rPr>
        <w:t>victimizante</w:t>
      </w:r>
      <w:proofErr w:type="spellEnd"/>
      <w:r w:rsidRPr="00214288">
        <w:rPr>
          <w:rFonts w:ascii="Century Gothic" w:hAnsi="Century Gothic"/>
        </w:rPr>
        <w:t xml:space="preserve">, para rendir su declaración ante el Ministerio Público. </w:t>
      </w:r>
      <w:r w:rsidRPr="00214288">
        <w:rPr>
          <w:rFonts w:ascii="Century Gothic" w:hAnsi="Century Gothic"/>
          <w:i/>
          <w:u w:val="single"/>
        </w:rPr>
        <w:t>Buscamos ampliar el término a tres (3) años, con esta iniciativa.</w:t>
      </w:r>
    </w:p>
    <w:p w14:paraId="3F69EB5E" w14:textId="77777777" w:rsidR="00214288" w:rsidRPr="00214288" w:rsidRDefault="00214288" w:rsidP="000D1F0E">
      <w:pPr>
        <w:jc w:val="both"/>
        <w:rPr>
          <w:rFonts w:ascii="Century Gothic" w:hAnsi="Century Gothic"/>
        </w:rPr>
      </w:pPr>
    </w:p>
    <w:p w14:paraId="5D775A9A" w14:textId="77777777" w:rsidR="00214288" w:rsidRPr="00214288" w:rsidRDefault="00214288" w:rsidP="000D1F0E">
      <w:pPr>
        <w:jc w:val="both"/>
        <w:rPr>
          <w:rFonts w:ascii="Century Gothic" w:hAnsi="Century Gothic"/>
        </w:rPr>
      </w:pPr>
      <w:r w:rsidRPr="00214288">
        <w:rPr>
          <w:rFonts w:ascii="Century Gothic" w:hAnsi="Century Gothic"/>
        </w:rPr>
        <w:t>Por consiguiente, se estima que los plazos no van acordes con la prórroga de la Ley de víctimas, y se requiere ampliar los plazos previstos en los artículos 61 y 155 de dicha Ley, para enmarcarlos a las prerrogativas de la Ley 2078 de 2021.</w:t>
      </w:r>
    </w:p>
    <w:p w14:paraId="46DB9D89" w14:textId="77777777" w:rsidR="00214288" w:rsidRPr="00214288" w:rsidRDefault="00214288" w:rsidP="000D1F0E">
      <w:pPr>
        <w:jc w:val="both"/>
        <w:rPr>
          <w:rFonts w:ascii="Century Gothic" w:hAnsi="Century Gothic"/>
          <w:b/>
        </w:rPr>
      </w:pPr>
    </w:p>
    <w:p w14:paraId="72377792" w14:textId="77777777" w:rsidR="00214288" w:rsidRPr="00214288" w:rsidRDefault="00214288" w:rsidP="000D1F0E">
      <w:pPr>
        <w:numPr>
          <w:ilvl w:val="0"/>
          <w:numId w:val="5"/>
        </w:numPr>
        <w:jc w:val="both"/>
        <w:rPr>
          <w:rFonts w:ascii="Century Gothic" w:hAnsi="Century Gothic"/>
          <w:b/>
        </w:rPr>
      </w:pPr>
      <w:r w:rsidRPr="00214288">
        <w:rPr>
          <w:rFonts w:ascii="Century Gothic" w:hAnsi="Century Gothic"/>
          <w:b/>
        </w:rPr>
        <w:t>IMPEDIMENTOS Y CONFLICTOS DE INTERÉS.</w:t>
      </w:r>
    </w:p>
    <w:p w14:paraId="54F2FDF8" w14:textId="77777777" w:rsidR="00214288" w:rsidRPr="00214288" w:rsidRDefault="00214288" w:rsidP="000D1F0E">
      <w:pPr>
        <w:jc w:val="both"/>
        <w:rPr>
          <w:rFonts w:ascii="Century Gothic" w:hAnsi="Century Gothic"/>
          <w:b/>
        </w:rPr>
      </w:pPr>
    </w:p>
    <w:p w14:paraId="0C1668B1" w14:textId="77777777" w:rsidR="00F410D5" w:rsidRDefault="00F410D5" w:rsidP="000D1F0E">
      <w:pPr>
        <w:jc w:val="both"/>
        <w:rPr>
          <w:rFonts w:ascii="Century Gothic" w:hAnsi="Century Gothic"/>
        </w:rPr>
      </w:pPr>
    </w:p>
    <w:p w14:paraId="6B34817B" w14:textId="77777777" w:rsidR="00F410D5" w:rsidRDefault="00F410D5" w:rsidP="000D1F0E">
      <w:pPr>
        <w:jc w:val="both"/>
        <w:rPr>
          <w:rFonts w:ascii="Century Gothic" w:hAnsi="Century Gothic"/>
        </w:rPr>
      </w:pPr>
    </w:p>
    <w:p w14:paraId="0905FC86" w14:textId="52BB017A" w:rsidR="00214288" w:rsidRPr="00214288" w:rsidRDefault="00214288" w:rsidP="000D1F0E">
      <w:pPr>
        <w:jc w:val="both"/>
        <w:rPr>
          <w:rFonts w:ascii="Century Gothic" w:hAnsi="Century Gothic"/>
        </w:rPr>
      </w:pPr>
      <w:r w:rsidRPr="00214288">
        <w:rPr>
          <w:rFonts w:ascii="Century Gothic" w:hAnsi="Century Gothic"/>
        </w:rPr>
        <w:t>De acuerdo con lo establecido en la Ley 2003 de 2019, que modificó la Ley 5 de 1992, en lo concerniente al régimen de conflicto de interés de los congresistas, se hacen las siguientes consideraciones:</w:t>
      </w:r>
    </w:p>
    <w:p w14:paraId="4F63BE71" w14:textId="48E43444" w:rsidR="00214288" w:rsidRPr="00214288" w:rsidRDefault="00214288" w:rsidP="000D1F0E">
      <w:pPr>
        <w:jc w:val="both"/>
        <w:rPr>
          <w:rFonts w:ascii="Century Gothic" w:hAnsi="Century Gothic"/>
          <w:iCs/>
        </w:rPr>
      </w:pPr>
      <w:r w:rsidRPr="00214288">
        <w:rPr>
          <w:rFonts w:ascii="Century Gothic" w:hAnsi="Century Gothic"/>
          <w:iCs/>
        </w:rPr>
        <w:t>Para todos los efectos se entiende que no hay conflicto de interés en las siguientes circunstancias:</w:t>
      </w:r>
    </w:p>
    <w:p w14:paraId="408DE392" w14:textId="77777777" w:rsidR="00214288" w:rsidRPr="00214288" w:rsidRDefault="00214288" w:rsidP="000D1F0E">
      <w:pPr>
        <w:numPr>
          <w:ilvl w:val="0"/>
          <w:numId w:val="3"/>
        </w:numPr>
        <w:jc w:val="both"/>
        <w:rPr>
          <w:rFonts w:ascii="Century Gothic" w:hAnsi="Century Gothic"/>
          <w:i/>
        </w:rPr>
      </w:pPr>
      <w:r w:rsidRPr="00214288">
        <w:rPr>
          <w:rFonts w:ascii="Century Gothic" w:hAnsi="Century Gothic"/>
          <w:i/>
        </w:rPr>
        <w:t>Cuando el congresista participe, discuta, vote un proyecto de ley o de acto legislativo que otorgue beneficios o cargos de carácter general, es decir cuando el interés del congresista coincide o se fusione con los intereses de los electores.</w:t>
      </w:r>
    </w:p>
    <w:p w14:paraId="6AF07BB6" w14:textId="77777777" w:rsidR="00214288" w:rsidRPr="00214288" w:rsidRDefault="00214288" w:rsidP="000D1F0E">
      <w:pPr>
        <w:jc w:val="both"/>
        <w:rPr>
          <w:rFonts w:ascii="Century Gothic" w:hAnsi="Century Gothic"/>
        </w:rPr>
      </w:pPr>
      <w:r w:rsidRPr="00214288">
        <w:rPr>
          <w:rFonts w:ascii="Century Gothic" w:hAnsi="Century Gothic"/>
        </w:rPr>
        <w:t xml:space="preserve">Lo anterior teniendo en cuenta que el presente proyecto de Ley propende por ampliar los términos para que las personas que se consideren víctimas de conformidad con lo establecido en el artículo 3 de la Ley que se analiza, </w:t>
      </w:r>
      <w:r w:rsidRPr="00214288">
        <w:rPr>
          <w:rFonts w:ascii="Century Gothic" w:hAnsi="Century Gothic"/>
          <w:b/>
        </w:rPr>
        <w:t>y no hayan rendido su declaración ante el Ministerio Público</w:t>
      </w:r>
      <w:r w:rsidRPr="00214288">
        <w:rPr>
          <w:rFonts w:ascii="Century Gothic" w:hAnsi="Century Gothic"/>
        </w:rPr>
        <w:t>, puedan hacerlo en concordancia con las modificaciones propuestas por la Ley 2078 de 2021, siendo un tema de carácter general.</w:t>
      </w:r>
    </w:p>
    <w:p w14:paraId="364024AF" w14:textId="77777777" w:rsidR="00214288" w:rsidRPr="00214288" w:rsidRDefault="00214288" w:rsidP="000D1F0E">
      <w:pPr>
        <w:jc w:val="both"/>
        <w:rPr>
          <w:rFonts w:ascii="Century Gothic" w:hAnsi="Century Gothic"/>
        </w:rPr>
      </w:pPr>
      <w:r w:rsidRPr="00214288">
        <w:rPr>
          <w:rFonts w:ascii="Century Gothic" w:hAnsi="Century Gothic"/>
        </w:rPr>
        <w:t>Sobre este asunto, ha señalado el Consejo de Estado (2019):</w:t>
      </w:r>
    </w:p>
    <w:p w14:paraId="1098A725" w14:textId="77777777" w:rsidR="00214288" w:rsidRPr="00214288" w:rsidRDefault="00214288" w:rsidP="000D1F0E">
      <w:pPr>
        <w:jc w:val="both"/>
        <w:rPr>
          <w:rFonts w:ascii="Century Gothic" w:hAnsi="Century Gothic"/>
          <w:i/>
        </w:rPr>
      </w:pPr>
      <w:r w:rsidRPr="00214288">
        <w:rPr>
          <w:rFonts w:ascii="Century Gothic" w:hAnsi="Century Gothic"/>
          <w:i/>
        </w:rPr>
        <w:t xml:space="preserve">“No cualquier interés configura la causal de desinvestidura en comento, pues se sabe que sólo lo será aquél del que se pueda predicar que es directo, esto es, que per se </w:t>
      </w:r>
      <w:proofErr w:type="spellStart"/>
      <w:r w:rsidRPr="00214288">
        <w:rPr>
          <w:rFonts w:ascii="Century Gothic" w:hAnsi="Century Gothic"/>
          <w:i/>
        </w:rPr>
        <w:t>el</w:t>
      </w:r>
      <w:proofErr w:type="spellEnd"/>
      <w:r w:rsidRPr="00214288">
        <w:rPr>
          <w:rFonts w:ascii="Century Gothic" w:hAnsi="Century Gothic"/>
          <w:i/>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B360203" w14:textId="77777777" w:rsidR="00214288" w:rsidRPr="00214288" w:rsidRDefault="00214288" w:rsidP="000D1F0E">
      <w:pPr>
        <w:jc w:val="both"/>
        <w:rPr>
          <w:rFonts w:ascii="Century Gothic" w:hAnsi="Century Gothic"/>
        </w:rPr>
      </w:pPr>
      <w:r w:rsidRPr="00214288">
        <w:rPr>
          <w:rFonts w:ascii="Century Gothic" w:hAnsi="Century Gothic"/>
        </w:rPr>
        <w:t>De igual forma, es pertinente señalar lo que la Ley 5 de 1992 dispone sobre la materia en el artículo 286, modificado por el artículo 1 de la Ley 2003 de 2019:</w:t>
      </w:r>
    </w:p>
    <w:p w14:paraId="08EB8833" w14:textId="77777777" w:rsidR="00214288" w:rsidRPr="00214288" w:rsidRDefault="00214288" w:rsidP="000D1F0E">
      <w:pPr>
        <w:jc w:val="both"/>
        <w:rPr>
          <w:rFonts w:ascii="Century Gothic" w:hAnsi="Century Gothic"/>
          <w:i/>
        </w:rPr>
      </w:pPr>
      <w:r w:rsidRPr="00214288">
        <w:rPr>
          <w:rFonts w:ascii="Century Gothic" w:hAnsi="Century Gothic"/>
          <w:i/>
        </w:rPr>
        <w:t>“Se entiende como conflicto de interés una situación donde la discusión o votación de un proyecto de ley o acto legislativo o artículo, pueda resultar en un beneficio particular, actual y directo a favor del congresista.</w:t>
      </w:r>
    </w:p>
    <w:p w14:paraId="557A39A4" w14:textId="77777777" w:rsidR="00214288" w:rsidRPr="00214288" w:rsidRDefault="00214288" w:rsidP="000D1F0E">
      <w:pPr>
        <w:jc w:val="both"/>
        <w:rPr>
          <w:rFonts w:ascii="Century Gothic" w:hAnsi="Century Gothic"/>
          <w:i/>
        </w:rPr>
      </w:pPr>
      <w:r w:rsidRPr="00214288">
        <w:rPr>
          <w:rFonts w:ascii="Century Gothic" w:hAnsi="Century Gothic"/>
          <w:i/>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4D023EF7" w14:textId="77777777" w:rsidR="00214288" w:rsidRPr="00214288" w:rsidRDefault="00214288" w:rsidP="000D1F0E">
      <w:pPr>
        <w:jc w:val="both"/>
        <w:rPr>
          <w:rFonts w:ascii="Century Gothic" w:hAnsi="Century Gothic"/>
          <w:i/>
        </w:rPr>
      </w:pPr>
    </w:p>
    <w:p w14:paraId="09B1394D" w14:textId="77777777" w:rsidR="00F410D5" w:rsidRDefault="00F410D5" w:rsidP="000D1F0E">
      <w:pPr>
        <w:jc w:val="both"/>
        <w:rPr>
          <w:rFonts w:ascii="Century Gothic" w:hAnsi="Century Gothic"/>
          <w:i/>
        </w:rPr>
      </w:pPr>
    </w:p>
    <w:p w14:paraId="08AA7B21" w14:textId="77777777" w:rsidR="00F410D5" w:rsidRDefault="00F410D5" w:rsidP="000D1F0E">
      <w:pPr>
        <w:jc w:val="both"/>
        <w:rPr>
          <w:rFonts w:ascii="Century Gothic" w:hAnsi="Century Gothic"/>
          <w:i/>
        </w:rPr>
      </w:pPr>
    </w:p>
    <w:p w14:paraId="6A366344" w14:textId="6EF002DB" w:rsidR="00214288" w:rsidRPr="00214288" w:rsidRDefault="00214288" w:rsidP="000D1F0E">
      <w:pPr>
        <w:jc w:val="both"/>
        <w:rPr>
          <w:rFonts w:ascii="Century Gothic" w:hAnsi="Century Gothic"/>
          <w:i/>
        </w:rPr>
      </w:pPr>
      <w:r w:rsidRPr="00214288">
        <w:rPr>
          <w:rFonts w:ascii="Century Gothic" w:hAnsi="Century Gothic"/>
          <w:i/>
        </w:rPr>
        <w:t>b) Beneficio actual: aquel que efectivamente se configura en las circunstancias presentes y existentes al momento en el que el congresista participa de la decisión. </w:t>
      </w:r>
    </w:p>
    <w:p w14:paraId="4CDFDCF2" w14:textId="77777777" w:rsidR="00214288" w:rsidRPr="00214288" w:rsidRDefault="00214288" w:rsidP="000D1F0E">
      <w:pPr>
        <w:jc w:val="both"/>
        <w:rPr>
          <w:rFonts w:ascii="Century Gothic" w:hAnsi="Century Gothic"/>
          <w:i/>
        </w:rPr>
      </w:pPr>
      <w:r w:rsidRPr="00214288">
        <w:rPr>
          <w:rFonts w:ascii="Century Gothic" w:hAnsi="Century Gothic"/>
          <w:i/>
        </w:rPr>
        <w:t>c) Beneficio directo: aquel que se produzca de forma específica respecto del congresista, de su cónyuge, compañero o compañera permanente, o parientes dentro del segundo grado de consanguinidad, segundo de afinidad o primero civil.”</w:t>
      </w:r>
    </w:p>
    <w:p w14:paraId="0987F96C" w14:textId="77777777" w:rsidR="00214288" w:rsidRPr="00214288" w:rsidRDefault="00214288" w:rsidP="000D1F0E">
      <w:pPr>
        <w:jc w:val="both"/>
        <w:rPr>
          <w:rFonts w:ascii="Century Gothic" w:hAnsi="Century Gothic"/>
        </w:rPr>
      </w:pPr>
      <w:r w:rsidRPr="00214288">
        <w:rPr>
          <w:rFonts w:ascii="Century Gothic" w:hAnsi="Century Gothic"/>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40784F8B" w14:textId="77777777" w:rsidR="00214288" w:rsidRPr="00214288" w:rsidRDefault="00214288" w:rsidP="000D1F0E">
      <w:pPr>
        <w:jc w:val="both"/>
        <w:rPr>
          <w:rFonts w:ascii="Century Gothic" w:hAnsi="Century Gothic"/>
          <w:b/>
        </w:rPr>
      </w:pPr>
    </w:p>
    <w:p w14:paraId="629060E2" w14:textId="77777777" w:rsidR="00214288" w:rsidRPr="00214288" w:rsidRDefault="00214288" w:rsidP="000D1F0E">
      <w:pPr>
        <w:numPr>
          <w:ilvl w:val="0"/>
          <w:numId w:val="5"/>
        </w:numPr>
        <w:jc w:val="both"/>
        <w:rPr>
          <w:rFonts w:ascii="Century Gothic" w:hAnsi="Century Gothic"/>
          <w:b/>
        </w:rPr>
      </w:pPr>
      <w:r w:rsidRPr="00214288">
        <w:rPr>
          <w:rFonts w:ascii="Century Gothic" w:hAnsi="Century Gothic"/>
          <w:b/>
        </w:rPr>
        <w:t>PLIEGO DE MODIFICACIONES.</w:t>
      </w:r>
    </w:p>
    <w:tbl>
      <w:tblPr>
        <w:tblW w:w="0" w:type="auto"/>
        <w:tblLook w:val="04A0" w:firstRow="1" w:lastRow="0" w:firstColumn="1" w:lastColumn="0" w:noHBand="0" w:noVBand="1"/>
      </w:tblPr>
      <w:tblGrid>
        <w:gridCol w:w="3129"/>
        <w:gridCol w:w="3184"/>
        <w:gridCol w:w="2515"/>
      </w:tblGrid>
      <w:tr w:rsidR="00214288" w:rsidRPr="00214288" w14:paraId="6D5853B1" w14:textId="77777777" w:rsidTr="000415B3">
        <w:tc>
          <w:tcPr>
            <w:tcW w:w="3129" w:type="dxa"/>
          </w:tcPr>
          <w:p w14:paraId="57E1B2B0" w14:textId="77777777" w:rsidR="00214288" w:rsidRPr="00214288" w:rsidRDefault="00214288" w:rsidP="000D1F0E">
            <w:pPr>
              <w:jc w:val="both"/>
              <w:rPr>
                <w:rFonts w:ascii="Century Gothic" w:hAnsi="Century Gothic"/>
                <w:b/>
                <w:lang w:val="es-ES_tradnl"/>
              </w:rPr>
            </w:pPr>
            <w:r w:rsidRPr="00214288">
              <w:rPr>
                <w:rFonts w:ascii="Century Gothic" w:hAnsi="Century Gothic"/>
                <w:b/>
                <w:lang w:val="es-ES_tradnl"/>
              </w:rPr>
              <w:t>TEXTO APROBADO EN PRIMER DEBATE.</w:t>
            </w:r>
          </w:p>
        </w:tc>
        <w:tc>
          <w:tcPr>
            <w:tcW w:w="3184" w:type="dxa"/>
          </w:tcPr>
          <w:p w14:paraId="0890FC0F" w14:textId="77777777" w:rsidR="00214288" w:rsidRPr="00214288" w:rsidRDefault="00214288" w:rsidP="000D1F0E">
            <w:pPr>
              <w:jc w:val="both"/>
              <w:rPr>
                <w:rFonts w:ascii="Century Gothic" w:hAnsi="Century Gothic"/>
                <w:b/>
                <w:lang w:val="es-ES_tradnl"/>
              </w:rPr>
            </w:pPr>
            <w:r w:rsidRPr="00214288">
              <w:rPr>
                <w:rFonts w:ascii="Century Gothic" w:hAnsi="Century Gothic"/>
                <w:b/>
                <w:lang w:val="es-ES_tradnl"/>
              </w:rPr>
              <w:t>TEXTO PROPUESTO PARA SEGUNDO DEBATE.</w:t>
            </w:r>
          </w:p>
        </w:tc>
        <w:tc>
          <w:tcPr>
            <w:tcW w:w="2515" w:type="dxa"/>
          </w:tcPr>
          <w:p w14:paraId="3D227110" w14:textId="77777777" w:rsidR="00214288" w:rsidRPr="00214288" w:rsidRDefault="00214288" w:rsidP="000D1F0E">
            <w:pPr>
              <w:jc w:val="both"/>
              <w:rPr>
                <w:rFonts w:ascii="Century Gothic" w:hAnsi="Century Gothic"/>
                <w:b/>
                <w:lang w:val="es-ES_tradnl"/>
              </w:rPr>
            </w:pPr>
            <w:r w:rsidRPr="00214288">
              <w:rPr>
                <w:rFonts w:ascii="Century Gothic" w:hAnsi="Century Gothic"/>
                <w:b/>
                <w:lang w:val="es-ES_tradnl"/>
              </w:rPr>
              <w:t>MODIFICACIONES.</w:t>
            </w:r>
          </w:p>
        </w:tc>
      </w:tr>
      <w:tr w:rsidR="00214288" w:rsidRPr="00214288" w14:paraId="3368135A" w14:textId="77777777" w:rsidTr="000415B3">
        <w:tc>
          <w:tcPr>
            <w:tcW w:w="3129" w:type="dxa"/>
          </w:tcPr>
          <w:p w14:paraId="708FA82E" w14:textId="77777777" w:rsidR="00214288" w:rsidRPr="00214288" w:rsidRDefault="00214288" w:rsidP="000D1F0E">
            <w:pPr>
              <w:jc w:val="both"/>
              <w:rPr>
                <w:rFonts w:ascii="Century Gothic" w:hAnsi="Century Gothic"/>
                <w:bCs/>
                <w:lang w:val="es-ES_tradnl"/>
              </w:rPr>
            </w:pPr>
            <w:r w:rsidRPr="00214288">
              <w:rPr>
                <w:rFonts w:ascii="Century Gothic" w:hAnsi="Century Gothic"/>
                <w:lang w:val="es-ES_tradnl"/>
              </w:rPr>
              <w:t>“POR MEDIO DEL CUAL SE MODIFICAN LOS ARTÍCULOS 61 Y 155 DE LA LEY 1448 DE 2011, Y SE AMPLÍAN LOS TÉRMINOS PARA DECLARAR ANTE EL MINISTERIO PÚBLICO”</w:t>
            </w:r>
          </w:p>
          <w:p w14:paraId="5233E8B7" w14:textId="77777777" w:rsidR="00214288" w:rsidRPr="00214288" w:rsidRDefault="00214288" w:rsidP="000D1F0E">
            <w:pPr>
              <w:jc w:val="both"/>
              <w:rPr>
                <w:rFonts w:ascii="Century Gothic" w:hAnsi="Century Gothic"/>
                <w:lang w:val="es-ES_tradnl"/>
              </w:rPr>
            </w:pPr>
          </w:p>
        </w:tc>
        <w:tc>
          <w:tcPr>
            <w:tcW w:w="3184" w:type="dxa"/>
          </w:tcPr>
          <w:p w14:paraId="2C73A600" w14:textId="77777777" w:rsidR="00214288" w:rsidRPr="00214288" w:rsidRDefault="00214288" w:rsidP="000D1F0E">
            <w:pPr>
              <w:jc w:val="both"/>
              <w:rPr>
                <w:rFonts w:ascii="Century Gothic" w:hAnsi="Century Gothic"/>
                <w:bCs/>
                <w:lang w:val="es-ES_tradnl"/>
              </w:rPr>
            </w:pPr>
            <w:r w:rsidRPr="00214288">
              <w:rPr>
                <w:rFonts w:ascii="Century Gothic" w:hAnsi="Century Gothic"/>
                <w:lang w:val="es-ES_tradnl"/>
              </w:rPr>
              <w:t>“POR MEDIO DEL CUAL SE MODIFICAN LOS ARTÍCULOS 61 Y 155 DE LA LEY 1448 DE 2011, Y SE AMPLÍAN LOS TÉRMINOS PARA DECLARAR ANTE EL MINISTERIO PÚBLICO”</w:t>
            </w:r>
          </w:p>
          <w:p w14:paraId="6BB40897" w14:textId="77777777" w:rsidR="00214288" w:rsidRPr="00214288" w:rsidRDefault="00214288" w:rsidP="000D1F0E">
            <w:pPr>
              <w:jc w:val="both"/>
              <w:rPr>
                <w:rFonts w:ascii="Century Gothic" w:hAnsi="Century Gothic"/>
                <w:lang w:val="es-ES_tradnl"/>
              </w:rPr>
            </w:pPr>
          </w:p>
        </w:tc>
        <w:tc>
          <w:tcPr>
            <w:tcW w:w="2515" w:type="dxa"/>
          </w:tcPr>
          <w:p w14:paraId="74BA8AB4"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Sin modificaciones.</w:t>
            </w:r>
          </w:p>
        </w:tc>
      </w:tr>
      <w:tr w:rsidR="00214288" w:rsidRPr="00214288" w14:paraId="22DCEC02" w14:textId="77777777" w:rsidTr="000415B3">
        <w:tc>
          <w:tcPr>
            <w:tcW w:w="3129" w:type="dxa"/>
          </w:tcPr>
          <w:p w14:paraId="2E256107" w14:textId="77777777" w:rsidR="00680671" w:rsidRDefault="00214288" w:rsidP="000D1F0E">
            <w:pPr>
              <w:jc w:val="both"/>
              <w:rPr>
                <w:rFonts w:ascii="Century Gothic" w:hAnsi="Century Gothic"/>
                <w:lang w:val="es-ES_tradnl"/>
              </w:rPr>
            </w:pPr>
            <w:r w:rsidRPr="00214288">
              <w:rPr>
                <w:rFonts w:ascii="Century Gothic" w:hAnsi="Century Gothic"/>
                <w:b/>
                <w:bCs/>
                <w:lang w:val="es-ES_tradnl"/>
              </w:rPr>
              <w:t>Artículo 1º. Objeto.</w:t>
            </w:r>
            <w:r w:rsidRPr="00214288">
              <w:rPr>
                <w:rFonts w:ascii="Century Gothic" w:hAnsi="Century Gothic"/>
                <w:lang w:val="es-ES_tradnl"/>
              </w:rPr>
              <w:t xml:space="preserve"> La presente Ley tiene por objeto ampliar los términos para que aquellas personas que se consideren víctimas del conflicto armado, dentro de lo establecido por el artículo 3 de la Ley 1448 de 2011 y que hayan sufrido hechos </w:t>
            </w:r>
            <w:proofErr w:type="spellStart"/>
            <w:r w:rsidRPr="00214288">
              <w:rPr>
                <w:rFonts w:ascii="Century Gothic" w:hAnsi="Century Gothic"/>
                <w:lang w:val="es-ES_tradnl"/>
              </w:rPr>
              <w:t>victimizantes</w:t>
            </w:r>
            <w:proofErr w:type="spellEnd"/>
            <w:r w:rsidRPr="00214288">
              <w:rPr>
                <w:rFonts w:ascii="Century Gothic" w:hAnsi="Century Gothic"/>
                <w:lang w:val="es-ES_tradnl"/>
              </w:rPr>
              <w:t xml:space="preserve"> con anterioridad y/o </w:t>
            </w:r>
          </w:p>
          <w:p w14:paraId="3095EB8B" w14:textId="77777777" w:rsidR="00680671" w:rsidRDefault="00680671" w:rsidP="000D1F0E">
            <w:pPr>
              <w:jc w:val="both"/>
              <w:rPr>
                <w:rFonts w:ascii="Century Gothic" w:hAnsi="Century Gothic"/>
                <w:lang w:val="es-ES_tradnl"/>
              </w:rPr>
            </w:pPr>
          </w:p>
          <w:p w14:paraId="1F58AE2D" w14:textId="77777777" w:rsidR="00680671" w:rsidRDefault="00680671" w:rsidP="000D1F0E">
            <w:pPr>
              <w:jc w:val="both"/>
              <w:rPr>
                <w:rFonts w:ascii="Century Gothic" w:hAnsi="Century Gothic"/>
                <w:lang w:val="es-ES_tradnl"/>
              </w:rPr>
            </w:pPr>
          </w:p>
          <w:p w14:paraId="1B46F435" w14:textId="77777777" w:rsidR="000D1F0E" w:rsidRDefault="000D1F0E" w:rsidP="000D1F0E">
            <w:pPr>
              <w:jc w:val="both"/>
              <w:rPr>
                <w:rFonts w:ascii="Century Gothic" w:hAnsi="Century Gothic"/>
                <w:lang w:val="es-ES_tradnl"/>
              </w:rPr>
            </w:pPr>
          </w:p>
          <w:p w14:paraId="3ABB3631" w14:textId="7BDE53EF" w:rsidR="00214288" w:rsidRPr="00214288" w:rsidRDefault="00214288" w:rsidP="000D1F0E">
            <w:pPr>
              <w:jc w:val="both"/>
              <w:rPr>
                <w:rFonts w:ascii="Century Gothic" w:hAnsi="Century Gothic"/>
                <w:lang w:val="es-ES_tradnl"/>
              </w:rPr>
            </w:pPr>
            <w:r w:rsidRPr="00214288">
              <w:rPr>
                <w:rFonts w:ascii="Century Gothic" w:hAnsi="Century Gothic"/>
                <w:lang w:val="es-ES_tradnl"/>
              </w:rPr>
              <w:t>posterioridad a su promulgación, puedan rendir su declaración ante el Ministerio Público, en concordancia con las modificaciones propuestas por la Ley 2078 de 2021.</w:t>
            </w:r>
          </w:p>
          <w:p w14:paraId="3B1ACF1E" w14:textId="77777777" w:rsidR="00214288" w:rsidRPr="00214288" w:rsidRDefault="00214288" w:rsidP="000D1F0E">
            <w:pPr>
              <w:jc w:val="both"/>
              <w:rPr>
                <w:rFonts w:ascii="Century Gothic" w:hAnsi="Century Gothic"/>
                <w:b/>
                <w:lang w:val="es-ES_tradnl"/>
              </w:rPr>
            </w:pPr>
          </w:p>
        </w:tc>
        <w:tc>
          <w:tcPr>
            <w:tcW w:w="3184" w:type="dxa"/>
          </w:tcPr>
          <w:p w14:paraId="56D546AD" w14:textId="77777777" w:rsidR="00680671" w:rsidRDefault="00214288" w:rsidP="000D1F0E">
            <w:pPr>
              <w:jc w:val="both"/>
              <w:rPr>
                <w:rFonts w:ascii="Century Gothic" w:hAnsi="Century Gothic"/>
                <w:lang w:val="es-ES_tradnl"/>
              </w:rPr>
            </w:pPr>
            <w:r w:rsidRPr="00214288">
              <w:rPr>
                <w:rFonts w:ascii="Century Gothic" w:hAnsi="Century Gothic"/>
                <w:b/>
                <w:bCs/>
                <w:lang w:val="es-ES_tradnl"/>
              </w:rPr>
              <w:lastRenderedPageBreak/>
              <w:t>Artículo 1º. Objeto.</w:t>
            </w:r>
            <w:r w:rsidRPr="00214288">
              <w:rPr>
                <w:rFonts w:ascii="Century Gothic" w:hAnsi="Century Gothic"/>
                <w:lang w:val="es-ES_tradnl"/>
              </w:rPr>
              <w:t xml:space="preserve"> La presente Ley tiene por objeto ampliar los términos para que aquellas personas que se consideren víctimas del conflicto armado, dentro de lo establecido por el artículo 3 de la Ley 1448 de 2011 y que hayan sufrido hechos </w:t>
            </w:r>
            <w:proofErr w:type="spellStart"/>
            <w:r w:rsidRPr="00214288">
              <w:rPr>
                <w:rFonts w:ascii="Century Gothic" w:hAnsi="Century Gothic"/>
                <w:lang w:val="es-ES_tradnl"/>
              </w:rPr>
              <w:t>victimizantes</w:t>
            </w:r>
            <w:proofErr w:type="spellEnd"/>
            <w:r w:rsidRPr="00214288">
              <w:rPr>
                <w:rFonts w:ascii="Century Gothic" w:hAnsi="Century Gothic"/>
                <w:lang w:val="es-ES_tradnl"/>
              </w:rPr>
              <w:t xml:space="preserve"> con anterioridad y/o posterioridad a su </w:t>
            </w:r>
          </w:p>
          <w:p w14:paraId="18DF51CA" w14:textId="77777777" w:rsidR="00680671" w:rsidRDefault="00680671" w:rsidP="000D1F0E">
            <w:pPr>
              <w:jc w:val="both"/>
              <w:rPr>
                <w:rFonts w:ascii="Century Gothic" w:hAnsi="Century Gothic"/>
                <w:lang w:val="es-ES_tradnl"/>
              </w:rPr>
            </w:pPr>
          </w:p>
          <w:p w14:paraId="31138B35" w14:textId="77777777" w:rsidR="00680671" w:rsidRDefault="00680671" w:rsidP="000D1F0E">
            <w:pPr>
              <w:jc w:val="both"/>
              <w:rPr>
                <w:rFonts w:ascii="Century Gothic" w:hAnsi="Century Gothic"/>
                <w:lang w:val="es-ES_tradnl"/>
              </w:rPr>
            </w:pPr>
          </w:p>
          <w:p w14:paraId="5DDC5CF2" w14:textId="77777777" w:rsidR="000D1F0E" w:rsidRDefault="000D1F0E" w:rsidP="000D1F0E">
            <w:pPr>
              <w:jc w:val="both"/>
              <w:rPr>
                <w:rFonts w:ascii="Century Gothic" w:hAnsi="Century Gothic"/>
                <w:lang w:val="es-ES_tradnl"/>
              </w:rPr>
            </w:pPr>
          </w:p>
          <w:p w14:paraId="0E887929" w14:textId="0C135CD0" w:rsidR="00214288" w:rsidRPr="00214288" w:rsidRDefault="00214288" w:rsidP="000D1F0E">
            <w:pPr>
              <w:jc w:val="both"/>
              <w:rPr>
                <w:rFonts w:ascii="Century Gothic" w:hAnsi="Century Gothic"/>
                <w:lang w:val="es-ES_tradnl"/>
              </w:rPr>
            </w:pPr>
            <w:r w:rsidRPr="00214288">
              <w:rPr>
                <w:rFonts w:ascii="Century Gothic" w:hAnsi="Century Gothic"/>
                <w:lang w:val="es-ES_tradnl"/>
              </w:rPr>
              <w:t>promulgación, puedan rendir su declaración ante el Ministerio Público, en concordancia con las modificaciones propuestas por la Ley 2078 de 2021.</w:t>
            </w:r>
          </w:p>
          <w:p w14:paraId="249CC368" w14:textId="77777777" w:rsidR="00214288" w:rsidRPr="00214288" w:rsidRDefault="00214288" w:rsidP="000D1F0E">
            <w:pPr>
              <w:jc w:val="both"/>
              <w:rPr>
                <w:rFonts w:ascii="Century Gothic" w:hAnsi="Century Gothic"/>
                <w:b/>
                <w:lang w:val="es-ES_tradnl"/>
              </w:rPr>
            </w:pPr>
          </w:p>
        </w:tc>
        <w:tc>
          <w:tcPr>
            <w:tcW w:w="2515" w:type="dxa"/>
          </w:tcPr>
          <w:p w14:paraId="2D013863"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lastRenderedPageBreak/>
              <w:t>Sin modificaciones.</w:t>
            </w:r>
          </w:p>
        </w:tc>
      </w:tr>
      <w:tr w:rsidR="00214288" w:rsidRPr="00214288" w14:paraId="33929D7C" w14:textId="77777777" w:rsidTr="000415B3">
        <w:tc>
          <w:tcPr>
            <w:tcW w:w="3129" w:type="dxa"/>
          </w:tcPr>
          <w:p w14:paraId="1056CB7E" w14:textId="77777777" w:rsidR="00214288" w:rsidRPr="00214288" w:rsidRDefault="00214288" w:rsidP="000D1F0E">
            <w:pPr>
              <w:jc w:val="both"/>
              <w:rPr>
                <w:rFonts w:ascii="Century Gothic" w:hAnsi="Century Gothic"/>
                <w:b/>
                <w:bCs/>
                <w:lang w:val="es-ES_tradnl"/>
              </w:rPr>
            </w:pPr>
            <w:r w:rsidRPr="00214288">
              <w:rPr>
                <w:rFonts w:ascii="Century Gothic" w:hAnsi="Century Gothic"/>
                <w:b/>
                <w:bCs/>
                <w:lang w:val="es-ES_tradnl"/>
              </w:rPr>
              <w:t xml:space="preserve">Artículo 2º. </w:t>
            </w:r>
            <w:r w:rsidRPr="00214288">
              <w:rPr>
                <w:rFonts w:ascii="Century Gothic" w:hAnsi="Century Gothic"/>
                <w:lang w:val="es-ES_tradnl"/>
              </w:rPr>
              <w:t>Modifíquese el artículo 61 de la Ley 1448 de 2011, el cual quedará así:</w:t>
            </w:r>
          </w:p>
          <w:p w14:paraId="6CC94E2D" w14:textId="77777777" w:rsidR="00214288" w:rsidRPr="00214288" w:rsidRDefault="00214288" w:rsidP="000D1F0E">
            <w:pPr>
              <w:jc w:val="both"/>
              <w:rPr>
                <w:rFonts w:ascii="Century Gothic" w:hAnsi="Century Gothic"/>
                <w:lang w:val="es-ES_tradnl"/>
              </w:rPr>
            </w:pPr>
            <w:r w:rsidRPr="00214288">
              <w:rPr>
                <w:rFonts w:ascii="Century Gothic" w:hAnsi="Century Gothic"/>
                <w:b/>
                <w:lang w:val="es-ES_tradnl"/>
              </w:rPr>
              <w:t>ARTÍCULO 61. LA DECLARACIÓN SOBRE LOS HECHOS QUE CONFIGURAN LA SITUACIÓN DEL DESPLAZAMIENTO.</w:t>
            </w:r>
            <w:r w:rsidRPr="00214288">
              <w:rPr>
                <w:rFonts w:ascii="Century Gothic" w:hAnsi="Century Gothic"/>
                <w:lang w:val="es-ES_tradnl"/>
              </w:rPr>
              <w:t xml:space="preserve"> La persona víctima de desplazamiento forzado deberá rendir declaración ante cualquiera de las instituciones que integran el Ministerio Público, dentro de los tres (3) años siguientes a la ocurrencia del hecho que dio origen al desplazamiento, siempre y cuando estos hechos hubiesen ocurrido a partir del 1o de enero de 1985, y no se encuentre registrada en el Registro Único de Víctimas. </w:t>
            </w:r>
          </w:p>
          <w:p w14:paraId="7299A757" w14:textId="77777777" w:rsidR="0068547D" w:rsidRDefault="00214288" w:rsidP="000D1F0E">
            <w:pPr>
              <w:jc w:val="both"/>
              <w:rPr>
                <w:rFonts w:ascii="Century Gothic" w:hAnsi="Century Gothic"/>
                <w:lang w:val="es-ES_tradnl"/>
              </w:rPr>
            </w:pPr>
            <w:r w:rsidRPr="00214288">
              <w:rPr>
                <w:rFonts w:ascii="Century Gothic" w:hAnsi="Century Gothic"/>
                <w:lang w:val="es-ES_tradnl"/>
              </w:rPr>
              <w:t xml:space="preserve">La declaración hará parte del Registro Único de Víctimas, de acuerdo con lo estipulado en el </w:t>
            </w:r>
          </w:p>
          <w:p w14:paraId="53C9A7AC" w14:textId="77777777" w:rsidR="0068547D" w:rsidRDefault="0068547D" w:rsidP="000D1F0E">
            <w:pPr>
              <w:jc w:val="both"/>
              <w:rPr>
                <w:rFonts w:ascii="Century Gothic" w:hAnsi="Century Gothic"/>
                <w:lang w:val="es-ES_tradnl"/>
              </w:rPr>
            </w:pPr>
          </w:p>
          <w:p w14:paraId="065589AF" w14:textId="77777777" w:rsidR="007E7047" w:rsidRDefault="007E7047" w:rsidP="000D1F0E">
            <w:pPr>
              <w:jc w:val="both"/>
              <w:rPr>
                <w:rFonts w:ascii="Century Gothic" w:hAnsi="Century Gothic"/>
                <w:lang w:val="es-ES_tradnl"/>
              </w:rPr>
            </w:pPr>
          </w:p>
          <w:p w14:paraId="1310AC88" w14:textId="77777777" w:rsidR="007E7047" w:rsidRDefault="007E7047" w:rsidP="000D1F0E">
            <w:pPr>
              <w:jc w:val="both"/>
              <w:rPr>
                <w:rFonts w:ascii="Century Gothic" w:hAnsi="Century Gothic"/>
                <w:lang w:val="es-ES_tradnl"/>
              </w:rPr>
            </w:pPr>
          </w:p>
          <w:p w14:paraId="01C91767" w14:textId="134E6AE8" w:rsidR="00214288" w:rsidRPr="00214288" w:rsidRDefault="00214288" w:rsidP="000D1F0E">
            <w:pPr>
              <w:jc w:val="both"/>
              <w:rPr>
                <w:rFonts w:ascii="Century Gothic" w:hAnsi="Century Gothic"/>
                <w:lang w:val="es-ES_tradnl"/>
              </w:rPr>
            </w:pPr>
            <w:r w:rsidRPr="00214288">
              <w:rPr>
                <w:rFonts w:ascii="Century Gothic" w:hAnsi="Century Gothic"/>
                <w:lang w:val="es-ES_tradnl"/>
              </w:rPr>
              <w:t>artículo </w:t>
            </w:r>
            <w:hyperlink r:id="rId10" w:anchor="155" w:history="1">
              <w:r w:rsidRPr="00214288">
                <w:rPr>
                  <w:rStyle w:val="Hipervnculo"/>
                  <w:rFonts w:ascii="Century Gothic" w:hAnsi="Century Gothic"/>
                  <w:lang w:val="es-ES_tradnl"/>
                </w:rPr>
                <w:t>155</w:t>
              </w:r>
            </w:hyperlink>
            <w:r w:rsidRPr="00214288">
              <w:rPr>
                <w:rFonts w:ascii="Century Gothic" w:hAnsi="Century Gothic"/>
                <w:lang w:val="es-ES_tradnl"/>
              </w:rPr>
              <w:t> de la presente Ley. La valoración que realice el funcionario encargado de recibir la solicitud de registro debe respetar los principios constitucionales de dignidad, buena fe, confianza legítima y prevalencia del derecho sustancial.</w:t>
            </w:r>
          </w:p>
          <w:p w14:paraId="1A93720F" w14:textId="77777777" w:rsidR="00214288" w:rsidRPr="00214288" w:rsidRDefault="00214288" w:rsidP="000D1F0E">
            <w:pPr>
              <w:jc w:val="both"/>
              <w:rPr>
                <w:rFonts w:ascii="Century Gothic" w:hAnsi="Century Gothic"/>
                <w:lang w:val="es-ES_tradnl"/>
              </w:rPr>
            </w:pPr>
            <w:r w:rsidRPr="00214288">
              <w:rPr>
                <w:rFonts w:ascii="Century Gothic" w:hAnsi="Century Gothic"/>
                <w:b/>
                <w:lang w:val="es-ES_tradnl"/>
              </w:rPr>
              <w:t>PARÁGRAFO 1o.</w:t>
            </w:r>
            <w:r w:rsidRPr="00214288">
              <w:rPr>
                <w:rFonts w:ascii="Century Gothic" w:hAnsi="Century Gothic"/>
                <w:lang w:val="es-ES_tradnl"/>
              </w:rPr>
              <w:t> Se establece un plazo de tres (3) años para la reducción del subregistro, periodo en el cual las víctimas del desplazamiento de años anteriores podrán declarar los hechos con el fin de que se decida su inclusión o no en el Registro.</w:t>
            </w:r>
          </w:p>
          <w:p w14:paraId="258B604D"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Para este efecto, el Gobierno Nacional adelantará una campaña de divulgación a nivel nacional a fin de que las víctimas de desplazamiento forzado que no han declarado se acerquen al Ministerio Público para rendir su declaración.</w:t>
            </w:r>
          </w:p>
          <w:p w14:paraId="2AC58F10" w14:textId="77777777" w:rsidR="007E7047" w:rsidRDefault="00214288" w:rsidP="000D1F0E">
            <w:pPr>
              <w:jc w:val="both"/>
              <w:rPr>
                <w:rFonts w:ascii="Century Gothic" w:hAnsi="Century Gothic"/>
                <w:lang w:val="es-ES_tradnl"/>
              </w:rPr>
            </w:pPr>
            <w:r w:rsidRPr="00214288">
              <w:rPr>
                <w:rFonts w:ascii="Century Gothic" w:hAnsi="Century Gothic"/>
                <w:b/>
                <w:lang w:val="es-ES_tradnl"/>
              </w:rPr>
              <w:t>PARÁGRAFO 2o.</w:t>
            </w:r>
            <w:r w:rsidRPr="00214288">
              <w:rPr>
                <w:rFonts w:ascii="Century Gothic" w:hAnsi="Century Gothic"/>
                <w:lang w:val="es-ES_tradnl"/>
              </w:rPr>
              <w:t xml:space="preserve"> En las declaraciones presentadas tres </w:t>
            </w:r>
            <w:r w:rsidRPr="00214288">
              <w:rPr>
                <w:rFonts w:ascii="Century Gothic" w:hAnsi="Century Gothic"/>
                <w:bCs/>
                <w:lang w:val="es-ES_tradnl"/>
              </w:rPr>
              <w:t>(3)</w:t>
            </w:r>
            <w:r w:rsidRPr="00214288">
              <w:rPr>
                <w:rFonts w:ascii="Century Gothic" w:hAnsi="Century Gothic"/>
                <w:lang w:val="es-ES_tradnl"/>
              </w:rPr>
              <w:t xml:space="preserve"> años después de la ocurrencia del hecho que dio lugar al desplazamiento forzado, el funcionario del Ministerio </w:t>
            </w:r>
          </w:p>
          <w:p w14:paraId="517B1C34" w14:textId="77777777" w:rsidR="007E7047" w:rsidRDefault="007E7047" w:rsidP="000D1F0E">
            <w:pPr>
              <w:jc w:val="both"/>
              <w:rPr>
                <w:rFonts w:ascii="Century Gothic" w:hAnsi="Century Gothic"/>
                <w:lang w:val="es-ES_tradnl"/>
              </w:rPr>
            </w:pPr>
          </w:p>
          <w:p w14:paraId="4612C80D" w14:textId="77777777" w:rsidR="007E7047" w:rsidRDefault="007E7047" w:rsidP="000D1F0E">
            <w:pPr>
              <w:jc w:val="both"/>
              <w:rPr>
                <w:rFonts w:ascii="Century Gothic" w:hAnsi="Century Gothic"/>
                <w:lang w:val="es-ES_tradnl"/>
              </w:rPr>
            </w:pPr>
          </w:p>
          <w:p w14:paraId="6EFA32F3" w14:textId="7AF5E302" w:rsidR="00214288" w:rsidRPr="00214288" w:rsidRDefault="00214288" w:rsidP="000D1F0E">
            <w:pPr>
              <w:jc w:val="both"/>
              <w:rPr>
                <w:rFonts w:ascii="Century Gothic" w:hAnsi="Century Gothic"/>
                <w:lang w:val="es-ES_tradnl"/>
              </w:rPr>
            </w:pPr>
            <w:r w:rsidRPr="00214288">
              <w:rPr>
                <w:rFonts w:ascii="Century Gothic" w:hAnsi="Century Gothic"/>
                <w:lang w:val="es-ES_tradnl"/>
              </w:rPr>
              <w:t>Público deberá indagar sobre las razones por las cuales no se llevó a cabo con anterioridad dicha declaración, con el fin de determinar si existen barreras que dificulten o impidan la accesibilidad de las víctimas a la protección del Estado.</w:t>
            </w:r>
          </w:p>
          <w:p w14:paraId="0F819156"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En cualquier caso, se deberá preguntar sobre las circunstancias de tiempo, modo y lugar que generaron su desplazamiento para contar con información precisa que permita decidir sobre la inclusión o no del declarante al Registro.</w:t>
            </w:r>
          </w:p>
          <w:p w14:paraId="78B149DC" w14:textId="77777777" w:rsidR="00214288" w:rsidRPr="00214288" w:rsidRDefault="00214288" w:rsidP="000D1F0E">
            <w:pPr>
              <w:jc w:val="both"/>
              <w:rPr>
                <w:rFonts w:ascii="Century Gothic" w:hAnsi="Century Gothic"/>
                <w:lang w:val="es-ES_tradnl"/>
              </w:rPr>
            </w:pPr>
            <w:r w:rsidRPr="00214288">
              <w:rPr>
                <w:rFonts w:ascii="Century Gothic" w:hAnsi="Century Gothic"/>
                <w:b/>
                <w:lang w:val="es-ES_tradnl"/>
              </w:rPr>
              <w:t>PARÁGRAFO 3o.</w:t>
            </w:r>
            <w:r w:rsidRPr="00214288">
              <w:rPr>
                <w:rFonts w:ascii="Century Gothic" w:hAnsi="Century Gothic"/>
                <w:lang w:val="es-ES_tradnl"/>
              </w:rPr>
              <w:t> En evento de fuerza mayor que haya impedido a la víctima del desplazamiento forzado rendir la declaración en el término establecido en el presente artículo, se empezará a contar el mismo desde el momento en que cesen las circunstancias motivo de tal impedimento.</w:t>
            </w:r>
          </w:p>
          <w:p w14:paraId="16FB85D5" w14:textId="77777777" w:rsidR="007E7047" w:rsidRDefault="00214288" w:rsidP="000D1F0E">
            <w:pPr>
              <w:jc w:val="both"/>
              <w:rPr>
                <w:rFonts w:ascii="Century Gothic" w:hAnsi="Century Gothic"/>
                <w:lang w:val="es-ES_tradnl"/>
              </w:rPr>
            </w:pPr>
            <w:r w:rsidRPr="00214288">
              <w:rPr>
                <w:rFonts w:ascii="Century Gothic" w:hAnsi="Century Gothic"/>
                <w:lang w:val="es-ES_tradnl"/>
              </w:rPr>
              <w:t xml:space="preserve">La víctima de desplazamiento forzado deberá informar al funcionario del Ministerio Público, quien indagará por dichas circunstancias y </w:t>
            </w:r>
          </w:p>
          <w:p w14:paraId="156049BF" w14:textId="77777777" w:rsidR="007E7047" w:rsidRDefault="007E7047" w:rsidP="000D1F0E">
            <w:pPr>
              <w:jc w:val="both"/>
              <w:rPr>
                <w:rFonts w:ascii="Century Gothic" w:hAnsi="Century Gothic"/>
                <w:lang w:val="es-ES_tradnl"/>
              </w:rPr>
            </w:pPr>
          </w:p>
          <w:p w14:paraId="710EC8A0" w14:textId="77777777" w:rsidR="007E7047" w:rsidRDefault="007E7047" w:rsidP="000D1F0E">
            <w:pPr>
              <w:jc w:val="both"/>
              <w:rPr>
                <w:rFonts w:ascii="Century Gothic" w:hAnsi="Century Gothic"/>
                <w:lang w:val="es-ES_tradnl"/>
              </w:rPr>
            </w:pPr>
          </w:p>
          <w:p w14:paraId="446B70E9" w14:textId="29F9D936" w:rsidR="00214288" w:rsidRPr="00214288" w:rsidRDefault="00214288" w:rsidP="000D1F0E">
            <w:pPr>
              <w:jc w:val="both"/>
              <w:rPr>
                <w:rFonts w:ascii="Century Gothic" w:hAnsi="Century Gothic"/>
                <w:lang w:val="es-ES_tradnl"/>
              </w:rPr>
            </w:pPr>
            <w:r w:rsidRPr="00214288">
              <w:rPr>
                <w:rFonts w:ascii="Century Gothic" w:hAnsi="Century Gothic"/>
                <w:lang w:val="es-ES_tradnl"/>
              </w:rPr>
              <w:t>enviará la diligencia a la Unidad Administrativa Especial para la Atención y Reparación Integral a las Víctimas para que realice las acciones pertinentes de acuerdo con los eventos aquí mencionados.</w:t>
            </w:r>
          </w:p>
          <w:p w14:paraId="68D77B60" w14:textId="77777777" w:rsidR="00214288" w:rsidRPr="00214288" w:rsidRDefault="00214288" w:rsidP="000D1F0E">
            <w:pPr>
              <w:jc w:val="both"/>
              <w:rPr>
                <w:rFonts w:ascii="Century Gothic" w:hAnsi="Century Gothic"/>
                <w:b/>
                <w:lang w:val="es-ES_tradnl"/>
              </w:rPr>
            </w:pPr>
          </w:p>
        </w:tc>
        <w:tc>
          <w:tcPr>
            <w:tcW w:w="3184" w:type="dxa"/>
          </w:tcPr>
          <w:p w14:paraId="2DA4FED2" w14:textId="77777777" w:rsidR="00214288" w:rsidRPr="00214288" w:rsidRDefault="00214288" w:rsidP="000D1F0E">
            <w:pPr>
              <w:jc w:val="both"/>
              <w:rPr>
                <w:rFonts w:ascii="Century Gothic" w:hAnsi="Century Gothic"/>
                <w:b/>
                <w:bCs/>
                <w:lang w:val="es-ES_tradnl"/>
              </w:rPr>
            </w:pPr>
            <w:r w:rsidRPr="00214288">
              <w:rPr>
                <w:rFonts w:ascii="Century Gothic" w:hAnsi="Century Gothic"/>
                <w:b/>
                <w:bCs/>
                <w:lang w:val="es-ES_tradnl"/>
              </w:rPr>
              <w:lastRenderedPageBreak/>
              <w:t xml:space="preserve">Artículo 2º. </w:t>
            </w:r>
            <w:r w:rsidRPr="00214288">
              <w:rPr>
                <w:rFonts w:ascii="Century Gothic" w:hAnsi="Century Gothic"/>
                <w:lang w:val="es-ES_tradnl"/>
              </w:rPr>
              <w:t>Modifíquese el artículo 61 de la Ley 1448 de 2011, el cual quedará así:</w:t>
            </w:r>
          </w:p>
          <w:p w14:paraId="2DD09C2D" w14:textId="77777777" w:rsidR="00214288" w:rsidRPr="00214288" w:rsidRDefault="00214288" w:rsidP="000D1F0E">
            <w:pPr>
              <w:jc w:val="both"/>
              <w:rPr>
                <w:rFonts w:ascii="Century Gothic" w:hAnsi="Century Gothic"/>
                <w:lang w:val="es-ES_tradnl"/>
              </w:rPr>
            </w:pPr>
            <w:r w:rsidRPr="00214288">
              <w:rPr>
                <w:rFonts w:ascii="Century Gothic" w:hAnsi="Century Gothic"/>
                <w:b/>
                <w:lang w:val="es-ES_tradnl"/>
              </w:rPr>
              <w:t>ARTÍCULO 61. LA DECLARACIÓN SOBRE LOS HECHOS QUE CONFIGURAN LA SITUACIÓN DEL DESPLAZAMIENTO.</w:t>
            </w:r>
            <w:r w:rsidRPr="00214288">
              <w:rPr>
                <w:rFonts w:ascii="Century Gothic" w:hAnsi="Century Gothic"/>
                <w:lang w:val="es-ES_tradnl"/>
              </w:rPr>
              <w:t xml:space="preserve"> La persona víctima de desplazamiento forzado deberá rendir declaración ante cualquiera de las instituciones que integran el Ministerio Público, dentro de los tres (3) años siguientes a la ocurrencia del hecho que dio origen al desplazamiento, siempre y cuando estos hechos hubiesen ocurrido a partir del 1o de enero de 1985, y no se encuentre registrada en el Registro Único de Víctimas. </w:t>
            </w:r>
          </w:p>
          <w:p w14:paraId="7A57DE9B" w14:textId="77777777" w:rsidR="007E7047" w:rsidRDefault="00214288" w:rsidP="000D1F0E">
            <w:pPr>
              <w:jc w:val="both"/>
              <w:rPr>
                <w:rFonts w:ascii="Century Gothic" w:hAnsi="Century Gothic"/>
                <w:lang w:val="es-ES_tradnl"/>
              </w:rPr>
            </w:pPr>
            <w:r w:rsidRPr="00214288">
              <w:rPr>
                <w:rFonts w:ascii="Century Gothic" w:hAnsi="Century Gothic"/>
                <w:lang w:val="es-ES_tradnl"/>
              </w:rPr>
              <w:t xml:space="preserve">La declaración hará parte del Registro Único de Víctimas, de acuerdo con lo estipulado en el </w:t>
            </w:r>
          </w:p>
          <w:p w14:paraId="67E888EA" w14:textId="77777777" w:rsidR="007E7047" w:rsidRDefault="007E7047" w:rsidP="000D1F0E">
            <w:pPr>
              <w:jc w:val="both"/>
              <w:rPr>
                <w:rFonts w:ascii="Century Gothic" w:hAnsi="Century Gothic"/>
                <w:lang w:val="es-ES_tradnl"/>
              </w:rPr>
            </w:pPr>
          </w:p>
          <w:p w14:paraId="569ECEB6" w14:textId="77777777" w:rsidR="007E7047" w:rsidRDefault="007E7047" w:rsidP="000D1F0E">
            <w:pPr>
              <w:jc w:val="both"/>
              <w:rPr>
                <w:rFonts w:ascii="Century Gothic" w:hAnsi="Century Gothic"/>
                <w:lang w:val="es-ES_tradnl"/>
              </w:rPr>
            </w:pPr>
          </w:p>
          <w:p w14:paraId="63C4FFE7" w14:textId="77777777" w:rsidR="007E7047" w:rsidRDefault="007E7047" w:rsidP="000D1F0E">
            <w:pPr>
              <w:jc w:val="both"/>
              <w:rPr>
                <w:rFonts w:ascii="Century Gothic" w:hAnsi="Century Gothic"/>
                <w:lang w:val="es-ES_tradnl"/>
              </w:rPr>
            </w:pPr>
          </w:p>
          <w:p w14:paraId="370434AD" w14:textId="256D0E29" w:rsidR="00214288" w:rsidRPr="00214288" w:rsidRDefault="00214288" w:rsidP="000D1F0E">
            <w:pPr>
              <w:jc w:val="both"/>
              <w:rPr>
                <w:rFonts w:ascii="Century Gothic" w:hAnsi="Century Gothic"/>
                <w:lang w:val="es-ES_tradnl"/>
              </w:rPr>
            </w:pPr>
            <w:r w:rsidRPr="00214288">
              <w:rPr>
                <w:rFonts w:ascii="Century Gothic" w:hAnsi="Century Gothic"/>
                <w:lang w:val="es-ES_tradnl"/>
              </w:rPr>
              <w:t>artículo </w:t>
            </w:r>
            <w:hyperlink r:id="rId11" w:anchor="155" w:history="1">
              <w:r w:rsidRPr="00214288">
                <w:rPr>
                  <w:rStyle w:val="Hipervnculo"/>
                  <w:rFonts w:ascii="Century Gothic" w:hAnsi="Century Gothic"/>
                  <w:lang w:val="es-ES_tradnl"/>
                </w:rPr>
                <w:t>155</w:t>
              </w:r>
            </w:hyperlink>
            <w:r w:rsidRPr="00214288">
              <w:rPr>
                <w:rFonts w:ascii="Century Gothic" w:hAnsi="Century Gothic"/>
                <w:lang w:val="es-ES_tradnl"/>
              </w:rPr>
              <w:t> de la presente Ley. La valoración que realice el funcionario encargado de recibir la solicitud de registro debe respetar los principios constitucionales de dignidad, buena fe, confianza legítima y prevalencia del derecho sustancial.</w:t>
            </w:r>
          </w:p>
          <w:p w14:paraId="3765B1E1" w14:textId="77777777" w:rsidR="00214288" w:rsidRPr="00214288" w:rsidRDefault="00214288" w:rsidP="000D1F0E">
            <w:pPr>
              <w:jc w:val="both"/>
              <w:rPr>
                <w:rFonts w:ascii="Century Gothic" w:hAnsi="Century Gothic"/>
                <w:lang w:val="es-ES_tradnl"/>
              </w:rPr>
            </w:pPr>
            <w:r w:rsidRPr="00214288">
              <w:rPr>
                <w:rFonts w:ascii="Century Gothic" w:hAnsi="Century Gothic"/>
                <w:b/>
                <w:lang w:val="es-ES_tradnl"/>
              </w:rPr>
              <w:t>PARÁGRAFO 1o.</w:t>
            </w:r>
            <w:r w:rsidRPr="00214288">
              <w:rPr>
                <w:rFonts w:ascii="Century Gothic" w:hAnsi="Century Gothic"/>
                <w:lang w:val="es-ES_tradnl"/>
              </w:rPr>
              <w:t> Se establece un plazo de tres (3) años para la reducción del subregistro, periodo en el cual las víctimas del desplazamiento de años anteriores podrán declarar los hechos con el fin de que se decida su inclusión o no en el Registro.</w:t>
            </w:r>
          </w:p>
          <w:p w14:paraId="5365E731"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Para este efecto, el Gobierno Nacional adelantará una campaña de divulgación a nivel nacional a fin de que las víctimas de desplazamiento forzado que no han declarado se acerquen al Ministerio Público para rendir su declaración.</w:t>
            </w:r>
          </w:p>
          <w:p w14:paraId="3AEF9878" w14:textId="77777777" w:rsidR="007E7047" w:rsidRDefault="00214288" w:rsidP="000D1F0E">
            <w:pPr>
              <w:jc w:val="both"/>
              <w:rPr>
                <w:rFonts w:ascii="Century Gothic" w:hAnsi="Century Gothic"/>
                <w:lang w:val="es-ES_tradnl"/>
              </w:rPr>
            </w:pPr>
            <w:r w:rsidRPr="00214288">
              <w:rPr>
                <w:rFonts w:ascii="Century Gothic" w:hAnsi="Century Gothic"/>
                <w:b/>
                <w:lang w:val="es-ES_tradnl"/>
              </w:rPr>
              <w:t>PARÁGRAFO 2o.</w:t>
            </w:r>
            <w:r w:rsidRPr="00214288">
              <w:rPr>
                <w:rFonts w:ascii="Century Gothic" w:hAnsi="Century Gothic"/>
                <w:lang w:val="es-ES_tradnl"/>
              </w:rPr>
              <w:t xml:space="preserve"> En las declaraciones presentadas tres </w:t>
            </w:r>
            <w:r w:rsidRPr="00214288">
              <w:rPr>
                <w:rFonts w:ascii="Century Gothic" w:hAnsi="Century Gothic"/>
                <w:bCs/>
                <w:lang w:val="es-ES_tradnl"/>
              </w:rPr>
              <w:t>(3)</w:t>
            </w:r>
            <w:r w:rsidRPr="00214288">
              <w:rPr>
                <w:rFonts w:ascii="Century Gothic" w:hAnsi="Century Gothic"/>
                <w:lang w:val="es-ES_tradnl"/>
              </w:rPr>
              <w:t xml:space="preserve"> años después de la ocurrencia del hecho que dio lugar al desplazamiento forzado, el funcionario del Ministerio </w:t>
            </w:r>
          </w:p>
          <w:p w14:paraId="1A61EBB5" w14:textId="77777777" w:rsidR="007E7047" w:rsidRDefault="007E7047" w:rsidP="000D1F0E">
            <w:pPr>
              <w:jc w:val="both"/>
              <w:rPr>
                <w:rFonts w:ascii="Century Gothic" w:hAnsi="Century Gothic"/>
                <w:lang w:val="es-ES_tradnl"/>
              </w:rPr>
            </w:pPr>
          </w:p>
          <w:p w14:paraId="37C158CC" w14:textId="77777777" w:rsidR="007E7047" w:rsidRDefault="007E7047" w:rsidP="000D1F0E">
            <w:pPr>
              <w:jc w:val="both"/>
              <w:rPr>
                <w:rFonts w:ascii="Century Gothic" w:hAnsi="Century Gothic"/>
                <w:lang w:val="es-ES_tradnl"/>
              </w:rPr>
            </w:pPr>
          </w:p>
          <w:p w14:paraId="07633692" w14:textId="399C2EEF" w:rsidR="00214288" w:rsidRPr="00214288" w:rsidRDefault="00214288" w:rsidP="000D1F0E">
            <w:pPr>
              <w:jc w:val="both"/>
              <w:rPr>
                <w:rFonts w:ascii="Century Gothic" w:hAnsi="Century Gothic"/>
                <w:lang w:val="es-ES_tradnl"/>
              </w:rPr>
            </w:pPr>
            <w:r w:rsidRPr="00214288">
              <w:rPr>
                <w:rFonts w:ascii="Century Gothic" w:hAnsi="Century Gothic"/>
                <w:lang w:val="es-ES_tradnl"/>
              </w:rPr>
              <w:t>Público deberá indagar sobre las razones por las cuales no se llevó a cabo con anterioridad dicha declaración, con el fin de determinar si existen barreras que dificulten o impidan la accesibilidad de las víctimas a la protección del Estado.</w:t>
            </w:r>
          </w:p>
          <w:p w14:paraId="04312482"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En cualquier caso, se deberá preguntar sobre las circunstancias de tiempo, modo y lugar que generaron su desplazamiento para contar con información precisa que permita decidir sobre la inclusión o no del declarante al Registro.</w:t>
            </w:r>
          </w:p>
          <w:p w14:paraId="6C523BCE" w14:textId="77777777" w:rsidR="00214288" w:rsidRPr="00214288" w:rsidRDefault="00214288" w:rsidP="000D1F0E">
            <w:pPr>
              <w:jc w:val="both"/>
              <w:rPr>
                <w:rFonts w:ascii="Century Gothic" w:hAnsi="Century Gothic"/>
                <w:lang w:val="es-ES_tradnl"/>
              </w:rPr>
            </w:pPr>
            <w:r w:rsidRPr="00214288">
              <w:rPr>
                <w:rFonts w:ascii="Century Gothic" w:hAnsi="Century Gothic"/>
                <w:b/>
                <w:lang w:val="es-ES_tradnl"/>
              </w:rPr>
              <w:t>PARÁGRAFO 3o.</w:t>
            </w:r>
            <w:r w:rsidRPr="00214288">
              <w:rPr>
                <w:rFonts w:ascii="Century Gothic" w:hAnsi="Century Gothic"/>
                <w:lang w:val="es-ES_tradnl"/>
              </w:rPr>
              <w:t> En evento de fuerza mayor que haya impedido a la víctima del desplazamiento forzado rendir la declaración en el término establecido en el presente artículo, se empezará a contar el mismo desde el momento en que cesen las circunstancias motivo de tal impedimento.</w:t>
            </w:r>
          </w:p>
          <w:p w14:paraId="5B37BEA4" w14:textId="77777777" w:rsidR="007E7047" w:rsidRDefault="00214288" w:rsidP="000D1F0E">
            <w:pPr>
              <w:jc w:val="both"/>
              <w:rPr>
                <w:rFonts w:ascii="Century Gothic" w:hAnsi="Century Gothic"/>
                <w:lang w:val="es-ES_tradnl"/>
              </w:rPr>
            </w:pPr>
            <w:r w:rsidRPr="00214288">
              <w:rPr>
                <w:rFonts w:ascii="Century Gothic" w:hAnsi="Century Gothic"/>
                <w:lang w:val="es-ES_tradnl"/>
              </w:rPr>
              <w:t xml:space="preserve">La víctima de desplazamiento forzado deberá informar al funcionario del Ministerio Público, quien indagará por dichas circunstancias y enviará la diligencia a la </w:t>
            </w:r>
          </w:p>
          <w:p w14:paraId="0EDC36D0" w14:textId="77777777" w:rsidR="007E7047" w:rsidRDefault="007E7047" w:rsidP="000D1F0E">
            <w:pPr>
              <w:jc w:val="both"/>
              <w:rPr>
                <w:rFonts w:ascii="Century Gothic" w:hAnsi="Century Gothic"/>
                <w:lang w:val="es-ES_tradnl"/>
              </w:rPr>
            </w:pPr>
          </w:p>
          <w:p w14:paraId="06471586" w14:textId="77777777" w:rsidR="007E7047" w:rsidRDefault="007E7047" w:rsidP="000D1F0E">
            <w:pPr>
              <w:jc w:val="both"/>
              <w:rPr>
                <w:rFonts w:ascii="Century Gothic" w:hAnsi="Century Gothic"/>
                <w:lang w:val="es-ES_tradnl"/>
              </w:rPr>
            </w:pPr>
          </w:p>
          <w:p w14:paraId="29CD50F6" w14:textId="312F7FD0" w:rsidR="00214288" w:rsidRPr="00214288" w:rsidRDefault="00214288" w:rsidP="000D1F0E">
            <w:pPr>
              <w:jc w:val="both"/>
              <w:rPr>
                <w:rFonts w:ascii="Century Gothic" w:hAnsi="Century Gothic"/>
                <w:lang w:val="es-ES_tradnl"/>
              </w:rPr>
            </w:pPr>
            <w:r w:rsidRPr="00214288">
              <w:rPr>
                <w:rFonts w:ascii="Century Gothic" w:hAnsi="Century Gothic"/>
                <w:lang w:val="es-ES_tradnl"/>
              </w:rPr>
              <w:t>Unidad Administrativa Especial para la Atención y Reparación Integral a las Víctimas para que realice las acciones pertinentes de acuerdo con los eventos aquí mencionados.</w:t>
            </w:r>
          </w:p>
          <w:p w14:paraId="44A7C269" w14:textId="77777777" w:rsidR="00214288" w:rsidRPr="00214288" w:rsidRDefault="00214288" w:rsidP="000D1F0E">
            <w:pPr>
              <w:jc w:val="both"/>
              <w:rPr>
                <w:rFonts w:ascii="Century Gothic" w:hAnsi="Century Gothic"/>
                <w:b/>
                <w:lang w:val="es-ES_tradnl"/>
              </w:rPr>
            </w:pPr>
          </w:p>
        </w:tc>
        <w:tc>
          <w:tcPr>
            <w:tcW w:w="2515" w:type="dxa"/>
          </w:tcPr>
          <w:p w14:paraId="72DA1633" w14:textId="77777777" w:rsidR="00214288" w:rsidRPr="00214288" w:rsidRDefault="00214288" w:rsidP="000D1F0E">
            <w:pPr>
              <w:jc w:val="both"/>
              <w:rPr>
                <w:rFonts w:ascii="Century Gothic" w:hAnsi="Century Gothic"/>
                <w:b/>
                <w:lang w:val="es-ES_tradnl"/>
              </w:rPr>
            </w:pPr>
          </w:p>
        </w:tc>
      </w:tr>
      <w:tr w:rsidR="00214288" w:rsidRPr="00214288" w14:paraId="145ECE88" w14:textId="77777777" w:rsidTr="000415B3">
        <w:tc>
          <w:tcPr>
            <w:tcW w:w="3129" w:type="dxa"/>
          </w:tcPr>
          <w:p w14:paraId="1AB07ABC" w14:textId="77777777" w:rsidR="00214288" w:rsidRPr="00214288" w:rsidRDefault="00214288" w:rsidP="000D1F0E">
            <w:pPr>
              <w:jc w:val="both"/>
              <w:rPr>
                <w:rFonts w:ascii="Century Gothic" w:hAnsi="Century Gothic"/>
                <w:b/>
                <w:lang w:val="es-ES_tradnl"/>
              </w:rPr>
            </w:pPr>
            <w:r w:rsidRPr="00214288">
              <w:rPr>
                <w:rFonts w:ascii="Century Gothic" w:hAnsi="Century Gothic"/>
                <w:b/>
                <w:lang w:val="es-ES_tradnl"/>
              </w:rPr>
              <w:lastRenderedPageBreak/>
              <w:t xml:space="preserve">Artículo 3º. </w:t>
            </w:r>
            <w:r w:rsidRPr="00214288">
              <w:rPr>
                <w:rFonts w:ascii="Century Gothic" w:hAnsi="Century Gothic"/>
                <w:bCs/>
                <w:lang w:val="es-ES_tradnl"/>
              </w:rPr>
              <w:t>Modifíquese e inclúyase un parágrafo transitorio al artículo 155 de la Ley 1448 de 2011, el cual quedará así:</w:t>
            </w:r>
          </w:p>
          <w:p w14:paraId="540D12D3" w14:textId="77777777" w:rsidR="00D2667B" w:rsidRDefault="00214288" w:rsidP="000D1F0E">
            <w:pPr>
              <w:jc w:val="both"/>
              <w:rPr>
                <w:rFonts w:ascii="Century Gothic" w:hAnsi="Century Gothic"/>
                <w:lang w:val="es-ES_tradnl"/>
              </w:rPr>
            </w:pPr>
            <w:r w:rsidRPr="00214288">
              <w:rPr>
                <w:rFonts w:ascii="Century Gothic" w:hAnsi="Century Gothic"/>
                <w:b/>
                <w:bCs/>
                <w:lang w:val="es-ES_tradnl"/>
              </w:rPr>
              <w:t>ARTÍCULO 155. SOLICITUD DE REGISTRO DE LAS VÍCTIMAS.</w:t>
            </w:r>
            <w:r w:rsidRPr="00214288">
              <w:rPr>
                <w:rFonts w:ascii="Century Gothic" w:hAnsi="Century Gothic"/>
                <w:lang w:val="es-ES_tradnl"/>
              </w:rPr>
              <w:t xml:space="preserve"> Las víctimas deberán presentar una declaración ante el Ministerio Público en un término de cuatro (4) años contados a partir de la promulgación de la presente ley para quienes hayan sido victimizadas con anterioridad a ese momento, y de tres (3) años contados a partir de la ocurrencia del hecho respecto de quienes lo sean con posterioridad a la vigencia de la ley, conforme a los requisitos que para tal efecto defina el Gobierno Nacional, y a través del instrumento que diseñe la Unidad Administrativa Especial </w:t>
            </w:r>
          </w:p>
          <w:p w14:paraId="2AC07E1D" w14:textId="77777777" w:rsidR="00D2667B" w:rsidRDefault="00D2667B" w:rsidP="000D1F0E">
            <w:pPr>
              <w:jc w:val="both"/>
              <w:rPr>
                <w:rFonts w:ascii="Century Gothic" w:hAnsi="Century Gothic"/>
                <w:lang w:val="es-ES_tradnl"/>
              </w:rPr>
            </w:pPr>
          </w:p>
          <w:p w14:paraId="2C0C6246" w14:textId="77777777" w:rsidR="00D2667B" w:rsidRDefault="00D2667B" w:rsidP="000D1F0E">
            <w:pPr>
              <w:jc w:val="both"/>
              <w:rPr>
                <w:rFonts w:ascii="Century Gothic" w:hAnsi="Century Gothic"/>
                <w:lang w:val="es-ES_tradnl"/>
              </w:rPr>
            </w:pPr>
          </w:p>
          <w:p w14:paraId="7F614C38" w14:textId="35B2EBCA" w:rsidR="00214288" w:rsidRPr="00214288" w:rsidRDefault="00214288" w:rsidP="000D1F0E">
            <w:pPr>
              <w:jc w:val="both"/>
              <w:rPr>
                <w:rFonts w:ascii="Century Gothic" w:hAnsi="Century Gothic"/>
                <w:lang w:val="es-ES_tradnl"/>
              </w:rPr>
            </w:pPr>
            <w:r w:rsidRPr="00214288">
              <w:rPr>
                <w:rFonts w:ascii="Century Gothic" w:hAnsi="Century Gothic"/>
                <w:lang w:val="es-ES_tradnl"/>
              </w:rPr>
              <w:t>para la Atención y Reparación Integral a las víctimas, el cual será de uso obligatorio por las entidades que conforman el Ministerio Público.</w:t>
            </w:r>
          </w:p>
          <w:p w14:paraId="52B5FCF3"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En el evento de fuerza mayor que haya impedido a la víctima presentar la solicitud de registro en el término establecido en este artículo, se empezará a contar el mismo desde el momento en que cesen las circunstancias que motivaron tal impedimento, para lo cual deberá informar de ello al Ministerio Público quien remitirá tal información a la Unidad Administrativa Especial para la Atención y Reparación Integral a las Víctimas.</w:t>
            </w:r>
          </w:p>
          <w:p w14:paraId="2AB5D2D1"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La valoración que realice el funcionario encargado de realizar el proceso de valoración debe respetar los principios constitucionales de dignidad, buena fe, confianza legítima y prevalencia del derecho sustancial.</w:t>
            </w:r>
          </w:p>
          <w:p w14:paraId="4EEEE253" w14:textId="77777777" w:rsidR="005604BB" w:rsidRDefault="00214288" w:rsidP="000D1F0E">
            <w:pPr>
              <w:jc w:val="both"/>
              <w:rPr>
                <w:rFonts w:ascii="Century Gothic" w:hAnsi="Century Gothic"/>
                <w:lang w:val="es-ES_tradnl"/>
              </w:rPr>
            </w:pPr>
            <w:r w:rsidRPr="00214288">
              <w:rPr>
                <w:rFonts w:ascii="Century Gothic" w:hAnsi="Century Gothic"/>
                <w:b/>
                <w:bCs/>
                <w:lang w:val="es-ES_tradnl"/>
              </w:rPr>
              <w:t>PARÁGRAFO.</w:t>
            </w:r>
            <w:r w:rsidRPr="00214288">
              <w:rPr>
                <w:rFonts w:ascii="Century Gothic" w:hAnsi="Century Gothic"/>
                <w:lang w:val="es-ES_tradnl"/>
              </w:rPr>
              <w:t xml:space="preserve"> Las personas que se encuentren actualmente registradas como víctimas, luego de un proceso de valoración, </w:t>
            </w:r>
          </w:p>
          <w:p w14:paraId="270F6B0E" w14:textId="77777777" w:rsidR="005604BB" w:rsidRDefault="005604BB" w:rsidP="000D1F0E">
            <w:pPr>
              <w:jc w:val="both"/>
              <w:rPr>
                <w:rFonts w:ascii="Century Gothic" w:hAnsi="Century Gothic"/>
                <w:lang w:val="es-ES_tradnl"/>
              </w:rPr>
            </w:pPr>
          </w:p>
          <w:p w14:paraId="040CC32E" w14:textId="77777777" w:rsidR="005604BB" w:rsidRDefault="005604BB" w:rsidP="000D1F0E">
            <w:pPr>
              <w:jc w:val="both"/>
              <w:rPr>
                <w:rFonts w:ascii="Century Gothic" w:hAnsi="Century Gothic"/>
                <w:lang w:val="es-ES_tradnl"/>
              </w:rPr>
            </w:pPr>
          </w:p>
          <w:p w14:paraId="1C655BEB" w14:textId="158AAC9D" w:rsidR="00214288" w:rsidRPr="00214288" w:rsidRDefault="00214288" w:rsidP="000D1F0E">
            <w:pPr>
              <w:jc w:val="both"/>
              <w:rPr>
                <w:rFonts w:ascii="Century Gothic" w:hAnsi="Century Gothic"/>
                <w:lang w:val="es-ES_tradnl"/>
              </w:rPr>
            </w:pPr>
            <w:r w:rsidRPr="00214288">
              <w:rPr>
                <w:rFonts w:ascii="Century Gothic" w:hAnsi="Century Gothic"/>
                <w:lang w:val="es-ES_tradnl"/>
              </w:rPr>
              <w:t xml:space="preserve">no tendrán que presentar una declaración adicional por los mismos hechos </w:t>
            </w:r>
            <w:proofErr w:type="spellStart"/>
            <w:r w:rsidRPr="00214288">
              <w:rPr>
                <w:rFonts w:ascii="Century Gothic" w:hAnsi="Century Gothic"/>
                <w:lang w:val="es-ES_tradnl"/>
              </w:rPr>
              <w:t>victimizantes</w:t>
            </w:r>
            <w:proofErr w:type="spellEnd"/>
            <w:r w:rsidRPr="00214288">
              <w:rPr>
                <w:rFonts w:ascii="Century Gothic" w:hAnsi="Century Gothic"/>
                <w:lang w:val="es-ES_tradnl"/>
              </w:rPr>
              <w:t>. Para efectos de determinar si la persona ya se encuentra registrada, se tendrán en cuenta las bases de datos existentes al momento de la expedición de la presente Ley.</w:t>
            </w:r>
          </w:p>
          <w:p w14:paraId="7783FE7D"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 xml:space="preserve">En los eventos en que la persona refiera hechos </w:t>
            </w:r>
            <w:proofErr w:type="spellStart"/>
            <w:r w:rsidRPr="00214288">
              <w:rPr>
                <w:rFonts w:ascii="Century Gothic" w:hAnsi="Century Gothic"/>
                <w:lang w:val="es-ES_tradnl"/>
              </w:rPr>
              <w:t>victimizantes</w:t>
            </w:r>
            <w:proofErr w:type="spellEnd"/>
            <w:r w:rsidRPr="00214288">
              <w:rPr>
                <w:rFonts w:ascii="Century Gothic" w:hAnsi="Century Gothic"/>
                <w:lang w:val="es-ES_tradnl"/>
              </w:rPr>
              <w:t xml:space="preserve"> adicionales a los contenidos en las bases de datos existentes, deberá presentar la declaración a la que se refiere el presente artículo.</w:t>
            </w:r>
          </w:p>
          <w:p w14:paraId="1DC7037D" w14:textId="77777777" w:rsidR="00214288" w:rsidRPr="00214288" w:rsidRDefault="00214288" w:rsidP="000D1F0E">
            <w:pPr>
              <w:jc w:val="both"/>
              <w:rPr>
                <w:rFonts w:ascii="Century Gothic" w:hAnsi="Century Gothic"/>
                <w:lang w:val="es-ES_tradnl"/>
              </w:rPr>
            </w:pPr>
            <w:r w:rsidRPr="00214288">
              <w:rPr>
                <w:rFonts w:ascii="Century Gothic" w:hAnsi="Century Gothic"/>
                <w:b/>
                <w:lang w:val="es-ES_tradnl"/>
              </w:rPr>
              <w:t xml:space="preserve">PARÁGRAFO TRANSITORIO. </w:t>
            </w:r>
            <w:r w:rsidRPr="00214288">
              <w:rPr>
                <w:rFonts w:ascii="Century Gothic" w:hAnsi="Century Gothic"/>
                <w:lang w:val="es-ES_tradnl"/>
              </w:rPr>
              <w:t>Las víctimas que hayan sido victimizadas con anterioridad a la promulgación de la presente ley, y no hayan rendido declaración ante el Ministerio Público, podrán rendirla hasta el 8 de enero de 2025, en concordancia con lo modificado por el artículo 2 de la Ley 2078 de 2021,</w:t>
            </w:r>
            <w:r w:rsidRPr="00214288">
              <w:rPr>
                <w:rFonts w:ascii="Century Gothic" w:hAnsi="Century Gothic"/>
                <w:i/>
                <w:lang w:val="es-ES_tradnl"/>
              </w:rPr>
              <w:t xml:space="preserve"> </w:t>
            </w:r>
            <w:r w:rsidRPr="00214288">
              <w:rPr>
                <w:rFonts w:ascii="Century Gothic" w:hAnsi="Century Gothic"/>
                <w:bCs/>
                <w:i/>
                <w:lang w:val="es-ES_tradnl"/>
              </w:rPr>
              <w:t>"Por medio de la cual se modifica la ley 1448 de 2011 y los Decretos Ley étnicos 4633 de 2011, 4634 de 2011y 4635 de 2011, prorrogando por 10 años su vigencia".</w:t>
            </w:r>
          </w:p>
        </w:tc>
        <w:tc>
          <w:tcPr>
            <w:tcW w:w="3184" w:type="dxa"/>
          </w:tcPr>
          <w:p w14:paraId="76DD9279" w14:textId="77777777" w:rsidR="00214288" w:rsidRPr="00214288" w:rsidRDefault="00214288" w:rsidP="000D1F0E">
            <w:pPr>
              <w:jc w:val="both"/>
              <w:rPr>
                <w:rFonts w:ascii="Century Gothic" w:hAnsi="Century Gothic"/>
                <w:b/>
                <w:lang w:val="es-ES_tradnl"/>
              </w:rPr>
            </w:pPr>
            <w:r w:rsidRPr="00214288">
              <w:rPr>
                <w:rFonts w:ascii="Century Gothic" w:hAnsi="Century Gothic"/>
                <w:b/>
                <w:lang w:val="es-ES_tradnl"/>
              </w:rPr>
              <w:lastRenderedPageBreak/>
              <w:t xml:space="preserve">Artículo 3º. </w:t>
            </w:r>
            <w:r w:rsidRPr="00214288">
              <w:rPr>
                <w:rFonts w:ascii="Century Gothic" w:hAnsi="Century Gothic"/>
                <w:bCs/>
                <w:lang w:val="es-ES_tradnl"/>
              </w:rPr>
              <w:t>Modifíquese e inclúyase un parágrafo transitorio al artículo 155 de la Ley 1448 de 2011, el cual quedará así:</w:t>
            </w:r>
          </w:p>
          <w:p w14:paraId="41C27369" w14:textId="77777777" w:rsidR="00D2667B" w:rsidRDefault="00214288" w:rsidP="000D1F0E">
            <w:pPr>
              <w:jc w:val="both"/>
              <w:rPr>
                <w:rFonts w:ascii="Century Gothic" w:hAnsi="Century Gothic"/>
                <w:lang w:val="es-ES_tradnl"/>
              </w:rPr>
            </w:pPr>
            <w:r w:rsidRPr="00214288">
              <w:rPr>
                <w:rFonts w:ascii="Century Gothic" w:hAnsi="Century Gothic"/>
                <w:b/>
                <w:bCs/>
                <w:lang w:val="es-ES_tradnl"/>
              </w:rPr>
              <w:t>ARTÍCULO 155. SOLICITUD DE REGISTRO DE LAS VÍCTIMAS.</w:t>
            </w:r>
            <w:r w:rsidRPr="00214288">
              <w:rPr>
                <w:rFonts w:ascii="Century Gothic" w:hAnsi="Century Gothic"/>
                <w:lang w:val="es-ES_tradnl"/>
              </w:rPr>
              <w:t xml:space="preserve"> Las víctimas deberán presentar una declaración ante el Ministerio Público en un término de cuatro (4) años contados a partir de la promulgación de la presente ley para quienes hayan sido victimizadas con anterioridad a ese momento, y de tres (3) años contados a partir de la ocurrencia del hecho respecto de quienes lo sean con posterioridad a la vigencia de la ley, conforme a los requisitos que para tal efecto defina el Gobierno Nacional, y a través del instrumento que diseñe la Unidad Administrativa Especial </w:t>
            </w:r>
          </w:p>
          <w:p w14:paraId="30967D99" w14:textId="77777777" w:rsidR="00D2667B" w:rsidRDefault="00D2667B" w:rsidP="000D1F0E">
            <w:pPr>
              <w:jc w:val="both"/>
              <w:rPr>
                <w:rFonts w:ascii="Century Gothic" w:hAnsi="Century Gothic"/>
                <w:lang w:val="es-ES_tradnl"/>
              </w:rPr>
            </w:pPr>
          </w:p>
          <w:p w14:paraId="49FAB233" w14:textId="77777777" w:rsidR="00D2667B" w:rsidRDefault="00D2667B" w:rsidP="000D1F0E">
            <w:pPr>
              <w:jc w:val="both"/>
              <w:rPr>
                <w:rFonts w:ascii="Century Gothic" w:hAnsi="Century Gothic"/>
                <w:lang w:val="es-ES_tradnl"/>
              </w:rPr>
            </w:pPr>
          </w:p>
          <w:p w14:paraId="2D491169" w14:textId="185D2FAD" w:rsidR="00214288" w:rsidRPr="00214288" w:rsidRDefault="00214288" w:rsidP="000D1F0E">
            <w:pPr>
              <w:jc w:val="both"/>
              <w:rPr>
                <w:rFonts w:ascii="Century Gothic" w:hAnsi="Century Gothic"/>
                <w:lang w:val="es-ES_tradnl"/>
              </w:rPr>
            </w:pPr>
            <w:r w:rsidRPr="00214288">
              <w:rPr>
                <w:rFonts w:ascii="Century Gothic" w:hAnsi="Century Gothic"/>
                <w:lang w:val="es-ES_tradnl"/>
              </w:rPr>
              <w:t>para la Atención y Reparación Integral a las víctimas, el cual será de uso obligatorio por las entidades que conforman el Ministerio Público.</w:t>
            </w:r>
          </w:p>
          <w:p w14:paraId="672DC0E2"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En el evento de fuerza mayor que haya impedido a la víctima presentar la solicitud de registro en el término establecido en este artículo, se empezará a contar el mismo desde el momento en que cesen las circunstancias que motivaron tal impedimento, para lo cual deberá informar de ello al Ministerio Público quien remitirá tal información a la Unidad Administrativa Especial para la Atención y Reparación Integral a las Víctimas.</w:t>
            </w:r>
          </w:p>
          <w:p w14:paraId="614D92D7"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La valoración que realice el funcionario encargado de realizar el proceso de valoración debe respetar los principios constitucionales de dignidad, buena fe, confianza legítima y prevalencia del derecho sustancial.</w:t>
            </w:r>
          </w:p>
          <w:p w14:paraId="6DC77840" w14:textId="77777777" w:rsidR="005604BB" w:rsidRDefault="00214288" w:rsidP="000D1F0E">
            <w:pPr>
              <w:jc w:val="both"/>
              <w:rPr>
                <w:rFonts w:ascii="Century Gothic" w:hAnsi="Century Gothic"/>
                <w:lang w:val="es-ES_tradnl"/>
              </w:rPr>
            </w:pPr>
            <w:r w:rsidRPr="00214288">
              <w:rPr>
                <w:rFonts w:ascii="Century Gothic" w:hAnsi="Century Gothic"/>
                <w:b/>
                <w:bCs/>
                <w:lang w:val="es-ES_tradnl"/>
              </w:rPr>
              <w:t>PARÁGRAFO.</w:t>
            </w:r>
            <w:r w:rsidRPr="00214288">
              <w:rPr>
                <w:rFonts w:ascii="Century Gothic" w:hAnsi="Century Gothic"/>
                <w:lang w:val="es-ES_tradnl"/>
              </w:rPr>
              <w:t xml:space="preserve"> Las personas que se encuentren actualmente registradas como víctimas, luego de un proceso de valoración, </w:t>
            </w:r>
          </w:p>
          <w:p w14:paraId="4637F1D3" w14:textId="77777777" w:rsidR="005604BB" w:rsidRDefault="005604BB" w:rsidP="000D1F0E">
            <w:pPr>
              <w:jc w:val="both"/>
              <w:rPr>
                <w:rFonts w:ascii="Century Gothic" w:hAnsi="Century Gothic"/>
                <w:lang w:val="es-ES_tradnl"/>
              </w:rPr>
            </w:pPr>
          </w:p>
          <w:p w14:paraId="50FC2F70" w14:textId="77777777" w:rsidR="005604BB" w:rsidRDefault="005604BB" w:rsidP="000D1F0E">
            <w:pPr>
              <w:jc w:val="both"/>
              <w:rPr>
                <w:rFonts w:ascii="Century Gothic" w:hAnsi="Century Gothic"/>
                <w:lang w:val="es-ES_tradnl"/>
              </w:rPr>
            </w:pPr>
          </w:p>
          <w:p w14:paraId="78071BCB" w14:textId="6B44FF1F" w:rsidR="00214288" w:rsidRPr="00214288" w:rsidRDefault="00214288" w:rsidP="000D1F0E">
            <w:pPr>
              <w:jc w:val="both"/>
              <w:rPr>
                <w:rFonts w:ascii="Century Gothic" w:hAnsi="Century Gothic"/>
                <w:lang w:val="es-ES_tradnl"/>
              </w:rPr>
            </w:pPr>
            <w:r w:rsidRPr="00214288">
              <w:rPr>
                <w:rFonts w:ascii="Century Gothic" w:hAnsi="Century Gothic"/>
                <w:lang w:val="es-ES_tradnl"/>
              </w:rPr>
              <w:t xml:space="preserve">no tendrán que presentar una declaración adicional por los mismos hechos </w:t>
            </w:r>
            <w:proofErr w:type="spellStart"/>
            <w:r w:rsidRPr="00214288">
              <w:rPr>
                <w:rFonts w:ascii="Century Gothic" w:hAnsi="Century Gothic"/>
                <w:lang w:val="es-ES_tradnl"/>
              </w:rPr>
              <w:t>victimizantes</w:t>
            </w:r>
            <w:proofErr w:type="spellEnd"/>
            <w:r w:rsidRPr="00214288">
              <w:rPr>
                <w:rFonts w:ascii="Century Gothic" w:hAnsi="Century Gothic"/>
                <w:lang w:val="es-ES_tradnl"/>
              </w:rPr>
              <w:t>. Para efectos de determinar si la persona ya se encuentra registrada, se tendrán en cuenta las bases de datos existentes al momento de la expedición de la presente Ley.</w:t>
            </w:r>
          </w:p>
          <w:p w14:paraId="43C224D8"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 xml:space="preserve">En los eventos en que la persona refiera hechos </w:t>
            </w:r>
            <w:proofErr w:type="spellStart"/>
            <w:r w:rsidRPr="00214288">
              <w:rPr>
                <w:rFonts w:ascii="Century Gothic" w:hAnsi="Century Gothic"/>
                <w:lang w:val="es-ES_tradnl"/>
              </w:rPr>
              <w:t>victimizantes</w:t>
            </w:r>
            <w:proofErr w:type="spellEnd"/>
            <w:r w:rsidRPr="00214288">
              <w:rPr>
                <w:rFonts w:ascii="Century Gothic" w:hAnsi="Century Gothic"/>
                <w:lang w:val="es-ES_tradnl"/>
              </w:rPr>
              <w:t xml:space="preserve"> adicionales a los contenidos en las bases de datos existentes, deberá presentar la declaración a la que se refiere el presente artículo.</w:t>
            </w:r>
          </w:p>
          <w:p w14:paraId="0A0C541B" w14:textId="77777777" w:rsidR="00214288" w:rsidRPr="00214288" w:rsidRDefault="00214288" w:rsidP="000D1F0E">
            <w:pPr>
              <w:jc w:val="both"/>
              <w:rPr>
                <w:rFonts w:ascii="Century Gothic" w:hAnsi="Century Gothic"/>
                <w:lang w:val="es-ES_tradnl"/>
              </w:rPr>
            </w:pPr>
            <w:r w:rsidRPr="00214288">
              <w:rPr>
                <w:rFonts w:ascii="Century Gothic" w:hAnsi="Century Gothic"/>
                <w:b/>
                <w:lang w:val="es-ES_tradnl"/>
              </w:rPr>
              <w:t xml:space="preserve">PARÁGRAFO TRANSITORIO. </w:t>
            </w:r>
            <w:r w:rsidRPr="00214288">
              <w:rPr>
                <w:rFonts w:ascii="Century Gothic" w:hAnsi="Century Gothic"/>
                <w:lang w:val="es-ES_tradnl"/>
              </w:rPr>
              <w:t>Las víctimas que hayan sido victimizadas con anterioridad a la promulgación de la presente ley, y no hayan rendido declaración ante el Ministerio Público, podrán rendirla hasta el 8 de enero de 2025, en concordancia con lo modificado por el artículo 2 de la Ley 2078 de 2021,</w:t>
            </w:r>
            <w:r w:rsidRPr="00214288">
              <w:rPr>
                <w:rFonts w:ascii="Century Gothic" w:hAnsi="Century Gothic"/>
                <w:i/>
                <w:lang w:val="es-ES_tradnl"/>
              </w:rPr>
              <w:t xml:space="preserve"> </w:t>
            </w:r>
            <w:r w:rsidRPr="00214288">
              <w:rPr>
                <w:rFonts w:ascii="Century Gothic" w:hAnsi="Century Gothic"/>
                <w:bCs/>
                <w:i/>
                <w:lang w:val="es-ES_tradnl"/>
              </w:rPr>
              <w:t>"Por medio de la cual se modifica la ley 1448 de 2011 y los Decretos Ley étnicos 4633 de 2011, 4634 de 2011y 4635 de 2011, prorrogando por 10 años su vigencia".</w:t>
            </w:r>
          </w:p>
        </w:tc>
        <w:tc>
          <w:tcPr>
            <w:tcW w:w="2515" w:type="dxa"/>
          </w:tcPr>
          <w:p w14:paraId="160336ED"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lastRenderedPageBreak/>
              <w:t>Sin modificaciones.</w:t>
            </w:r>
          </w:p>
        </w:tc>
      </w:tr>
      <w:tr w:rsidR="00214288" w:rsidRPr="00214288" w14:paraId="455D10E4" w14:textId="77777777" w:rsidTr="000415B3">
        <w:tc>
          <w:tcPr>
            <w:tcW w:w="3129" w:type="dxa"/>
          </w:tcPr>
          <w:p w14:paraId="315705B3" w14:textId="77777777" w:rsidR="005604BB" w:rsidRDefault="005604BB" w:rsidP="000D1F0E">
            <w:pPr>
              <w:jc w:val="both"/>
              <w:rPr>
                <w:rFonts w:ascii="Century Gothic" w:hAnsi="Century Gothic"/>
                <w:b/>
                <w:lang w:val="es-ES_tradnl"/>
              </w:rPr>
            </w:pPr>
          </w:p>
          <w:p w14:paraId="0F46ABD0" w14:textId="77777777" w:rsidR="005604BB" w:rsidRDefault="005604BB" w:rsidP="000D1F0E">
            <w:pPr>
              <w:jc w:val="both"/>
              <w:rPr>
                <w:rFonts w:ascii="Century Gothic" w:hAnsi="Century Gothic"/>
                <w:b/>
                <w:lang w:val="es-ES_tradnl"/>
              </w:rPr>
            </w:pPr>
          </w:p>
          <w:p w14:paraId="1426063C" w14:textId="72826417" w:rsidR="00214288" w:rsidRPr="00214288" w:rsidRDefault="00214288" w:rsidP="000D1F0E">
            <w:pPr>
              <w:jc w:val="both"/>
              <w:rPr>
                <w:rFonts w:ascii="Century Gothic" w:hAnsi="Century Gothic"/>
                <w:lang w:val="es-ES_tradnl"/>
              </w:rPr>
            </w:pPr>
            <w:r w:rsidRPr="00214288">
              <w:rPr>
                <w:rFonts w:ascii="Century Gothic" w:hAnsi="Century Gothic"/>
                <w:b/>
                <w:lang w:val="es-ES_tradnl"/>
              </w:rPr>
              <w:t xml:space="preserve">Artículo 4°. </w:t>
            </w:r>
            <w:r w:rsidRPr="00214288">
              <w:rPr>
                <w:rFonts w:ascii="Century Gothic" w:hAnsi="Century Gothic"/>
                <w:lang w:val="es-ES_tradnl"/>
              </w:rPr>
              <w:t>La Unidad para la Atención y Reparación Integral a las Víctimas en el marco de sus competencias y garantizando la participación de la Mesa Nacional de Víctimas, tendrá un plazo de tres meses (3) contados a partir de la expedición de la presente ley para elaborar un Plan de Acción en el que se establezcan medidas frente a las barreras que limitan o impiden a las víctimas realizar su declaración ante el Ministerio Público.</w:t>
            </w:r>
          </w:p>
          <w:p w14:paraId="11C9E293" w14:textId="77777777" w:rsidR="00214288" w:rsidRPr="00214288" w:rsidRDefault="00214288" w:rsidP="000D1F0E">
            <w:pPr>
              <w:jc w:val="both"/>
              <w:rPr>
                <w:rFonts w:ascii="Century Gothic" w:hAnsi="Century Gothic"/>
                <w:b/>
                <w:lang w:val="es-ES_tradnl"/>
              </w:rPr>
            </w:pPr>
          </w:p>
        </w:tc>
        <w:tc>
          <w:tcPr>
            <w:tcW w:w="3184" w:type="dxa"/>
          </w:tcPr>
          <w:p w14:paraId="3C831AED" w14:textId="77777777" w:rsidR="005604BB" w:rsidRDefault="005604BB" w:rsidP="000D1F0E">
            <w:pPr>
              <w:jc w:val="both"/>
              <w:rPr>
                <w:rFonts w:ascii="Century Gothic" w:hAnsi="Century Gothic"/>
                <w:b/>
                <w:lang w:val="es-ES_tradnl"/>
              </w:rPr>
            </w:pPr>
          </w:p>
          <w:p w14:paraId="5CAC3C1E" w14:textId="77777777" w:rsidR="005604BB" w:rsidRDefault="005604BB" w:rsidP="000D1F0E">
            <w:pPr>
              <w:jc w:val="both"/>
              <w:rPr>
                <w:rFonts w:ascii="Century Gothic" w:hAnsi="Century Gothic"/>
                <w:b/>
                <w:lang w:val="es-ES_tradnl"/>
              </w:rPr>
            </w:pPr>
          </w:p>
          <w:p w14:paraId="0905CC6A" w14:textId="0CACCFCA" w:rsidR="00214288" w:rsidRPr="00214288" w:rsidRDefault="00214288" w:rsidP="000D1F0E">
            <w:pPr>
              <w:jc w:val="both"/>
              <w:rPr>
                <w:rFonts w:ascii="Century Gothic" w:hAnsi="Century Gothic"/>
                <w:lang w:val="es-ES_tradnl"/>
              </w:rPr>
            </w:pPr>
            <w:r w:rsidRPr="00214288">
              <w:rPr>
                <w:rFonts w:ascii="Century Gothic" w:hAnsi="Century Gothic"/>
                <w:b/>
                <w:lang w:val="es-ES_tradnl"/>
              </w:rPr>
              <w:t xml:space="preserve">Artículo 4°. </w:t>
            </w:r>
            <w:r w:rsidRPr="00214288">
              <w:rPr>
                <w:rFonts w:ascii="Century Gothic" w:hAnsi="Century Gothic"/>
                <w:lang w:val="es-ES_tradnl"/>
              </w:rPr>
              <w:t>La Unidad para la Atención y Reparación Integral a las Víctimas</w:t>
            </w:r>
            <w:r w:rsidRPr="00214288">
              <w:rPr>
                <w:rFonts w:ascii="Century Gothic" w:hAnsi="Century Gothic"/>
                <w:b/>
                <w:u w:val="single"/>
                <w:lang w:val="es-ES_tradnl"/>
              </w:rPr>
              <w:t>,</w:t>
            </w:r>
            <w:r w:rsidRPr="00214288">
              <w:rPr>
                <w:rFonts w:ascii="Century Gothic" w:hAnsi="Century Gothic"/>
                <w:lang w:val="es-ES_tradnl"/>
              </w:rPr>
              <w:t xml:space="preserve"> en el marco de sus competencias y garantizando la participación de la Mesa Nacional de Víctimas, tendrá </w:t>
            </w:r>
            <w:r w:rsidRPr="00214288">
              <w:rPr>
                <w:rFonts w:ascii="Century Gothic" w:hAnsi="Century Gothic"/>
                <w:b/>
                <w:u w:val="single"/>
                <w:lang w:val="es-ES_tradnl"/>
              </w:rPr>
              <w:t>en</w:t>
            </w:r>
            <w:r w:rsidRPr="00214288">
              <w:rPr>
                <w:rFonts w:ascii="Century Gothic" w:hAnsi="Century Gothic"/>
                <w:b/>
                <w:lang w:val="es-ES_tradnl"/>
              </w:rPr>
              <w:t xml:space="preserve"> </w:t>
            </w:r>
            <w:r w:rsidRPr="00214288">
              <w:rPr>
                <w:rFonts w:ascii="Century Gothic" w:hAnsi="Century Gothic"/>
                <w:lang w:val="es-ES_tradnl"/>
              </w:rPr>
              <w:t xml:space="preserve">un plazo de tres meses (3) </w:t>
            </w:r>
            <w:r w:rsidRPr="00214288">
              <w:rPr>
                <w:rFonts w:ascii="Century Gothic" w:hAnsi="Century Gothic"/>
                <w:b/>
                <w:u w:val="single"/>
                <w:lang w:val="es-ES_tradnl"/>
              </w:rPr>
              <w:t>meses</w:t>
            </w:r>
            <w:r w:rsidRPr="00214288">
              <w:rPr>
                <w:rFonts w:ascii="Century Gothic" w:hAnsi="Century Gothic"/>
                <w:lang w:val="es-ES_tradnl"/>
              </w:rPr>
              <w:t xml:space="preserve"> contados a partir de la expedición </w:t>
            </w:r>
            <w:r w:rsidRPr="00214288">
              <w:rPr>
                <w:rFonts w:ascii="Century Gothic" w:hAnsi="Century Gothic"/>
                <w:b/>
                <w:u w:val="single"/>
                <w:lang w:val="es-ES_tradnl"/>
              </w:rPr>
              <w:t>promulgación</w:t>
            </w:r>
            <w:r w:rsidRPr="00214288">
              <w:rPr>
                <w:rFonts w:ascii="Century Gothic" w:hAnsi="Century Gothic"/>
                <w:lang w:val="es-ES_tradnl"/>
              </w:rPr>
              <w:t xml:space="preserve"> de la presente </w:t>
            </w:r>
            <w:proofErr w:type="spellStart"/>
            <w:r w:rsidRPr="00214288">
              <w:rPr>
                <w:rFonts w:ascii="Century Gothic" w:hAnsi="Century Gothic"/>
                <w:lang w:val="es-ES_tradnl"/>
              </w:rPr>
              <w:t>l</w:t>
            </w:r>
            <w:r w:rsidRPr="00214288">
              <w:rPr>
                <w:rFonts w:ascii="Century Gothic" w:hAnsi="Century Gothic"/>
                <w:b/>
                <w:u w:val="single"/>
                <w:lang w:val="es-ES_tradnl"/>
              </w:rPr>
              <w:t>L</w:t>
            </w:r>
            <w:r w:rsidRPr="00214288">
              <w:rPr>
                <w:rFonts w:ascii="Century Gothic" w:hAnsi="Century Gothic"/>
                <w:lang w:val="es-ES_tradnl"/>
              </w:rPr>
              <w:t>ey</w:t>
            </w:r>
            <w:proofErr w:type="spellEnd"/>
            <w:r w:rsidRPr="00214288">
              <w:rPr>
                <w:rFonts w:ascii="Century Gothic" w:hAnsi="Century Gothic"/>
                <w:b/>
                <w:u w:val="single"/>
                <w:lang w:val="es-ES_tradnl"/>
              </w:rPr>
              <w:t>,</w:t>
            </w:r>
            <w:r w:rsidRPr="00214288">
              <w:rPr>
                <w:rFonts w:ascii="Century Gothic" w:hAnsi="Century Gothic"/>
                <w:lang w:val="es-ES_tradnl"/>
              </w:rPr>
              <w:t xml:space="preserve"> para elaborar</w:t>
            </w:r>
            <w:r w:rsidRPr="00214288">
              <w:rPr>
                <w:rFonts w:ascii="Century Gothic" w:hAnsi="Century Gothic"/>
                <w:b/>
                <w:u w:val="single"/>
                <w:lang w:val="es-ES_tradnl"/>
              </w:rPr>
              <w:t>á</w:t>
            </w:r>
            <w:r w:rsidRPr="00214288">
              <w:rPr>
                <w:rFonts w:ascii="Century Gothic" w:hAnsi="Century Gothic"/>
                <w:lang w:val="es-ES_tradnl"/>
              </w:rPr>
              <w:t xml:space="preserve"> un Plan de Acción en el que se </w:t>
            </w:r>
            <w:r w:rsidRPr="00214288">
              <w:rPr>
                <w:rFonts w:ascii="Century Gothic" w:hAnsi="Century Gothic"/>
                <w:b/>
                <w:u w:val="single"/>
                <w:lang w:val="es-ES_tradnl"/>
              </w:rPr>
              <w:t>identifiquen</w:t>
            </w:r>
            <w:r w:rsidRPr="00214288">
              <w:rPr>
                <w:rFonts w:ascii="Century Gothic" w:hAnsi="Century Gothic"/>
                <w:lang w:val="es-ES_tradnl"/>
              </w:rPr>
              <w:t xml:space="preserve"> </w:t>
            </w:r>
            <w:r w:rsidRPr="00214288">
              <w:rPr>
                <w:rFonts w:ascii="Century Gothic" w:hAnsi="Century Gothic"/>
                <w:b/>
                <w:u w:val="single"/>
                <w:lang w:val="es-ES_tradnl"/>
              </w:rPr>
              <w:t>y</w:t>
            </w:r>
            <w:r w:rsidRPr="00214288">
              <w:rPr>
                <w:rFonts w:ascii="Century Gothic" w:hAnsi="Century Gothic"/>
                <w:lang w:val="es-ES_tradnl"/>
              </w:rPr>
              <w:t xml:space="preserve"> establezcan medidas frente </w:t>
            </w:r>
            <w:r w:rsidRPr="00214288">
              <w:rPr>
                <w:rFonts w:ascii="Century Gothic" w:hAnsi="Century Gothic"/>
                <w:b/>
                <w:u w:val="single"/>
                <w:lang w:val="es-ES_tradnl"/>
              </w:rPr>
              <w:t>tendientes</w:t>
            </w:r>
            <w:r w:rsidRPr="00214288">
              <w:rPr>
                <w:rFonts w:ascii="Century Gothic" w:hAnsi="Century Gothic"/>
                <w:lang w:val="es-ES_tradnl"/>
              </w:rPr>
              <w:t xml:space="preserve"> a </w:t>
            </w:r>
            <w:r w:rsidRPr="00214288">
              <w:rPr>
                <w:rFonts w:ascii="Century Gothic" w:hAnsi="Century Gothic"/>
                <w:b/>
                <w:u w:val="single"/>
                <w:lang w:val="es-ES_tradnl"/>
              </w:rPr>
              <w:t>mitigar</w:t>
            </w:r>
            <w:r w:rsidRPr="00214288">
              <w:rPr>
                <w:rFonts w:ascii="Century Gothic" w:hAnsi="Century Gothic"/>
                <w:lang w:val="es-ES_tradnl"/>
              </w:rPr>
              <w:t xml:space="preserve"> las barreras que </w:t>
            </w:r>
            <w:proofErr w:type="spellStart"/>
            <w:r w:rsidRPr="00214288">
              <w:rPr>
                <w:rFonts w:ascii="Century Gothic" w:hAnsi="Century Gothic"/>
                <w:lang w:val="es-ES_tradnl"/>
              </w:rPr>
              <w:t>limita</w:t>
            </w:r>
            <w:r w:rsidRPr="00214288">
              <w:rPr>
                <w:rFonts w:ascii="Century Gothic" w:hAnsi="Century Gothic"/>
                <w:b/>
                <w:u w:val="single"/>
                <w:lang w:val="es-ES_tradnl"/>
              </w:rPr>
              <w:t>e</w:t>
            </w:r>
            <w:r w:rsidRPr="00214288">
              <w:rPr>
                <w:rFonts w:ascii="Century Gothic" w:hAnsi="Century Gothic"/>
                <w:lang w:val="es-ES_tradnl"/>
              </w:rPr>
              <w:t>n</w:t>
            </w:r>
            <w:proofErr w:type="spellEnd"/>
            <w:r w:rsidRPr="00214288">
              <w:rPr>
                <w:rFonts w:ascii="Century Gothic" w:hAnsi="Century Gothic"/>
                <w:lang w:val="es-ES_tradnl"/>
              </w:rPr>
              <w:t xml:space="preserve"> o </w:t>
            </w:r>
            <w:proofErr w:type="spellStart"/>
            <w:r w:rsidRPr="00214288">
              <w:rPr>
                <w:rFonts w:ascii="Century Gothic" w:hAnsi="Century Gothic"/>
                <w:lang w:val="es-ES_tradnl"/>
              </w:rPr>
              <w:t>impid</w:t>
            </w:r>
            <w:r w:rsidRPr="00214288">
              <w:rPr>
                <w:rFonts w:ascii="Century Gothic" w:hAnsi="Century Gothic"/>
                <w:b/>
                <w:u w:val="single"/>
                <w:lang w:val="es-ES_tradnl"/>
              </w:rPr>
              <w:t>a</w:t>
            </w:r>
            <w:r w:rsidRPr="00214288">
              <w:rPr>
                <w:rFonts w:ascii="Century Gothic" w:hAnsi="Century Gothic"/>
                <w:lang w:val="es-ES_tradnl"/>
              </w:rPr>
              <w:t>en</w:t>
            </w:r>
            <w:proofErr w:type="spellEnd"/>
            <w:r w:rsidRPr="00214288">
              <w:rPr>
                <w:rFonts w:ascii="Century Gothic" w:hAnsi="Century Gothic"/>
                <w:lang w:val="es-ES_tradnl"/>
              </w:rPr>
              <w:t xml:space="preserve"> </w:t>
            </w:r>
            <w:r w:rsidRPr="00214288">
              <w:rPr>
                <w:rFonts w:ascii="Century Gothic" w:hAnsi="Century Gothic"/>
                <w:b/>
                <w:u w:val="single"/>
                <w:lang w:val="es-ES_tradnl"/>
              </w:rPr>
              <w:t>a aquellas personas que se consideren</w:t>
            </w:r>
            <w:r w:rsidRPr="00214288">
              <w:rPr>
                <w:rFonts w:ascii="Century Gothic" w:hAnsi="Century Gothic"/>
                <w:lang w:val="es-ES_tradnl"/>
              </w:rPr>
              <w:t xml:space="preserve"> a las </w:t>
            </w:r>
            <w:r w:rsidRPr="00214288">
              <w:rPr>
                <w:rFonts w:ascii="Century Gothic" w:hAnsi="Century Gothic"/>
                <w:b/>
                <w:u w:val="single"/>
                <w:lang w:val="es-ES_tradnl"/>
              </w:rPr>
              <w:t>víctimas del conflicto armado, en los términos del artículo 3 de la Ley 1448 de 2011,</w:t>
            </w:r>
            <w:r w:rsidRPr="00214288">
              <w:rPr>
                <w:rFonts w:ascii="Century Gothic" w:hAnsi="Century Gothic"/>
                <w:lang w:val="es-ES_tradnl"/>
              </w:rPr>
              <w:t xml:space="preserve"> realizar su declaración ante el Ministerio Público.</w:t>
            </w:r>
          </w:p>
        </w:tc>
        <w:tc>
          <w:tcPr>
            <w:tcW w:w="2515" w:type="dxa"/>
          </w:tcPr>
          <w:p w14:paraId="34382AE2" w14:textId="77777777" w:rsidR="005604BB" w:rsidRDefault="005604BB" w:rsidP="000D1F0E">
            <w:pPr>
              <w:jc w:val="both"/>
              <w:rPr>
                <w:rFonts w:ascii="Century Gothic" w:hAnsi="Century Gothic"/>
                <w:lang w:val="es-ES_tradnl"/>
              </w:rPr>
            </w:pPr>
          </w:p>
          <w:p w14:paraId="36603061" w14:textId="77777777" w:rsidR="005604BB" w:rsidRDefault="005604BB" w:rsidP="000D1F0E">
            <w:pPr>
              <w:jc w:val="both"/>
              <w:rPr>
                <w:rFonts w:ascii="Century Gothic" w:hAnsi="Century Gothic"/>
                <w:lang w:val="es-ES_tradnl"/>
              </w:rPr>
            </w:pPr>
          </w:p>
          <w:p w14:paraId="3E7FBC06" w14:textId="69D1F2E5" w:rsidR="00214288" w:rsidRPr="00214288" w:rsidRDefault="00214288" w:rsidP="000D1F0E">
            <w:pPr>
              <w:jc w:val="both"/>
              <w:rPr>
                <w:rFonts w:ascii="Century Gothic" w:hAnsi="Century Gothic"/>
                <w:lang w:val="es-ES_tradnl"/>
              </w:rPr>
            </w:pPr>
            <w:r w:rsidRPr="00214288">
              <w:rPr>
                <w:rFonts w:ascii="Century Gothic" w:hAnsi="Century Gothic"/>
                <w:lang w:val="es-ES_tradnl"/>
              </w:rPr>
              <w:t>Se ajusta redacción.</w:t>
            </w:r>
          </w:p>
        </w:tc>
      </w:tr>
      <w:tr w:rsidR="00214288" w:rsidRPr="00214288" w14:paraId="5B17D0C3" w14:textId="77777777" w:rsidTr="000415B3">
        <w:tc>
          <w:tcPr>
            <w:tcW w:w="3129" w:type="dxa"/>
          </w:tcPr>
          <w:p w14:paraId="1E5DC516" w14:textId="77777777" w:rsidR="00214288" w:rsidRPr="00214288" w:rsidRDefault="00214288" w:rsidP="000D1F0E">
            <w:pPr>
              <w:jc w:val="both"/>
              <w:rPr>
                <w:rFonts w:ascii="Century Gothic" w:hAnsi="Century Gothic"/>
                <w:lang w:val="es-ES_tradnl"/>
              </w:rPr>
            </w:pPr>
            <w:r w:rsidRPr="00214288">
              <w:rPr>
                <w:rFonts w:ascii="Century Gothic" w:hAnsi="Century Gothic"/>
                <w:b/>
                <w:lang w:val="es-ES_tradnl"/>
              </w:rPr>
              <w:t>Artículo 5°. Vigencia.</w:t>
            </w:r>
            <w:r w:rsidRPr="00214288">
              <w:rPr>
                <w:rFonts w:ascii="Century Gothic" w:hAnsi="Century Gothic"/>
                <w:lang w:val="es-ES_tradnl"/>
              </w:rPr>
              <w:t xml:space="preserve"> La presente Ley rige a partir de su promulgación, tendrá una vigencia hasta el 10 de junio de 2031 y deroga todas las disposiciones que le sean contrarias.</w:t>
            </w:r>
          </w:p>
        </w:tc>
        <w:tc>
          <w:tcPr>
            <w:tcW w:w="3184" w:type="dxa"/>
          </w:tcPr>
          <w:p w14:paraId="0E5E90B2" w14:textId="77777777" w:rsidR="00214288" w:rsidRPr="00214288" w:rsidRDefault="00214288" w:rsidP="000D1F0E">
            <w:pPr>
              <w:jc w:val="both"/>
              <w:rPr>
                <w:rFonts w:ascii="Century Gothic" w:hAnsi="Century Gothic"/>
                <w:lang w:val="es-ES_tradnl"/>
              </w:rPr>
            </w:pPr>
            <w:r w:rsidRPr="00214288">
              <w:rPr>
                <w:rFonts w:ascii="Century Gothic" w:hAnsi="Century Gothic"/>
                <w:b/>
                <w:lang w:val="es-ES_tradnl"/>
              </w:rPr>
              <w:t>Artículo 5°. Vigencia.</w:t>
            </w:r>
            <w:r w:rsidRPr="00214288">
              <w:rPr>
                <w:rFonts w:ascii="Century Gothic" w:hAnsi="Century Gothic"/>
                <w:lang w:val="es-ES_tradnl"/>
              </w:rPr>
              <w:t xml:space="preserve"> La presente Ley rige a partir de su promulgación, tendrá una vigencia hasta el 10 de junio de 2031 y deroga todas las disposiciones que le sean contrarias.</w:t>
            </w:r>
          </w:p>
        </w:tc>
        <w:tc>
          <w:tcPr>
            <w:tcW w:w="2515" w:type="dxa"/>
          </w:tcPr>
          <w:p w14:paraId="5CE1BCE0"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Sin modificaciones.</w:t>
            </w:r>
          </w:p>
        </w:tc>
      </w:tr>
    </w:tbl>
    <w:p w14:paraId="068B0EC7" w14:textId="77777777" w:rsidR="00214288" w:rsidRDefault="00214288" w:rsidP="000D1F0E">
      <w:pPr>
        <w:jc w:val="both"/>
        <w:rPr>
          <w:rFonts w:ascii="Century Gothic" w:hAnsi="Century Gothic"/>
          <w:b/>
        </w:rPr>
      </w:pPr>
    </w:p>
    <w:p w14:paraId="22AA153E" w14:textId="77777777" w:rsidR="00637FCC" w:rsidRDefault="00637FCC" w:rsidP="000D1F0E">
      <w:pPr>
        <w:jc w:val="both"/>
        <w:rPr>
          <w:rFonts w:ascii="Century Gothic" w:hAnsi="Century Gothic"/>
          <w:b/>
        </w:rPr>
      </w:pPr>
    </w:p>
    <w:p w14:paraId="2EA35CCE" w14:textId="77777777" w:rsidR="00637FCC" w:rsidRDefault="00637FCC" w:rsidP="000D1F0E">
      <w:pPr>
        <w:jc w:val="both"/>
        <w:rPr>
          <w:rFonts w:ascii="Century Gothic" w:hAnsi="Century Gothic"/>
          <w:b/>
        </w:rPr>
      </w:pPr>
    </w:p>
    <w:p w14:paraId="52266DF0" w14:textId="77777777" w:rsidR="00637FCC" w:rsidRDefault="00637FCC" w:rsidP="000D1F0E">
      <w:pPr>
        <w:jc w:val="both"/>
        <w:rPr>
          <w:rFonts w:ascii="Century Gothic" w:hAnsi="Century Gothic"/>
          <w:b/>
        </w:rPr>
      </w:pPr>
    </w:p>
    <w:p w14:paraId="6B15AFFE" w14:textId="77777777" w:rsidR="00637FCC" w:rsidRPr="00214288" w:rsidRDefault="00637FCC" w:rsidP="000D1F0E">
      <w:pPr>
        <w:jc w:val="both"/>
        <w:rPr>
          <w:rFonts w:ascii="Century Gothic" w:hAnsi="Century Gothic"/>
          <w:b/>
        </w:rPr>
      </w:pPr>
    </w:p>
    <w:p w14:paraId="1FC29CD2" w14:textId="77777777" w:rsidR="00214288" w:rsidRPr="00214288" w:rsidRDefault="00214288" w:rsidP="000D1F0E">
      <w:pPr>
        <w:jc w:val="both"/>
        <w:rPr>
          <w:rFonts w:ascii="Century Gothic" w:hAnsi="Century Gothic"/>
          <w:b/>
        </w:rPr>
      </w:pPr>
    </w:p>
    <w:p w14:paraId="0806E46E" w14:textId="77777777" w:rsidR="00214288" w:rsidRPr="00214288" w:rsidRDefault="00214288" w:rsidP="000D1F0E">
      <w:pPr>
        <w:numPr>
          <w:ilvl w:val="0"/>
          <w:numId w:val="5"/>
        </w:numPr>
        <w:jc w:val="both"/>
        <w:rPr>
          <w:rFonts w:ascii="Century Gothic" w:hAnsi="Century Gothic"/>
          <w:b/>
        </w:rPr>
      </w:pPr>
      <w:r w:rsidRPr="00214288">
        <w:rPr>
          <w:rFonts w:ascii="Century Gothic" w:hAnsi="Century Gothic"/>
          <w:b/>
        </w:rPr>
        <w:t>PROPOSICIÓN.</w:t>
      </w:r>
    </w:p>
    <w:p w14:paraId="4C379149" w14:textId="77777777" w:rsidR="00214288" w:rsidRPr="00214288" w:rsidRDefault="00214288" w:rsidP="000D1F0E">
      <w:pPr>
        <w:jc w:val="both"/>
        <w:rPr>
          <w:rFonts w:ascii="Century Gothic" w:hAnsi="Century Gothic"/>
          <w:b/>
          <w:i/>
        </w:rPr>
      </w:pPr>
      <w:r w:rsidRPr="00214288">
        <w:rPr>
          <w:rFonts w:ascii="Century Gothic" w:hAnsi="Century Gothic"/>
          <w:lang w:val="es-ES_tradnl"/>
        </w:rPr>
        <w:t xml:space="preserve">De conformidad con las anteriores consideraciones y en cumplimiento de los requisitos establecidos en la Ley 5ª de 1992, presento ponencia positiva con modificaciones y en consecuencia solicito a los Honorables Representantes de la Honorable Cámara de Representantes dar segundo debate y aprobar el </w:t>
      </w:r>
      <w:r w:rsidRPr="00214288">
        <w:rPr>
          <w:rFonts w:ascii="Century Gothic" w:hAnsi="Century Gothic"/>
          <w:b/>
          <w:i/>
        </w:rPr>
        <w:t xml:space="preserve">PROYECTO DE LEY 157 DE 2022 CÁMARA </w:t>
      </w:r>
      <w:r w:rsidRPr="00214288">
        <w:rPr>
          <w:rFonts w:ascii="Century Gothic" w:hAnsi="Century Gothic"/>
          <w:b/>
          <w:i/>
          <w:lang w:val="es-ES_tradnl"/>
        </w:rPr>
        <w:t>“</w:t>
      </w:r>
      <w:r w:rsidRPr="00214288">
        <w:rPr>
          <w:rFonts w:ascii="Century Gothic" w:hAnsi="Century Gothic"/>
          <w:b/>
          <w:i/>
        </w:rPr>
        <w:t>POR MEDIO DEL CUAL SE MODIFICAN LOS ARTÍCULOS 61 Y 155 DE LA LEY 1448 DE 2011, Y SE AMPLÍAN LOS TÉRMINOS PARA DECLARAR ANTE EL MINISTERIO PÚBLICO”.</w:t>
      </w:r>
    </w:p>
    <w:p w14:paraId="0ACD84B3" w14:textId="77777777" w:rsidR="00214288" w:rsidRPr="00214288" w:rsidRDefault="00214288" w:rsidP="000D1F0E">
      <w:pPr>
        <w:jc w:val="both"/>
        <w:rPr>
          <w:rFonts w:ascii="Century Gothic" w:hAnsi="Century Gothic"/>
          <w:i/>
          <w:lang w:val="es-ES_tradnl"/>
        </w:rPr>
      </w:pPr>
    </w:p>
    <w:p w14:paraId="09687F14"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Del Honorable Representante,</w:t>
      </w:r>
    </w:p>
    <w:p w14:paraId="08DFD0A6" w14:textId="77777777" w:rsidR="00214288" w:rsidRPr="00214288" w:rsidRDefault="00214288" w:rsidP="000D1F0E">
      <w:pPr>
        <w:jc w:val="both"/>
        <w:rPr>
          <w:rFonts w:ascii="Century Gothic" w:hAnsi="Century Gothic"/>
          <w:lang w:val="es-ES_tradnl"/>
        </w:rPr>
      </w:pPr>
    </w:p>
    <w:p w14:paraId="0D54347E" w14:textId="77777777" w:rsidR="00214288" w:rsidRPr="00214288" w:rsidRDefault="00214288" w:rsidP="000D1F0E">
      <w:pPr>
        <w:jc w:val="both"/>
        <w:rPr>
          <w:rFonts w:ascii="Century Gothic" w:hAnsi="Century Gothic"/>
          <w:lang w:val="es-ES_tradnl"/>
        </w:rPr>
      </w:pPr>
    </w:p>
    <w:p w14:paraId="726E847C" w14:textId="77777777" w:rsidR="00214288" w:rsidRPr="00214288" w:rsidRDefault="00214288" w:rsidP="000D1F0E">
      <w:pPr>
        <w:jc w:val="both"/>
        <w:rPr>
          <w:rFonts w:ascii="Century Gothic" w:hAnsi="Century Gothic"/>
          <w:b/>
          <w:lang w:val="es-ES_tradnl"/>
        </w:rPr>
      </w:pPr>
      <w:r w:rsidRPr="00214288">
        <w:rPr>
          <w:rFonts w:ascii="Century Gothic" w:hAnsi="Century Gothic"/>
          <w:b/>
          <w:lang w:val="es-ES_tradnl"/>
        </w:rPr>
        <w:t>ORLANDO CASTILLO ADVINCULA.</w:t>
      </w:r>
    </w:p>
    <w:p w14:paraId="14DD8A87"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 xml:space="preserve">Representante a la Cámara </w:t>
      </w:r>
    </w:p>
    <w:p w14:paraId="12180BBA" w14:textId="77777777" w:rsidR="00214288" w:rsidRPr="00214288" w:rsidRDefault="00214288" w:rsidP="000D1F0E">
      <w:pPr>
        <w:jc w:val="both"/>
        <w:rPr>
          <w:rFonts w:ascii="Century Gothic" w:hAnsi="Century Gothic"/>
          <w:lang w:val="es-ES_tradnl"/>
        </w:rPr>
      </w:pPr>
      <w:r w:rsidRPr="00214288">
        <w:rPr>
          <w:rFonts w:ascii="Century Gothic" w:hAnsi="Century Gothic"/>
          <w:lang w:val="es-ES_tradnl"/>
        </w:rPr>
        <w:t>CITREP No. 9, Pacífico Medio</w:t>
      </w:r>
    </w:p>
    <w:p w14:paraId="3F869844" w14:textId="77777777" w:rsidR="00214288" w:rsidRPr="00214288" w:rsidRDefault="00214288" w:rsidP="000D1F0E">
      <w:pPr>
        <w:jc w:val="both"/>
        <w:rPr>
          <w:rFonts w:ascii="Century Gothic" w:hAnsi="Century Gothic"/>
          <w:b/>
          <w:lang w:val="es-ES_tradnl"/>
        </w:rPr>
      </w:pPr>
    </w:p>
    <w:p w14:paraId="298C3D4D" w14:textId="77777777" w:rsidR="00214288" w:rsidRPr="00214288" w:rsidRDefault="00214288" w:rsidP="000D1F0E">
      <w:pPr>
        <w:jc w:val="both"/>
        <w:rPr>
          <w:rFonts w:ascii="Century Gothic" w:hAnsi="Century Gothic"/>
          <w:b/>
          <w:lang w:val="es-ES_tradnl"/>
        </w:rPr>
      </w:pPr>
    </w:p>
    <w:p w14:paraId="0418693A" w14:textId="77777777" w:rsidR="00214288" w:rsidRPr="00214288" w:rsidRDefault="00214288" w:rsidP="000D1F0E">
      <w:pPr>
        <w:jc w:val="both"/>
        <w:rPr>
          <w:rFonts w:ascii="Century Gothic" w:hAnsi="Century Gothic"/>
          <w:b/>
          <w:lang w:val="es-ES_tradnl"/>
        </w:rPr>
      </w:pPr>
    </w:p>
    <w:p w14:paraId="378976AA" w14:textId="77777777" w:rsidR="00214288" w:rsidRPr="00214288" w:rsidRDefault="00214288" w:rsidP="000D1F0E">
      <w:pPr>
        <w:jc w:val="both"/>
        <w:rPr>
          <w:rFonts w:ascii="Century Gothic" w:hAnsi="Century Gothic"/>
          <w:b/>
          <w:lang w:val="es-ES_tradnl"/>
        </w:rPr>
      </w:pPr>
    </w:p>
    <w:p w14:paraId="2F9A321F" w14:textId="77777777" w:rsidR="00214288" w:rsidRPr="00214288" w:rsidRDefault="00214288" w:rsidP="000D1F0E">
      <w:pPr>
        <w:jc w:val="both"/>
        <w:rPr>
          <w:rFonts w:ascii="Century Gothic" w:hAnsi="Century Gothic"/>
          <w:b/>
          <w:lang w:val="es-ES_tradnl"/>
        </w:rPr>
      </w:pPr>
    </w:p>
    <w:p w14:paraId="4981AB59" w14:textId="77777777" w:rsidR="00214288" w:rsidRPr="00214288" w:rsidRDefault="00214288" w:rsidP="000D1F0E">
      <w:pPr>
        <w:jc w:val="both"/>
        <w:rPr>
          <w:rFonts w:ascii="Century Gothic" w:hAnsi="Century Gothic"/>
          <w:b/>
          <w:lang w:val="es-ES_tradnl"/>
        </w:rPr>
      </w:pPr>
    </w:p>
    <w:p w14:paraId="0E97583E" w14:textId="77777777" w:rsidR="00214288" w:rsidRPr="00214288" w:rsidRDefault="00214288" w:rsidP="000D1F0E">
      <w:pPr>
        <w:jc w:val="both"/>
        <w:rPr>
          <w:rFonts w:ascii="Century Gothic" w:hAnsi="Century Gothic"/>
          <w:b/>
          <w:lang w:val="es-ES_tradnl"/>
        </w:rPr>
      </w:pPr>
    </w:p>
    <w:p w14:paraId="5F20ED02" w14:textId="77777777" w:rsidR="00214288" w:rsidRPr="00214288" w:rsidRDefault="00214288" w:rsidP="000D1F0E">
      <w:pPr>
        <w:jc w:val="both"/>
        <w:rPr>
          <w:rFonts w:ascii="Century Gothic" w:hAnsi="Century Gothic"/>
          <w:b/>
          <w:lang w:val="es-ES_tradnl"/>
        </w:rPr>
      </w:pPr>
    </w:p>
    <w:p w14:paraId="0D313F32" w14:textId="77777777" w:rsidR="00214288" w:rsidRPr="00214288" w:rsidRDefault="00214288" w:rsidP="000D1F0E">
      <w:pPr>
        <w:jc w:val="both"/>
        <w:rPr>
          <w:rFonts w:ascii="Century Gothic" w:hAnsi="Century Gothic"/>
          <w:b/>
          <w:lang w:val="es-ES_tradnl"/>
        </w:rPr>
      </w:pPr>
    </w:p>
    <w:p w14:paraId="35520FFF" w14:textId="77777777" w:rsidR="00214288" w:rsidRPr="00214288" w:rsidRDefault="00214288" w:rsidP="000D1F0E">
      <w:pPr>
        <w:jc w:val="both"/>
        <w:rPr>
          <w:rFonts w:ascii="Century Gothic" w:hAnsi="Century Gothic"/>
          <w:b/>
          <w:lang w:val="es-ES_tradnl"/>
        </w:rPr>
      </w:pPr>
    </w:p>
    <w:p w14:paraId="283C7145" w14:textId="77777777" w:rsidR="00214288" w:rsidRPr="00214288" w:rsidRDefault="00214288" w:rsidP="000D1F0E">
      <w:pPr>
        <w:jc w:val="both"/>
        <w:rPr>
          <w:rFonts w:ascii="Century Gothic" w:hAnsi="Century Gothic"/>
          <w:b/>
          <w:lang w:val="es-ES_tradnl"/>
        </w:rPr>
      </w:pPr>
    </w:p>
    <w:p w14:paraId="31D2306B" w14:textId="77777777" w:rsidR="00214288" w:rsidRPr="00214288" w:rsidRDefault="00214288" w:rsidP="000D1F0E">
      <w:pPr>
        <w:jc w:val="both"/>
        <w:rPr>
          <w:rFonts w:ascii="Century Gothic" w:hAnsi="Century Gothic"/>
          <w:b/>
          <w:lang w:val="es-ES_tradnl"/>
        </w:rPr>
      </w:pPr>
    </w:p>
    <w:p w14:paraId="6798563B" w14:textId="77777777" w:rsidR="00214288" w:rsidRPr="00214288" w:rsidRDefault="00214288" w:rsidP="000D1F0E">
      <w:pPr>
        <w:jc w:val="both"/>
        <w:rPr>
          <w:rFonts w:ascii="Century Gothic" w:hAnsi="Century Gothic"/>
          <w:b/>
          <w:lang w:val="es-ES_tradnl"/>
        </w:rPr>
      </w:pPr>
    </w:p>
    <w:p w14:paraId="5A30FBB6" w14:textId="77777777" w:rsidR="00214288" w:rsidRPr="00214288" w:rsidRDefault="00214288" w:rsidP="000D1F0E">
      <w:pPr>
        <w:jc w:val="both"/>
        <w:rPr>
          <w:rFonts w:ascii="Century Gothic" w:hAnsi="Century Gothic"/>
          <w:b/>
          <w:lang w:val="es-ES_tradnl"/>
        </w:rPr>
      </w:pPr>
    </w:p>
    <w:p w14:paraId="24354CA3" w14:textId="77777777" w:rsidR="00214288" w:rsidRPr="00214288" w:rsidRDefault="00214288" w:rsidP="000D1F0E">
      <w:pPr>
        <w:jc w:val="both"/>
        <w:rPr>
          <w:rFonts w:ascii="Century Gothic" w:hAnsi="Century Gothic"/>
          <w:b/>
          <w:lang w:val="es-ES_tradnl"/>
        </w:rPr>
      </w:pPr>
    </w:p>
    <w:p w14:paraId="2BC9C2B0" w14:textId="77777777" w:rsidR="00214288" w:rsidRPr="00214288" w:rsidRDefault="00214288" w:rsidP="000D1F0E">
      <w:pPr>
        <w:jc w:val="both"/>
        <w:rPr>
          <w:rFonts w:ascii="Century Gothic" w:hAnsi="Century Gothic"/>
          <w:b/>
          <w:lang w:val="es-ES_tradnl"/>
        </w:rPr>
      </w:pPr>
    </w:p>
    <w:p w14:paraId="763E99A0" w14:textId="77777777" w:rsidR="00214288" w:rsidRPr="00214288" w:rsidRDefault="00214288" w:rsidP="000D1F0E">
      <w:pPr>
        <w:jc w:val="both"/>
        <w:rPr>
          <w:rFonts w:ascii="Century Gothic" w:hAnsi="Century Gothic"/>
          <w:b/>
        </w:rPr>
      </w:pPr>
      <w:r w:rsidRPr="00214288">
        <w:rPr>
          <w:rFonts w:ascii="Century Gothic" w:hAnsi="Century Gothic"/>
          <w:b/>
        </w:rPr>
        <w:t>TEXTO PROPUESTO PARA SEGUNDO DEBATE, PROYECTO DE LEY NO. 157 DE 2022 CÁMARA.</w:t>
      </w:r>
    </w:p>
    <w:p w14:paraId="5A987819" w14:textId="77777777" w:rsidR="00214288" w:rsidRPr="00214288" w:rsidRDefault="00214288" w:rsidP="000D1F0E">
      <w:pPr>
        <w:jc w:val="both"/>
        <w:rPr>
          <w:rFonts w:ascii="Century Gothic" w:hAnsi="Century Gothic"/>
          <w:b/>
          <w:bCs/>
        </w:rPr>
      </w:pPr>
    </w:p>
    <w:p w14:paraId="2644435B" w14:textId="77777777" w:rsidR="00214288" w:rsidRPr="00214288" w:rsidRDefault="00214288" w:rsidP="000D1F0E">
      <w:pPr>
        <w:jc w:val="both"/>
        <w:rPr>
          <w:rFonts w:ascii="Century Gothic" w:hAnsi="Century Gothic"/>
          <w:b/>
        </w:rPr>
      </w:pPr>
      <w:r w:rsidRPr="00214288">
        <w:rPr>
          <w:rFonts w:ascii="Century Gothic" w:hAnsi="Century Gothic"/>
          <w:b/>
        </w:rPr>
        <w:t>“POR MEDIO DEL CUAL SE MODIFICAN LOS ARTÍCULOS 61 Y 155 DE LA LEY 1448 DE 2011, Y SE AMPLÍAN LOS TÉRMINOS PARA DECLARAR ANTE EL MINISTERIO PÚBLICO”</w:t>
      </w:r>
    </w:p>
    <w:p w14:paraId="23D8BF98" w14:textId="77777777" w:rsidR="00214288" w:rsidRPr="00214288" w:rsidRDefault="00214288" w:rsidP="000D1F0E">
      <w:pPr>
        <w:jc w:val="both"/>
        <w:rPr>
          <w:rFonts w:ascii="Century Gothic" w:hAnsi="Century Gothic"/>
          <w:b/>
          <w:bCs/>
        </w:rPr>
      </w:pPr>
    </w:p>
    <w:p w14:paraId="4D3AF346" w14:textId="77777777" w:rsidR="00214288" w:rsidRPr="00214288" w:rsidRDefault="00214288" w:rsidP="000D1F0E">
      <w:pPr>
        <w:jc w:val="both"/>
        <w:rPr>
          <w:rFonts w:ascii="Century Gothic" w:hAnsi="Century Gothic"/>
          <w:b/>
          <w:bCs/>
        </w:rPr>
      </w:pPr>
      <w:r w:rsidRPr="00214288">
        <w:rPr>
          <w:rFonts w:ascii="Century Gothic" w:hAnsi="Century Gothic"/>
          <w:b/>
          <w:bCs/>
        </w:rPr>
        <w:t>EL CONGRESO DE COLOMBIA</w:t>
      </w:r>
    </w:p>
    <w:p w14:paraId="6993A216" w14:textId="77777777" w:rsidR="00214288" w:rsidRPr="00214288" w:rsidRDefault="00214288" w:rsidP="000D1F0E">
      <w:pPr>
        <w:jc w:val="both"/>
        <w:rPr>
          <w:rFonts w:ascii="Century Gothic" w:hAnsi="Century Gothic"/>
          <w:b/>
          <w:bCs/>
        </w:rPr>
      </w:pPr>
    </w:p>
    <w:p w14:paraId="5FBE2824" w14:textId="77777777" w:rsidR="00214288" w:rsidRPr="00214288" w:rsidRDefault="00214288" w:rsidP="000D1F0E">
      <w:pPr>
        <w:jc w:val="both"/>
        <w:rPr>
          <w:rFonts w:ascii="Century Gothic" w:hAnsi="Century Gothic"/>
          <w:b/>
          <w:bCs/>
        </w:rPr>
      </w:pPr>
      <w:r w:rsidRPr="00214288">
        <w:rPr>
          <w:rFonts w:ascii="Century Gothic" w:hAnsi="Century Gothic"/>
          <w:b/>
          <w:bCs/>
        </w:rPr>
        <w:t>DECRETA:</w:t>
      </w:r>
    </w:p>
    <w:p w14:paraId="1D16DA7A" w14:textId="77777777" w:rsidR="00214288" w:rsidRPr="00214288" w:rsidRDefault="00214288" w:rsidP="000D1F0E">
      <w:pPr>
        <w:jc w:val="both"/>
        <w:rPr>
          <w:rFonts w:ascii="Century Gothic" w:hAnsi="Century Gothic"/>
          <w:b/>
          <w:bCs/>
        </w:rPr>
      </w:pPr>
    </w:p>
    <w:p w14:paraId="10C8354B" w14:textId="77777777" w:rsidR="00214288" w:rsidRPr="00214288" w:rsidRDefault="00214288" w:rsidP="000D1F0E">
      <w:pPr>
        <w:jc w:val="both"/>
        <w:rPr>
          <w:rFonts w:ascii="Century Gothic" w:hAnsi="Century Gothic"/>
        </w:rPr>
      </w:pPr>
      <w:r w:rsidRPr="00214288">
        <w:rPr>
          <w:rFonts w:ascii="Century Gothic" w:hAnsi="Century Gothic"/>
          <w:b/>
          <w:bCs/>
        </w:rPr>
        <w:t>Artículo 1º. Objeto.</w:t>
      </w:r>
      <w:r w:rsidRPr="00214288">
        <w:rPr>
          <w:rFonts w:ascii="Century Gothic" w:hAnsi="Century Gothic"/>
        </w:rPr>
        <w:t xml:space="preserve"> La presente Ley tiene por objeto ampliar los términos para que aquellas personas que se consideren víctimas del conflicto armado, dentro de lo establecido por el artículo 3 de la Ley 1448 de 2011 y que hayan sufrido hechos </w:t>
      </w:r>
      <w:proofErr w:type="spellStart"/>
      <w:r w:rsidRPr="00214288">
        <w:rPr>
          <w:rFonts w:ascii="Century Gothic" w:hAnsi="Century Gothic"/>
        </w:rPr>
        <w:t>victimizantes</w:t>
      </w:r>
      <w:proofErr w:type="spellEnd"/>
      <w:r w:rsidRPr="00214288">
        <w:rPr>
          <w:rFonts w:ascii="Century Gothic" w:hAnsi="Century Gothic"/>
        </w:rPr>
        <w:t xml:space="preserve"> con anterioridad y/o posterioridad a su promulgación, puedan rendir su declaración ante el Ministerio Público, en concordancia con las modificaciones propuestas por la Ley 2078 de 2021.</w:t>
      </w:r>
    </w:p>
    <w:p w14:paraId="6BB12FD9" w14:textId="77777777" w:rsidR="00214288" w:rsidRPr="00214288" w:rsidRDefault="00214288" w:rsidP="000D1F0E">
      <w:pPr>
        <w:jc w:val="both"/>
        <w:rPr>
          <w:rFonts w:ascii="Century Gothic" w:hAnsi="Century Gothic"/>
        </w:rPr>
      </w:pPr>
    </w:p>
    <w:p w14:paraId="07857B1E" w14:textId="77777777" w:rsidR="00214288" w:rsidRPr="00214288" w:rsidRDefault="00214288" w:rsidP="000D1F0E">
      <w:pPr>
        <w:jc w:val="both"/>
        <w:rPr>
          <w:rFonts w:ascii="Century Gothic" w:hAnsi="Century Gothic"/>
        </w:rPr>
      </w:pPr>
      <w:r w:rsidRPr="00214288">
        <w:rPr>
          <w:rFonts w:ascii="Century Gothic" w:hAnsi="Century Gothic"/>
          <w:b/>
          <w:bCs/>
        </w:rPr>
        <w:t xml:space="preserve">Artículo 2º. </w:t>
      </w:r>
      <w:r w:rsidRPr="00214288">
        <w:rPr>
          <w:rFonts w:ascii="Century Gothic" w:hAnsi="Century Gothic"/>
        </w:rPr>
        <w:t>Modifíquese el artículo 61 de la Ley 1448 de 2011, el cual quedará así:</w:t>
      </w:r>
    </w:p>
    <w:p w14:paraId="26D0D4F0" w14:textId="77777777" w:rsidR="00214288" w:rsidRPr="00214288" w:rsidRDefault="00214288" w:rsidP="000D1F0E">
      <w:pPr>
        <w:jc w:val="both"/>
        <w:rPr>
          <w:rFonts w:ascii="Century Gothic" w:hAnsi="Century Gothic"/>
          <w:b/>
          <w:bCs/>
        </w:rPr>
      </w:pPr>
    </w:p>
    <w:p w14:paraId="3485C704" w14:textId="77777777" w:rsidR="00214288" w:rsidRPr="00214288" w:rsidRDefault="00214288" w:rsidP="000D1F0E">
      <w:pPr>
        <w:jc w:val="both"/>
        <w:rPr>
          <w:rFonts w:ascii="Century Gothic" w:hAnsi="Century Gothic"/>
        </w:rPr>
      </w:pPr>
      <w:r w:rsidRPr="00214288">
        <w:rPr>
          <w:rFonts w:ascii="Century Gothic" w:hAnsi="Century Gothic"/>
          <w:b/>
        </w:rPr>
        <w:t>ARTÍCULO 61. LA DECLARACIÓN SOBRE LOS HECHOS QUE CONFIGURAN LA SITUACIÓN DEL DESPLAZAMIENTO.</w:t>
      </w:r>
      <w:r w:rsidRPr="00214288">
        <w:rPr>
          <w:rFonts w:ascii="Century Gothic" w:hAnsi="Century Gothic"/>
        </w:rPr>
        <w:t xml:space="preserve"> La persona víctima de desplazamiento forzado deberá rendir declaración ante cualquiera de las instituciones que integran el Ministerio Público, dentro de los tres (3) años siguientes a la ocurrencia del hecho que dio origen al desplazamiento, siempre y cuando estos hechos hubiesen ocurrido a partir del 1o de enero de 1985, y no se encuentre registrada en el Registro Único de Víctimas. </w:t>
      </w:r>
    </w:p>
    <w:p w14:paraId="0B30B767" w14:textId="77777777" w:rsidR="00214288" w:rsidRPr="00214288" w:rsidRDefault="00214288" w:rsidP="000D1F0E">
      <w:pPr>
        <w:jc w:val="both"/>
        <w:rPr>
          <w:rFonts w:ascii="Century Gothic" w:hAnsi="Century Gothic"/>
        </w:rPr>
      </w:pPr>
    </w:p>
    <w:p w14:paraId="66F8A0D0" w14:textId="77777777" w:rsidR="00214288" w:rsidRPr="00214288" w:rsidRDefault="00214288" w:rsidP="000D1F0E">
      <w:pPr>
        <w:jc w:val="both"/>
        <w:rPr>
          <w:rFonts w:ascii="Century Gothic" w:hAnsi="Century Gothic"/>
        </w:rPr>
      </w:pPr>
      <w:r w:rsidRPr="00214288">
        <w:rPr>
          <w:rFonts w:ascii="Century Gothic" w:hAnsi="Century Gothic"/>
        </w:rPr>
        <w:t>La declaración hará parte del Registro Único de Víctimas, de acuerdo con lo estipulado en el artículo </w:t>
      </w:r>
      <w:hyperlink r:id="rId12" w:anchor="155" w:history="1">
        <w:r w:rsidRPr="00214288">
          <w:rPr>
            <w:rStyle w:val="Hipervnculo"/>
            <w:rFonts w:ascii="Century Gothic" w:hAnsi="Century Gothic"/>
          </w:rPr>
          <w:t>155</w:t>
        </w:r>
      </w:hyperlink>
      <w:r w:rsidRPr="00214288">
        <w:rPr>
          <w:rFonts w:ascii="Century Gothic" w:hAnsi="Century Gothic"/>
        </w:rPr>
        <w:t> de la presente Ley. La valoración que realice el funcionario encargado de recibir la solicitud de registro debe respetar los principios constitucionales de dignidad, buena fe, confianza legítima y prevalencia del derecho sustancial.</w:t>
      </w:r>
    </w:p>
    <w:p w14:paraId="6B3E46D1" w14:textId="77777777" w:rsidR="00214288" w:rsidRPr="00214288" w:rsidRDefault="00214288" w:rsidP="000D1F0E">
      <w:pPr>
        <w:jc w:val="both"/>
        <w:rPr>
          <w:rFonts w:ascii="Century Gothic" w:hAnsi="Century Gothic"/>
        </w:rPr>
      </w:pPr>
    </w:p>
    <w:p w14:paraId="75DCB4B3" w14:textId="77777777" w:rsidR="0046757D" w:rsidRDefault="0046757D" w:rsidP="000D1F0E">
      <w:pPr>
        <w:jc w:val="both"/>
        <w:rPr>
          <w:rFonts w:ascii="Century Gothic" w:hAnsi="Century Gothic"/>
          <w:b/>
        </w:rPr>
      </w:pPr>
    </w:p>
    <w:p w14:paraId="278E5575" w14:textId="77777777" w:rsidR="0046757D" w:rsidRDefault="0046757D" w:rsidP="000D1F0E">
      <w:pPr>
        <w:jc w:val="both"/>
        <w:rPr>
          <w:rFonts w:ascii="Century Gothic" w:hAnsi="Century Gothic"/>
          <w:b/>
        </w:rPr>
      </w:pPr>
    </w:p>
    <w:p w14:paraId="4F2FB869" w14:textId="2F0D2D44" w:rsidR="00214288" w:rsidRPr="00214288" w:rsidRDefault="00214288" w:rsidP="000D1F0E">
      <w:pPr>
        <w:jc w:val="both"/>
        <w:rPr>
          <w:rFonts w:ascii="Century Gothic" w:hAnsi="Century Gothic"/>
        </w:rPr>
      </w:pPr>
      <w:r w:rsidRPr="00214288">
        <w:rPr>
          <w:rFonts w:ascii="Century Gothic" w:hAnsi="Century Gothic"/>
          <w:b/>
        </w:rPr>
        <w:t>PARÁGRAFO 1o.</w:t>
      </w:r>
      <w:r w:rsidRPr="00214288">
        <w:rPr>
          <w:rFonts w:ascii="Century Gothic" w:hAnsi="Century Gothic"/>
        </w:rPr>
        <w:t> Se establece un plazo de tres (3) años para la reducción del subregistro, periodo en el cual las víctimas del desplazamiento de años anteriores podrán declarar los hechos con el fin de que se decida su inclusión o no en el Registro.</w:t>
      </w:r>
    </w:p>
    <w:p w14:paraId="6275290B" w14:textId="77777777" w:rsidR="00214288" w:rsidRPr="00214288" w:rsidRDefault="00214288" w:rsidP="000D1F0E">
      <w:pPr>
        <w:jc w:val="both"/>
        <w:rPr>
          <w:rFonts w:ascii="Century Gothic" w:hAnsi="Century Gothic"/>
        </w:rPr>
      </w:pPr>
      <w:r w:rsidRPr="00214288">
        <w:rPr>
          <w:rFonts w:ascii="Century Gothic" w:hAnsi="Century Gothic"/>
        </w:rPr>
        <w:t>Para este efecto, el Gobierno Nacional adelantará una campaña de divulgación a nivel nacional a fin de que las víctimas de desplazamiento forzado que no han declarado se acerquen al Ministerio Público para rendir su declaración.</w:t>
      </w:r>
    </w:p>
    <w:p w14:paraId="43B47F82" w14:textId="77777777" w:rsidR="00214288" w:rsidRPr="00214288" w:rsidRDefault="00214288" w:rsidP="000D1F0E">
      <w:pPr>
        <w:jc w:val="both"/>
        <w:rPr>
          <w:rFonts w:ascii="Century Gothic" w:hAnsi="Century Gothic"/>
        </w:rPr>
      </w:pPr>
    </w:p>
    <w:p w14:paraId="7E8C895F" w14:textId="77777777" w:rsidR="00214288" w:rsidRPr="00214288" w:rsidRDefault="00214288" w:rsidP="000D1F0E">
      <w:pPr>
        <w:jc w:val="both"/>
        <w:rPr>
          <w:rFonts w:ascii="Century Gothic" w:hAnsi="Century Gothic"/>
        </w:rPr>
      </w:pPr>
      <w:r w:rsidRPr="00214288">
        <w:rPr>
          <w:rFonts w:ascii="Century Gothic" w:hAnsi="Century Gothic"/>
          <w:b/>
        </w:rPr>
        <w:t>PARÁGRAFO 2o.</w:t>
      </w:r>
      <w:r w:rsidRPr="00214288">
        <w:rPr>
          <w:rFonts w:ascii="Century Gothic" w:hAnsi="Century Gothic"/>
        </w:rPr>
        <w:t xml:space="preserve"> En las declaraciones presentadas tres </w:t>
      </w:r>
      <w:r w:rsidRPr="00214288">
        <w:rPr>
          <w:rFonts w:ascii="Century Gothic" w:hAnsi="Century Gothic"/>
          <w:bCs/>
        </w:rPr>
        <w:t>(3)</w:t>
      </w:r>
      <w:r w:rsidRPr="00214288">
        <w:rPr>
          <w:rFonts w:ascii="Century Gothic" w:hAnsi="Century Gothic"/>
        </w:rPr>
        <w:t xml:space="preserve"> años después de la ocurrencia del hecho que dio lugar al desplazamiento forzado, el funcionario del Ministerio Público deberá indagar sobre las razones por las cuales no se llevó a cabo con anterioridad dicha declaración, con el fin de determinar si existen barreras que dificulten o impidan la accesibilidad de las víctimas a la protección del Estado.</w:t>
      </w:r>
    </w:p>
    <w:p w14:paraId="51FBEC0A" w14:textId="77777777" w:rsidR="00214288" w:rsidRPr="00214288" w:rsidRDefault="00214288" w:rsidP="000D1F0E">
      <w:pPr>
        <w:jc w:val="both"/>
        <w:rPr>
          <w:rFonts w:ascii="Century Gothic" w:hAnsi="Century Gothic"/>
        </w:rPr>
      </w:pPr>
      <w:r w:rsidRPr="00214288">
        <w:rPr>
          <w:rFonts w:ascii="Century Gothic" w:hAnsi="Century Gothic"/>
        </w:rPr>
        <w:t>En cualquier caso, se deberá preguntar sobre las circunstancias de tiempo, modo y lugar que generaron su desplazamiento para contar con información precisa que permita decidir sobre la inclusión o no del declarante al Registro.</w:t>
      </w:r>
    </w:p>
    <w:p w14:paraId="489B1AB7" w14:textId="77777777" w:rsidR="00214288" w:rsidRPr="00214288" w:rsidRDefault="00214288" w:rsidP="000D1F0E">
      <w:pPr>
        <w:jc w:val="both"/>
        <w:rPr>
          <w:rFonts w:ascii="Century Gothic" w:hAnsi="Century Gothic"/>
        </w:rPr>
      </w:pPr>
    </w:p>
    <w:p w14:paraId="015CCB95" w14:textId="77777777" w:rsidR="00214288" w:rsidRPr="00214288" w:rsidRDefault="00214288" w:rsidP="000D1F0E">
      <w:pPr>
        <w:jc w:val="both"/>
        <w:rPr>
          <w:rFonts w:ascii="Century Gothic" w:hAnsi="Century Gothic"/>
        </w:rPr>
      </w:pPr>
      <w:r w:rsidRPr="00214288">
        <w:rPr>
          <w:rFonts w:ascii="Century Gothic" w:hAnsi="Century Gothic"/>
          <w:b/>
        </w:rPr>
        <w:t>PARÁGRAFO 3o.</w:t>
      </w:r>
      <w:r w:rsidRPr="00214288">
        <w:rPr>
          <w:rFonts w:ascii="Century Gothic" w:hAnsi="Century Gothic"/>
        </w:rPr>
        <w:t> En evento de fuerza mayor que haya impedido a la víctima del desplazamiento forzado rendir la declaración en el término establecido en el presente artículo, se empezará a contar el mismo desde el momento en que cesen las circunstancias motivo de tal impedimento.</w:t>
      </w:r>
    </w:p>
    <w:p w14:paraId="2F941D29" w14:textId="77777777" w:rsidR="00214288" w:rsidRPr="00214288" w:rsidRDefault="00214288" w:rsidP="000D1F0E">
      <w:pPr>
        <w:jc w:val="both"/>
        <w:rPr>
          <w:rFonts w:ascii="Century Gothic" w:hAnsi="Century Gothic"/>
        </w:rPr>
      </w:pPr>
      <w:r w:rsidRPr="00214288">
        <w:rPr>
          <w:rFonts w:ascii="Century Gothic" w:hAnsi="Century Gothic"/>
        </w:rPr>
        <w:t>La víctima de desplazamiento forzado deberá informar al funcionario del Ministerio Público, quien indagará por dichas circunstancias y enviará la diligencia a la Unidad Administrativa Especial para la Atención y Reparación Integral a las Víctimas para que realice las acciones pertinentes de acuerdo con los eventos aquí mencionados.</w:t>
      </w:r>
    </w:p>
    <w:p w14:paraId="179FC9B1" w14:textId="77777777" w:rsidR="00214288" w:rsidRPr="00214288" w:rsidRDefault="00214288" w:rsidP="000D1F0E">
      <w:pPr>
        <w:jc w:val="both"/>
        <w:rPr>
          <w:rFonts w:ascii="Century Gothic" w:hAnsi="Century Gothic"/>
          <w:bCs/>
        </w:rPr>
      </w:pPr>
      <w:r w:rsidRPr="00214288">
        <w:rPr>
          <w:rFonts w:ascii="Century Gothic" w:hAnsi="Century Gothic"/>
          <w:b/>
        </w:rPr>
        <w:t xml:space="preserve">Artículo 3º. </w:t>
      </w:r>
      <w:r w:rsidRPr="00214288">
        <w:rPr>
          <w:rFonts w:ascii="Century Gothic" w:hAnsi="Century Gothic"/>
          <w:bCs/>
        </w:rPr>
        <w:t>Modifíquese e inclúyase un parágrafo transitorio al artículo 155 de la Ley 1448 de 2011, el cual quedará así:</w:t>
      </w:r>
    </w:p>
    <w:p w14:paraId="5233CE95" w14:textId="77777777" w:rsidR="00692689" w:rsidRDefault="00214288" w:rsidP="000D1F0E">
      <w:pPr>
        <w:jc w:val="both"/>
        <w:rPr>
          <w:rFonts w:ascii="Century Gothic" w:hAnsi="Century Gothic"/>
        </w:rPr>
      </w:pPr>
      <w:r w:rsidRPr="00214288">
        <w:rPr>
          <w:rFonts w:ascii="Century Gothic" w:hAnsi="Century Gothic"/>
          <w:b/>
          <w:bCs/>
        </w:rPr>
        <w:t>ARTÍCULO 155. SOLICITUD DE REGISTRO DE LAS VÍCTIMAS.</w:t>
      </w:r>
      <w:r w:rsidRPr="00214288">
        <w:rPr>
          <w:rFonts w:ascii="Century Gothic" w:hAnsi="Century Gothic"/>
        </w:rPr>
        <w:t xml:space="preserve"> Las víctimas deberán presentar una declaración ante el Ministerio Público en un término de cuatro (4) años contados a partir de la promulgación de la presente ley para quienes hayan sido victimizadas con anterioridad a ese momento, y de tres (3) años contados a partir de la ocurrencia del hecho respecto de quienes lo sean con posterioridad a la vigencia de la ley, conforme a los requisitos que para tal efecto defina el Gobierno Nacional, y a través del instrumento que diseñe la Unidad Administrativa </w:t>
      </w:r>
    </w:p>
    <w:p w14:paraId="29C385C7" w14:textId="77777777" w:rsidR="00692689" w:rsidRDefault="00692689" w:rsidP="000D1F0E">
      <w:pPr>
        <w:jc w:val="both"/>
        <w:rPr>
          <w:rFonts w:ascii="Century Gothic" w:hAnsi="Century Gothic"/>
        </w:rPr>
      </w:pPr>
    </w:p>
    <w:p w14:paraId="2C8A01A4" w14:textId="77777777" w:rsidR="00692689" w:rsidRDefault="00692689" w:rsidP="000D1F0E">
      <w:pPr>
        <w:jc w:val="both"/>
        <w:rPr>
          <w:rFonts w:ascii="Century Gothic" w:hAnsi="Century Gothic"/>
        </w:rPr>
      </w:pPr>
    </w:p>
    <w:p w14:paraId="4D64B598" w14:textId="77777777" w:rsidR="000D1F0E" w:rsidRDefault="000D1F0E" w:rsidP="000D1F0E">
      <w:pPr>
        <w:jc w:val="both"/>
        <w:rPr>
          <w:rFonts w:ascii="Century Gothic" w:hAnsi="Century Gothic"/>
        </w:rPr>
      </w:pPr>
    </w:p>
    <w:p w14:paraId="46AE7EF9" w14:textId="69E69165" w:rsidR="00214288" w:rsidRPr="00214288" w:rsidRDefault="00214288" w:rsidP="000D1F0E">
      <w:pPr>
        <w:jc w:val="both"/>
        <w:rPr>
          <w:rFonts w:ascii="Century Gothic" w:hAnsi="Century Gothic"/>
        </w:rPr>
      </w:pPr>
      <w:r w:rsidRPr="00214288">
        <w:rPr>
          <w:rFonts w:ascii="Century Gothic" w:hAnsi="Century Gothic"/>
        </w:rPr>
        <w:t>Especial para la Atención y Reparación Integral a las víctimas, el cual será de uso obligatorio por las entidades que conforman el Ministerio Público.</w:t>
      </w:r>
    </w:p>
    <w:p w14:paraId="41C28EB9" w14:textId="77777777" w:rsidR="00214288" w:rsidRPr="00214288" w:rsidRDefault="00214288" w:rsidP="000D1F0E">
      <w:pPr>
        <w:jc w:val="both"/>
        <w:rPr>
          <w:rFonts w:ascii="Century Gothic" w:hAnsi="Century Gothic"/>
        </w:rPr>
      </w:pPr>
      <w:r w:rsidRPr="00214288">
        <w:rPr>
          <w:rFonts w:ascii="Century Gothic" w:hAnsi="Century Gothic"/>
        </w:rPr>
        <w:t>En el evento de fuerza mayor que haya impedido a la víctima presentar la solicitud de registro en el término establecido en este artículo, se empezará a contar el mismo desde el momento en que cesen las circunstancias que motivaron tal impedimento, para lo cual deberá informar de ello al Ministerio Público quien remitirá tal información a la Unidad Administrativa Especial para la Atención y Reparación Integral a las Víctimas.</w:t>
      </w:r>
    </w:p>
    <w:p w14:paraId="343B6E49" w14:textId="77777777" w:rsidR="00214288" w:rsidRPr="00214288" w:rsidRDefault="00214288" w:rsidP="000D1F0E">
      <w:pPr>
        <w:jc w:val="both"/>
        <w:rPr>
          <w:rFonts w:ascii="Century Gothic" w:hAnsi="Century Gothic"/>
        </w:rPr>
      </w:pPr>
      <w:r w:rsidRPr="00214288">
        <w:rPr>
          <w:rFonts w:ascii="Century Gothic" w:hAnsi="Century Gothic"/>
        </w:rPr>
        <w:t>La valoración que realice el funcionario encargado de realizar el proceso de valoración debe respetar los principios constitucionales de dignidad, buena fe, confianza legítima y prevalencia del derecho sustancial.</w:t>
      </w:r>
    </w:p>
    <w:p w14:paraId="6702A6CE" w14:textId="77777777" w:rsidR="00214288" w:rsidRPr="00214288" w:rsidRDefault="00214288" w:rsidP="000D1F0E">
      <w:pPr>
        <w:jc w:val="both"/>
        <w:rPr>
          <w:rFonts w:ascii="Century Gothic" w:hAnsi="Century Gothic"/>
        </w:rPr>
      </w:pPr>
    </w:p>
    <w:p w14:paraId="6BC62731" w14:textId="77777777" w:rsidR="00214288" w:rsidRPr="00214288" w:rsidRDefault="00214288" w:rsidP="000D1F0E">
      <w:pPr>
        <w:jc w:val="both"/>
        <w:rPr>
          <w:rFonts w:ascii="Century Gothic" w:hAnsi="Century Gothic"/>
        </w:rPr>
      </w:pPr>
      <w:r w:rsidRPr="00214288">
        <w:rPr>
          <w:rFonts w:ascii="Century Gothic" w:hAnsi="Century Gothic"/>
          <w:b/>
          <w:bCs/>
        </w:rPr>
        <w:t>PARÁGRAFO.</w:t>
      </w:r>
      <w:r w:rsidRPr="00214288">
        <w:rPr>
          <w:rFonts w:ascii="Century Gothic" w:hAnsi="Century Gothic"/>
        </w:rPr>
        <w:t xml:space="preserve"> Las personas que se encuentren actualmente registradas como víctimas, luego de un proceso de valoración, no tendrán que presentar una declaración adicional por los mismos hechos </w:t>
      </w:r>
      <w:proofErr w:type="spellStart"/>
      <w:r w:rsidRPr="00214288">
        <w:rPr>
          <w:rFonts w:ascii="Century Gothic" w:hAnsi="Century Gothic"/>
        </w:rPr>
        <w:t>victimizantes</w:t>
      </w:r>
      <w:proofErr w:type="spellEnd"/>
      <w:r w:rsidRPr="00214288">
        <w:rPr>
          <w:rFonts w:ascii="Century Gothic" w:hAnsi="Century Gothic"/>
        </w:rPr>
        <w:t>. Para efectos de determinar si la persona ya se encuentra registrada, se tendrán en cuenta las bases de datos existentes al momento de la expedición de la presente Ley.</w:t>
      </w:r>
    </w:p>
    <w:p w14:paraId="76B00840" w14:textId="77777777" w:rsidR="00214288" w:rsidRPr="00214288" w:rsidRDefault="00214288" w:rsidP="000D1F0E">
      <w:pPr>
        <w:jc w:val="both"/>
        <w:rPr>
          <w:rFonts w:ascii="Century Gothic" w:hAnsi="Century Gothic"/>
        </w:rPr>
      </w:pPr>
      <w:r w:rsidRPr="00214288">
        <w:rPr>
          <w:rFonts w:ascii="Century Gothic" w:hAnsi="Century Gothic"/>
        </w:rPr>
        <w:t xml:space="preserve">En los eventos en que la persona refiera hechos </w:t>
      </w:r>
      <w:proofErr w:type="spellStart"/>
      <w:r w:rsidRPr="00214288">
        <w:rPr>
          <w:rFonts w:ascii="Century Gothic" w:hAnsi="Century Gothic"/>
        </w:rPr>
        <w:t>victimizantes</w:t>
      </w:r>
      <w:proofErr w:type="spellEnd"/>
      <w:r w:rsidRPr="00214288">
        <w:rPr>
          <w:rFonts w:ascii="Century Gothic" w:hAnsi="Century Gothic"/>
        </w:rPr>
        <w:t xml:space="preserve"> adicionales a los contenidos en las bases de datos existentes, deberá presentar la declaración a la que se refiere el presente artículo.</w:t>
      </w:r>
    </w:p>
    <w:p w14:paraId="5A397CFA" w14:textId="77777777" w:rsidR="00214288" w:rsidRPr="00214288" w:rsidRDefault="00214288" w:rsidP="000D1F0E">
      <w:pPr>
        <w:jc w:val="both"/>
        <w:rPr>
          <w:rFonts w:ascii="Century Gothic" w:hAnsi="Century Gothic"/>
        </w:rPr>
      </w:pPr>
    </w:p>
    <w:p w14:paraId="6A7C7B3A" w14:textId="77777777" w:rsidR="00214288" w:rsidRPr="00214288" w:rsidRDefault="00214288" w:rsidP="000D1F0E">
      <w:pPr>
        <w:jc w:val="both"/>
        <w:rPr>
          <w:rFonts w:ascii="Century Gothic" w:hAnsi="Century Gothic"/>
        </w:rPr>
      </w:pPr>
      <w:r w:rsidRPr="00214288">
        <w:rPr>
          <w:rFonts w:ascii="Century Gothic" w:hAnsi="Century Gothic"/>
          <w:b/>
        </w:rPr>
        <w:t xml:space="preserve">PARÁGRAFO TRANSITORIO. </w:t>
      </w:r>
      <w:r w:rsidRPr="00214288">
        <w:rPr>
          <w:rFonts w:ascii="Century Gothic" w:hAnsi="Century Gothic"/>
        </w:rPr>
        <w:t>Las víctimas que hayan sido victimizadas con anterioridad a la promulgación de la presente ley, y no hayan rendido declaración ante el Ministerio Público, podrán rendirla hasta el 8 de enero de 2025, en concordancia con lo modificado por el artículo 2 de la Ley 2078 de 2021,</w:t>
      </w:r>
      <w:r w:rsidRPr="00214288">
        <w:rPr>
          <w:rFonts w:ascii="Century Gothic" w:hAnsi="Century Gothic"/>
          <w:i/>
        </w:rPr>
        <w:t xml:space="preserve"> </w:t>
      </w:r>
      <w:r w:rsidRPr="00214288">
        <w:rPr>
          <w:rFonts w:ascii="Century Gothic" w:hAnsi="Century Gothic"/>
          <w:bCs/>
          <w:i/>
        </w:rPr>
        <w:t>"Por medio de la cual se modifica la ley 1448 de 2011 y los Decretos Ley étnicos 4633 de 2011, 4634 de 2011y 4635 de 2011, prorrogando por 10 años su vigencia".</w:t>
      </w:r>
    </w:p>
    <w:p w14:paraId="44905C4D" w14:textId="77777777" w:rsidR="00214288" w:rsidRPr="00214288" w:rsidRDefault="00214288" w:rsidP="000D1F0E">
      <w:pPr>
        <w:jc w:val="both"/>
        <w:rPr>
          <w:rFonts w:ascii="Century Gothic" w:hAnsi="Century Gothic"/>
          <w:b/>
        </w:rPr>
      </w:pPr>
    </w:p>
    <w:p w14:paraId="7131D5F4" w14:textId="77777777" w:rsidR="00214288" w:rsidRPr="00214288" w:rsidRDefault="00214288" w:rsidP="000D1F0E">
      <w:pPr>
        <w:jc w:val="both"/>
        <w:rPr>
          <w:rFonts w:ascii="Century Gothic" w:hAnsi="Century Gothic"/>
        </w:rPr>
      </w:pPr>
      <w:r w:rsidRPr="00214288">
        <w:rPr>
          <w:rFonts w:ascii="Century Gothic" w:hAnsi="Century Gothic"/>
          <w:b/>
        </w:rPr>
        <w:t xml:space="preserve">Artículo 4°. </w:t>
      </w:r>
      <w:r w:rsidRPr="00214288">
        <w:rPr>
          <w:rFonts w:ascii="Century Gothic" w:hAnsi="Century Gothic"/>
        </w:rPr>
        <w:t>La Unidad para la Atención y Reparación Integral a las Víctimas, garantizando la participación de la Mesa Nacional de Víctimas, en un plazo de tres (3) meses contados a partir de la promulgación de la presente Ley, elaborará un Plan de Acción en el que se identifiquen y establezcan medidas tendientes a mitigar las barreras que limiten o impidan a aquellas personas que se consideren víctimas del conflicto armado, en los términos del artículo 3 de la Ley 1448 de 2011, realizar su declaración ante el Ministerio Público.</w:t>
      </w:r>
    </w:p>
    <w:p w14:paraId="1FE9E5A2" w14:textId="77777777" w:rsidR="00214288" w:rsidRPr="00214288" w:rsidRDefault="00214288" w:rsidP="000D1F0E">
      <w:pPr>
        <w:jc w:val="both"/>
        <w:rPr>
          <w:rFonts w:ascii="Century Gothic" w:hAnsi="Century Gothic"/>
          <w:b/>
        </w:rPr>
      </w:pPr>
    </w:p>
    <w:p w14:paraId="2985C7CE" w14:textId="77777777" w:rsidR="00F53962" w:rsidRDefault="00F53962" w:rsidP="000D1F0E">
      <w:pPr>
        <w:jc w:val="both"/>
        <w:rPr>
          <w:rFonts w:ascii="Century Gothic" w:hAnsi="Century Gothic"/>
          <w:b/>
        </w:rPr>
      </w:pPr>
    </w:p>
    <w:p w14:paraId="4CC5E71B" w14:textId="77777777" w:rsidR="00F53962" w:rsidRDefault="00F53962" w:rsidP="000D1F0E">
      <w:pPr>
        <w:jc w:val="both"/>
        <w:rPr>
          <w:rFonts w:ascii="Century Gothic" w:hAnsi="Century Gothic"/>
          <w:b/>
        </w:rPr>
      </w:pPr>
    </w:p>
    <w:p w14:paraId="732CA256" w14:textId="49C9E7B5" w:rsidR="0056271E" w:rsidRDefault="00214288" w:rsidP="000D1F0E">
      <w:pPr>
        <w:jc w:val="both"/>
        <w:rPr>
          <w:rFonts w:ascii="Century Gothic" w:hAnsi="Century Gothic"/>
        </w:rPr>
      </w:pPr>
      <w:r w:rsidRPr="00214288">
        <w:rPr>
          <w:rFonts w:ascii="Century Gothic" w:hAnsi="Century Gothic"/>
          <w:b/>
        </w:rPr>
        <w:t>Artículo 5°. Vigencia.</w:t>
      </w:r>
      <w:r w:rsidRPr="00214288">
        <w:rPr>
          <w:rFonts w:ascii="Century Gothic" w:hAnsi="Century Gothic"/>
        </w:rPr>
        <w:t xml:space="preserve"> La presente Ley rige a partir de su promulgación, tendrá una vigencia hasta el 10 de junio de 2031 y deroga todas las disposiciones que le sean contrarias. </w:t>
      </w:r>
    </w:p>
    <w:p w14:paraId="25AE0A00" w14:textId="36E1E59F" w:rsidR="00CA40A7" w:rsidRDefault="00CA40A7" w:rsidP="000D1F0E">
      <w:pPr>
        <w:jc w:val="both"/>
        <w:rPr>
          <w:rFonts w:ascii="Century Gothic" w:hAnsi="Century Gothic"/>
        </w:rPr>
      </w:pPr>
      <w:r>
        <w:rPr>
          <w:rFonts w:ascii="Century Gothic" w:hAnsi="Century Gothic"/>
        </w:rPr>
        <w:t>Atentamente</w:t>
      </w:r>
    </w:p>
    <w:p w14:paraId="66A56401" w14:textId="77777777" w:rsidR="00CA40A7" w:rsidRDefault="00CA40A7" w:rsidP="000D1F0E">
      <w:pPr>
        <w:jc w:val="both"/>
        <w:rPr>
          <w:rFonts w:ascii="Century Gothic" w:hAnsi="Century Gothic"/>
        </w:rPr>
      </w:pPr>
    </w:p>
    <w:p w14:paraId="2FC16F6C" w14:textId="77777777" w:rsidR="00CA40A7" w:rsidRDefault="00CA40A7" w:rsidP="000D1F0E">
      <w:pPr>
        <w:jc w:val="both"/>
        <w:rPr>
          <w:rFonts w:ascii="Century Gothic" w:hAnsi="Century Gothic"/>
        </w:rPr>
      </w:pPr>
    </w:p>
    <w:p w14:paraId="5E024D68" w14:textId="77777777" w:rsidR="00CA40A7" w:rsidRDefault="00CA40A7" w:rsidP="000D1F0E">
      <w:pPr>
        <w:jc w:val="both"/>
        <w:rPr>
          <w:rFonts w:ascii="Century Gothic" w:hAnsi="Century Gothic"/>
        </w:rPr>
      </w:pPr>
    </w:p>
    <w:p w14:paraId="5F678F70" w14:textId="22F6B599" w:rsidR="0056271E" w:rsidRPr="003828D7" w:rsidRDefault="0056271E" w:rsidP="000D1F0E">
      <w:pPr>
        <w:spacing w:after="0"/>
        <w:jc w:val="both"/>
        <w:rPr>
          <w:rFonts w:ascii="Century Gothic" w:hAnsi="Century Gothic"/>
          <w:b/>
          <w:bCs/>
        </w:rPr>
      </w:pPr>
      <w:r w:rsidRPr="003828D7">
        <w:rPr>
          <w:rFonts w:ascii="Century Gothic" w:hAnsi="Century Gothic"/>
          <w:b/>
          <w:bCs/>
        </w:rPr>
        <w:t>ORLANDO CASTILLO ADVÍNCULA</w:t>
      </w:r>
    </w:p>
    <w:p w14:paraId="6F2A0F89" w14:textId="38EBFB18" w:rsidR="0056271E" w:rsidRDefault="0056271E" w:rsidP="000D1F0E">
      <w:pPr>
        <w:spacing w:after="0"/>
        <w:jc w:val="both"/>
        <w:rPr>
          <w:rFonts w:ascii="Century Gothic" w:hAnsi="Century Gothic"/>
          <w:b/>
          <w:bCs/>
        </w:rPr>
      </w:pPr>
      <w:r w:rsidRPr="003828D7">
        <w:rPr>
          <w:rFonts w:ascii="Century Gothic" w:hAnsi="Century Gothic"/>
          <w:b/>
          <w:bCs/>
        </w:rPr>
        <w:t>REPRESENTANTE A LA CÁMARA</w:t>
      </w:r>
      <w:r>
        <w:rPr>
          <w:rFonts w:ascii="Century Gothic" w:hAnsi="Century Gothic"/>
          <w:b/>
          <w:bCs/>
        </w:rPr>
        <w:t xml:space="preserve"> </w:t>
      </w:r>
      <w:r w:rsidRPr="003828D7">
        <w:rPr>
          <w:rFonts w:ascii="Century Gothic" w:hAnsi="Century Gothic"/>
          <w:b/>
          <w:bCs/>
        </w:rPr>
        <w:t>CITREP 9 -PACÍFICO MEDIO</w:t>
      </w:r>
    </w:p>
    <w:p w14:paraId="500CA9A6" w14:textId="10D52EA8" w:rsidR="0056271E" w:rsidRDefault="0056271E" w:rsidP="000D1F0E">
      <w:pPr>
        <w:spacing w:after="0"/>
        <w:jc w:val="both"/>
        <w:rPr>
          <w:rFonts w:ascii="Century Gothic" w:hAnsi="Century Gothic"/>
          <w:b/>
          <w:bCs/>
        </w:rPr>
      </w:pPr>
    </w:p>
    <w:p w14:paraId="5D6BA557" w14:textId="77777777" w:rsidR="0056271E" w:rsidRPr="003828D7" w:rsidRDefault="0056271E" w:rsidP="000D1F0E">
      <w:pPr>
        <w:spacing w:after="0"/>
        <w:jc w:val="both"/>
        <w:rPr>
          <w:rFonts w:ascii="Century Gothic" w:hAnsi="Century Gothic"/>
          <w:b/>
          <w:bCs/>
        </w:rPr>
      </w:pPr>
    </w:p>
    <w:p w14:paraId="3BA2E8EA" w14:textId="6DA1765C" w:rsidR="0056271E" w:rsidRDefault="0056271E" w:rsidP="000D1F0E">
      <w:pPr>
        <w:jc w:val="both"/>
        <w:rPr>
          <w:rFonts w:ascii="Century Gothic" w:hAnsi="Century Gothic"/>
        </w:rPr>
      </w:pPr>
    </w:p>
    <w:p w14:paraId="6646A812" w14:textId="77777777" w:rsidR="0056271E" w:rsidRPr="003828D7" w:rsidRDefault="0056271E" w:rsidP="000D1F0E">
      <w:pPr>
        <w:jc w:val="both"/>
        <w:rPr>
          <w:rFonts w:ascii="Century Gothic" w:hAnsi="Century Gothic"/>
        </w:rPr>
      </w:pPr>
    </w:p>
    <w:p w14:paraId="73CE3372" w14:textId="585562D8" w:rsidR="0056271E" w:rsidRDefault="0056271E" w:rsidP="000D1F0E">
      <w:pPr>
        <w:jc w:val="both"/>
        <w:rPr>
          <w:rFonts w:ascii="Century Gothic" w:hAnsi="Century Gothic"/>
        </w:rPr>
      </w:pPr>
    </w:p>
    <w:p w14:paraId="5EBDD827" w14:textId="341A2849" w:rsidR="0056271E" w:rsidRDefault="0056271E" w:rsidP="000D1F0E">
      <w:pPr>
        <w:jc w:val="both"/>
        <w:rPr>
          <w:rFonts w:ascii="Century Gothic" w:hAnsi="Century Gothic"/>
        </w:rPr>
      </w:pPr>
    </w:p>
    <w:p w14:paraId="6BD0C3FC" w14:textId="77777777" w:rsidR="00022713" w:rsidRDefault="00022713" w:rsidP="000D1F0E">
      <w:pPr>
        <w:jc w:val="both"/>
        <w:rPr>
          <w:rFonts w:ascii="Century Gothic" w:hAnsi="Century Gothic"/>
        </w:rPr>
      </w:pPr>
    </w:p>
    <w:p w14:paraId="44566428" w14:textId="77777777" w:rsidR="00022713" w:rsidRDefault="00022713" w:rsidP="000D1F0E">
      <w:pPr>
        <w:jc w:val="both"/>
        <w:rPr>
          <w:rFonts w:ascii="Century Gothic" w:hAnsi="Century Gothic"/>
        </w:rPr>
      </w:pPr>
    </w:p>
    <w:p w14:paraId="48C02947" w14:textId="77777777" w:rsidR="00022713" w:rsidRDefault="00022713" w:rsidP="000D1F0E">
      <w:pPr>
        <w:jc w:val="both"/>
        <w:rPr>
          <w:rFonts w:ascii="Century Gothic" w:hAnsi="Century Gothic"/>
        </w:rPr>
      </w:pPr>
    </w:p>
    <w:p w14:paraId="04BC82E1" w14:textId="77777777" w:rsidR="00022713" w:rsidRDefault="00022713" w:rsidP="000D1F0E">
      <w:pPr>
        <w:jc w:val="both"/>
        <w:rPr>
          <w:rFonts w:ascii="Century Gothic" w:hAnsi="Century Gothic"/>
        </w:rPr>
      </w:pPr>
    </w:p>
    <w:p w14:paraId="6A88435F" w14:textId="77777777" w:rsidR="0056271E" w:rsidRPr="003828D7" w:rsidRDefault="0056271E" w:rsidP="000D1F0E">
      <w:pPr>
        <w:jc w:val="both"/>
        <w:rPr>
          <w:rFonts w:ascii="Century Gothic" w:hAnsi="Century Gothic"/>
        </w:rPr>
      </w:pPr>
    </w:p>
    <w:sectPr w:rsidR="0056271E" w:rsidRPr="003828D7">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221B4" w14:textId="77777777" w:rsidR="001E50B9" w:rsidRDefault="001E50B9" w:rsidP="007A030B">
      <w:pPr>
        <w:spacing w:after="0" w:line="240" w:lineRule="auto"/>
      </w:pPr>
      <w:r>
        <w:separator/>
      </w:r>
    </w:p>
  </w:endnote>
  <w:endnote w:type="continuationSeparator" w:id="0">
    <w:p w14:paraId="699E13CD" w14:textId="77777777" w:rsidR="001E50B9" w:rsidRDefault="001E50B9" w:rsidP="007A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E2B08" w14:textId="77777777" w:rsidR="001E50B9" w:rsidRDefault="001E50B9" w:rsidP="007A030B">
      <w:pPr>
        <w:spacing w:after="0" w:line="240" w:lineRule="auto"/>
      </w:pPr>
      <w:r>
        <w:separator/>
      </w:r>
    </w:p>
  </w:footnote>
  <w:footnote w:type="continuationSeparator" w:id="0">
    <w:p w14:paraId="6ABF16BA" w14:textId="77777777" w:rsidR="001E50B9" w:rsidRDefault="001E50B9" w:rsidP="007A0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CB13A" w14:textId="494C18D1" w:rsidR="007A030B" w:rsidRPr="007A030B" w:rsidRDefault="00226531" w:rsidP="00226531">
    <w:pPr>
      <w:pStyle w:val="Encabezado"/>
      <w:tabs>
        <w:tab w:val="clear" w:pos="4419"/>
        <w:tab w:val="clear" w:pos="8838"/>
        <w:tab w:val="left" w:pos="2115"/>
      </w:tabs>
    </w:pPr>
    <w:r>
      <w:rPr>
        <w:noProof/>
      </w:rPr>
      <w:drawing>
        <wp:anchor distT="0" distB="0" distL="114300" distR="114300" simplePos="0" relativeHeight="251658240" behindDoc="1" locked="0" layoutInCell="1" allowOverlap="1" wp14:anchorId="2E960E56" wp14:editId="4081D6B1">
          <wp:simplePos x="0" y="0"/>
          <wp:positionH relativeFrom="page">
            <wp:align>right</wp:align>
          </wp:positionH>
          <wp:positionV relativeFrom="paragraph">
            <wp:posOffset>-449580</wp:posOffset>
          </wp:positionV>
          <wp:extent cx="7765319" cy="10048875"/>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ECC4"/>
      </v:shape>
    </w:pict>
  </w:numPicBullet>
  <w:abstractNum w:abstractNumId="0" w15:restartNumberingAfterBreak="0">
    <w:nsid w:val="0AB73BFD"/>
    <w:multiLevelType w:val="hybridMultilevel"/>
    <w:tmpl w:val="355EE6D4"/>
    <w:lvl w:ilvl="0" w:tplc="24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886A88"/>
    <w:multiLevelType w:val="hybridMultilevel"/>
    <w:tmpl w:val="8E969F3A"/>
    <w:lvl w:ilvl="0" w:tplc="13FAD28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BA359E"/>
    <w:multiLevelType w:val="hybridMultilevel"/>
    <w:tmpl w:val="181E7B60"/>
    <w:lvl w:ilvl="0" w:tplc="240A0007">
      <w:start w:val="1"/>
      <w:numFmt w:val="bullet"/>
      <w:lvlText w:val=""/>
      <w:lvlPicBulletId w:val="0"/>
      <w:lvlJc w:val="left"/>
      <w:pPr>
        <w:ind w:left="786" w:hanging="360"/>
      </w:pPr>
      <w:rPr>
        <w:rFonts w:ascii="Symbol" w:hAnsi="Symbol" w:hint="default"/>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3" w15:restartNumberingAfterBreak="0">
    <w:nsid w:val="2B192754"/>
    <w:multiLevelType w:val="hybridMultilevel"/>
    <w:tmpl w:val="523089C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2772F60"/>
    <w:multiLevelType w:val="hybridMultilevel"/>
    <w:tmpl w:val="5E4CE652"/>
    <w:lvl w:ilvl="0" w:tplc="24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F333FC"/>
    <w:multiLevelType w:val="hybridMultilevel"/>
    <w:tmpl w:val="581CC1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63A6CA2"/>
    <w:multiLevelType w:val="hybridMultilevel"/>
    <w:tmpl w:val="86C0E5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6E21638"/>
    <w:multiLevelType w:val="hybridMultilevel"/>
    <w:tmpl w:val="A28E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1"/>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0B"/>
    <w:rsid w:val="00011F12"/>
    <w:rsid w:val="00022713"/>
    <w:rsid w:val="0009048C"/>
    <w:rsid w:val="000D1266"/>
    <w:rsid w:val="000D1F0E"/>
    <w:rsid w:val="00135377"/>
    <w:rsid w:val="00145BDE"/>
    <w:rsid w:val="0015072E"/>
    <w:rsid w:val="00175B5E"/>
    <w:rsid w:val="001811DE"/>
    <w:rsid w:val="001E50B9"/>
    <w:rsid w:val="00214288"/>
    <w:rsid w:val="00226531"/>
    <w:rsid w:val="002A5318"/>
    <w:rsid w:val="002D6936"/>
    <w:rsid w:val="002F18E7"/>
    <w:rsid w:val="0031472F"/>
    <w:rsid w:val="00314F56"/>
    <w:rsid w:val="003626BE"/>
    <w:rsid w:val="00370F84"/>
    <w:rsid w:val="003D118A"/>
    <w:rsid w:val="004619DB"/>
    <w:rsid w:val="0046757D"/>
    <w:rsid w:val="00490C24"/>
    <w:rsid w:val="004C2FFC"/>
    <w:rsid w:val="004F1B2B"/>
    <w:rsid w:val="005319DF"/>
    <w:rsid w:val="00540E69"/>
    <w:rsid w:val="0055682E"/>
    <w:rsid w:val="005604BB"/>
    <w:rsid w:val="0056271E"/>
    <w:rsid w:val="00575216"/>
    <w:rsid w:val="00637FCC"/>
    <w:rsid w:val="006722FB"/>
    <w:rsid w:val="00680671"/>
    <w:rsid w:val="0068547D"/>
    <w:rsid w:val="00692689"/>
    <w:rsid w:val="006B1D2E"/>
    <w:rsid w:val="006B5CD5"/>
    <w:rsid w:val="0071277E"/>
    <w:rsid w:val="007263F6"/>
    <w:rsid w:val="00732AEF"/>
    <w:rsid w:val="007647D3"/>
    <w:rsid w:val="007A030B"/>
    <w:rsid w:val="007E68F2"/>
    <w:rsid w:val="007E7047"/>
    <w:rsid w:val="00897ACA"/>
    <w:rsid w:val="009E1C76"/>
    <w:rsid w:val="00A43ED8"/>
    <w:rsid w:val="00A52CC0"/>
    <w:rsid w:val="00AE2338"/>
    <w:rsid w:val="00B01EEF"/>
    <w:rsid w:val="00B94ED8"/>
    <w:rsid w:val="00BE7B49"/>
    <w:rsid w:val="00C00886"/>
    <w:rsid w:val="00C131A2"/>
    <w:rsid w:val="00C257C7"/>
    <w:rsid w:val="00C349A8"/>
    <w:rsid w:val="00C34F50"/>
    <w:rsid w:val="00C53E24"/>
    <w:rsid w:val="00C81A3B"/>
    <w:rsid w:val="00C971F3"/>
    <w:rsid w:val="00CA0AC3"/>
    <w:rsid w:val="00CA40A7"/>
    <w:rsid w:val="00CA57F1"/>
    <w:rsid w:val="00D2667B"/>
    <w:rsid w:val="00D92610"/>
    <w:rsid w:val="00E46A91"/>
    <w:rsid w:val="00E55607"/>
    <w:rsid w:val="00E73604"/>
    <w:rsid w:val="00EA12DD"/>
    <w:rsid w:val="00ED0DA1"/>
    <w:rsid w:val="00EF6EB9"/>
    <w:rsid w:val="00F03A5A"/>
    <w:rsid w:val="00F14990"/>
    <w:rsid w:val="00F410D5"/>
    <w:rsid w:val="00F53962"/>
    <w:rsid w:val="00F66E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FDA86"/>
  <w15:chartTrackingRefBased/>
  <w15:docId w15:val="{2106EE4A-8071-44BA-B13B-2C3E3D83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1E"/>
    <w:rPr>
      <w:kern w:val="2"/>
      <w14:ligatures w14:val="standardContextual"/>
    </w:rPr>
  </w:style>
  <w:style w:type="paragraph" w:styleId="Ttulo1">
    <w:name w:val="heading 1"/>
    <w:basedOn w:val="Normal"/>
    <w:next w:val="Normal"/>
    <w:link w:val="Ttulo1Car"/>
    <w:uiPriority w:val="9"/>
    <w:qFormat/>
    <w:rsid w:val="005627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030B"/>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7A030B"/>
  </w:style>
  <w:style w:type="paragraph" w:styleId="Piedepgina">
    <w:name w:val="footer"/>
    <w:basedOn w:val="Normal"/>
    <w:link w:val="PiedepginaCar"/>
    <w:uiPriority w:val="99"/>
    <w:unhideWhenUsed/>
    <w:rsid w:val="007A03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030B"/>
  </w:style>
  <w:style w:type="character" w:customStyle="1" w:styleId="Ttulo1Car">
    <w:name w:val="Título 1 Car"/>
    <w:basedOn w:val="Fuentedeprrafopredeter"/>
    <w:link w:val="Ttulo1"/>
    <w:uiPriority w:val="9"/>
    <w:rsid w:val="0056271E"/>
    <w:rPr>
      <w:rFonts w:asciiTheme="majorHAnsi" w:eastAsiaTheme="majorEastAsia" w:hAnsiTheme="majorHAnsi" w:cstheme="majorBidi"/>
      <w:color w:val="2F5496" w:themeColor="accent1" w:themeShade="BF"/>
      <w:kern w:val="2"/>
      <w:sz w:val="32"/>
      <w:szCs w:val="32"/>
      <w14:ligatures w14:val="standardContextual"/>
    </w:rPr>
  </w:style>
  <w:style w:type="paragraph" w:styleId="Sinespaciado">
    <w:name w:val="No Spacing"/>
    <w:uiPriority w:val="1"/>
    <w:qFormat/>
    <w:rsid w:val="0056271E"/>
    <w:pPr>
      <w:spacing w:after="0" w:line="240" w:lineRule="auto"/>
    </w:pPr>
    <w:rPr>
      <w:kern w:val="2"/>
      <w14:ligatures w14:val="standardContextual"/>
    </w:rPr>
  </w:style>
  <w:style w:type="character" w:styleId="Hipervnculo">
    <w:name w:val="Hyperlink"/>
    <w:basedOn w:val="Fuentedeprrafopredeter"/>
    <w:uiPriority w:val="99"/>
    <w:unhideWhenUsed/>
    <w:rsid w:val="00214288"/>
    <w:rPr>
      <w:color w:val="0563C1" w:themeColor="hyperlink"/>
      <w:u w:val="single"/>
    </w:rPr>
  </w:style>
  <w:style w:type="character" w:styleId="Mencinsinresolver">
    <w:name w:val="Unresolved Mention"/>
    <w:basedOn w:val="Fuentedeprrafopredeter"/>
    <w:uiPriority w:val="99"/>
    <w:semiHidden/>
    <w:unhideWhenUsed/>
    <w:rsid w:val="00214288"/>
    <w:rPr>
      <w:color w:val="605E5C"/>
      <w:shd w:val="clear" w:color="auto" w:fill="E1DFDD"/>
    </w:rPr>
  </w:style>
  <w:style w:type="paragraph" w:styleId="Prrafodelista">
    <w:name w:val="List Paragraph"/>
    <w:basedOn w:val="Normal"/>
    <w:uiPriority w:val="34"/>
    <w:qFormat/>
    <w:rsid w:val="00CA0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Tomas_Guerrilleras_en_Colombi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wikipedia.org/wiki/Narcotr%C3%A1fico_en_Colombia" TargetMode="External"/><Relationship Id="rId12" Type="http://schemas.openxmlformats.org/officeDocument/2006/relationships/hyperlink" Target="http://www.secretariasenado.gov.co/senado/basedoc/ley_1448_2011_pr0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ley_1448_2011_pr003.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cretariasenado.gov.co/senado/basedoc/ley_1448_2011_pr003.html" TargetMode="External"/><Relationship Id="rId4" Type="http://schemas.openxmlformats.org/officeDocument/2006/relationships/webSettings" Target="webSettings.xml"/><Relationship Id="rId9" Type="http://schemas.openxmlformats.org/officeDocument/2006/relationships/hyperlink" Target="https://es.wikipedia.org/wiki/Desaparici%C3%B3n_forzada_en_Colomb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6916</Words>
  <Characters>38039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DISEÑO2</dc:creator>
  <cp:keywords/>
  <dc:description/>
  <cp:lastModifiedBy>Alex Fabian Castillo Rojas</cp:lastModifiedBy>
  <cp:revision>2</cp:revision>
  <cp:lastPrinted>2023-03-24T15:22:00Z</cp:lastPrinted>
  <dcterms:created xsi:type="dcterms:W3CDTF">2023-03-27T15:46:00Z</dcterms:created>
  <dcterms:modified xsi:type="dcterms:W3CDTF">2023-03-27T15:46:00Z</dcterms:modified>
</cp:coreProperties>
</file>