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200A3" w14:textId="3FA2E3FA" w:rsidR="00756FAE" w:rsidRPr="00EA2C95" w:rsidRDefault="005A4FEA" w:rsidP="005A4FEA">
      <w:pPr>
        <w:jc w:val="center"/>
        <w:rPr>
          <w:rFonts w:ascii="Bookman Old Style" w:hAnsi="Bookman Old Style" w:cstheme="minorHAnsi"/>
          <w:b/>
          <w:sz w:val="22"/>
          <w:szCs w:val="22"/>
        </w:rPr>
      </w:pPr>
      <w:r w:rsidRPr="00EA2C95">
        <w:rPr>
          <w:rFonts w:ascii="Bookman Old Style" w:hAnsi="Bookman Old Style" w:cstheme="minorHAnsi"/>
          <w:b/>
          <w:sz w:val="22"/>
          <w:szCs w:val="22"/>
        </w:rPr>
        <w:t xml:space="preserve">INFORME DE PONENCIA PARA PRIMER DEBATE AL PROYECTO DE LEY NÚMERO 007 DE 2022 CÁMARA </w:t>
      </w:r>
      <w:r w:rsidRPr="00EA2C95">
        <w:rPr>
          <w:rFonts w:ascii="Bookman Old Style" w:hAnsi="Bookman Old Style" w:cstheme="minorHAnsi"/>
          <w:sz w:val="22"/>
          <w:szCs w:val="22"/>
        </w:rPr>
        <w:t>“</w:t>
      </w:r>
      <w:r w:rsidRPr="00EA2C95">
        <w:rPr>
          <w:rFonts w:ascii="Bookman Old Style" w:hAnsi="Bookman Old Style" w:cstheme="minorHAnsi"/>
          <w:i/>
          <w:iCs/>
          <w:sz w:val="22"/>
          <w:szCs w:val="22"/>
        </w:rPr>
        <w:t>Por el cual se eliminan las prácticas taurinas en el territorio nacional y se dictan otras disposiciones</w:t>
      </w:r>
      <w:r w:rsidRPr="00EA2C95">
        <w:rPr>
          <w:rFonts w:ascii="Bookman Old Style" w:hAnsi="Bookman Old Style" w:cstheme="minorHAnsi"/>
          <w:sz w:val="22"/>
          <w:szCs w:val="22"/>
        </w:rPr>
        <w:t>”.</w:t>
      </w:r>
    </w:p>
    <w:p w14:paraId="23AF5CB6" w14:textId="77777777" w:rsidR="00756FAE" w:rsidRPr="00EA2C95" w:rsidRDefault="00756FAE">
      <w:pPr>
        <w:rPr>
          <w:rFonts w:ascii="Bookman Old Style" w:eastAsia="Bookman Old Style" w:hAnsi="Bookman Old Style" w:cs="Bookman Old Style"/>
          <w:color w:val="000000"/>
          <w:sz w:val="22"/>
          <w:szCs w:val="22"/>
        </w:rPr>
      </w:pPr>
    </w:p>
    <w:p w14:paraId="42B793B5" w14:textId="77777777" w:rsidR="0047400B" w:rsidRPr="00EA2C95" w:rsidRDefault="0047400B">
      <w:pPr>
        <w:rPr>
          <w:rFonts w:ascii="Bookman Old Style" w:eastAsia="Bookman Old Style" w:hAnsi="Bookman Old Style" w:cs="Bookman Old Style"/>
          <w:color w:val="000000"/>
          <w:sz w:val="22"/>
          <w:szCs w:val="22"/>
        </w:rPr>
      </w:pPr>
    </w:p>
    <w:p w14:paraId="799E444E" w14:textId="15372B8A" w:rsidR="005A4FEA" w:rsidRPr="00EA2C95" w:rsidRDefault="005A4FEA" w:rsidP="005A4FEA">
      <w:pPr>
        <w:rPr>
          <w:rFonts w:ascii="Bookman Old Style" w:hAnsi="Bookman Old Style" w:cstheme="minorHAnsi"/>
          <w:sz w:val="22"/>
          <w:szCs w:val="22"/>
        </w:rPr>
      </w:pPr>
      <w:r w:rsidRPr="00EA2C95">
        <w:rPr>
          <w:rFonts w:ascii="Bookman Old Style" w:hAnsi="Bookman Old Style" w:cstheme="minorHAnsi"/>
          <w:sz w:val="22"/>
          <w:szCs w:val="22"/>
        </w:rPr>
        <w:t>Bogotá D.C. 08 de agosto de 2022</w:t>
      </w:r>
    </w:p>
    <w:p w14:paraId="47AF5088" w14:textId="77777777" w:rsidR="005A4FEA" w:rsidRPr="00EA2C95" w:rsidRDefault="005A4FEA" w:rsidP="005A4FEA">
      <w:pPr>
        <w:rPr>
          <w:rFonts w:ascii="Bookman Old Style" w:hAnsi="Bookman Old Style" w:cstheme="minorHAnsi"/>
          <w:sz w:val="22"/>
          <w:szCs w:val="22"/>
        </w:rPr>
      </w:pPr>
    </w:p>
    <w:p w14:paraId="2BB15656" w14:textId="77777777" w:rsidR="005A4FEA" w:rsidRPr="00EA2C95" w:rsidRDefault="005A4FEA" w:rsidP="005A4FEA">
      <w:pPr>
        <w:rPr>
          <w:rFonts w:ascii="Bookman Old Style" w:hAnsi="Bookman Old Style" w:cstheme="minorHAnsi"/>
          <w:sz w:val="22"/>
          <w:szCs w:val="22"/>
        </w:rPr>
      </w:pPr>
    </w:p>
    <w:p w14:paraId="4D49EE6B" w14:textId="77777777" w:rsidR="005A4FEA" w:rsidRPr="00EA2C95" w:rsidRDefault="005A4FEA" w:rsidP="005A4FEA">
      <w:pPr>
        <w:rPr>
          <w:rFonts w:ascii="Bookman Old Style" w:hAnsi="Bookman Old Style" w:cstheme="minorHAnsi"/>
          <w:sz w:val="22"/>
          <w:szCs w:val="22"/>
        </w:rPr>
      </w:pPr>
      <w:r w:rsidRPr="00EA2C95">
        <w:rPr>
          <w:rFonts w:ascii="Bookman Old Style" w:hAnsi="Bookman Old Style" w:cstheme="minorHAnsi"/>
          <w:sz w:val="22"/>
          <w:szCs w:val="22"/>
        </w:rPr>
        <w:t>Honorable Representante</w:t>
      </w:r>
    </w:p>
    <w:p w14:paraId="284C5C29" w14:textId="77777777" w:rsidR="005A4FEA" w:rsidRPr="00EA2C95" w:rsidRDefault="005A4FEA" w:rsidP="005A4FEA">
      <w:pPr>
        <w:rPr>
          <w:rFonts w:ascii="Bookman Old Style" w:hAnsi="Bookman Old Style" w:cstheme="minorHAnsi"/>
          <w:b/>
          <w:bCs/>
          <w:sz w:val="22"/>
          <w:szCs w:val="22"/>
        </w:rPr>
      </w:pPr>
      <w:r w:rsidRPr="00EA2C95">
        <w:rPr>
          <w:rFonts w:ascii="Bookman Old Style" w:hAnsi="Bookman Old Style" w:cstheme="minorHAnsi"/>
          <w:b/>
          <w:bCs/>
          <w:sz w:val="22"/>
          <w:szCs w:val="22"/>
        </w:rPr>
        <w:t>JUAN CARLOS WILLS OSPINA</w:t>
      </w:r>
    </w:p>
    <w:p w14:paraId="147849D8" w14:textId="77777777" w:rsidR="005A4FEA" w:rsidRPr="00EA2C95" w:rsidRDefault="005A4FEA" w:rsidP="005A4FEA">
      <w:pPr>
        <w:rPr>
          <w:rFonts w:ascii="Bookman Old Style" w:hAnsi="Bookman Old Style" w:cstheme="minorHAnsi"/>
          <w:sz w:val="22"/>
          <w:szCs w:val="22"/>
        </w:rPr>
      </w:pPr>
      <w:r w:rsidRPr="00EA2C95">
        <w:rPr>
          <w:rFonts w:ascii="Bookman Old Style" w:hAnsi="Bookman Old Style" w:cstheme="minorHAnsi"/>
          <w:sz w:val="22"/>
          <w:szCs w:val="22"/>
        </w:rPr>
        <w:t>Presidente</w:t>
      </w:r>
    </w:p>
    <w:p w14:paraId="65B598BE" w14:textId="77777777" w:rsidR="005A4FEA" w:rsidRPr="00EA2C95" w:rsidRDefault="005A4FEA" w:rsidP="005A4FEA">
      <w:pPr>
        <w:rPr>
          <w:rFonts w:ascii="Bookman Old Style" w:hAnsi="Bookman Old Style" w:cstheme="minorHAnsi"/>
          <w:b/>
          <w:bCs/>
          <w:sz w:val="22"/>
          <w:szCs w:val="22"/>
        </w:rPr>
      </w:pPr>
      <w:r w:rsidRPr="00EA2C95">
        <w:rPr>
          <w:rFonts w:ascii="Bookman Old Style" w:hAnsi="Bookman Old Style" w:cstheme="minorHAnsi"/>
          <w:b/>
          <w:bCs/>
          <w:sz w:val="22"/>
          <w:szCs w:val="22"/>
        </w:rPr>
        <w:t>Comisión Primera Constitucional</w:t>
      </w:r>
    </w:p>
    <w:p w14:paraId="02B1907C" w14:textId="77777777" w:rsidR="005A4FEA" w:rsidRPr="00EA2C95" w:rsidRDefault="005A4FEA" w:rsidP="005A4FEA">
      <w:pPr>
        <w:rPr>
          <w:rFonts w:ascii="Bookman Old Style" w:hAnsi="Bookman Old Style" w:cstheme="minorHAnsi"/>
          <w:sz w:val="22"/>
          <w:szCs w:val="22"/>
        </w:rPr>
      </w:pPr>
      <w:r w:rsidRPr="00EA2C95">
        <w:rPr>
          <w:rFonts w:ascii="Bookman Old Style" w:hAnsi="Bookman Old Style" w:cstheme="minorHAnsi"/>
          <w:sz w:val="22"/>
          <w:szCs w:val="22"/>
        </w:rPr>
        <w:t>Cámara de Representantes</w:t>
      </w:r>
    </w:p>
    <w:p w14:paraId="7100A841" w14:textId="77777777" w:rsidR="005A4FEA" w:rsidRPr="00EA2C95" w:rsidRDefault="005A4FEA" w:rsidP="005A4FEA">
      <w:pPr>
        <w:rPr>
          <w:rFonts w:ascii="Bookman Old Style" w:hAnsi="Bookman Old Style" w:cstheme="minorHAnsi"/>
          <w:sz w:val="22"/>
          <w:szCs w:val="22"/>
        </w:rPr>
      </w:pPr>
      <w:r w:rsidRPr="00EA2C95">
        <w:rPr>
          <w:rFonts w:ascii="Bookman Old Style" w:hAnsi="Bookman Old Style" w:cstheme="minorHAnsi"/>
          <w:sz w:val="22"/>
          <w:szCs w:val="22"/>
        </w:rPr>
        <w:t>Ciudad.</w:t>
      </w:r>
    </w:p>
    <w:p w14:paraId="4143C332" w14:textId="77777777" w:rsidR="005A4FEA" w:rsidRPr="00EA2C95" w:rsidRDefault="005A4FEA" w:rsidP="005A4FEA">
      <w:pPr>
        <w:rPr>
          <w:rFonts w:ascii="Bookman Old Style" w:hAnsi="Bookman Old Style" w:cstheme="minorHAnsi"/>
          <w:b/>
          <w:sz w:val="22"/>
          <w:szCs w:val="22"/>
        </w:rPr>
      </w:pPr>
    </w:p>
    <w:p w14:paraId="5FA43033" w14:textId="77777777" w:rsidR="005A4FEA" w:rsidRPr="00EA2C95" w:rsidRDefault="005A4FEA" w:rsidP="005A4FEA">
      <w:pPr>
        <w:rPr>
          <w:rFonts w:ascii="Bookman Old Style" w:hAnsi="Bookman Old Style" w:cstheme="minorHAnsi"/>
          <w:b/>
          <w:sz w:val="22"/>
          <w:szCs w:val="22"/>
        </w:rPr>
      </w:pPr>
    </w:p>
    <w:p w14:paraId="38DA08F7" w14:textId="254D2104" w:rsidR="005A4FEA" w:rsidRPr="00EA2C95" w:rsidRDefault="005A4FEA" w:rsidP="005A4FEA">
      <w:pPr>
        <w:pStyle w:val="NormalWeb"/>
        <w:shd w:val="clear" w:color="auto" w:fill="FFFFFF"/>
        <w:spacing w:before="0" w:beforeAutospacing="0" w:after="0" w:afterAutospacing="0"/>
        <w:ind w:left="3969"/>
        <w:jc w:val="both"/>
        <w:rPr>
          <w:rFonts w:ascii="Bookman Old Style" w:hAnsi="Bookman Old Style" w:cs="Arial"/>
          <w:bCs/>
          <w:sz w:val="22"/>
          <w:szCs w:val="22"/>
        </w:rPr>
      </w:pPr>
      <w:r w:rsidRPr="00EA2C95">
        <w:rPr>
          <w:rFonts w:ascii="Bookman Old Style" w:hAnsi="Bookman Old Style" w:cs="Arial"/>
          <w:b/>
          <w:bCs/>
          <w:sz w:val="22"/>
          <w:szCs w:val="22"/>
          <w:lang w:val="es-ES_tradnl"/>
        </w:rPr>
        <w:t>Referencia:</w:t>
      </w:r>
      <w:r w:rsidRPr="00EA2C95">
        <w:rPr>
          <w:rFonts w:ascii="Bookman Old Style" w:hAnsi="Bookman Old Style" w:cs="Arial"/>
          <w:b/>
          <w:bCs/>
          <w:sz w:val="22"/>
          <w:szCs w:val="22"/>
          <w:lang w:val="es-ES_tradnl"/>
        </w:rPr>
        <w:tab/>
        <w:t>Informe de Ponencia para primer debate al Proyecto de Ley número 007 de 2022 Cámara.</w:t>
      </w:r>
    </w:p>
    <w:p w14:paraId="1F96CFE9" w14:textId="77777777" w:rsidR="005A4FEA" w:rsidRPr="00EA2C95" w:rsidRDefault="005A4FEA" w:rsidP="005A4FEA">
      <w:pPr>
        <w:jc w:val="right"/>
        <w:rPr>
          <w:rFonts w:ascii="Bookman Old Style" w:hAnsi="Bookman Old Style" w:cstheme="minorHAnsi"/>
          <w:b/>
          <w:sz w:val="22"/>
          <w:szCs w:val="22"/>
        </w:rPr>
      </w:pPr>
    </w:p>
    <w:p w14:paraId="77B2F1DC" w14:textId="77777777" w:rsidR="005A4FEA" w:rsidRPr="00EA2C95" w:rsidRDefault="005A4FEA" w:rsidP="005A4FEA">
      <w:pPr>
        <w:rPr>
          <w:rFonts w:ascii="Bookman Old Style" w:hAnsi="Bookman Old Style" w:cstheme="minorHAnsi"/>
          <w:b/>
          <w:sz w:val="22"/>
          <w:szCs w:val="22"/>
        </w:rPr>
      </w:pPr>
    </w:p>
    <w:p w14:paraId="26F58B6C" w14:textId="77777777" w:rsidR="005A4FEA" w:rsidRPr="00EA2C95" w:rsidRDefault="005A4FEA" w:rsidP="005A4FEA">
      <w:pPr>
        <w:jc w:val="both"/>
        <w:rPr>
          <w:rFonts w:ascii="Bookman Old Style" w:hAnsi="Bookman Old Style" w:cstheme="minorHAnsi"/>
          <w:sz w:val="22"/>
          <w:szCs w:val="22"/>
        </w:rPr>
      </w:pPr>
      <w:r w:rsidRPr="00EA2C95">
        <w:rPr>
          <w:rFonts w:ascii="Bookman Old Style" w:hAnsi="Bookman Old Style" w:cstheme="minorHAnsi"/>
          <w:sz w:val="22"/>
          <w:szCs w:val="22"/>
        </w:rPr>
        <w:t>Honorables Representantes:</w:t>
      </w:r>
    </w:p>
    <w:p w14:paraId="34F26382" w14:textId="77777777" w:rsidR="005A4FEA" w:rsidRPr="00EA2C95" w:rsidRDefault="005A4FEA" w:rsidP="005A4FEA">
      <w:pPr>
        <w:jc w:val="both"/>
        <w:rPr>
          <w:rFonts w:ascii="Bookman Old Style" w:hAnsi="Bookman Old Style" w:cstheme="minorHAnsi"/>
          <w:sz w:val="22"/>
          <w:szCs w:val="22"/>
        </w:rPr>
      </w:pPr>
    </w:p>
    <w:p w14:paraId="4FEB7987" w14:textId="0EF07894" w:rsidR="00756FAE" w:rsidRPr="00EA2C95" w:rsidRDefault="005A4FEA" w:rsidP="005A4FEA">
      <w:pPr>
        <w:pStyle w:val="NormalWeb"/>
        <w:shd w:val="clear" w:color="auto" w:fill="FFFFFF"/>
        <w:spacing w:before="0" w:beforeAutospacing="0" w:after="0" w:afterAutospacing="0"/>
        <w:jc w:val="both"/>
        <w:rPr>
          <w:rFonts w:ascii="Bookman Old Style" w:hAnsi="Bookman Old Style" w:cs="Arial"/>
          <w:sz w:val="22"/>
          <w:szCs w:val="22"/>
          <w:lang w:val="es-ES"/>
        </w:rPr>
        <w:sectPr w:rsidR="00756FAE" w:rsidRPr="00EA2C95">
          <w:headerReference w:type="default" r:id="rId8"/>
          <w:footerReference w:type="default" r:id="rId9"/>
          <w:pgSz w:w="12240" w:h="15840"/>
          <w:pgMar w:top="1417" w:right="1701" w:bottom="1417" w:left="1701" w:header="708" w:footer="708" w:gutter="0"/>
          <w:pgNumType w:start="1"/>
          <w:cols w:space="720"/>
        </w:sectPr>
      </w:pPr>
      <w:r w:rsidRPr="00EA2C95">
        <w:rPr>
          <w:rFonts w:ascii="Bookman Old Style" w:hAnsi="Bookman Old Style" w:cs="Arial"/>
          <w:bCs/>
          <w:sz w:val="22"/>
          <w:szCs w:val="22"/>
          <w:lang w:val="es-ES_tradnl"/>
        </w:rPr>
        <w:t xml:space="preserve">En cumplimiento del encargo hecho por la Honorable Mesa Directiva de la Comisión Primera Constitucional de la Cámara de Representantes del Congreso de la República y de conformidad con lo establecido en el artículo 156 de la Ley 5ª de 1992, me permito rendir Informe de Ponencia para primer debate al Proyecto de Ley número 007 de 2022 Cámara, </w:t>
      </w:r>
      <w:r w:rsidRPr="00EA2C95">
        <w:rPr>
          <w:rFonts w:ascii="Bookman Old Style" w:hAnsi="Bookman Old Style" w:cstheme="minorHAnsi"/>
          <w:sz w:val="22"/>
          <w:szCs w:val="22"/>
        </w:rPr>
        <w:t>“</w:t>
      </w:r>
      <w:r w:rsidRPr="00EA2C95">
        <w:rPr>
          <w:rFonts w:ascii="Bookman Old Style" w:hAnsi="Bookman Old Style" w:cstheme="minorHAnsi"/>
          <w:i/>
          <w:iCs/>
          <w:sz w:val="22"/>
          <w:szCs w:val="22"/>
        </w:rPr>
        <w:t>Por el cual se eliminan las prácticas taurinas en el territorio nacional y se dictan otras disposiciones</w:t>
      </w:r>
      <w:r w:rsidRPr="00EA2C95">
        <w:rPr>
          <w:rFonts w:ascii="Bookman Old Style" w:hAnsi="Bookman Old Style" w:cstheme="minorHAnsi"/>
          <w:sz w:val="22"/>
          <w:szCs w:val="22"/>
        </w:rPr>
        <w:t xml:space="preserve">”, </w:t>
      </w:r>
      <w:r w:rsidRPr="00EA2C95">
        <w:rPr>
          <w:rFonts w:ascii="Bookman Old Style" w:hAnsi="Bookman Old Style" w:cs="Arial"/>
          <w:sz w:val="22"/>
          <w:szCs w:val="22"/>
          <w:lang w:val="es-ES"/>
        </w:rPr>
        <w:t>con base en las siguientes consideraciones:</w:t>
      </w:r>
    </w:p>
    <w:p w14:paraId="17A212BA" w14:textId="77777777" w:rsidR="00756FAE" w:rsidRPr="00EA2C95" w:rsidRDefault="00756FAE">
      <w:pPr>
        <w:pBdr>
          <w:top w:val="nil"/>
          <w:left w:val="nil"/>
          <w:bottom w:val="nil"/>
          <w:right w:val="nil"/>
          <w:between w:val="nil"/>
        </w:pBdr>
        <w:rPr>
          <w:rFonts w:ascii="Bookman Old Style" w:eastAsia="Bookman Old Style" w:hAnsi="Bookman Old Style" w:cs="Bookman Old Style"/>
          <w:color w:val="000000"/>
          <w:sz w:val="22"/>
          <w:szCs w:val="22"/>
        </w:rPr>
      </w:pPr>
    </w:p>
    <w:p w14:paraId="0285DEFF" w14:textId="77777777" w:rsidR="005A4FEA" w:rsidRPr="00EA2C95" w:rsidRDefault="005A4FEA" w:rsidP="005A4FEA">
      <w:pPr>
        <w:pStyle w:val="Sinespaciado"/>
        <w:pBdr>
          <w:bottom w:val="single" w:sz="4" w:space="1" w:color="auto"/>
        </w:pBdr>
        <w:tabs>
          <w:tab w:val="left" w:pos="8055"/>
        </w:tabs>
        <w:jc w:val="center"/>
        <w:rPr>
          <w:rFonts w:ascii="Bookman Old Style" w:hAnsi="Bookman Old Style" w:cs="Arial"/>
          <w:b/>
        </w:rPr>
      </w:pPr>
      <w:r w:rsidRPr="00EA2C95">
        <w:rPr>
          <w:rFonts w:ascii="Bookman Old Style" w:hAnsi="Bookman Old Style" w:cs="Arial"/>
          <w:b/>
        </w:rPr>
        <w:t>EXPOSICIÓN DE MOTIVOS.</w:t>
      </w:r>
    </w:p>
    <w:p w14:paraId="64C89581" w14:textId="77777777" w:rsidR="005A4FEA" w:rsidRPr="00EA2C95" w:rsidRDefault="005A4FEA" w:rsidP="005A4FEA">
      <w:pPr>
        <w:pStyle w:val="Sinespaciado"/>
        <w:tabs>
          <w:tab w:val="left" w:pos="8055"/>
        </w:tabs>
        <w:jc w:val="center"/>
        <w:rPr>
          <w:rFonts w:ascii="Bookman Old Style" w:hAnsi="Bookman Old Style" w:cs="Arial"/>
          <w:b/>
        </w:rPr>
      </w:pPr>
    </w:p>
    <w:p w14:paraId="7E1C70E5" w14:textId="6E06C9CE" w:rsidR="005A4FEA" w:rsidRPr="00EA2C95" w:rsidRDefault="005A4FEA" w:rsidP="005A4FEA">
      <w:pPr>
        <w:pBdr>
          <w:top w:val="nil"/>
          <w:left w:val="nil"/>
          <w:bottom w:val="nil"/>
          <w:right w:val="nil"/>
          <w:between w:val="nil"/>
        </w:pBdr>
        <w:ind w:right="115"/>
        <w:rPr>
          <w:rFonts w:ascii="Bookman Old Style" w:eastAsia="Calibri" w:hAnsi="Bookman Old Style" w:cs="Calibri"/>
          <w:b/>
          <w:sz w:val="22"/>
          <w:szCs w:val="22"/>
        </w:rPr>
      </w:pPr>
      <w:r w:rsidRPr="00EA2C95">
        <w:rPr>
          <w:rFonts w:ascii="Bookman Old Style" w:eastAsia="Calibri" w:hAnsi="Bookman Old Style" w:cs="Calibri"/>
          <w:b/>
          <w:sz w:val="22"/>
          <w:szCs w:val="22"/>
        </w:rPr>
        <w:t>CONTENIDO.</w:t>
      </w:r>
    </w:p>
    <w:p w14:paraId="1578D19C" w14:textId="77777777" w:rsidR="00EA2C95" w:rsidRPr="00EA2C95" w:rsidRDefault="00EA2C95" w:rsidP="005A4FEA">
      <w:pPr>
        <w:pBdr>
          <w:top w:val="nil"/>
          <w:left w:val="nil"/>
          <w:bottom w:val="nil"/>
          <w:right w:val="nil"/>
          <w:between w:val="nil"/>
        </w:pBdr>
        <w:ind w:right="115"/>
        <w:rPr>
          <w:rFonts w:ascii="Bookman Old Style" w:eastAsia="Calibri" w:hAnsi="Bookman Old Style" w:cs="Calibri"/>
          <w:b/>
          <w:sz w:val="22"/>
          <w:szCs w:val="22"/>
        </w:rPr>
      </w:pPr>
    </w:p>
    <w:p w14:paraId="20510C5F" w14:textId="77777777" w:rsidR="00EA2C95" w:rsidRPr="00EA2C95" w:rsidRDefault="00EA2C95" w:rsidP="00EA2C95">
      <w:pPr>
        <w:pStyle w:val="Prrafodelista"/>
        <w:numPr>
          <w:ilvl w:val="0"/>
          <w:numId w:val="6"/>
        </w:numPr>
        <w:pBdr>
          <w:top w:val="nil"/>
          <w:left w:val="nil"/>
          <w:bottom w:val="nil"/>
          <w:right w:val="nil"/>
          <w:between w:val="nil"/>
        </w:pBdr>
        <w:spacing w:after="160" w:line="259" w:lineRule="auto"/>
        <w:ind w:right="115"/>
        <w:rPr>
          <w:rFonts w:ascii="Bookman Old Style" w:eastAsia="Calibri" w:hAnsi="Bookman Old Style" w:cs="Calibri"/>
          <w:bCs/>
          <w:sz w:val="22"/>
          <w:szCs w:val="22"/>
        </w:rPr>
      </w:pPr>
      <w:r w:rsidRPr="00EA2C95">
        <w:rPr>
          <w:rFonts w:ascii="Bookman Old Style" w:eastAsia="Calibri" w:hAnsi="Bookman Old Style" w:cs="Calibri"/>
          <w:bCs/>
          <w:sz w:val="22"/>
          <w:szCs w:val="22"/>
        </w:rPr>
        <w:t>Trámite de la iniciativa.</w:t>
      </w:r>
    </w:p>
    <w:p w14:paraId="60546623" w14:textId="77777777" w:rsidR="00EA2C95" w:rsidRPr="00EA2C95" w:rsidRDefault="00EA2C95" w:rsidP="00EA2C95">
      <w:pPr>
        <w:pStyle w:val="Prrafodelista"/>
        <w:numPr>
          <w:ilvl w:val="0"/>
          <w:numId w:val="6"/>
        </w:numPr>
        <w:pBdr>
          <w:top w:val="nil"/>
          <w:left w:val="nil"/>
          <w:bottom w:val="nil"/>
          <w:right w:val="nil"/>
          <w:between w:val="nil"/>
        </w:pBdr>
        <w:spacing w:after="160" w:line="259" w:lineRule="auto"/>
        <w:ind w:right="115"/>
        <w:rPr>
          <w:rFonts w:ascii="Bookman Old Style" w:eastAsia="Calibri" w:hAnsi="Bookman Old Style" w:cs="Calibri"/>
          <w:bCs/>
          <w:sz w:val="22"/>
          <w:szCs w:val="22"/>
        </w:rPr>
      </w:pPr>
      <w:r w:rsidRPr="00EA2C95">
        <w:rPr>
          <w:rFonts w:ascii="Bookman Old Style" w:eastAsia="Calibri" w:hAnsi="Bookman Old Style" w:cs="Calibri"/>
          <w:bCs/>
          <w:sz w:val="22"/>
          <w:szCs w:val="22"/>
        </w:rPr>
        <w:t>Antecedentes del Proyecto.</w:t>
      </w:r>
    </w:p>
    <w:p w14:paraId="20DF38F3" w14:textId="6B47E9D0" w:rsidR="00EA2C95" w:rsidRPr="00EA2C95" w:rsidRDefault="00EA2C95" w:rsidP="00EA2C95">
      <w:pPr>
        <w:pStyle w:val="Prrafodelista"/>
        <w:numPr>
          <w:ilvl w:val="0"/>
          <w:numId w:val="6"/>
        </w:numPr>
        <w:pBdr>
          <w:top w:val="nil"/>
          <w:left w:val="nil"/>
          <w:bottom w:val="nil"/>
          <w:right w:val="nil"/>
          <w:between w:val="nil"/>
        </w:pBdr>
        <w:spacing w:after="160" w:line="259" w:lineRule="auto"/>
        <w:ind w:right="115"/>
        <w:rPr>
          <w:rFonts w:ascii="Bookman Old Style" w:eastAsia="Calibri" w:hAnsi="Bookman Old Style" w:cs="Calibri"/>
          <w:bCs/>
          <w:sz w:val="22"/>
          <w:szCs w:val="22"/>
        </w:rPr>
      </w:pPr>
      <w:r w:rsidRPr="00EA2C95">
        <w:rPr>
          <w:rFonts w:ascii="Bookman Old Style" w:eastAsia="Calibri" w:hAnsi="Bookman Old Style" w:cs="Calibri"/>
          <w:bCs/>
          <w:sz w:val="22"/>
          <w:szCs w:val="22"/>
        </w:rPr>
        <w:t>Objeto.</w:t>
      </w:r>
    </w:p>
    <w:p w14:paraId="2EFAA476" w14:textId="4D42EFFA" w:rsidR="00EA2C95" w:rsidRPr="00EA2C95" w:rsidRDefault="00EA2C95" w:rsidP="00EA2C95">
      <w:pPr>
        <w:pStyle w:val="Prrafodelista"/>
        <w:numPr>
          <w:ilvl w:val="0"/>
          <w:numId w:val="6"/>
        </w:numPr>
        <w:pBdr>
          <w:top w:val="nil"/>
          <w:left w:val="nil"/>
          <w:bottom w:val="nil"/>
          <w:right w:val="nil"/>
          <w:between w:val="nil"/>
        </w:pBdr>
        <w:spacing w:after="160" w:line="259" w:lineRule="auto"/>
        <w:ind w:right="115"/>
        <w:rPr>
          <w:rFonts w:ascii="Bookman Old Style" w:eastAsia="Calibri" w:hAnsi="Bookman Old Style" w:cs="Calibri"/>
          <w:bCs/>
          <w:sz w:val="22"/>
          <w:szCs w:val="22"/>
        </w:rPr>
      </w:pPr>
      <w:r w:rsidRPr="00EA2C95">
        <w:rPr>
          <w:rFonts w:ascii="Bookman Old Style" w:eastAsia="Calibri" w:hAnsi="Bookman Old Style" w:cs="Calibri"/>
          <w:bCs/>
          <w:sz w:val="22"/>
          <w:szCs w:val="22"/>
        </w:rPr>
        <w:t>Antecedentes.</w:t>
      </w:r>
    </w:p>
    <w:p w14:paraId="60840B19" w14:textId="23DEADBE" w:rsidR="00EA2C95" w:rsidRPr="00EA2C95" w:rsidRDefault="00EA2C95" w:rsidP="00EA2C95">
      <w:pPr>
        <w:pStyle w:val="Prrafodelista"/>
        <w:numPr>
          <w:ilvl w:val="0"/>
          <w:numId w:val="6"/>
        </w:numPr>
        <w:pBdr>
          <w:top w:val="nil"/>
          <w:left w:val="nil"/>
          <w:bottom w:val="nil"/>
          <w:right w:val="nil"/>
          <w:between w:val="nil"/>
        </w:pBdr>
        <w:spacing w:after="160" w:line="259" w:lineRule="auto"/>
        <w:ind w:right="115"/>
        <w:rPr>
          <w:rFonts w:ascii="Bookman Old Style" w:eastAsia="Calibri" w:hAnsi="Bookman Old Style" w:cs="Calibri"/>
          <w:bCs/>
          <w:sz w:val="22"/>
          <w:szCs w:val="22"/>
        </w:rPr>
      </w:pPr>
      <w:r w:rsidRPr="00EA2C95">
        <w:rPr>
          <w:rFonts w:ascii="Bookman Old Style" w:eastAsia="Calibri" w:hAnsi="Bookman Old Style" w:cs="Calibri"/>
          <w:bCs/>
          <w:sz w:val="22"/>
          <w:szCs w:val="22"/>
        </w:rPr>
        <w:t>Justificación del proyecto de ley.</w:t>
      </w:r>
    </w:p>
    <w:p w14:paraId="30BC1B14" w14:textId="7B8F37AC" w:rsidR="00EA2C95" w:rsidRPr="00EA2C95" w:rsidRDefault="00EA2C95" w:rsidP="00EA2C95">
      <w:pPr>
        <w:pStyle w:val="Prrafodelista"/>
        <w:numPr>
          <w:ilvl w:val="1"/>
          <w:numId w:val="6"/>
        </w:numPr>
        <w:pBdr>
          <w:top w:val="nil"/>
          <w:left w:val="nil"/>
          <w:bottom w:val="nil"/>
          <w:right w:val="nil"/>
          <w:between w:val="nil"/>
        </w:pBdr>
        <w:spacing w:after="160" w:line="259" w:lineRule="auto"/>
        <w:ind w:left="993" w:right="115" w:hanging="633"/>
        <w:rPr>
          <w:rFonts w:ascii="Bookman Old Style" w:eastAsia="Calibri" w:hAnsi="Bookman Old Style" w:cs="Calibri"/>
          <w:bCs/>
          <w:sz w:val="22"/>
          <w:szCs w:val="22"/>
        </w:rPr>
      </w:pPr>
      <w:r w:rsidRPr="00EA2C95">
        <w:rPr>
          <w:rFonts w:ascii="Bookman Old Style" w:eastAsia="Calibri" w:hAnsi="Bookman Old Style" w:cs="Calibri"/>
          <w:bCs/>
          <w:sz w:val="22"/>
          <w:szCs w:val="22"/>
        </w:rPr>
        <w:t>Normativos.</w:t>
      </w:r>
    </w:p>
    <w:p w14:paraId="4057B506" w14:textId="4B070CA9" w:rsidR="00EA2C95" w:rsidRPr="00EA2C95" w:rsidRDefault="00EA2C95" w:rsidP="00EA2C95">
      <w:pPr>
        <w:pStyle w:val="Prrafodelista"/>
        <w:numPr>
          <w:ilvl w:val="1"/>
          <w:numId w:val="6"/>
        </w:numPr>
        <w:pBdr>
          <w:top w:val="nil"/>
          <w:left w:val="nil"/>
          <w:bottom w:val="nil"/>
          <w:right w:val="nil"/>
          <w:between w:val="nil"/>
        </w:pBdr>
        <w:spacing w:after="160" w:line="259" w:lineRule="auto"/>
        <w:ind w:left="993" w:right="115" w:hanging="633"/>
        <w:rPr>
          <w:rFonts w:ascii="Bookman Old Style" w:eastAsia="Calibri" w:hAnsi="Bookman Old Style" w:cs="Calibri"/>
          <w:bCs/>
          <w:sz w:val="22"/>
          <w:szCs w:val="22"/>
        </w:rPr>
      </w:pPr>
      <w:r w:rsidRPr="00EA2C95">
        <w:rPr>
          <w:rFonts w:ascii="Bookman Old Style" w:eastAsia="Calibri" w:hAnsi="Bookman Old Style" w:cs="Calibri"/>
          <w:bCs/>
          <w:sz w:val="22"/>
          <w:szCs w:val="22"/>
        </w:rPr>
        <w:t>Jurisprudenciales.</w:t>
      </w:r>
    </w:p>
    <w:p w14:paraId="6A8C479F" w14:textId="372990A4" w:rsidR="00EA2C95" w:rsidRPr="00EA2C95" w:rsidRDefault="00EA2C95" w:rsidP="00EA2C95">
      <w:pPr>
        <w:pStyle w:val="Prrafodelista"/>
        <w:numPr>
          <w:ilvl w:val="1"/>
          <w:numId w:val="6"/>
        </w:numPr>
        <w:pBdr>
          <w:top w:val="nil"/>
          <w:left w:val="nil"/>
          <w:bottom w:val="nil"/>
          <w:right w:val="nil"/>
          <w:between w:val="nil"/>
        </w:pBdr>
        <w:spacing w:after="160" w:line="259" w:lineRule="auto"/>
        <w:ind w:left="993" w:right="115" w:hanging="633"/>
        <w:rPr>
          <w:rFonts w:ascii="Bookman Old Style" w:eastAsia="Calibri" w:hAnsi="Bookman Old Style" w:cs="Calibri"/>
          <w:bCs/>
          <w:sz w:val="22"/>
          <w:szCs w:val="22"/>
        </w:rPr>
      </w:pPr>
      <w:r w:rsidRPr="00EA2C95">
        <w:rPr>
          <w:rFonts w:ascii="Bookman Old Style" w:eastAsia="Calibri" w:hAnsi="Bookman Old Style" w:cs="Calibri"/>
          <w:bCs/>
          <w:sz w:val="22"/>
          <w:szCs w:val="22"/>
        </w:rPr>
        <w:t>Internacionales.</w:t>
      </w:r>
    </w:p>
    <w:p w14:paraId="509EC343" w14:textId="78AF0503" w:rsidR="00EA2C95" w:rsidRPr="00EA2C95" w:rsidRDefault="00EA2C95" w:rsidP="00EA2C95">
      <w:pPr>
        <w:pStyle w:val="Prrafodelista"/>
        <w:numPr>
          <w:ilvl w:val="1"/>
          <w:numId w:val="6"/>
        </w:numPr>
        <w:pBdr>
          <w:top w:val="nil"/>
          <w:left w:val="nil"/>
          <w:bottom w:val="nil"/>
          <w:right w:val="nil"/>
          <w:between w:val="nil"/>
        </w:pBdr>
        <w:spacing w:after="160" w:line="259" w:lineRule="auto"/>
        <w:ind w:left="993" w:right="115" w:hanging="633"/>
        <w:rPr>
          <w:rFonts w:ascii="Bookman Old Style" w:eastAsia="Calibri" w:hAnsi="Bookman Old Style" w:cs="Calibri"/>
          <w:bCs/>
          <w:sz w:val="22"/>
          <w:szCs w:val="22"/>
        </w:rPr>
      </w:pPr>
      <w:r w:rsidRPr="00EA2C95">
        <w:rPr>
          <w:rFonts w:ascii="Bookman Old Style" w:eastAsia="Calibri" w:hAnsi="Bookman Old Style" w:cs="Calibri"/>
          <w:bCs/>
          <w:sz w:val="22"/>
          <w:szCs w:val="22"/>
        </w:rPr>
        <w:t>Científicos.</w:t>
      </w:r>
    </w:p>
    <w:p w14:paraId="1A1C6E6C" w14:textId="7391021F" w:rsidR="00EA2C95" w:rsidRPr="00EA2C95" w:rsidRDefault="00EA2C95" w:rsidP="00EA2C95">
      <w:pPr>
        <w:pStyle w:val="Prrafodelista"/>
        <w:numPr>
          <w:ilvl w:val="1"/>
          <w:numId w:val="6"/>
        </w:numPr>
        <w:pBdr>
          <w:top w:val="nil"/>
          <w:left w:val="nil"/>
          <w:bottom w:val="nil"/>
          <w:right w:val="nil"/>
          <w:between w:val="nil"/>
        </w:pBdr>
        <w:spacing w:after="160" w:line="259" w:lineRule="auto"/>
        <w:ind w:left="993" w:right="115" w:hanging="633"/>
        <w:rPr>
          <w:rFonts w:ascii="Bookman Old Style" w:eastAsia="Calibri" w:hAnsi="Bookman Old Style" w:cs="Calibri"/>
          <w:bCs/>
          <w:sz w:val="22"/>
          <w:szCs w:val="22"/>
        </w:rPr>
      </w:pPr>
      <w:r w:rsidRPr="00EA2C95">
        <w:rPr>
          <w:rFonts w:ascii="Bookman Old Style" w:eastAsia="Calibri" w:hAnsi="Bookman Old Style" w:cs="Calibri"/>
          <w:bCs/>
          <w:sz w:val="22"/>
          <w:szCs w:val="22"/>
        </w:rPr>
        <w:lastRenderedPageBreak/>
        <w:t>Psicosociales.</w:t>
      </w:r>
    </w:p>
    <w:p w14:paraId="1D0B44B8" w14:textId="00709808" w:rsidR="00EA2C95" w:rsidRPr="00EA2C95" w:rsidRDefault="00EA2C95" w:rsidP="00EA2C95">
      <w:pPr>
        <w:pStyle w:val="Prrafodelista"/>
        <w:numPr>
          <w:ilvl w:val="1"/>
          <w:numId w:val="6"/>
        </w:numPr>
        <w:pBdr>
          <w:top w:val="nil"/>
          <w:left w:val="nil"/>
          <w:bottom w:val="nil"/>
          <w:right w:val="nil"/>
          <w:between w:val="nil"/>
        </w:pBdr>
        <w:spacing w:after="160" w:line="259" w:lineRule="auto"/>
        <w:ind w:left="993" w:right="115" w:hanging="633"/>
        <w:rPr>
          <w:rFonts w:ascii="Bookman Old Style" w:eastAsia="Calibri" w:hAnsi="Bookman Old Style" w:cs="Calibri"/>
          <w:bCs/>
          <w:sz w:val="22"/>
          <w:szCs w:val="22"/>
        </w:rPr>
      </w:pPr>
      <w:r w:rsidRPr="00EA2C95">
        <w:rPr>
          <w:rFonts w:ascii="Bookman Old Style" w:eastAsia="Calibri" w:hAnsi="Bookman Old Style" w:cs="Calibri"/>
          <w:bCs/>
          <w:sz w:val="22"/>
          <w:szCs w:val="22"/>
        </w:rPr>
        <w:t>Económicos.</w:t>
      </w:r>
    </w:p>
    <w:p w14:paraId="656E1D55" w14:textId="77777777" w:rsidR="00EA2C95" w:rsidRPr="00EA2C95" w:rsidRDefault="00EA2C95" w:rsidP="00EA2C95">
      <w:pPr>
        <w:pStyle w:val="Prrafodelista"/>
        <w:numPr>
          <w:ilvl w:val="0"/>
          <w:numId w:val="6"/>
        </w:numPr>
        <w:pBdr>
          <w:top w:val="nil"/>
          <w:left w:val="nil"/>
          <w:bottom w:val="nil"/>
          <w:right w:val="nil"/>
          <w:between w:val="nil"/>
        </w:pBdr>
        <w:spacing w:after="160" w:line="259" w:lineRule="auto"/>
        <w:ind w:right="115"/>
        <w:rPr>
          <w:rFonts w:ascii="Bookman Old Style" w:eastAsia="Calibri" w:hAnsi="Bookman Old Style" w:cs="Calibri"/>
          <w:bCs/>
          <w:sz w:val="22"/>
          <w:szCs w:val="22"/>
        </w:rPr>
      </w:pPr>
      <w:r w:rsidRPr="00EA2C95">
        <w:rPr>
          <w:rFonts w:ascii="Bookman Old Style" w:eastAsia="Calibri" w:hAnsi="Bookman Old Style" w:cs="Calibri"/>
          <w:bCs/>
          <w:sz w:val="22"/>
          <w:szCs w:val="22"/>
        </w:rPr>
        <w:t>Competencia del Congreso.</w:t>
      </w:r>
    </w:p>
    <w:p w14:paraId="4C682BA2" w14:textId="77777777" w:rsidR="00EA2C95" w:rsidRPr="00EA2C95" w:rsidRDefault="00EA2C95" w:rsidP="00EA2C95">
      <w:pPr>
        <w:pStyle w:val="Prrafodelista"/>
        <w:numPr>
          <w:ilvl w:val="1"/>
          <w:numId w:val="6"/>
        </w:numPr>
        <w:pBdr>
          <w:top w:val="nil"/>
          <w:left w:val="nil"/>
          <w:bottom w:val="nil"/>
          <w:right w:val="nil"/>
          <w:between w:val="nil"/>
        </w:pBdr>
        <w:spacing w:after="160" w:line="259" w:lineRule="auto"/>
        <w:ind w:left="993" w:right="115" w:hanging="633"/>
        <w:rPr>
          <w:rFonts w:ascii="Bookman Old Style" w:eastAsia="Calibri" w:hAnsi="Bookman Old Style" w:cs="Calibri"/>
          <w:bCs/>
          <w:sz w:val="22"/>
          <w:szCs w:val="22"/>
        </w:rPr>
      </w:pPr>
      <w:r w:rsidRPr="00EA2C95">
        <w:rPr>
          <w:rFonts w:ascii="Bookman Old Style" w:eastAsia="Calibri" w:hAnsi="Bookman Old Style" w:cs="Calibri"/>
          <w:bCs/>
          <w:sz w:val="22"/>
          <w:szCs w:val="22"/>
        </w:rPr>
        <w:t>Constitucional.</w:t>
      </w:r>
    </w:p>
    <w:p w14:paraId="535EB2F4" w14:textId="77777777" w:rsidR="00EA2C95" w:rsidRPr="00EA2C95" w:rsidRDefault="00EA2C95" w:rsidP="00EA2C95">
      <w:pPr>
        <w:pStyle w:val="Prrafodelista"/>
        <w:numPr>
          <w:ilvl w:val="1"/>
          <w:numId w:val="6"/>
        </w:numPr>
        <w:pBdr>
          <w:top w:val="nil"/>
          <w:left w:val="nil"/>
          <w:bottom w:val="nil"/>
          <w:right w:val="nil"/>
          <w:between w:val="nil"/>
        </w:pBdr>
        <w:spacing w:after="160" w:line="259" w:lineRule="auto"/>
        <w:ind w:left="993" w:right="115" w:hanging="633"/>
        <w:rPr>
          <w:rFonts w:ascii="Bookman Old Style" w:eastAsia="Calibri" w:hAnsi="Bookman Old Style" w:cs="Calibri"/>
          <w:bCs/>
          <w:sz w:val="22"/>
          <w:szCs w:val="22"/>
        </w:rPr>
      </w:pPr>
      <w:r w:rsidRPr="00EA2C95">
        <w:rPr>
          <w:rFonts w:ascii="Bookman Old Style" w:eastAsia="Calibri" w:hAnsi="Bookman Old Style" w:cs="Calibri"/>
          <w:bCs/>
          <w:sz w:val="22"/>
          <w:szCs w:val="22"/>
        </w:rPr>
        <w:t>Legal.</w:t>
      </w:r>
    </w:p>
    <w:p w14:paraId="730410F5" w14:textId="77777777" w:rsidR="00EA2C95" w:rsidRPr="00EA2C95" w:rsidRDefault="00EA2C95" w:rsidP="00EA2C95">
      <w:pPr>
        <w:pStyle w:val="Prrafodelista"/>
        <w:numPr>
          <w:ilvl w:val="0"/>
          <w:numId w:val="6"/>
        </w:numPr>
        <w:pBdr>
          <w:top w:val="nil"/>
          <w:left w:val="nil"/>
          <w:bottom w:val="nil"/>
          <w:right w:val="nil"/>
          <w:between w:val="nil"/>
        </w:pBdr>
        <w:spacing w:after="160" w:line="259" w:lineRule="auto"/>
        <w:ind w:right="115"/>
        <w:rPr>
          <w:rFonts w:ascii="Bookman Old Style" w:eastAsia="Calibri" w:hAnsi="Bookman Old Style" w:cs="Calibri"/>
          <w:bCs/>
          <w:sz w:val="22"/>
          <w:szCs w:val="22"/>
        </w:rPr>
      </w:pPr>
      <w:r w:rsidRPr="00EA2C95">
        <w:rPr>
          <w:rFonts w:ascii="Bookman Old Style" w:eastAsia="Calibri" w:hAnsi="Bookman Old Style" w:cs="Calibri"/>
          <w:bCs/>
          <w:sz w:val="22"/>
          <w:szCs w:val="22"/>
        </w:rPr>
        <w:t>Conflictos de Interés.</w:t>
      </w:r>
    </w:p>
    <w:p w14:paraId="7E0B6A6E" w14:textId="77777777" w:rsidR="00EA2C95" w:rsidRPr="00EA2C95" w:rsidRDefault="00EA2C95" w:rsidP="00EA2C95">
      <w:pPr>
        <w:pStyle w:val="Prrafodelista"/>
        <w:numPr>
          <w:ilvl w:val="0"/>
          <w:numId w:val="6"/>
        </w:numPr>
        <w:pBdr>
          <w:top w:val="nil"/>
          <w:left w:val="nil"/>
          <w:bottom w:val="nil"/>
          <w:right w:val="nil"/>
          <w:between w:val="nil"/>
        </w:pBdr>
        <w:spacing w:after="160" w:line="259" w:lineRule="auto"/>
        <w:ind w:right="115"/>
        <w:rPr>
          <w:rFonts w:ascii="Bookman Old Style" w:eastAsia="Calibri" w:hAnsi="Bookman Old Style" w:cs="Calibri"/>
          <w:bCs/>
          <w:sz w:val="22"/>
          <w:szCs w:val="22"/>
        </w:rPr>
      </w:pPr>
      <w:r w:rsidRPr="00EA2C95">
        <w:rPr>
          <w:rFonts w:ascii="Bookman Old Style" w:eastAsia="Calibri" w:hAnsi="Bookman Old Style" w:cs="Calibri"/>
          <w:bCs/>
          <w:sz w:val="22"/>
          <w:szCs w:val="22"/>
        </w:rPr>
        <w:t>Proposición.</w:t>
      </w:r>
    </w:p>
    <w:p w14:paraId="16FEFFAA" w14:textId="7ADFEDE1" w:rsidR="00EA2C95" w:rsidRPr="00EA2C95" w:rsidRDefault="00EA2C95" w:rsidP="00EA2C95">
      <w:pPr>
        <w:pStyle w:val="Prrafodelista"/>
        <w:numPr>
          <w:ilvl w:val="0"/>
          <w:numId w:val="6"/>
        </w:numPr>
        <w:pBdr>
          <w:top w:val="nil"/>
          <w:left w:val="nil"/>
          <w:bottom w:val="nil"/>
          <w:right w:val="nil"/>
          <w:between w:val="nil"/>
        </w:pBdr>
        <w:spacing w:after="160" w:line="259" w:lineRule="auto"/>
        <w:ind w:right="115"/>
        <w:rPr>
          <w:rFonts w:ascii="Bookman Old Style" w:eastAsia="Calibri" w:hAnsi="Bookman Old Style" w:cs="Calibri"/>
          <w:bCs/>
          <w:sz w:val="22"/>
          <w:szCs w:val="22"/>
        </w:rPr>
      </w:pPr>
      <w:r w:rsidRPr="00EA2C95">
        <w:rPr>
          <w:rFonts w:ascii="Bookman Old Style" w:eastAsia="Calibri" w:hAnsi="Bookman Old Style" w:cs="Calibri"/>
          <w:bCs/>
          <w:sz w:val="22"/>
          <w:szCs w:val="22"/>
        </w:rPr>
        <w:t>Texto propuesto para primer debate al Proyecto de Ley número 007 de 2022 Cámara.</w:t>
      </w:r>
    </w:p>
    <w:p w14:paraId="2423FBC7" w14:textId="77777777" w:rsidR="005A4FEA" w:rsidRPr="00EA2C95" w:rsidRDefault="005A4FEA" w:rsidP="005A4FEA">
      <w:pPr>
        <w:pBdr>
          <w:top w:val="nil"/>
          <w:left w:val="nil"/>
          <w:bottom w:val="nil"/>
          <w:right w:val="nil"/>
          <w:between w:val="nil"/>
        </w:pBdr>
        <w:ind w:right="115"/>
        <w:rPr>
          <w:rFonts w:ascii="Bookman Old Style" w:eastAsia="Calibri" w:hAnsi="Bookman Old Style" w:cs="Calibri"/>
          <w:b/>
          <w:sz w:val="22"/>
          <w:szCs w:val="22"/>
        </w:rPr>
      </w:pPr>
    </w:p>
    <w:p w14:paraId="2682F4F1" w14:textId="77777777" w:rsidR="00756FAE" w:rsidRPr="00EA2C95" w:rsidRDefault="00756FAE">
      <w:pPr>
        <w:pBdr>
          <w:top w:val="nil"/>
          <w:left w:val="nil"/>
          <w:bottom w:val="nil"/>
          <w:right w:val="nil"/>
          <w:between w:val="nil"/>
        </w:pBdr>
        <w:ind w:left="720"/>
        <w:jc w:val="center"/>
        <w:rPr>
          <w:rFonts w:ascii="Bookman Old Style" w:eastAsia="Bookman Old Style" w:hAnsi="Bookman Old Style" w:cs="Bookman Old Style"/>
          <w:b/>
          <w:i/>
          <w:color w:val="000000"/>
          <w:sz w:val="22"/>
          <w:szCs w:val="22"/>
        </w:rPr>
      </w:pPr>
    </w:p>
    <w:p w14:paraId="08FB93C0" w14:textId="77777777" w:rsidR="00756FAE" w:rsidRPr="00EA2C95" w:rsidRDefault="00EA2C95">
      <w:pPr>
        <w:pBdr>
          <w:top w:val="nil"/>
          <w:left w:val="nil"/>
          <w:bottom w:val="nil"/>
          <w:right w:val="nil"/>
          <w:between w:val="nil"/>
        </w:pBdr>
        <w:ind w:left="3969"/>
        <w:jc w:val="right"/>
        <w:rPr>
          <w:rFonts w:ascii="Bookman Old Style" w:eastAsia="Bookman Old Style" w:hAnsi="Bookman Old Style" w:cs="Bookman Old Style"/>
          <w:i/>
          <w:color w:val="000000"/>
          <w:sz w:val="22"/>
          <w:szCs w:val="22"/>
        </w:rPr>
      </w:pPr>
      <w:r w:rsidRPr="00EA2C95">
        <w:rPr>
          <w:rFonts w:ascii="Bookman Old Style" w:eastAsia="Bookman Old Style" w:hAnsi="Bookman Old Style" w:cs="Bookman Old Style"/>
          <w:i/>
          <w:color w:val="000000"/>
          <w:sz w:val="22"/>
          <w:szCs w:val="22"/>
        </w:rPr>
        <w:t>“Los animales del mundo tienen sus propias razones para existir. No fueron creados para ser explotados por los seres humanos, de la misma manera que la población negra no fue creada para ser explotada por la blanca, o las mujeres por los hombres”. (Alice Walker).</w:t>
      </w:r>
    </w:p>
    <w:p w14:paraId="365FEA31"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18A8318B"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23A3223E" w14:textId="3D9CB413" w:rsidR="00EA2C95" w:rsidRPr="00EA2C95" w:rsidRDefault="00EA2C95" w:rsidP="00EA2C95">
      <w:pPr>
        <w:numPr>
          <w:ilvl w:val="0"/>
          <w:numId w:val="2"/>
        </w:num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b/>
          <w:color w:val="000000"/>
          <w:sz w:val="22"/>
          <w:szCs w:val="22"/>
        </w:rPr>
        <w:t>TRÁMITE DE LA INICIATIVA</w:t>
      </w:r>
      <w:r w:rsidRPr="00EA2C95">
        <w:rPr>
          <w:rFonts w:ascii="Bookman Old Style" w:eastAsia="Bookman Old Style" w:hAnsi="Bookman Old Style" w:cs="Bookman Old Style"/>
          <w:color w:val="000000"/>
          <w:sz w:val="22"/>
          <w:szCs w:val="22"/>
        </w:rPr>
        <w:t>.</w:t>
      </w:r>
    </w:p>
    <w:p w14:paraId="44657D3D" w14:textId="77777777" w:rsidR="00EA2C95" w:rsidRPr="00EA2C95" w:rsidRDefault="00EA2C95" w:rsidP="00EA2C95">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26F30852" w14:textId="4216B27A" w:rsidR="00EA2C95" w:rsidRDefault="00EA2C95" w:rsidP="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El proyecto de Ley número 007 de 2022 Cámara fue radicado el día 21 de julio de 2022 por los H.R.</w:t>
      </w:r>
      <w:r>
        <w:rPr>
          <w:rFonts w:ascii="Bookman Old Style" w:eastAsia="Bookman Old Style" w:hAnsi="Bookman Old Style" w:cs="Bookman Old Style"/>
          <w:color w:val="000000"/>
          <w:sz w:val="22"/>
          <w:szCs w:val="22"/>
        </w:rPr>
        <w:t xml:space="preserve"> Juan Carlos Lozada Vargas</w:t>
      </w:r>
      <w:r w:rsidRPr="00EA2C95">
        <w:rPr>
          <w:rFonts w:ascii="Bookman Old Style" w:eastAsia="Bookman Old Style" w:hAnsi="Bookman Old Style" w:cs="Bookman Old Style"/>
          <w:color w:val="000000"/>
          <w:sz w:val="22"/>
          <w:szCs w:val="22"/>
        </w:rPr>
        <w:t>, H.R.</w:t>
      </w:r>
      <w:r>
        <w:rPr>
          <w:rFonts w:ascii="Bookman Old Style" w:eastAsia="Bookman Old Style" w:hAnsi="Bookman Old Style" w:cs="Bookman Old Style"/>
          <w:color w:val="000000"/>
          <w:sz w:val="22"/>
          <w:szCs w:val="22"/>
        </w:rPr>
        <w:t xml:space="preserve"> </w:t>
      </w:r>
      <w:proofErr w:type="spellStart"/>
      <w:r>
        <w:rPr>
          <w:rFonts w:ascii="Bookman Old Style" w:eastAsia="Bookman Old Style" w:hAnsi="Bookman Old Style" w:cs="Bookman Old Style"/>
          <w:color w:val="000000"/>
          <w:sz w:val="22"/>
          <w:szCs w:val="22"/>
        </w:rPr>
        <w:t>Julian</w:t>
      </w:r>
      <w:proofErr w:type="spellEnd"/>
      <w:r>
        <w:rPr>
          <w:rFonts w:ascii="Bookman Old Style" w:eastAsia="Bookman Old Style" w:hAnsi="Bookman Old Style" w:cs="Bookman Old Style"/>
          <w:color w:val="000000"/>
          <w:sz w:val="22"/>
          <w:szCs w:val="22"/>
        </w:rPr>
        <w:t xml:space="preserve"> Peinado Ramírez</w:t>
      </w:r>
      <w:r w:rsidRPr="00EA2C95">
        <w:rPr>
          <w:rFonts w:ascii="Bookman Old Style" w:eastAsia="Bookman Old Style" w:hAnsi="Bookman Old Style" w:cs="Bookman Old Style"/>
          <w:color w:val="000000"/>
          <w:sz w:val="22"/>
          <w:szCs w:val="22"/>
        </w:rPr>
        <w:t>, H.R.</w:t>
      </w:r>
      <w:r>
        <w:rPr>
          <w:rFonts w:ascii="Bookman Old Style" w:eastAsia="Bookman Old Style" w:hAnsi="Bookman Old Style" w:cs="Bookman Old Style"/>
          <w:color w:val="000000"/>
          <w:sz w:val="22"/>
          <w:szCs w:val="22"/>
        </w:rPr>
        <w:t xml:space="preserve"> María del Mar Pizarro García</w:t>
      </w:r>
      <w:r w:rsidRPr="00EA2C95">
        <w:rPr>
          <w:rFonts w:ascii="Bookman Old Style" w:eastAsia="Bookman Old Style" w:hAnsi="Bookman Old Style" w:cs="Bookman Old Style"/>
          <w:color w:val="000000"/>
          <w:sz w:val="22"/>
          <w:szCs w:val="22"/>
        </w:rPr>
        <w:t>, H.R.</w:t>
      </w:r>
      <w:r>
        <w:rPr>
          <w:rFonts w:ascii="Bookman Old Style" w:eastAsia="Bookman Old Style" w:hAnsi="Bookman Old Style" w:cs="Bookman Old Style"/>
          <w:color w:val="000000"/>
          <w:sz w:val="22"/>
          <w:szCs w:val="22"/>
        </w:rPr>
        <w:t xml:space="preserve"> Juan Sebastián Gómez González</w:t>
      </w:r>
      <w:r w:rsidRPr="00EA2C95">
        <w:rPr>
          <w:rFonts w:ascii="Bookman Old Style" w:eastAsia="Bookman Old Style" w:hAnsi="Bookman Old Style" w:cs="Bookman Old Style"/>
          <w:color w:val="000000"/>
          <w:sz w:val="22"/>
          <w:szCs w:val="22"/>
        </w:rPr>
        <w:t>, H.R.</w:t>
      </w:r>
      <w:r>
        <w:rPr>
          <w:rFonts w:ascii="Bookman Old Style" w:eastAsia="Bookman Old Style" w:hAnsi="Bookman Old Style" w:cs="Bookman Old Style"/>
          <w:color w:val="000000"/>
          <w:sz w:val="22"/>
          <w:szCs w:val="22"/>
        </w:rPr>
        <w:t xml:space="preserve"> </w:t>
      </w:r>
      <w:r w:rsidRPr="00EA2C95">
        <w:rPr>
          <w:rFonts w:ascii="Bookman Old Style" w:eastAsia="Bookman Old Style" w:hAnsi="Bookman Old Style" w:cs="Bookman Old Style"/>
          <w:color w:val="000000"/>
          <w:sz w:val="22"/>
          <w:szCs w:val="22"/>
        </w:rPr>
        <w:t>Carolina Giraldo Boter</w:t>
      </w:r>
      <w:r>
        <w:rPr>
          <w:rFonts w:ascii="Bookman Old Style" w:eastAsia="Bookman Old Style" w:hAnsi="Bookman Old Style" w:cs="Bookman Old Style"/>
          <w:color w:val="000000"/>
          <w:sz w:val="22"/>
          <w:szCs w:val="22"/>
        </w:rPr>
        <w:t>o</w:t>
      </w:r>
      <w:r w:rsidRPr="00EA2C95">
        <w:rPr>
          <w:rFonts w:ascii="Bookman Old Style" w:eastAsia="Bookman Old Style" w:hAnsi="Bookman Old Style" w:cs="Bookman Old Style"/>
          <w:color w:val="000000"/>
          <w:sz w:val="22"/>
          <w:szCs w:val="22"/>
        </w:rPr>
        <w:t>, H.R.</w:t>
      </w:r>
      <w:r>
        <w:rPr>
          <w:rFonts w:ascii="Bookman Old Style" w:eastAsia="Bookman Old Style" w:hAnsi="Bookman Old Style" w:cs="Bookman Old Style"/>
          <w:color w:val="000000"/>
          <w:sz w:val="22"/>
          <w:szCs w:val="22"/>
        </w:rPr>
        <w:t xml:space="preserve"> </w:t>
      </w:r>
      <w:r w:rsidRPr="00EA2C95">
        <w:rPr>
          <w:rFonts w:ascii="Bookman Old Style" w:eastAsia="Bookman Old Style" w:hAnsi="Bookman Old Style" w:cs="Bookman Old Style"/>
          <w:color w:val="000000"/>
          <w:sz w:val="22"/>
          <w:szCs w:val="22"/>
        </w:rPr>
        <w:t>Os</w:t>
      </w:r>
      <w:r>
        <w:rPr>
          <w:rFonts w:ascii="Bookman Old Style" w:eastAsia="Bookman Old Style" w:hAnsi="Bookman Old Style" w:cs="Bookman Old Style"/>
          <w:color w:val="000000"/>
          <w:sz w:val="22"/>
          <w:szCs w:val="22"/>
        </w:rPr>
        <w:t>car Leonardo Villamizar Meneses</w:t>
      </w:r>
      <w:r w:rsidRPr="00EA2C95">
        <w:rPr>
          <w:rFonts w:ascii="Bookman Old Style" w:eastAsia="Bookman Old Style" w:hAnsi="Bookman Old Style" w:cs="Bookman Old Style"/>
          <w:color w:val="000000"/>
          <w:sz w:val="22"/>
          <w:szCs w:val="22"/>
        </w:rPr>
        <w:t>, H.R.</w:t>
      </w:r>
      <w:r>
        <w:rPr>
          <w:rFonts w:ascii="Bookman Old Style" w:eastAsia="Bookman Old Style" w:hAnsi="Bookman Old Style" w:cs="Bookman Old Style"/>
          <w:color w:val="000000"/>
          <w:sz w:val="22"/>
          <w:szCs w:val="22"/>
        </w:rPr>
        <w:t xml:space="preserve"> David Ricardo Racero </w:t>
      </w:r>
      <w:proofErr w:type="spellStart"/>
      <w:r>
        <w:rPr>
          <w:rFonts w:ascii="Bookman Old Style" w:eastAsia="Bookman Old Style" w:hAnsi="Bookman Old Style" w:cs="Bookman Old Style"/>
          <w:color w:val="000000"/>
          <w:sz w:val="22"/>
          <w:szCs w:val="22"/>
        </w:rPr>
        <w:t>Mayorca</w:t>
      </w:r>
      <w:proofErr w:type="spellEnd"/>
      <w:r w:rsidRPr="00EA2C95">
        <w:rPr>
          <w:rFonts w:ascii="Bookman Old Style" w:eastAsia="Bookman Old Style" w:hAnsi="Bookman Old Style" w:cs="Bookman Old Style"/>
          <w:color w:val="000000"/>
          <w:sz w:val="22"/>
          <w:szCs w:val="22"/>
        </w:rPr>
        <w:t>, H.R.</w:t>
      </w:r>
      <w:r>
        <w:rPr>
          <w:rFonts w:ascii="Bookman Old Style" w:eastAsia="Bookman Old Style" w:hAnsi="Bookman Old Style" w:cs="Bookman Old Style"/>
          <w:color w:val="000000"/>
          <w:sz w:val="22"/>
          <w:szCs w:val="22"/>
        </w:rPr>
        <w:t xml:space="preserve"> María Fernanda Carrascal Rojas</w:t>
      </w:r>
      <w:r w:rsidRPr="00EA2C95">
        <w:rPr>
          <w:rFonts w:ascii="Bookman Old Style" w:eastAsia="Bookman Old Style" w:hAnsi="Bookman Old Style" w:cs="Bookman Old Style"/>
          <w:color w:val="000000"/>
          <w:sz w:val="22"/>
          <w:szCs w:val="22"/>
        </w:rPr>
        <w:t>, H.R.</w:t>
      </w:r>
      <w:r>
        <w:rPr>
          <w:rFonts w:ascii="Bookman Old Style" w:eastAsia="Bookman Old Style" w:hAnsi="Bookman Old Style" w:cs="Bookman Old Style"/>
          <w:color w:val="000000"/>
          <w:sz w:val="22"/>
          <w:szCs w:val="22"/>
        </w:rPr>
        <w:t xml:space="preserve"> Susana Gómez Castaño</w:t>
      </w:r>
      <w:r w:rsidRPr="00EA2C95">
        <w:rPr>
          <w:rFonts w:ascii="Bookman Old Style" w:eastAsia="Bookman Old Style" w:hAnsi="Bookman Old Style" w:cs="Bookman Old Style"/>
          <w:color w:val="000000"/>
          <w:sz w:val="22"/>
          <w:szCs w:val="22"/>
        </w:rPr>
        <w:t>, H.R.</w:t>
      </w:r>
      <w:r>
        <w:rPr>
          <w:rFonts w:ascii="Bookman Old Style" w:eastAsia="Bookman Old Style" w:hAnsi="Bookman Old Style" w:cs="Bookman Old Style"/>
          <w:color w:val="000000"/>
          <w:sz w:val="22"/>
          <w:szCs w:val="22"/>
        </w:rPr>
        <w:t xml:space="preserve"> Diógenes Quintero Amaya</w:t>
      </w:r>
      <w:r w:rsidRPr="00EA2C95">
        <w:rPr>
          <w:rFonts w:ascii="Bookman Old Style" w:eastAsia="Bookman Old Style" w:hAnsi="Bookman Old Style" w:cs="Bookman Old Style"/>
          <w:color w:val="000000"/>
          <w:sz w:val="22"/>
          <w:szCs w:val="22"/>
        </w:rPr>
        <w:t>, H.R.</w:t>
      </w:r>
      <w:r>
        <w:rPr>
          <w:rFonts w:ascii="Bookman Old Style" w:eastAsia="Bookman Old Style" w:hAnsi="Bookman Old Style" w:cs="Bookman Old Style"/>
          <w:color w:val="000000"/>
          <w:sz w:val="22"/>
          <w:szCs w:val="22"/>
        </w:rPr>
        <w:t xml:space="preserve"> </w:t>
      </w:r>
      <w:proofErr w:type="spellStart"/>
      <w:r>
        <w:rPr>
          <w:rFonts w:ascii="Bookman Old Style" w:eastAsia="Bookman Old Style" w:hAnsi="Bookman Old Style" w:cs="Bookman Old Style"/>
          <w:color w:val="000000"/>
          <w:sz w:val="22"/>
          <w:szCs w:val="22"/>
        </w:rPr>
        <w:t>Leider</w:t>
      </w:r>
      <w:proofErr w:type="spellEnd"/>
      <w:r>
        <w:rPr>
          <w:rFonts w:ascii="Bookman Old Style" w:eastAsia="Bookman Old Style" w:hAnsi="Bookman Old Style" w:cs="Bookman Old Style"/>
          <w:color w:val="000000"/>
          <w:sz w:val="22"/>
          <w:szCs w:val="22"/>
        </w:rPr>
        <w:t xml:space="preserve"> Alexandra Vásquez Ochoa</w:t>
      </w:r>
      <w:r w:rsidRPr="00EA2C95">
        <w:rPr>
          <w:rFonts w:ascii="Bookman Old Style" w:eastAsia="Bookman Old Style" w:hAnsi="Bookman Old Style" w:cs="Bookman Old Style"/>
          <w:color w:val="000000"/>
          <w:sz w:val="22"/>
          <w:szCs w:val="22"/>
        </w:rPr>
        <w:t>, H.R.</w:t>
      </w:r>
      <w:r>
        <w:rPr>
          <w:rFonts w:ascii="Bookman Old Style" w:eastAsia="Bookman Old Style" w:hAnsi="Bookman Old Style" w:cs="Bookman Old Style"/>
          <w:color w:val="000000"/>
          <w:sz w:val="22"/>
          <w:szCs w:val="22"/>
        </w:rPr>
        <w:t xml:space="preserve"> Gabriel Becerra </w:t>
      </w:r>
      <w:proofErr w:type="spellStart"/>
      <w:r>
        <w:rPr>
          <w:rFonts w:ascii="Bookman Old Style" w:eastAsia="Bookman Old Style" w:hAnsi="Bookman Old Style" w:cs="Bookman Old Style"/>
          <w:color w:val="000000"/>
          <w:sz w:val="22"/>
          <w:szCs w:val="22"/>
        </w:rPr>
        <w:t>Yañez</w:t>
      </w:r>
      <w:proofErr w:type="spellEnd"/>
      <w:r w:rsidRPr="00EA2C95">
        <w:rPr>
          <w:rFonts w:ascii="Bookman Old Style" w:eastAsia="Bookman Old Style" w:hAnsi="Bookman Old Style" w:cs="Bookman Old Style"/>
          <w:color w:val="000000"/>
          <w:sz w:val="22"/>
          <w:szCs w:val="22"/>
        </w:rPr>
        <w:t>, H.R.</w:t>
      </w:r>
      <w:r>
        <w:rPr>
          <w:rFonts w:ascii="Bookman Old Style" w:eastAsia="Bookman Old Style" w:hAnsi="Bookman Old Style" w:cs="Bookman Old Style"/>
          <w:color w:val="000000"/>
          <w:sz w:val="22"/>
          <w:szCs w:val="22"/>
        </w:rPr>
        <w:t xml:space="preserve"> </w:t>
      </w:r>
      <w:proofErr w:type="spellStart"/>
      <w:r w:rsidRPr="00EA2C95">
        <w:rPr>
          <w:rFonts w:ascii="Bookman Old Style" w:eastAsia="Bookman Old Style" w:hAnsi="Bookman Old Style" w:cs="Bookman Old Style"/>
          <w:color w:val="000000"/>
          <w:sz w:val="22"/>
          <w:szCs w:val="22"/>
        </w:rPr>
        <w:t>Leyla</w:t>
      </w:r>
      <w:proofErr w:type="spellEnd"/>
      <w:r w:rsidRPr="00EA2C95">
        <w:rPr>
          <w:rFonts w:ascii="Bookman Old Style" w:eastAsia="Bookman Old Style" w:hAnsi="Bookman Old Style" w:cs="Bookman Old Style"/>
          <w:color w:val="000000"/>
          <w:sz w:val="22"/>
          <w:szCs w:val="22"/>
        </w:rPr>
        <w:t xml:space="preserve"> Marleny </w:t>
      </w:r>
      <w:r>
        <w:rPr>
          <w:rFonts w:ascii="Bookman Old Style" w:eastAsia="Bookman Old Style" w:hAnsi="Bookman Old Style" w:cs="Bookman Old Style"/>
          <w:color w:val="000000"/>
          <w:sz w:val="22"/>
          <w:szCs w:val="22"/>
        </w:rPr>
        <w:t>Rincón Trujillo</w:t>
      </w:r>
      <w:r w:rsidRPr="00EA2C95">
        <w:rPr>
          <w:rFonts w:ascii="Bookman Old Style" w:eastAsia="Bookman Old Style" w:hAnsi="Bookman Old Style" w:cs="Bookman Old Style"/>
          <w:color w:val="000000"/>
          <w:sz w:val="22"/>
          <w:szCs w:val="22"/>
        </w:rPr>
        <w:t>, H.R.</w:t>
      </w:r>
      <w:r>
        <w:rPr>
          <w:rFonts w:ascii="Bookman Old Style" w:eastAsia="Bookman Old Style" w:hAnsi="Bookman Old Style" w:cs="Bookman Old Style"/>
          <w:color w:val="000000"/>
          <w:sz w:val="22"/>
          <w:szCs w:val="22"/>
        </w:rPr>
        <w:t xml:space="preserve"> Alfredo Mondragón Garzón</w:t>
      </w:r>
      <w:r w:rsidRPr="00EA2C95">
        <w:rPr>
          <w:rFonts w:ascii="Bookman Old Style" w:eastAsia="Bookman Old Style" w:hAnsi="Bookman Old Style" w:cs="Bookman Old Style"/>
          <w:color w:val="000000"/>
          <w:sz w:val="22"/>
          <w:szCs w:val="22"/>
        </w:rPr>
        <w:t>, H.R.</w:t>
      </w:r>
      <w:r>
        <w:rPr>
          <w:rFonts w:ascii="Bookman Old Style" w:eastAsia="Bookman Old Style" w:hAnsi="Bookman Old Style" w:cs="Bookman Old Style"/>
          <w:color w:val="000000"/>
          <w:sz w:val="22"/>
          <w:szCs w:val="22"/>
        </w:rPr>
        <w:t xml:space="preserve"> Luis Alberto Albán Urbano</w:t>
      </w:r>
      <w:r w:rsidRPr="00EA2C95">
        <w:rPr>
          <w:rFonts w:ascii="Bookman Old Style" w:eastAsia="Bookman Old Style" w:hAnsi="Bookman Old Style" w:cs="Bookman Old Style"/>
          <w:color w:val="000000"/>
          <w:sz w:val="22"/>
          <w:szCs w:val="22"/>
        </w:rPr>
        <w:t>, H.R.</w:t>
      </w:r>
      <w:r>
        <w:rPr>
          <w:rFonts w:ascii="Bookman Old Style" w:eastAsia="Bookman Old Style" w:hAnsi="Bookman Old Style" w:cs="Bookman Old Style"/>
          <w:color w:val="000000"/>
          <w:sz w:val="22"/>
          <w:szCs w:val="22"/>
        </w:rPr>
        <w:t xml:space="preserve"> Carlos Alberto Carreño </w:t>
      </w:r>
      <w:proofErr w:type="spellStart"/>
      <w:r>
        <w:rPr>
          <w:rFonts w:ascii="Bookman Old Style" w:eastAsia="Bookman Old Style" w:hAnsi="Bookman Old Style" w:cs="Bookman Old Style"/>
          <w:color w:val="000000"/>
          <w:sz w:val="22"/>
          <w:szCs w:val="22"/>
        </w:rPr>
        <w:t>Marin</w:t>
      </w:r>
      <w:proofErr w:type="spellEnd"/>
      <w:r w:rsidRPr="00EA2C95">
        <w:rPr>
          <w:rFonts w:ascii="Bookman Old Style" w:eastAsia="Bookman Old Style" w:hAnsi="Bookman Old Style" w:cs="Bookman Old Style"/>
          <w:color w:val="000000"/>
          <w:sz w:val="22"/>
          <w:szCs w:val="22"/>
        </w:rPr>
        <w:t>, H.R.</w:t>
      </w:r>
      <w:r>
        <w:rPr>
          <w:rFonts w:ascii="Bookman Old Style" w:eastAsia="Bookman Old Style" w:hAnsi="Bookman Old Style" w:cs="Bookman Old Style"/>
          <w:color w:val="000000"/>
          <w:sz w:val="22"/>
          <w:szCs w:val="22"/>
        </w:rPr>
        <w:t xml:space="preserve"> Jorge Andrés </w:t>
      </w:r>
      <w:proofErr w:type="spellStart"/>
      <w:r>
        <w:rPr>
          <w:rFonts w:ascii="Bookman Old Style" w:eastAsia="Bookman Old Style" w:hAnsi="Bookman Old Style" w:cs="Bookman Old Style"/>
          <w:color w:val="000000"/>
          <w:sz w:val="22"/>
          <w:szCs w:val="22"/>
        </w:rPr>
        <w:t>Cancimance</w:t>
      </w:r>
      <w:proofErr w:type="spellEnd"/>
      <w:r>
        <w:rPr>
          <w:rFonts w:ascii="Bookman Old Style" w:eastAsia="Bookman Old Style" w:hAnsi="Bookman Old Style" w:cs="Bookman Old Style"/>
          <w:color w:val="000000"/>
          <w:sz w:val="22"/>
          <w:szCs w:val="22"/>
        </w:rPr>
        <w:t xml:space="preserve"> López</w:t>
      </w:r>
      <w:r w:rsidRPr="00EA2C95">
        <w:rPr>
          <w:rFonts w:ascii="Bookman Old Style" w:eastAsia="Bookman Old Style" w:hAnsi="Bookman Old Style" w:cs="Bookman Old Style"/>
          <w:color w:val="000000"/>
          <w:sz w:val="22"/>
          <w:szCs w:val="22"/>
        </w:rPr>
        <w:t>, H.R.</w:t>
      </w:r>
      <w:r>
        <w:rPr>
          <w:rFonts w:ascii="Bookman Old Style" w:eastAsia="Bookman Old Style" w:hAnsi="Bookman Old Style" w:cs="Bookman Old Style"/>
          <w:color w:val="000000"/>
          <w:sz w:val="22"/>
          <w:szCs w:val="22"/>
        </w:rPr>
        <w:t xml:space="preserve"> Santiago Osorio Marín</w:t>
      </w:r>
      <w:r w:rsidRPr="00EA2C95">
        <w:rPr>
          <w:rFonts w:ascii="Bookman Old Style" w:eastAsia="Bookman Old Style" w:hAnsi="Bookman Old Style" w:cs="Bookman Old Style"/>
          <w:color w:val="000000"/>
          <w:sz w:val="22"/>
          <w:szCs w:val="22"/>
        </w:rPr>
        <w:t>, H.R.</w:t>
      </w:r>
      <w:r>
        <w:rPr>
          <w:rFonts w:ascii="Bookman Old Style" w:eastAsia="Bookman Old Style" w:hAnsi="Bookman Old Style" w:cs="Bookman Old Style"/>
          <w:color w:val="000000"/>
          <w:sz w:val="22"/>
          <w:szCs w:val="22"/>
        </w:rPr>
        <w:t xml:space="preserve"> Martha Lisbeth Alfonso Jurado</w:t>
      </w:r>
      <w:r w:rsidRPr="00EA2C95">
        <w:rPr>
          <w:rFonts w:ascii="Bookman Old Style" w:eastAsia="Bookman Old Style" w:hAnsi="Bookman Old Style" w:cs="Bookman Old Style"/>
          <w:color w:val="000000"/>
          <w:sz w:val="22"/>
          <w:szCs w:val="22"/>
        </w:rPr>
        <w:t>, H.R.</w:t>
      </w:r>
      <w:r>
        <w:rPr>
          <w:rFonts w:ascii="Bookman Old Style" w:eastAsia="Bookman Old Style" w:hAnsi="Bookman Old Style" w:cs="Bookman Old Style"/>
          <w:color w:val="000000"/>
          <w:sz w:val="22"/>
          <w:szCs w:val="22"/>
        </w:rPr>
        <w:t xml:space="preserve"> </w:t>
      </w:r>
      <w:proofErr w:type="spellStart"/>
      <w:r>
        <w:rPr>
          <w:rFonts w:ascii="Bookman Old Style" w:eastAsia="Bookman Old Style" w:hAnsi="Bookman Old Style" w:cs="Bookman Old Style"/>
          <w:color w:val="000000"/>
          <w:sz w:val="22"/>
          <w:szCs w:val="22"/>
        </w:rPr>
        <w:t>Luvi</w:t>
      </w:r>
      <w:proofErr w:type="spellEnd"/>
      <w:r>
        <w:rPr>
          <w:rFonts w:ascii="Bookman Old Style" w:eastAsia="Bookman Old Style" w:hAnsi="Bookman Old Style" w:cs="Bookman Old Style"/>
          <w:color w:val="000000"/>
          <w:sz w:val="22"/>
          <w:szCs w:val="22"/>
        </w:rPr>
        <w:t xml:space="preserve"> Katherine Miranda Peña</w:t>
      </w:r>
      <w:r w:rsidRPr="00EA2C95">
        <w:rPr>
          <w:rFonts w:ascii="Bookman Old Style" w:eastAsia="Bookman Old Style" w:hAnsi="Bookman Old Style" w:cs="Bookman Old Style"/>
          <w:color w:val="000000"/>
          <w:sz w:val="22"/>
          <w:szCs w:val="22"/>
        </w:rPr>
        <w:t>, H.R.</w:t>
      </w:r>
      <w:r>
        <w:rPr>
          <w:rFonts w:ascii="Bookman Old Style" w:eastAsia="Bookman Old Style" w:hAnsi="Bookman Old Style" w:cs="Bookman Old Style"/>
          <w:color w:val="000000"/>
          <w:sz w:val="22"/>
          <w:szCs w:val="22"/>
        </w:rPr>
        <w:t xml:space="preserve"> </w:t>
      </w:r>
      <w:r w:rsidRPr="00EA2C95">
        <w:rPr>
          <w:rFonts w:ascii="Bookman Old Style" w:eastAsia="Bookman Old Style" w:hAnsi="Bookman Old Style" w:cs="Bookman Old Style"/>
          <w:color w:val="000000"/>
          <w:sz w:val="22"/>
          <w:szCs w:val="22"/>
        </w:rPr>
        <w:t>Da</w:t>
      </w:r>
      <w:r>
        <w:rPr>
          <w:rFonts w:ascii="Bookman Old Style" w:eastAsia="Bookman Old Style" w:hAnsi="Bookman Old Style" w:cs="Bookman Old Style"/>
          <w:color w:val="000000"/>
          <w:sz w:val="22"/>
          <w:szCs w:val="22"/>
        </w:rPr>
        <w:t>niel Carvalho Mejía</w:t>
      </w:r>
      <w:r w:rsidRPr="00EA2C95">
        <w:rPr>
          <w:rFonts w:ascii="Bookman Old Style" w:eastAsia="Bookman Old Style" w:hAnsi="Bookman Old Style" w:cs="Bookman Old Style"/>
          <w:color w:val="000000"/>
          <w:sz w:val="22"/>
          <w:szCs w:val="22"/>
        </w:rPr>
        <w:t>, H.R.</w:t>
      </w:r>
      <w:r>
        <w:rPr>
          <w:rFonts w:ascii="Bookman Old Style" w:eastAsia="Bookman Old Style" w:hAnsi="Bookman Old Style" w:cs="Bookman Old Style"/>
          <w:color w:val="000000"/>
          <w:sz w:val="22"/>
          <w:szCs w:val="22"/>
        </w:rPr>
        <w:t xml:space="preserve"> </w:t>
      </w:r>
      <w:proofErr w:type="spellStart"/>
      <w:r>
        <w:rPr>
          <w:rFonts w:ascii="Bookman Old Style" w:eastAsia="Bookman Old Style" w:hAnsi="Bookman Old Style" w:cs="Bookman Old Style"/>
          <w:color w:val="000000"/>
          <w:sz w:val="22"/>
          <w:szCs w:val="22"/>
        </w:rPr>
        <w:t>Dolcey</w:t>
      </w:r>
      <w:proofErr w:type="spellEnd"/>
      <w:r>
        <w:rPr>
          <w:rFonts w:ascii="Bookman Old Style" w:eastAsia="Bookman Old Style" w:hAnsi="Bookman Old Style" w:cs="Bookman Old Style"/>
          <w:color w:val="000000"/>
          <w:sz w:val="22"/>
          <w:szCs w:val="22"/>
        </w:rPr>
        <w:t xml:space="preserve"> Oscar Torres Romero</w:t>
      </w:r>
      <w:r w:rsidRPr="00EA2C95">
        <w:rPr>
          <w:rFonts w:ascii="Bookman Old Style" w:eastAsia="Bookman Old Style" w:hAnsi="Bookman Old Style" w:cs="Bookman Old Style"/>
          <w:color w:val="000000"/>
          <w:sz w:val="22"/>
          <w:szCs w:val="22"/>
        </w:rPr>
        <w:t>, H.R.</w:t>
      </w:r>
      <w:r>
        <w:rPr>
          <w:rFonts w:ascii="Bookman Old Style" w:eastAsia="Bookman Old Style" w:hAnsi="Bookman Old Style" w:cs="Bookman Old Style"/>
          <w:color w:val="000000"/>
          <w:sz w:val="22"/>
          <w:szCs w:val="22"/>
        </w:rPr>
        <w:t xml:space="preserve"> Álvaro Leonel Rueda Caballero</w:t>
      </w:r>
      <w:r w:rsidRPr="00EA2C95">
        <w:rPr>
          <w:rFonts w:ascii="Bookman Old Style" w:eastAsia="Bookman Old Style" w:hAnsi="Bookman Old Style" w:cs="Bookman Old Style"/>
          <w:color w:val="000000"/>
          <w:sz w:val="22"/>
          <w:szCs w:val="22"/>
        </w:rPr>
        <w:t>, H.R.</w:t>
      </w:r>
      <w:r>
        <w:rPr>
          <w:rFonts w:ascii="Bookman Old Style" w:eastAsia="Bookman Old Style" w:hAnsi="Bookman Old Style" w:cs="Bookman Old Style"/>
          <w:color w:val="000000"/>
          <w:sz w:val="22"/>
          <w:szCs w:val="22"/>
        </w:rPr>
        <w:t xml:space="preserve"> Mónica Karina Bocanegra Pantoja</w:t>
      </w:r>
      <w:r w:rsidRPr="00EA2C95">
        <w:rPr>
          <w:rFonts w:ascii="Bookman Old Style" w:eastAsia="Bookman Old Style" w:hAnsi="Bookman Old Style" w:cs="Bookman Old Style"/>
          <w:color w:val="000000"/>
          <w:sz w:val="22"/>
          <w:szCs w:val="22"/>
        </w:rPr>
        <w:t>, H.R.</w:t>
      </w:r>
      <w:r>
        <w:rPr>
          <w:rFonts w:ascii="Bookman Old Style" w:eastAsia="Bookman Old Style" w:hAnsi="Bookman Old Style" w:cs="Bookman Old Style"/>
          <w:color w:val="000000"/>
          <w:sz w:val="22"/>
          <w:szCs w:val="22"/>
        </w:rPr>
        <w:t xml:space="preserve"> </w:t>
      </w:r>
      <w:proofErr w:type="spellStart"/>
      <w:r>
        <w:rPr>
          <w:rFonts w:ascii="Bookman Old Style" w:eastAsia="Bookman Old Style" w:hAnsi="Bookman Old Style" w:cs="Bookman Old Style"/>
          <w:color w:val="000000"/>
          <w:sz w:val="22"/>
          <w:szCs w:val="22"/>
        </w:rPr>
        <w:t>Jezmi</w:t>
      </w:r>
      <w:proofErr w:type="spellEnd"/>
      <w:r>
        <w:rPr>
          <w:rFonts w:ascii="Bookman Old Style" w:eastAsia="Bookman Old Style" w:hAnsi="Bookman Old Style" w:cs="Bookman Old Style"/>
          <w:color w:val="000000"/>
          <w:sz w:val="22"/>
          <w:szCs w:val="22"/>
        </w:rPr>
        <w:t xml:space="preserve"> Lizeth Barraza </w:t>
      </w:r>
      <w:proofErr w:type="spellStart"/>
      <w:r>
        <w:rPr>
          <w:rFonts w:ascii="Bookman Old Style" w:eastAsia="Bookman Old Style" w:hAnsi="Bookman Old Style" w:cs="Bookman Old Style"/>
          <w:color w:val="000000"/>
          <w:sz w:val="22"/>
          <w:szCs w:val="22"/>
        </w:rPr>
        <w:t>Arraut</w:t>
      </w:r>
      <w:proofErr w:type="spellEnd"/>
      <w:r w:rsidRPr="00EA2C95">
        <w:rPr>
          <w:rFonts w:ascii="Bookman Old Style" w:eastAsia="Bookman Old Style" w:hAnsi="Bookman Old Style" w:cs="Bookman Old Style"/>
          <w:color w:val="000000"/>
          <w:sz w:val="22"/>
          <w:szCs w:val="22"/>
        </w:rPr>
        <w:t>, H.R.</w:t>
      </w:r>
      <w:r>
        <w:rPr>
          <w:rFonts w:ascii="Bookman Old Style" w:eastAsia="Bookman Old Style" w:hAnsi="Bookman Old Style" w:cs="Bookman Old Style"/>
          <w:color w:val="000000"/>
          <w:sz w:val="22"/>
          <w:szCs w:val="22"/>
        </w:rPr>
        <w:t xml:space="preserve"> </w:t>
      </w:r>
      <w:r w:rsidRPr="00EA2C95">
        <w:rPr>
          <w:rFonts w:ascii="Bookman Old Style" w:eastAsia="Bookman Old Style" w:hAnsi="Bookman Old Style" w:cs="Bookman Old Style"/>
          <w:color w:val="000000"/>
          <w:sz w:val="22"/>
          <w:szCs w:val="22"/>
        </w:rPr>
        <w:t>Gilma Díaz Arias</w:t>
      </w:r>
      <w:r>
        <w:rPr>
          <w:rFonts w:ascii="Bookman Old Style" w:eastAsia="Bookman Old Style" w:hAnsi="Bookman Old Style" w:cs="Bookman Old Style"/>
          <w:color w:val="000000"/>
          <w:sz w:val="22"/>
          <w:szCs w:val="22"/>
        </w:rPr>
        <w:t xml:space="preserve">, así como por los </w:t>
      </w:r>
      <w:r w:rsidRPr="00EA2C95">
        <w:rPr>
          <w:rFonts w:ascii="Bookman Old Style" w:eastAsia="Bookman Old Style" w:hAnsi="Bookman Old Style" w:cs="Bookman Old Style"/>
          <w:color w:val="000000"/>
          <w:sz w:val="22"/>
          <w:szCs w:val="22"/>
        </w:rPr>
        <w:t>H.S.</w:t>
      </w:r>
      <w:r>
        <w:rPr>
          <w:rFonts w:ascii="Bookman Old Style" w:eastAsia="Bookman Old Style" w:hAnsi="Bookman Old Style" w:cs="Bookman Old Style"/>
          <w:color w:val="000000"/>
          <w:sz w:val="22"/>
          <w:szCs w:val="22"/>
        </w:rPr>
        <w:t xml:space="preserve"> Edwing Fabián Díaz Plata</w:t>
      </w:r>
      <w:r w:rsidRPr="00EA2C95">
        <w:rPr>
          <w:rFonts w:ascii="Bookman Old Style" w:eastAsia="Bookman Old Style" w:hAnsi="Bookman Old Style" w:cs="Bookman Old Style"/>
          <w:color w:val="000000"/>
          <w:sz w:val="22"/>
          <w:szCs w:val="22"/>
        </w:rPr>
        <w:t>, H.S.</w:t>
      </w:r>
      <w:r>
        <w:rPr>
          <w:rFonts w:ascii="Bookman Old Style" w:eastAsia="Bookman Old Style" w:hAnsi="Bookman Old Style" w:cs="Bookman Old Style"/>
          <w:color w:val="000000"/>
          <w:sz w:val="22"/>
          <w:szCs w:val="22"/>
        </w:rPr>
        <w:t xml:space="preserve"> Yuly Esmeralda Hernández Silva</w:t>
      </w:r>
      <w:r w:rsidRPr="00EA2C95">
        <w:rPr>
          <w:rFonts w:ascii="Bookman Old Style" w:eastAsia="Bookman Old Style" w:hAnsi="Bookman Old Style" w:cs="Bookman Old Style"/>
          <w:color w:val="000000"/>
          <w:sz w:val="22"/>
          <w:szCs w:val="22"/>
        </w:rPr>
        <w:t>, H.S.</w:t>
      </w:r>
      <w:r>
        <w:rPr>
          <w:rFonts w:ascii="Bookman Old Style" w:eastAsia="Bookman Old Style" w:hAnsi="Bookman Old Style" w:cs="Bookman Old Style"/>
          <w:color w:val="000000"/>
          <w:sz w:val="22"/>
          <w:szCs w:val="22"/>
        </w:rPr>
        <w:t xml:space="preserve"> </w:t>
      </w:r>
      <w:r w:rsidRPr="00EA2C95">
        <w:rPr>
          <w:rFonts w:ascii="Bookman Old Style" w:eastAsia="Bookman Old Style" w:hAnsi="Bookman Old Style" w:cs="Bookman Old Style"/>
          <w:color w:val="000000"/>
          <w:sz w:val="22"/>
          <w:szCs w:val="22"/>
        </w:rPr>
        <w:t xml:space="preserve">Ariel Fernando </w:t>
      </w:r>
      <w:proofErr w:type="spellStart"/>
      <w:r w:rsidRPr="00EA2C95">
        <w:rPr>
          <w:rFonts w:ascii="Bookman Old Style" w:eastAsia="Bookman Old Style" w:hAnsi="Bookman Old Style" w:cs="Bookman Old Style"/>
          <w:color w:val="000000"/>
          <w:sz w:val="22"/>
          <w:szCs w:val="22"/>
        </w:rPr>
        <w:t>Avíla</w:t>
      </w:r>
      <w:proofErr w:type="spellEnd"/>
      <w:r w:rsidRPr="00EA2C95">
        <w:rPr>
          <w:rFonts w:ascii="Bookman Old Style" w:eastAsia="Bookman Old Style" w:hAnsi="Bookman Old Style" w:cs="Bookman Old Style"/>
          <w:color w:val="000000"/>
          <w:sz w:val="22"/>
          <w:szCs w:val="22"/>
        </w:rPr>
        <w:t xml:space="preserve"> Mar</w:t>
      </w:r>
      <w:r>
        <w:rPr>
          <w:rFonts w:ascii="Bookman Old Style" w:eastAsia="Bookman Old Style" w:hAnsi="Bookman Old Style" w:cs="Bookman Old Style"/>
          <w:color w:val="000000"/>
          <w:sz w:val="22"/>
          <w:szCs w:val="22"/>
        </w:rPr>
        <w:t>tínez</w:t>
      </w:r>
      <w:r w:rsidRPr="00EA2C95">
        <w:rPr>
          <w:rFonts w:ascii="Bookman Old Style" w:eastAsia="Bookman Old Style" w:hAnsi="Bookman Old Style" w:cs="Bookman Old Style"/>
          <w:color w:val="000000"/>
          <w:sz w:val="22"/>
          <w:szCs w:val="22"/>
        </w:rPr>
        <w:t>, H.S.</w:t>
      </w:r>
      <w:r>
        <w:rPr>
          <w:rFonts w:ascii="Bookman Old Style" w:eastAsia="Bookman Old Style" w:hAnsi="Bookman Old Style" w:cs="Bookman Old Style"/>
          <w:color w:val="000000"/>
          <w:sz w:val="22"/>
          <w:szCs w:val="22"/>
        </w:rPr>
        <w:t xml:space="preserve"> Omar de Jesús Restrepo Correa</w:t>
      </w:r>
      <w:r w:rsidRPr="00EA2C95">
        <w:rPr>
          <w:rFonts w:ascii="Bookman Old Style" w:eastAsia="Bookman Old Style" w:hAnsi="Bookman Old Style" w:cs="Bookman Old Style"/>
          <w:color w:val="000000"/>
          <w:sz w:val="22"/>
          <w:szCs w:val="22"/>
        </w:rPr>
        <w:t>, H.S.</w:t>
      </w:r>
      <w:r>
        <w:rPr>
          <w:rFonts w:ascii="Bookman Old Style" w:eastAsia="Bookman Old Style" w:hAnsi="Bookman Old Style" w:cs="Bookman Old Style"/>
          <w:color w:val="000000"/>
          <w:sz w:val="22"/>
          <w:szCs w:val="22"/>
        </w:rPr>
        <w:t xml:space="preserve"> Alejandro Alberto Vega Pérez</w:t>
      </w:r>
      <w:r w:rsidRPr="00EA2C95">
        <w:rPr>
          <w:rFonts w:ascii="Bookman Old Style" w:eastAsia="Bookman Old Style" w:hAnsi="Bookman Old Style" w:cs="Bookman Old Style"/>
          <w:color w:val="000000"/>
          <w:sz w:val="22"/>
          <w:szCs w:val="22"/>
        </w:rPr>
        <w:t>, H.S.</w:t>
      </w:r>
      <w:r>
        <w:rPr>
          <w:rFonts w:ascii="Bookman Old Style" w:eastAsia="Bookman Old Style" w:hAnsi="Bookman Old Style" w:cs="Bookman Old Style"/>
          <w:color w:val="000000"/>
          <w:sz w:val="22"/>
          <w:szCs w:val="22"/>
        </w:rPr>
        <w:t xml:space="preserve"> María José Pizarro Rodríguez</w:t>
      </w:r>
      <w:r w:rsidRPr="00EA2C95">
        <w:rPr>
          <w:rFonts w:ascii="Bookman Old Style" w:eastAsia="Bookman Old Style" w:hAnsi="Bookman Old Style" w:cs="Bookman Old Style"/>
          <w:color w:val="000000"/>
          <w:sz w:val="22"/>
          <w:szCs w:val="22"/>
        </w:rPr>
        <w:t>, H.S.</w:t>
      </w:r>
      <w:r>
        <w:rPr>
          <w:rFonts w:ascii="Bookman Old Style" w:eastAsia="Bookman Old Style" w:hAnsi="Bookman Old Style" w:cs="Bookman Old Style"/>
          <w:color w:val="000000"/>
          <w:sz w:val="22"/>
          <w:szCs w:val="22"/>
        </w:rPr>
        <w:t xml:space="preserve"> Humberto de la Calle Lombana</w:t>
      </w:r>
      <w:r w:rsidRPr="00EA2C95">
        <w:rPr>
          <w:rFonts w:ascii="Bookman Old Style" w:eastAsia="Bookman Old Style" w:hAnsi="Bookman Old Style" w:cs="Bookman Old Style"/>
          <w:color w:val="000000"/>
          <w:sz w:val="22"/>
          <w:szCs w:val="22"/>
        </w:rPr>
        <w:t>, H.S.</w:t>
      </w:r>
      <w:r>
        <w:rPr>
          <w:rFonts w:ascii="Bookman Old Style" w:eastAsia="Bookman Old Style" w:hAnsi="Bookman Old Style" w:cs="Bookman Old Style"/>
          <w:color w:val="000000"/>
          <w:sz w:val="22"/>
          <w:szCs w:val="22"/>
        </w:rPr>
        <w:t xml:space="preserve"> </w:t>
      </w:r>
      <w:r w:rsidRPr="00EA2C95">
        <w:rPr>
          <w:rFonts w:ascii="Bookman Old Style" w:eastAsia="Bookman Old Style" w:hAnsi="Bookman Old Style" w:cs="Bookman Old Style"/>
          <w:color w:val="000000"/>
          <w:sz w:val="22"/>
          <w:szCs w:val="22"/>
        </w:rPr>
        <w:t>Ro</w:t>
      </w:r>
      <w:r>
        <w:rPr>
          <w:rFonts w:ascii="Bookman Old Style" w:eastAsia="Bookman Old Style" w:hAnsi="Bookman Old Style" w:cs="Bookman Old Style"/>
          <w:color w:val="000000"/>
          <w:sz w:val="22"/>
          <w:szCs w:val="22"/>
        </w:rPr>
        <w:t>y Leonardo Barreras Montealegre</w:t>
      </w:r>
      <w:r w:rsidRPr="00EA2C95">
        <w:rPr>
          <w:rFonts w:ascii="Bookman Old Style" w:eastAsia="Bookman Old Style" w:hAnsi="Bookman Old Style" w:cs="Bookman Old Style"/>
          <w:color w:val="000000"/>
          <w:sz w:val="22"/>
          <w:szCs w:val="22"/>
        </w:rPr>
        <w:t>, H.S.</w:t>
      </w:r>
      <w:r>
        <w:rPr>
          <w:rFonts w:ascii="Bookman Old Style" w:eastAsia="Bookman Old Style" w:hAnsi="Bookman Old Style" w:cs="Bookman Old Style"/>
          <w:color w:val="000000"/>
          <w:sz w:val="22"/>
          <w:szCs w:val="22"/>
        </w:rPr>
        <w:t xml:space="preserve"> Alejandro Carlos Chacón Camargo</w:t>
      </w:r>
      <w:r w:rsidRPr="00EA2C95">
        <w:rPr>
          <w:rFonts w:ascii="Bookman Old Style" w:eastAsia="Bookman Old Style" w:hAnsi="Bookman Old Style" w:cs="Bookman Old Style"/>
          <w:color w:val="000000"/>
          <w:sz w:val="22"/>
          <w:szCs w:val="22"/>
        </w:rPr>
        <w:t>, H.S.</w:t>
      </w:r>
      <w:r>
        <w:rPr>
          <w:rFonts w:ascii="Bookman Old Style" w:eastAsia="Bookman Old Style" w:hAnsi="Bookman Old Style" w:cs="Bookman Old Style"/>
          <w:color w:val="000000"/>
          <w:sz w:val="22"/>
          <w:szCs w:val="22"/>
        </w:rPr>
        <w:t xml:space="preserve"> Wilson Arias Castillo</w:t>
      </w:r>
      <w:r w:rsidRPr="00EA2C95">
        <w:rPr>
          <w:rFonts w:ascii="Bookman Old Style" w:eastAsia="Bookman Old Style" w:hAnsi="Bookman Old Style" w:cs="Bookman Old Style"/>
          <w:color w:val="000000"/>
          <w:sz w:val="22"/>
          <w:szCs w:val="22"/>
        </w:rPr>
        <w:t>, H.S.</w:t>
      </w:r>
      <w:r>
        <w:rPr>
          <w:rFonts w:ascii="Bookman Old Style" w:eastAsia="Bookman Old Style" w:hAnsi="Bookman Old Style" w:cs="Bookman Old Style"/>
          <w:color w:val="000000"/>
          <w:sz w:val="22"/>
          <w:szCs w:val="22"/>
        </w:rPr>
        <w:t xml:space="preserve"> </w:t>
      </w:r>
      <w:proofErr w:type="spellStart"/>
      <w:r>
        <w:rPr>
          <w:rFonts w:ascii="Bookman Old Style" w:eastAsia="Bookman Old Style" w:hAnsi="Bookman Old Style" w:cs="Bookman Old Style"/>
          <w:color w:val="000000"/>
          <w:sz w:val="22"/>
          <w:szCs w:val="22"/>
        </w:rPr>
        <w:t>Alexánder</w:t>
      </w:r>
      <w:proofErr w:type="spellEnd"/>
      <w:r>
        <w:rPr>
          <w:rFonts w:ascii="Bookman Old Style" w:eastAsia="Bookman Old Style" w:hAnsi="Bookman Old Style" w:cs="Bookman Old Style"/>
          <w:color w:val="000000"/>
          <w:sz w:val="22"/>
          <w:szCs w:val="22"/>
        </w:rPr>
        <w:t xml:space="preserve"> López Maya</w:t>
      </w:r>
      <w:r w:rsidRPr="00EA2C95">
        <w:rPr>
          <w:rFonts w:ascii="Bookman Old Style" w:eastAsia="Bookman Old Style" w:hAnsi="Bookman Old Style" w:cs="Bookman Old Style"/>
          <w:color w:val="000000"/>
          <w:sz w:val="22"/>
          <w:szCs w:val="22"/>
        </w:rPr>
        <w:t>, H.S.</w:t>
      </w:r>
      <w:r>
        <w:rPr>
          <w:rFonts w:ascii="Bookman Old Style" w:eastAsia="Bookman Old Style" w:hAnsi="Bookman Old Style" w:cs="Bookman Old Style"/>
          <w:color w:val="000000"/>
          <w:sz w:val="22"/>
          <w:szCs w:val="22"/>
        </w:rPr>
        <w:t xml:space="preserve"> Isabel Cristina Zuleta López</w:t>
      </w:r>
      <w:r w:rsidRPr="00EA2C95">
        <w:rPr>
          <w:rFonts w:ascii="Bookman Old Style" w:eastAsia="Bookman Old Style" w:hAnsi="Bookman Old Style" w:cs="Bookman Old Style"/>
          <w:color w:val="000000"/>
          <w:sz w:val="22"/>
          <w:szCs w:val="22"/>
        </w:rPr>
        <w:t>, H.S.</w:t>
      </w:r>
      <w:r>
        <w:rPr>
          <w:rFonts w:ascii="Bookman Old Style" w:eastAsia="Bookman Old Style" w:hAnsi="Bookman Old Style" w:cs="Bookman Old Style"/>
          <w:color w:val="000000"/>
          <w:sz w:val="22"/>
          <w:szCs w:val="22"/>
        </w:rPr>
        <w:t xml:space="preserve"> Inti Raúl Asprilla Reyes</w:t>
      </w:r>
      <w:r w:rsidRPr="00EA2C95">
        <w:rPr>
          <w:rFonts w:ascii="Bookman Old Style" w:eastAsia="Bookman Old Style" w:hAnsi="Bookman Old Style" w:cs="Bookman Old Style"/>
          <w:color w:val="000000"/>
          <w:sz w:val="22"/>
          <w:szCs w:val="22"/>
        </w:rPr>
        <w:t>, H.S.</w:t>
      </w:r>
      <w:r>
        <w:rPr>
          <w:rFonts w:ascii="Bookman Old Style" w:eastAsia="Bookman Old Style" w:hAnsi="Bookman Old Style" w:cs="Bookman Old Style"/>
          <w:color w:val="000000"/>
          <w:sz w:val="22"/>
          <w:szCs w:val="22"/>
        </w:rPr>
        <w:t xml:space="preserve"> David Andrés Luna Sánchez</w:t>
      </w:r>
      <w:r w:rsidRPr="00EA2C95">
        <w:rPr>
          <w:rFonts w:ascii="Bookman Old Style" w:eastAsia="Bookman Old Style" w:hAnsi="Bookman Old Style" w:cs="Bookman Old Style"/>
          <w:color w:val="000000"/>
          <w:sz w:val="22"/>
          <w:szCs w:val="22"/>
        </w:rPr>
        <w:t>, H.S.</w:t>
      </w:r>
      <w:r>
        <w:rPr>
          <w:rFonts w:ascii="Bookman Old Style" w:eastAsia="Bookman Old Style" w:hAnsi="Bookman Old Style" w:cs="Bookman Old Style"/>
          <w:color w:val="000000"/>
          <w:sz w:val="22"/>
          <w:szCs w:val="22"/>
        </w:rPr>
        <w:t xml:space="preserve"> Iván Cepeda Castro</w:t>
      </w:r>
      <w:r w:rsidRPr="00EA2C95">
        <w:rPr>
          <w:rFonts w:ascii="Bookman Old Style" w:eastAsia="Bookman Old Style" w:hAnsi="Bookman Old Style" w:cs="Bookman Old Style"/>
          <w:color w:val="000000"/>
          <w:sz w:val="22"/>
          <w:szCs w:val="22"/>
        </w:rPr>
        <w:t>, H.S.</w:t>
      </w:r>
      <w:r>
        <w:rPr>
          <w:rFonts w:ascii="Bookman Old Style" w:eastAsia="Bookman Old Style" w:hAnsi="Bookman Old Style" w:cs="Bookman Old Style"/>
          <w:color w:val="000000"/>
          <w:sz w:val="22"/>
          <w:szCs w:val="22"/>
        </w:rPr>
        <w:t xml:space="preserve"> </w:t>
      </w:r>
      <w:r w:rsidRPr="00EA2C95">
        <w:rPr>
          <w:rFonts w:ascii="Bookman Old Style" w:eastAsia="Bookman Old Style" w:hAnsi="Bookman Old Style" w:cs="Bookman Old Style"/>
          <w:color w:val="000000"/>
          <w:sz w:val="22"/>
          <w:szCs w:val="22"/>
        </w:rPr>
        <w:t>Ni</w:t>
      </w:r>
      <w:r>
        <w:rPr>
          <w:rFonts w:ascii="Bookman Old Style" w:eastAsia="Bookman Old Style" w:hAnsi="Bookman Old Style" w:cs="Bookman Old Style"/>
          <w:color w:val="000000"/>
          <w:sz w:val="22"/>
          <w:szCs w:val="22"/>
        </w:rPr>
        <w:t xml:space="preserve">colás Albeiro Echeverri </w:t>
      </w:r>
      <w:proofErr w:type="spellStart"/>
      <w:r>
        <w:rPr>
          <w:rFonts w:ascii="Bookman Old Style" w:eastAsia="Bookman Old Style" w:hAnsi="Bookman Old Style" w:cs="Bookman Old Style"/>
          <w:color w:val="000000"/>
          <w:sz w:val="22"/>
          <w:szCs w:val="22"/>
        </w:rPr>
        <w:t>Alvarán</w:t>
      </w:r>
      <w:proofErr w:type="spellEnd"/>
      <w:r w:rsidRPr="00EA2C95">
        <w:rPr>
          <w:rFonts w:ascii="Bookman Old Style" w:eastAsia="Bookman Old Style" w:hAnsi="Bookman Old Style" w:cs="Bookman Old Style"/>
          <w:color w:val="000000"/>
          <w:sz w:val="22"/>
          <w:szCs w:val="22"/>
        </w:rPr>
        <w:t>, H.S.</w:t>
      </w:r>
      <w:r>
        <w:rPr>
          <w:rFonts w:ascii="Bookman Old Style" w:eastAsia="Bookman Old Style" w:hAnsi="Bookman Old Style" w:cs="Bookman Old Style"/>
          <w:color w:val="000000"/>
          <w:sz w:val="22"/>
          <w:szCs w:val="22"/>
        </w:rPr>
        <w:t xml:space="preserve"> </w:t>
      </w:r>
      <w:r w:rsidRPr="00EA2C95">
        <w:rPr>
          <w:rFonts w:ascii="Bookman Old Style" w:eastAsia="Bookman Old Style" w:hAnsi="Bookman Old Style" w:cs="Bookman Old Style"/>
          <w:color w:val="000000"/>
          <w:sz w:val="22"/>
          <w:szCs w:val="22"/>
        </w:rPr>
        <w:t>Griselda Lobo Silva</w:t>
      </w:r>
      <w:r>
        <w:rPr>
          <w:rFonts w:ascii="Bookman Old Style" w:eastAsia="Bookman Old Style" w:hAnsi="Bookman Old Style" w:cs="Bookman Old Style"/>
          <w:color w:val="000000"/>
          <w:sz w:val="22"/>
          <w:szCs w:val="22"/>
        </w:rPr>
        <w:t>.</w:t>
      </w:r>
    </w:p>
    <w:p w14:paraId="7BC9DC7E" w14:textId="00FE663C" w:rsidR="003213C1" w:rsidRDefault="003213C1" w:rsidP="00EA2C95">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3AA4C86A" w14:textId="72034C78" w:rsidR="003213C1" w:rsidRPr="00EA2C95" w:rsidRDefault="003213C1" w:rsidP="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lastRenderedPageBreak/>
        <w:t>El día 05 de agosto se designó como único ponente al H.R. Juan Carlos Lozada Vargas.</w:t>
      </w:r>
    </w:p>
    <w:p w14:paraId="04826967" w14:textId="2358F671" w:rsidR="00EA2C95" w:rsidRPr="00EA2C95" w:rsidRDefault="00EA2C95" w:rsidP="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 xml:space="preserve"> </w:t>
      </w:r>
    </w:p>
    <w:p w14:paraId="1E98B44D" w14:textId="77777777" w:rsidR="003213C1" w:rsidRPr="003213C1" w:rsidRDefault="003213C1">
      <w:pPr>
        <w:numPr>
          <w:ilvl w:val="0"/>
          <w:numId w:val="2"/>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b/>
          <w:color w:val="000000"/>
          <w:sz w:val="22"/>
          <w:szCs w:val="22"/>
        </w:rPr>
        <w:t>ANTECEDENTES DEL PROYECTO.</w:t>
      </w:r>
    </w:p>
    <w:p w14:paraId="0DDDA094" w14:textId="6EF2EEB2" w:rsidR="003213C1" w:rsidRDefault="003213C1" w:rsidP="003213C1">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6164CDB4" w14:textId="2BE0F265" w:rsidR="003213C1" w:rsidRDefault="003213C1" w:rsidP="003213C1">
      <w:p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 xml:space="preserve">El 01 de agosto de 2018 fue radicado por los </w:t>
      </w:r>
      <w:r w:rsidRPr="003213C1">
        <w:rPr>
          <w:rFonts w:ascii="Bookman Old Style" w:eastAsia="Bookman Old Style" w:hAnsi="Bookman Old Style" w:cs="Bookman Old Style"/>
          <w:color w:val="000000"/>
          <w:sz w:val="22"/>
          <w:szCs w:val="22"/>
        </w:rPr>
        <w:t>H.R.</w:t>
      </w:r>
      <w:r>
        <w:rPr>
          <w:rFonts w:ascii="Bookman Old Style" w:eastAsia="Bookman Old Style" w:hAnsi="Bookman Old Style" w:cs="Bookman Old Style"/>
          <w:color w:val="000000"/>
          <w:sz w:val="22"/>
          <w:szCs w:val="22"/>
        </w:rPr>
        <w:t xml:space="preserve"> Juan Carlos Lozada Vargas</w:t>
      </w:r>
      <w:r w:rsidRPr="003213C1">
        <w:rPr>
          <w:rFonts w:ascii="Bookman Old Style" w:eastAsia="Bookman Old Style" w:hAnsi="Bookman Old Style" w:cs="Bookman Old Style"/>
          <w:color w:val="000000"/>
          <w:sz w:val="22"/>
          <w:szCs w:val="22"/>
        </w:rPr>
        <w:t>, H.R.</w:t>
      </w:r>
      <w:r>
        <w:rPr>
          <w:rFonts w:ascii="Bookman Old Style" w:eastAsia="Bookman Old Style" w:hAnsi="Bookman Old Style" w:cs="Bookman Old Style"/>
          <w:color w:val="000000"/>
          <w:sz w:val="22"/>
          <w:szCs w:val="22"/>
        </w:rPr>
        <w:t xml:space="preserve"> </w:t>
      </w:r>
      <w:proofErr w:type="spellStart"/>
      <w:r>
        <w:rPr>
          <w:rFonts w:ascii="Bookman Old Style" w:eastAsia="Bookman Old Style" w:hAnsi="Bookman Old Style" w:cs="Bookman Old Style"/>
          <w:color w:val="000000"/>
          <w:sz w:val="22"/>
          <w:szCs w:val="22"/>
        </w:rPr>
        <w:t>Luvi</w:t>
      </w:r>
      <w:proofErr w:type="spellEnd"/>
      <w:r>
        <w:rPr>
          <w:rFonts w:ascii="Bookman Old Style" w:eastAsia="Bookman Old Style" w:hAnsi="Bookman Old Style" w:cs="Bookman Old Style"/>
          <w:color w:val="000000"/>
          <w:sz w:val="22"/>
          <w:szCs w:val="22"/>
        </w:rPr>
        <w:t xml:space="preserve"> Katherine Miranda Peña</w:t>
      </w:r>
      <w:r w:rsidRPr="003213C1">
        <w:rPr>
          <w:rFonts w:ascii="Bookman Old Style" w:eastAsia="Bookman Old Style" w:hAnsi="Bookman Old Style" w:cs="Bookman Old Style"/>
          <w:color w:val="000000"/>
          <w:sz w:val="22"/>
          <w:szCs w:val="22"/>
        </w:rPr>
        <w:t>, H.R.</w:t>
      </w:r>
      <w:r>
        <w:rPr>
          <w:rFonts w:ascii="Bookman Old Style" w:eastAsia="Bookman Old Style" w:hAnsi="Bookman Old Style" w:cs="Bookman Old Style"/>
          <w:color w:val="000000"/>
          <w:sz w:val="22"/>
          <w:szCs w:val="22"/>
        </w:rPr>
        <w:t xml:space="preserve"> Hernando José </w:t>
      </w:r>
      <w:proofErr w:type="spellStart"/>
      <w:r>
        <w:rPr>
          <w:rFonts w:ascii="Bookman Old Style" w:eastAsia="Bookman Old Style" w:hAnsi="Bookman Old Style" w:cs="Bookman Old Style"/>
          <w:color w:val="000000"/>
          <w:sz w:val="22"/>
          <w:szCs w:val="22"/>
        </w:rPr>
        <w:t>Padaui</w:t>
      </w:r>
      <w:proofErr w:type="spellEnd"/>
      <w:r>
        <w:rPr>
          <w:rFonts w:ascii="Bookman Old Style" w:eastAsia="Bookman Old Style" w:hAnsi="Bookman Old Style" w:cs="Bookman Old Style"/>
          <w:color w:val="000000"/>
          <w:sz w:val="22"/>
          <w:szCs w:val="22"/>
        </w:rPr>
        <w:t xml:space="preserve"> Álvarez</w:t>
      </w:r>
      <w:r w:rsidRPr="003213C1">
        <w:rPr>
          <w:rFonts w:ascii="Bookman Old Style" w:eastAsia="Bookman Old Style" w:hAnsi="Bookman Old Style" w:cs="Bookman Old Style"/>
          <w:color w:val="000000"/>
          <w:sz w:val="22"/>
          <w:szCs w:val="22"/>
        </w:rPr>
        <w:t>, H.R.</w:t>
      </w:r>
      <w:r>
        <w:rPr>
          <w:rFonts w:ascii="Bookman Old Style" w:eastAsia="Bookman Old Style" w:hAnsi="Bookman Old Style" w:cs="Bookman Old Style"/>
          <w:color w:val="000000"/>
          <w:sz w:val="22"/>
          <w:szCs w:val="22"/>
        </w:rPr>
        <w:t xml:space="preserve"> </w:t>
      </w:r>
      <w:r w:rsidRPr="003213C1">
        <w:rPr>
          <w:rFonts w:ascii="Bookman Old Style" w:eastAsia="Bookman Old Style" w:hAnsi="Bookman Old Style" w:cs="Bookman Old Style"/>
          <w:color w:val="000000"/>
          <w:sz w:val="22"/>
          <w:szCs w:val="22"/>
        </w:rPr>
        <w:t>He</w:t>
      </w:r>
      <w:r>
        <w:rPr>
          <w:rFonts w:ascii="Bookman Old Style" w:eastAsia="Bookman Old Style" w:hAnsi="Bookman Old Style" w:cs="Bookman Old Style"/>
          <w:color w:val="000000"/>
          <w:sz w:val="22"/>
          <w:szCs w:val="22"/>
        </w:rPr>
        <w:t xml:space="preserve">rnán Gustavo </w:t>
      </w:r>
      <w:proofErr w:type="spellStart"/>
      <w:r>
        <w:rPr>
          <w:rFonts w:ascii="Bookman Old Style" w:eastAsia="Bookman Old Style" w:hAnsi="Bookman Old Style" w:cs="Bookman Old Style"/>
          <w:color w:val="000000"/>
          <w:sz w:val="22"/>
          <w:szCs w:val="22"/>
        </w:rPr>
        <w:t>Estupiñan</w:t>
      </w:r>
      <w:proofErr w:type="spellEnd"/>
      <w:r>
        <w:rPr>
          <w:rFonts w:ascii="Bookman Old Style" w:eastAsia="Bookman Old Style" w:hAnsi="Bookman Old Style" w:cs="Bookman Old Style"/>
          <w:color w:val="000000"/>
          <w:sz w:val="22"/>
          <w:szCs w:val="22"/>
        </w:rPr>
        <w:t xml:space="preserve"> Calvache</w:t>
      </w:r>
      <w:r w:rsidRPr="003213C1">
        <w:rPr>
          <w:rFonts w:ascii="Bookman Old Style" w:eastAsia="Bookman Old Style" w:hAnsi="Bookman Old Style" w:cs="Bookman Old Style"/>
          <w:color w:val="000000"/>
          <w:sz w:val="22"/>
          <w:szCs w:val="22"/>
        </w:rPr>
        <w:t>, H.R.</w:t>
      </w:r>
      <w:r>
        <w:rPr>
          <w:rFonts w:ascii="Bookman Old Style" w:eastAsia="Bookman Old Style" w:hAnsi="Bookman Old Style" w:cs="Bookman Old Style"/>
          <w:color w:val="000000"/>
          <w:sz w:val="22"/>
          <w:szCs w:val="22"/>
        </w:rPr>
        <w:t xml:space="preserve"> Alejandro Alberto Vega Pérez</w:t>
      </w:r>
      <w:r w:rsidRPr="003213C1">
        <w:rPr>
          <w:rFonts w:ascii="Bookman Old Style" w:eastAsia="Bookman Old Style" w:hAnsi="Bookman Old Style" w:cs="Bookman Old Style"/>
          <w:color w:val="000000"/>
          <w:sz w:val="22"/>
          <w:szCs w:val="22"/>
        </w:rPr>
        <w:t>, H.R.</w:t>
      </w:r>
      <w:r>
        <w:rPr>
          <w:rFonts w:ascii="Bookman Old Style" w:eastAsia="Bookman Old Style" w:hAnsi="Bookman Old Style" w:cs="Bookman Old Style"/>
          <w:color w:val="000000"/>
          <w:sz w:val="22"/>
          <w:szCs w:val="22"/>
        </w:rPr>
        <w:t xml:space="preserve"> </w:t>
      </w:r>
      <w:proofErr w:type="spellStart"/>
      <w:r>
        <w:rPr>
          <w:rFonts w:ascii="Bookman Old Style" w:eastAsia="Bookman Old Style" w:hAnsi="Bookman Old Style" w:cs="Bookman Old Style"/>
          <w:color w:val="000000"/>
          <w:sz w:val="22"/>
          <w:szCs w:val="22"/>
        </w:rPr>
        <w:t>Julian</w:t>
      </w:r>
      <w:proofErr w:type="spellEnd"/>
      <w:r>
        <w:rPr>
          <w:rFonts w:ascii="Bookman Old Style" w:eastAsia="Bookman Old Style" w:hAnsi="Bookman Old Style" w:cs="Bookman Old Style"/>
          <w:color w:val="000000"/>
          <w:sz w:val="22"/>
          <w:szCs w:val="22"/>
        </w:rPr>
        <w:t xml:space="preserve"> Peinado Ramírez</w:t>
      </w:r>
      <w:r w:rsidRPr="003213C1">
        <w:rPr>
          <w:rFonts w:ascii="Bookman Old Style" w:eastAsia="Bookman Old Style" w:hAnsi="Bookman Old Style" w:cs="Bookman Old Style"/>
          <w:color w:val="000000"/>
          <w:sz w:val="22"/>
          <w:szCs w:val="22"/>
        </w:rPr>
        <w:t>, H.R.</w:t>
      </w:r>
      <w:r>
        <w:rPr>
          <w:rFonts w:ascii="Bookman Old Style" w:eastAsia="Bookman Old Style" w:hAnsi="Bookman Old Style" w:cs="Bookman Old Style"/>
          <w:color w:val="000000"/>
          <w:sz w:val="22"/>
          <w:szCs w:val="22"/>
        </w:rPr>
        <w:t xml:space="preserve"> Nilton Córdoba </w:t>
      </w:r>
      <w:proofErr w:type="spellStart"/>
      <w:r>
        <w:rPr>
          <w:rFonts w:ascii="Bookman Old Style" w:eastAsia="Bookman Old Style" w:hAnsi="Bookman Old Style" w:cs="Bookman Old Style"/>
          <w:color w:val="000000"/>
          <w:sz w:val="22"/>
          <w:szCs w:val="22"/>
        </w:rPr>
        <w:t>Manyoma</w:t>
      </w:r>
      <w:proofErr w:type="spellEnd"/>
      <w:r w:rsidRPr="003213C1">
        <w:rPr>
          <w:rFonts w:ascii="Bookman Old Style" w:eastAsia="Bookman Old Style" w:hAnsi="Bookman Old Style" w:cs="Bookman Old Style"/>
          <w:color w:val="000000"/>
          <w:sz w:val="22"/>
          <w:szCs w:val="22"/>
        </w:rPr>
        <w:t>, H.R.</w:t>
      </w:r>
      <w:r>
        <w:rPr>
          <w:rFonts w:ascii="Bookman Old Style" w:eastAsia="Bookman Old Style" w:hAnsi="Bookman Old Style" w:cs="Bookman Old Style"/>
          <w:color w:val="000000"/>
          <w:sz w:val="22"/>
          <w:szCs w:val="22"/>
        </w:rPr>
        <w:t xml:space="preserve"> </w:t>
      </w:r>
      <w:r w:rsidRPr="003213C1">
        <w:rPr>
          <w:rFonts w:ascii="Bookman Old Style" w:eastAsia="Bookman Old Style" w:hAnsi="Bookman Old Style" w:cs="Bookman Old Style"/>
          <w:color w:val="000000"/>
          <w:sz w:val="22"/>
          <w:szCs w:val="22"/>
        </w:rPr>
        <w:t>Harr</w:t>
      </w:r>
      <w:r>
        <w:rPr>
          <w:rFonts w:ascii="Bookman Old Style" w:eastAsia="Bookman Old Style" w:hAnsi="Bookman Old Style" w:cs="Bookman Old Style"/>
          <w:color w:val="000000"/>
          <w:sz w:val="22"/>
          <w:szCs w:val="22"/>
        </w:rPr>
        <w:t>y Giovanny González García</w:t>
      </w:r>
      <w:r w:rsidRPr="003213C1">
        <w:rPr>
          <w:rFonts w:ascii="Bookman Old Style" w:eastAsia="Bookman Old Style" w:hAnsi="Bookman Old Style" w:cs="Bookman Old Style"/>
          <w:color w:val="000000"/>
          <w:sz w:val="22"/>
          <w:szCs w:val="22"/>
        </w:rPr>
        <w:t>, H.R.</w:t>
      </w:r>
      <w:r>
        <w:rPr>
          <w:rFonts w:ascii="Bookman Old Style" w:eastAsia="Bookman Old Style" w:hAnsi="Bookman Old Style" w:cs="Bookman Old Style"/>
          <w:color w:val="000000"/>
          <w:sz w:val="22"/>
          <w:szCs w:val="22"/>
        </w:rPr>
        <w:t xml:space="preserve"> </w:t>
      </w:r>
      <w:r w:rsidRPr="003213C1">
        <w:rPr>
          <w:rFonts w:ascii="Bookman Old Style" w:eastAsia="Bookman Old Style" w:hAnsi="Bookman Old Style" w:cs="Bookman Old Style"/>
          <w:color w:val="000000"/>
          <w:sz w:val="22"/>
          <w:szCs w:val="22"/>
        </w:rPr>
        <w:t>Ni</w:t>
      </w:r>
      <w:r>
        <w:rPr>
          <w:rFonts w:ascii="Bookman Old Style" w:eastAsia="Bookman Old Style" w:hAnsi="Bookman Old Style" w:cs="Bookman Old Style"/>
          <w:color w:val="000000"/>
          <w:sz w:val="22"/>
          <w:szCs w:val="22"/>
        </w:rPr>
        <w:t xml:space="preserve">colás Albeiro Echeverry </w:t>
      </w:r>
      <w:proofErr w:type="spellStart"/>
      <w:r>
        <w:rPr>
          <w:rFonts w:ascii="Bookman Old Style" w:eastAsia="Bookman Old Style" w:hAnsi="Bookman Old Style" w:cs="Bookman Old Style"/>
          <w:color w:val="000000"/>
          <w:sz w:val="22"/>
          <w:szCs w:val="22"/>
        </w:rPr>
        <w:t>Alvarán</w:t>
      </w:r>
      <w:proofErr w:type="spellEnd"/>
      <w:r w:rsidRPr="003213C1">
        <w:rPr>
          <w:rFonts w:ascii="Bookman Old Style" w:eastAsia="Bookman Old Style" w:hAnsi="Bookman Old Style" w:cs="Bookman Old Style"/>
          <w:color w:val="000000"/>
          <w:sz w:val="22"/>
          <w:szCs w:val="22"/>
        </w:rPr>
        <w:t>, H.R.</w:t>
      </w:r>
      <w:r>
        <w:rPr>
          <w:rFonts w:ascii="Bookman Old Style" w:eastAsia="Bookman Old Style" w:hAnsi="Bookman Old Style" w:cs="Bookman Old Style"/>
          <w:color w:val="000000"/>
          <w:sz w:val="22"/>
          <w:szCs w:val="22"/>
        </w:rPr>
        <w:t xml:space="preserve"> Jorge Eliécer Tamayo Marulanda</w:t>
      </w:r>
      <w:r w:rsidRPr="003213C1">
        <w:rPr>
          <w:rFonts w:ascii="Bookman Old Style" w:eastAsia="Bookman Old Style" w:hAnsi="Bookman Old Style" w:cs="Bookman Old Style"/>
          <w:color w:val="000000"/>
          <w:sz w:val="22"/>
          <w:szCs w:val="22"/>
        </w:rPr>
        <w:t>, H.R.</w:t>
      </w:r>
      <w:r>
        <w:rPr>
          <w:rFonts w:ascii="Bookman Old Style" w:eastAsia="Bookman Old Style" w:hAnsi="Bookman Old Style" w:cs="Bookman Old Style"/>
          <w:color w:val="000000"/>
          <w:sz w:val="22"/>
          <w:szCs w:val="22"/>
        </w:rPr>
        <w:t xml:space="preserve"> John Jairo Roldan Avendaño</w:t>
      </w:r>
      <w:r w:rsidRPr="003213C1">
        <w:rPr>
          <w:rFonts w:ascii="Bookman Old Style" w:eastAsia="Bookman Old Style" w:hAnsi="Bookman Old Style" w:cs="Bookman Old Style"/>
          <w:color w:val="000000"/>
          <w:sz w:val="22"/>
          <w:szCs w:val="22"/>
        </w:rPr>
        <w:t>, H.R.</w:t>
      </w:r>
      <w:r>
        <w:rPr>
          <w:rFonts w:ascii="Bookman Old Style" w:eastAsia="Bookman Old Style" w:hAnsi="Bookman Old Style" w:cs="Bookman Old Style"/>
          <w:color w:val="000000"/>
          <w:sz w:val="22"/>
          <w:szCs w:val="22"/>
        </w:rPr>
        <w:t xml:space="preserve"> Carlos Germán Navas Talero</w:t>
      </w:r>
      <w:r w:rsidRPr="003213C1">
        <w:rPr>
          <w:rFonts w:ascii="Bookman Old Style" w:eastAsia="Bookman Old Style" w:hAnsi="Bookman Old Style" w:cs="Bookman Old Style"/>
          <w:color w:val="000000"/>
          <w:sz w:val="22"/>
          <w:szCs w:val="22"/>
        </w:rPr>
        <w:t>, H.R.</w:t>
      </w:r>
      <w:r>
        <w:rPr>
          <w:rFonts w:ascii="Bookman Old Style" w:eastAsia="Bookman Old Style" w:hAnsi="Bookman Old Style" w:cs="Bookman Old Style"/>
          <w:color w:val="000000"/>
          <w:sz w:val="22"/>
          <w:szCs w:val="22"/>
        </w:rPr>
        <w:t xml:space="preserve"> José Daniel López Jiménez</w:t>
      </w:r>
      <w:r w:rsidRPr="003213C1">
        <w:rPr>
          <w:rFonts w:ascii="Bookman Old Style" w:eastAsia="Bookman Old Style" w:hAnsi="Bookman Old Style" w:cs="Bookman Old Style"/>
          <w:color w:val="000000"/>
          <w:sz w:val="22"/>
          <w:szCs w:val="22"/>
        </w:rPr>
        <w:t>, H.R.</w:t>
      </w:r>
      <w:r>
        <w:rPr>
          <w:rFonts w:ascii="Bookman Old Style" w:eastAsia="Bookman Old Style" w:hAnsi="Bookman Old Style" w:cs="Bookman Old Style"/>
          <w:color w:val="000000"/>
          <w:sz w:val="22"/>
          <w:szCs w:val="22"/>
        </w:rPr>
        <w:t xml:space="preserve"> Inti Raúl Asprilla Reyes</w:t>
      </w:r>
      <w:r w:rsidRPr="003213C1">
        <w:rPr>
          <w:rFonts w:ascii="Bookman Old Style" w:eastAsia="Bookman Old Style" w:hAnsi="Bookman Old Style" w:cs="Bookman Old Style"/>
          <w:color w:val="000000"/>
          <w:sz w:val="22"/>
          <w:szCs w:val="22"/>
        </w:rPr>
        <w:t>, H.R.</w:t>
      </w:r>
      <w:r>
        <w:rPr>
          <w:rFonts w:ascii="Bookman Old Style" w:eastAsia="Bookman Old Style" w:hAnsi="Bookman Old Style" w:cs="Bookman Old Style"/>
          <w:color w:val="000000"/>
          <w:sz w:val="22"/>
          <w:szCs w:val="22"/>
        </w:rPr>
        <w:t xml:space="preserve"> </w:t>
      </w:r>
      <w:r w:rsidRPr="003213C1">
        <w:rPr>
          <w:rFonts w:ascii="Bookman Old Style" w:eastAsia="Bookman Old Style" w:hAnsi="Bookman Old Style" w:cs="Bookman Old Style"/>
          <w:color w:val="000000"/>
          <w:sz w:val="22"/>
          <w:szCs w:val="22"/>
        </w:rPr>
        <w:t>Germán Alcides Bl</w:t>
      </w:r>
      <w:r>
        <w:rPr>
          <w:rFonts w:ascii="Bookman Old Style" w:eastAsia="Bookman Old Style" w:hAnsi="Bookman Old Style" w:cs="Bookman Old Style"/>
          <w:color w:val="000000"/>
          <w:sz w:val="22"/>
          <w:szCs w:val="22"/>
        </w:rPr>
        <w:t>anco Álvarez</w:t>
      </w:r>
      <w:r w:rsidRPr="003213C1">
        <w:rPr>
          <w:rFonts w:ascii="Bookman Old Style" w:eastAsia="Bookman Old Style" w:hAnsi="Bookman Old Style" w:cs="Bookman Old Style"/>
          <w:color w:val="000000"/>
          <w:sz w:val="22"/>
          <w:szCs w:val="22"/>
        </w:rPr>
        <w:t>, H.R.</w:t>
      </w:r>
      <w:r>
        <w:rPr>
          <w:rFonts w:ascii="Bookman Old Style" w:eastAsia="Bookman Old Style" w:hAnsi="Bookman Old Style" w:cs="Bookman Old Style"/>
          <w:color w:val="000000"/>
          <w:sz w:val="22"/>
          <w:szCs w:val="22"/>
        </w:rPr>
        <w:t xml:space="preserve"> Juan Carlos </w:t>
      </w:r>
      <w:proofErr w:type="spellStart"/>
      <w:r>
        <w:rPr>
          <w:rFonts w:ascii="Bookman Old Style" w:eastAsia="Bookman Old Style" w:hAnsi="Bookman Old Style" w:cs="Bookman Old Style"/>
          <w:color w:val="000000"/>
          <w:sz w:val="22"/>
          <w:szCs w:val="22"/>
        </w:rPr>
        <w:t>Wills</w:t>
      </w:r>
      <w:proofErr w:type="spellEnd"/>
      <w:r>
        <w:rPr>
          <w:rFonts w:ascii="Bookman Old Style" w:eastAsia="Bookman Old Style" w:hAnsi="Bookman Old Style" w:cs="Bookman Old Style"/>
          <w:color w:val="000000"/>
          <w:sz w:val="22"/>
          <w:szCs w:val="22"/>
        </w:rPr>
        <w:t xml:space="preserve"> Ospina</w:t>
      </w:r>
      <w:r w:rsidRPr="003213C1">
        <w:rPr>
          <w:rFonts w:ascii="Bookman Old Style" w:eastAsia="Bookman Old Style" w:hAnsi="Bookman Old Style" w:cs="Bookman Old Style"/>
          <w:color w:val="000000"/>
          <w:sz w:val="22"/>
          <w:szCs w:val="22"/>
        </w:rPr>
        <w:t>, H.R.</w:t>
      </w:r>
      <w:r>
        <w:rPr>
          <w:rFonts w:ascii="Bookman Old Style" w:eastAsia="Bookman Old Style" w:hAnsi="Bookman Old Style" w:cs="Bookman Old Style"/>
          <w:color w:val="000000"/>
          <w:sz w:val="22"/>
          <w:szCs w:val="22"/>
        </w:rPr>
        <w:t xml:space="preserve"> Flora Perdomo Andrade</w:t>
      </w:r>
      <w:r w:rsidRPr="003213C1">
        <w:rPr>
          <w:rFonts w:ascii="Bookman Old Style" w:eastAsia="Bookman Old Style" w:hAnsi="Bookman Old Style" w:cs="Bookman Old Style"/>
          <w:color w:val="000000"/>
          <w:sz w:val="22"/>
          <w:szCs w:val="22"/>
        </w:rPr>
        <w:t>, H.R.</w:t>
      </w:r>
      <w:r>
        <w:rPr>
          <w:rFonts w:ascii="Bookman Old Style" w:eastAsia="Bookman Old Style" w:hAnsi="Bookman Old Style" w:cs="Bookman Old Style"/>
          <w:color w:val="000000"/>
          <w:sz w:val="22"/>
          <w:szCs w:val="22"/>
        </w:rPr>
        <w:t xml:space="preserve"> Crisanto </w:t>
      </w:r>
      <w:proofErr w:type="spellStart"/>
      <w:r>
        <w:rPr>
          <w:rFonts w:ascii="Bookman Old Style" w:eastAsia="Bookman Old Style" w:hAnsi="Bookman Old Style" w:cs="Bookman Old Style"/>
          <w:color w:val="000000"/>
          <w:sz w:val="22"/>
          <w:szCs w:val="22"/>
        </w:rPr>
        <w:t>Pisso</w:t>
      </w:r>
      <w:proofErr w:type="spellEnd"/>
      <w:r>
        <w:rPr>
          <w:rFonts w:ascii="Bookman Old Style" w:eastAsia="Bookman Old Style" w:hAnsi="Bookman Old Style" w:cs="Bookman Old Style"/>
          <w:color w:val="000000"/>
          <w:sz w:val="22"/>
          <w:szCs w:val="22"/>
        </w:rPr>
        <w:t xml:space="preserve"> </w:t>
      </w:r>
      <w:proofErr w:type="spellStart"/>
      <w:r>
        <w:rPr>
          <w:rFonts w:ascii="Bookman Old Style" w:eastAsia="Bookman Old Style" w:hAnsi="Bookman Old Style" w:cs="Bookman Old Style"/>
          <w:color w:val="000000"/>
          <w:sz w:val="22"/>
          <w:szCs w:val="22"/>
        </w:rPr>
        <w:t>Mazabuel</w:t>
      </w:r>
      <w:proofErr w:type="spellEnd"/>
      <w:r w:rsidRPr="003213C1">
        <w:rPr>
          <w:rFonts w:ascii="Bookman Old Style" w:eastAsia="Bookman Old Style" w:hAnsi="Bookman Old Style" w:cs="Bookman Old Style"/>
          <w:color w:val="000000"/>
          <w:sz w:val="22"/>
          <w:szCs w:val="22"/>
        </w:rPr>
        <w:t>, H.R.</w:t>
      </w:r>
      <w:r>
        <w:rPr>
          <w:rFonts w:ascii="Bookman Old Style" w:eastAsia="Bookman Old Style" w:hAnsi="Bookman Old Style" w:cs="Bookman Old Style"/>
          <w:color w:val="000000"/>
          <w:sz w:val="22"/>
          <w:szCs w:val="22"/>
        </w:rPr>
        <w:t xml:space="preserve"> María José Pizarro Rodríguez</w:t>
      </w:r>
      <w:r w:rsidRPr="003213C1">
        <w:rPr>
          <w:rFonts w:ascii="Bookman Old Style" w:eastAsia="Bookman Old Style" w:hAnsi="Bookman Old Style" w:cs="Bookman Old Style"/>
          <w:color w:val="000000"/>
          <w:sz w:val="22"/>
          <w:szCs w:val="22"/>
        </w:rPr>
        <w:t>, H.R.</w:t>
      </w:r>
      <w:r>
        <w:rPr>
          <w:rFonts w:ascii="Bookman Old Style" w:eastAsia="Bookman Old Style" w:hAnsi="Bookman Old Style" w:cs="Bookman Old Style"/>
          <w:color w:val="000000"/>
          <w:sz w:val="22"/>
          <w:szCs w:val="22"/>
        </w:rPr>
        <w:t xml:space="preserve"> </w:t>
      </w:r>
      <w:r w:rsidRPr="003213C1">
        <w:rPr>
          <w:rFonts w:ascii="Bookman Old Style" w:eastAsia="Bookman Old Style" w:hAnsi="Bookman Old Style" w:cs="Bookman Old Style"/>
          <w:color w:val="000000"/>
          <w:sz w:val="22"/>
          <w:szCs w:val="22"/>
        </w:rPr>
        <w:t>Carlos Adolfo Ardila Espinosa</w:t>
      </w:r>
      <w:r w:rsidR="00346FED">
        <w:rPr>
          <w:rFonts w:ascii="Bookman Old Style" w:eastAsia="Bookman Old Style" w:hAnsi="Bookman Old Style" w:cs="Bookman Old Style"/>
          <w:color w:val="000000"/>
          <w:sz w:val="22"/>
          <w:szCs w:val="22"/>
        </w:rPr>
        <w:t>, y los H.S</w:t>
      </w:r>
      <w:r w:rsidR="00346FED" w:rsidRPr="00346FED">
        <w:rPr>
          <w:rFonts w:ascii="Bookman Old Style" w:eastAsia="Bookman Old Style" w:hAnsi="Bookman Old Style" w:cs="Bookman Old Style"/>
          <w:color w:val="000000"/>
          <w:sz w:val="22"/>
          <w:szCs w:val="22"/>
        </w:rPr>
        <w:t>.</w:t>
      </w:r>
      <w:r w:rsidR="00346FED">
        <w:rPr>
          <w:rFonts w:ascii="Bookman Old Style" w:eastAsia="Bookman Old Style" w:hAnsi="Bookman Old Style" w:cs="Bookman Old Style"/>
          <w:color w:val="000000"/>
          <w:sz w:val="22"/>
          <w:szCs w:val="22"/>
        </w:rPr>
        <w:t xml:space="preserve"> Nadya Georgette </w:t>
      </w:r>
      <w:proofErr w:type="spellStart"/>
      <w:r w:rsidR="00346FED">
        <w:rPr>
          <w:rFonts w:ascii="Bookman Old Style" w:eastAsia="Bookman Old Style" w:hAnsi="Bookman Old Style" w:cs="Bookman Old Style"/>
          <w:color w:val="000000"/>
          <w:sz w:val="22"/>
          <w:szCs w:val="22"/>
        </w:rPr>
        <w:t>Blel</w:t>
      </w:r>
      <w:proofErr w:type="spellEnd"/>
      <w:r w:rsidR="00346FED">
        <w:rPr>
          <w:rFonts w:ascii="Bookman Old Style" w:eastAsia="Bookman Old Style" w:hAnsi="Bookman Old Style" w:cs="Bookman Old Style"/>
          <w:color w:val="000000"/>
          <w:sz w:val="22"/>
          <w:szCs w:val="22"/>
        </w:rPr>
        <w:t xml:space="preserve"> </w:t>
      </w:r>
      <w:proofErr w:type="spellStart"/>
      <w:r w:rsidR="00346FED">
        <w:rPr>
          <w:rFonts w:ascii="Bookman Old Style" w:eastAsia="Bookman Old Style" w:hAnsi="Bookman Old Style" w:cs="Bookman Old Style"/>
          <w:color w:val="000000"/>
          <w:sz w:val="22"/>
          <w:szCs w:val="22"/>
        </w:rPr>
        <w:t>Scaf</w:t>
      </w:r>
      <w:proofErr w:type="spellEnd"/>
      <w:r w:rsidR="00346FED">
        <w:rPr>
          <w:rFonts w:ascii="Bookman Old Style" w:eastAsia="Bookman Old Style" w:hAnsi="Bookman Old Style" w:cs="Bookman Old Style"/>
          <w:color w:val="000000"/>
          <w:sz w:val="22"/>
          <w:szCs w:val="22"/>
        </w:rPr>
        <w:t xml:space="preserve"> y</w:t>
      </w:r>
      <w:r w:rsidR="00346FED" w:rsidRPr="00346FED">
        <w:rPr>
          <w:rFonts w:ascii="Bookman Old Style" w:eastAsia="Bookman Old Style" w:hAnsi="Bookman Old Style" w:cs="Bookman Old Style"/>
          <w:color w:val="000000"/>
          <w:sz w:val="22"/>
          <w:szCs w:val="22"/>
        </w:rPr>
        <w:t xml:space="preserve"> H.S.</w:t>
      </w:r>
      <w:r w:rsidR="00346FED">
        <w:rPr>
          <w:rFonts w:ascii="Bookman Old Style" w:eastAsia="Bookman Old Style" w:hAnsi="Bookman Old Style" w:cs="Bookman Old Style"/>
          <w:color w:val="000000"/>
          <w:sz w:val="22"/>
          <w:szCs w:val="22"/>
        </w:rPr>
        <w:t xml:space="preserve"> </w:t>
      </w:r>
      <w:r w:rsidR="00346FED" w:rsidRPr="00346FED">
        <w:rPr>
          <w:rFonts w:ascii="Bookman Old Style" w:eastAsia="Bookman Old Style" w:hAnsi="Bookman Old Style" w:cs="Bookman Old Style"/>
          <w:color w:val="000000"/>
          <w:sz w:val="22"/>
          <w:szCs w:val="22"/>
        </w:rPr>
        <w:t>Richard Alfonso Aguilar Villa</w:t>
      </w:r>
      <w:r w:rsidR="00346FED">
        <w:rPr>
          <w:rFonts w:ascii="Bookman Old Style" w:eastAsia="Bookman Old Style" w:hAnsi="Bookman Old Style" w:cs="Bookman Old Style"/>
          <w:color w:val="000000"/>
          <w:sz w:val="22"/>
          <w:szCs w:val="22"/>
        </w:rPr>
        <w:t xml:space="preserve"> el Proyecto de Ley No. 064 de 2018 Cámara, </w:t>
      </w:r>
      <w:r w:rsidR="00346FED" w:rsidRPr="00346FED">
        <w:rPr>
          <w:rFonts w:ascii="Bookman Old Style" w:eastAsia="Bookman Old Style" w:hAnsi="Bookman Old Style" w:cs="Bookman Old Style"/>
          <w:i/>
          <w:color w:val="000000"/>
          <w:sz w:val="22"/>
          <w:szCs w:val="22"/>
        </w:rPr>
        <w:t>“Por el cual se eliminan las prácticas taurinas en el territorio nacional y se dictan otras disposiciones”.</w:t>
      </w:r>
    </w:p>
    <w:p w14:paraId="6FBFC9E8" w14:textId="2A473521" w:rsidR="00346FED" w:rsidRDefault="00346FED" w:rsidP="003213C1">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08CE0D6E" w14:textId="6118E25E" w:rsidR="00346FED" w:rsidRDefault="00346FED" w:rsidP="003213C1">
      <w:p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 xml:space="preserve">El proyecto fue aprobado en su primer debate en la Comisión Séptima Constitucional Permanente de la Cámara de Representantes el día 14 de mayo de 2019, </w:t>
      </w:r>
      <w:r w:rsidRPr="00346FED">
        <w:rPr>
          <w:rFonts w:ascii="Bookman Old Style" w:eastAsia="Bookman Old Style" w:hAnsi="Bookman Old Style" w:cs="Bookman Old Style"/>
          <w:color w:val="000000"/>
          <w:sz w:val="22"/>
          <w:szCs w:val="22"/>
        </w:rPr>
        <w:t>en donde, si bien se radicó Ponencia Positiva para Segundo Debate, el Proyecto debió ser archivado en razón a que se agotaron los tiempos legislativos necesarios para continuar su trámite, de acuerdo a lo dispuesto en los artículos 224 y 225 de la Ley 5ta de 1992.</w:t>
      </w:r>
    </w:p>
    <w:p w14:paraId="064B309E" w14:textId="77777777" w:rsidR="003213C1" w:rsidRDefault="003213C1" w:rsidP="003213C1">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0E21528F" w14:textId="77777777" w:rsidR="00346FED" w:rsidRDefault="003213C1" w:rsidP="003213C1">
      <w:pPr>
        <w:pBdr>
          <w:top w:val="nil"/>
          <w:left w:val="nil"/>
          <w:bottom w:val="nil"/>
          <w:right w:val="nil"/>
          <w:between w:val="nil"/>
        </w:pBdr>
        <w:jc w:val="both"/>
        <w:rPr>
          <w:rFonts w:ascii="Bookman Old Style" w:eastAsia="Bookman Old Style" w:hAnsi="Bookman Old Style" w:cs="Bookman Old Style"/>
          <w:i/>
          <w:color w:val="000000"/>
          <w:sz w:val="22"/>
          <w:szCs w:val="22"/>
        </w:rPr>
      </w:pPr>
      <w:r>
        <w:rPr>
          <w:rFonts w:ascii="Bookman Old Style" w:eastAsia="Bookman Old Style" w:hAnsi="Bookman Old Style" w:cs="Bookman Old Style"/>
          <w:color w:val="000000"/>
          <w:sz w:val="22"/>
          <w:szCs w:val="22"/>
        </w:rPr>
        <w:t xml:space="preserve">El 11 de septiembre de 2020 fue radicado por los </w:t>
      </w:r>
      <w:r w:rsidRPr="003213C1">
        <w:rPr>
          <w:rFonts w:ascii="Bookman Old Style" w:eastAsia="Bookman Old Style" w:hAnsi="Bookman Old Style" w:cs="Bookman Old Style"/>
          <w:color w:val="000000"/>
          <w:sz w:val="22"/>
          <w:szCs w:val="22"/>
        </w:rPr>
        <w:t>H.R.</w:t>
      </w:r>
      <w:r>
        <w:rPr>
          <w:rFonts w:ascii="Bookman Old Style" w:eastAsia="Bookman Old Style" w:hAnsi="Bookman Old Style" w:cs="Bookman Old Style"/>
          <w:color w:val="000000"/>
          <w:sz w:val="22"/>
          <w:szCs w:val="22"/>
        </w:rPr>
        <w:t xml:space="preserve"> Juan Carlos Lozada Vargas</w:t>
      </w:r>
      <w:r w:rsidRPr="003213C1">
        <w:rPr>
          <w:rFonts w:ascii="Bookman Old Style" w:eastAsia="Bookman Old Style" w:hAnsi="Bookman Old Style" w:cs="Bookman Old Style"/>
          <w:color w:val="000000"/>
          <w:sz w:val="22"/>
          <w:szCs w:val="22"/>
        </w:rPr>
        <w:t>, H.R.</w:t>
      </w:r>
      <w:r>
        <w:rPr>
          <w:rFonts w:ascii="Bookman Old Style" w:eastAsia="Bookman Old Style" w:hAnsi="Bookman Old Style" w:cs="Bookman Old Style"/>
          <w:color w:val="000000"/>
          <w:sz w:val="22"/>
          <w:szCs w:val="22"/>
        </w:rPr>
        <w:t xml:space="preserve"> Ángel María Gaitán Pulido</w:t>
      </w:r>
      <w:r w:rsidRPr="003213C1">
        <w:rPr>
          <w:rFonts w:ascii="Bookman Old Style" w:eastAsia="Bookman Old Style" w:hAnsi="Bookman Old Style" w:cs="Bookman Old Style"/>
          <w:color w:val="000000"/>
          <w:sz w:val="22"/>
          <w:szCs w:val="22"/>
        </w:rPr>
        <w:t>, H.R.</w:t>
      </w:r>
      <w:r>
        <w:rPr>
          <w:rFonts w:ascii="Bookman Old Style" w:eastAsia="Bookman Old Style" w:hAnsi="Bookman Old Style" w:cs="Bookman Old Style"/>
          <w:color w:val="000000"/>
          <w:sz w:val="22"/>
          <w:szCs w:val="22"/>
        </w:rPr>
        <w:t xml:space="preserve"> José Daniel López Jiménez</w:t>
      </w:r>
      <w:r w:rsidRPr="003213C1">
        <w:rPr>
          <w:rFonts w:ascii="Bookman Old Style" w:eastAsia="Bookman Old Style" w:hAnsi="Bookman Old Style" w:cs="Bookman Old Style"/>
          <w:color w:val="000000"/>
          <w:sz w:val="22"/>
          <w:szCs w:val="22"/>
        </w:rPr>
        <w:t>, H.R.</w:t>
      </w:r>
      <w:r>
        <w:rPr>
          <w:rFonts w:ascii="Bookman Old Style" w:eastAsia="Bookman Old Style" w:hAnsi="Bookman Old Style" w:cs="Bookman Old Style"/>
          <w:color w:val="000000"/>
          <w:sz w:val="22"/>
          <w:szCs w:val="22"/>
        </w:rPr>
        <w:t xml:space="preserve"> Fabián Díaz Plata</w:t>
      </w:r>
      <w:r w:rsidRPr="003213C1">
        <w:rPr>
          <w:rFonts w:ascii="Bookman Old Style" w:eastAsia="Bookman Old Style" w:hAnsi="Bookman Old Style" w:cs="Bookman Old Style"/>
          <w:color w:val="000000"/>
          <w:sz w:val="22"/>
          <w:szCs w:val="22"/>
        </w:rPr>
        <w:t>, H.R.</w:t>
      </w:r>
      <w:r>
        <w:rPr>
          <w:rFonts w:ascii="Bookman Old Style" w:eastAsia="Bookman Old Style" w:hAnsi="Bookman Old Style" w:cs="Bookman Old Style"/>
          <w:color w:val="000000"/>
          <w:sz w:val="22"/>
          <w:szCs w:val="22"/>
        </w:rPr>
        <w:t xml:space="preserve"> </w:t>
      </w:r>
      <w:r w:rsidRPr="003213C1">
        <w:rPr>
          <w:rFonts w:ascii="Bookman Old Style" w:eastAsia="Bookman Old Style" w:hAnsi="Bookman Old Style" w:cs="Bookman Old Style"/>
          <w:color w:val="000000"/>
          <w:sz w:val="22"/>
          <w:szCs w:val="22"/>
        </w:rPr>
        <w:t>Inti Raúl Asprilla Reyes</w:t>
      </w:r>
      <w:r>
        <w:rPr>
          <w:rFonts w:ascii="Bookman Old Style" w:eastAsia="Bookman Old Style" w:hAnsi="Bookman Old Style" w:cs="Bookman Old Style"/>
          <w:color w:val="000000"/>
          <w:sz w:val="22"/>
          <w:szCs w:val="22"/>
        </w:rPr>
        <w:t xml:space="preserve"> el Proyecto de Ley No. 410 </w:t>
      </w:r>
      <w:r w:rsidR="00346FED">
        <w:rPr>
          <w:rFonts w:ascii="Bookman Old Style" w:eastAsia="Bookman Old Style" w:hAnsi="Bookman Old Style" w:cs="Bookman Old Style"/>
          <w:color w:val="000000"/>
          <w:sz w:val="22"/>
          <w:szCs w:val="22"/>
        </w:rPr>
        <w:t xml:space="preserve">de 2020 Cámara </w:t>
      </w:r>
      <w:r w:rsidR="00346FED" w:rsidRPr="00346FED">
        <w:rPr>
          <w:rFonts w:ascii="Bookman Old Style" w:eastAsia="Bookman Old Style" w:hAnsi="Bookman Old Style" w:cs="Bookman Old Style"/>
          <w:i/>
          <w:color w:val="000000"/>
          <w:sz w:val="22"/>
          <w:szCs w:val="22"/>
        </w:rPr>
        <w:t>“Por el cual se eliminan las prácticas taurinas en el territorio nacional y se dict</w:t>
      </w:r>
      <w:r w:rsidR="00346FED">
        <w:rPr>
          <w:rFonts w:ascii="Bookman Old Style" w:eastAsia="Bookman Old Style" w:hAnsi="Bookman Old Style" w:cs="Bookman Old Style"/>
          <w:i/>
          <w:color w:val="000000"/>
          <w:sz w:val="22"/>
          <w:szCs w:val="22"/>
        </w:rPr>
        <w:t>an otras disposiciones</w:t>
      </w:r>
      <w:r w:rsidR="00346FED" w:rsidRPr="00346FED">
        <w:rPr>
          <w:rFonts w:ascii="Bookman Old Style" w:eastAsia="Bookman Old Style" w:hAnsi="Bookman Old Style" w:cs="Bookman Old Style"/>
          <w:i/>
          <w:color w:val="000000"/>
          <w:sz w:val="22"/>
          <w:szCs w:val="22"/>
        </w:rPr>
        <w:t>”</w:t>
      </w:r>
      <w:r w:rsidR="00346FED">
        <w:rPr>
          <w:rFonts w:ascii="Bookman Old Style" w:eastAsia="Bookman Old Style" w:hAnsi="Bookman Old Style" w:cs="Bookman Old Style"/>
          <w:i/>
          <w:color w:val="000000"/>
          <w:sz w:val="22"/>
          <w:szCs w:val="22"/>
        </w:rPr>
        <w:t>.</w:t>
      </w:r>
    </w:p>
    <w:p w14:paraId="11276679" w14:textId="77777777" w:rsidR="00346FED" w:rsidRDefault="00346FED" w:rsidP="003213C1">
      <w:pPr>
        <w:pBdr>
          <w:top w:val="nil"/>
          <w:left w:val="nil"/>
          <w:bottom w:val="nil"/>
          <w:right w:val="nil"/>
          <w:between w:val="nil"/>
        </w:pBdr>
        <w:jc w:val="both"/>
        <w:rPr>
          <w:rFonts w:ascii="Bookman Old Style" w:eastAsia="Bookman Old Style" w:hAnsi="Bookman Old Style" w:cs="Bookman Old Style"/>
          <w:i/>
          <w:color w:val="000000"/>
          <w:sz w:val="22"/>
          <w:szCs w:val="22"/>
        </w:rPr>
      </w:pPr>
    </w:p>
    <w:p w14:paraId="78BC2530" w14:textId="2C0EE43B" w:rsidR="003213C1" w:rsidRDefault="00346FED" w:rsidP="003213C1">
      <w:p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 xml:space="preserve">El </w:t>
      </w:r>
      <w:r w:rsidR="00B61382">
        <w:rPr>
          <w:rFonts w:ascii="Bookman Old Style" w:eastAsia="Bookman Old Style" w:hAnsi="Bookman Old Style" w:cs="Bookman Old Style"/>
          <w:color w:val="000000"/>
          <w:sz w:val="22"/>
          <w:szCs w:val="22"/>
        </w:rPr>
        <w:t>07 de diciembre de 2020</w:t>
      </w:r>
      <w:r>
        <w:rPr>
          <w:rFonts w:ascii="Bookman Old Style" w:eastAsia="Bookman Old Style" w:hAnsi="Bookman Old Style" w:cs="Bookman Old Style"/>
          <w:color w:val="000000"/>
          <w:sz w:val="22"/>
          <w:szCs w:val="22"/>
        </w:rPr>
        <w:t xml:space="preserve"> el proyecto fue puesto en consideración de la Comisión Primera de la Cámara de R</w:t>
      </w:r>
      <w:r w:rsidR="00B61382">
        <w:rPr>
          <w:rFonts w:ascii="Bookman Old Style" w:eastAsia="Bookman Old Style" w:hAnsi="Bookman Old Style" w:cs="Bookman Old Style"/>
          <w:color w:val="000000"/>
          <w:sz w:val="22"/>
          <w:szCs w:val="22"/>
        </w:rPr>
        <w:t>epresentantes, en donde fue</w:t>
      </w:r>
      <w:r>
        <w:rPr>
          <w:rFonts w:ascii="Bookman Old Style" w:eastAsia="Bookman Old Style" w:hAnsi="Bookman Old Style" w:cs="Bookman Old Style"/>
          <w:color w:val="000000"/>
          <w:sz w:val="22"/>
          <w:szCs w:val="22"/>
        </w:rPr>
        <w:t xml:space="preserve"> aprobado. El proyecto continuo su </w:t>
      </w:r>
      <w:r w:rsidR="00B61382">
        <w:rPr>
          <w:rFonts w:ascii="Bookman Old Style" w:eastAsia="Bookman Old Style" w:hAnsi="Bookman Old Style" w:cs="Bookman Old Style"/>
          <w:color w:val="000000"/>
          <w:sz w:val="22"/>
          <w:szCs w:val="22"/>
        </w:rPr>
        <w:t>trámite</w:t>
      </w:r>
      <w:r>
        <w:rPr>
          <w:rFonts w:ascii="Bookman Old Style" w:eastAsia="Bookman Old Style" w:hAnsi="Bookman Old Style" w:cs="Bookman Old Style"/>
          <w:color w:val="000000"/>
          <w:sz w:val="22"/>
          <w:szCs w:val="22"/>
        </w:rPr>
        <w:t xml:space="preserve"> y fue aprobado por la Plenaria de la Cámara de Representantes el </w:t>
      </w:r>
      <w:r w:rsidR="00B61382">
        <w:rPr>
          <w:rFonts w:ascii="Bookman Old Style" w:eastAsia="Bookman Old Style" w:hAnsi="Bookman Old Style" w:cs="Bookman Old Style"/>
          <w:color w:val="000000"/>
          <w:sz w:val="22"/>
          <w:szCs w:val="22"/>
        </w:rPr>
        <w:t>19</w:t>
      </w:r>
      <w:r>
        <w:rPr>
          <w:rFonts w:ascii="Bookman Old Style" w:eastAsia="Bookman Old Style" w:hAnsi="Bookman Old Style" w:cs="Bookman Old Style"/>
          <w:color w:val="000000"/>
          <w:sz w:val="22"/>
          <w:szCs w:val="22"/>
        </w:rPr>
        <w:t xml:space="preserve"> </w:t>
      </w:r>
      <w:r w:rsidR="00B61382">
        <w:rPr>
          <w:rFonts w:ascii="Bookman Old Style" w:eastAsia="Bookman Old Style" w:hAnsi="Bookman Old Style" w:cs="Bookman Old Style"/>
          <w:color w:val="000000"/>
          <w:sz w:val="22"/>
          <w:szCs w:val="22"/>
        </w:rPr>
        <w:t>de abril de 2022.</w:t>
      </w:r>
    </w:p>
    <w:p w14:paraId="3C997698" w14:textId="0922EEC2" w:rsidR="00B61382" w:rsidRDefault="00B61382" w:rsidP="003213C1">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1C2E3450" w14:textId="594AFE47" w:rsidR="00B61382" w:rsidRPr="00346FED" w:rsidRDefault="00B61382" w:rsidP="003213C1">
      <w:p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 xml:space="preserve">El proyecto continuó su trámite en el Senado de la República en donde se le asignó el número 359 de 2022 Senado. La Comisión Primera del Senado de la República realizó audiencia pública, sin embargo, el proyecto </w:t>
      </w:r>
      <w:r w:rsidRPr="00346FED">
        <w:rPr>
          <w:rFonts w:ascii="Bookman Old Style" w:eastAsia="Bookman Old Style" w:hAnsi="Bookman Old Style" w:cs="Bookman Old Style"/>
          <w:color w:val="000000"/>
          <w:sz w:val="22"/>
          <w:szCs w:val="22"/>
        </w:rPr>
        <w:t>debió ser archivado en razón a que se agotaron los tiempos legislativos necesarios para continuar su trámite, de acuerdo a lo dispuesto en los artículos 224 y 225 de la Ley 5ta de 1992.</w:t>
      </w:r>
    </w:p>
    <w:p w14:paraId="1AB86107" w14:textId="77777777" w:rsidR="003213C1" w:rsidRPr="003213C1" w:rsidRDefault="003213C1" w:rsidP="003213C1">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07816FE0" w14:textId="3AE2121C" w:rsidR="00756FAE" w:rsidRPr="00EA2C95" w:rsidRDefault="00EA2C95">
      <w:pPr>
        <w:numPr>
          <w:ilvl w:val="0"/>
          <w:numId w:val="2"/>
        </w:num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b/>
          <w:color w:val="000000"/>
          <w:sz w:val="22"/>
          <w:szCs w:val="22"/>
        </w:rPr>
        <w:t>OBJETO</w:t>
      </w:r>
      <w:r w:rsidRPr="00EA2C95">
        <w:rPr>
          <w:rFonts w:ascii="Bookman Old Style" w:eastAsia="Bookman Old Style" w:hAnsi="Bookman Old Style" w:cs="Bookman Old Style"/>
          <w:color w:val="000000"/>
          <w:sz w:val="22"/>
          <w:szCs w:val="22"/>
        </w:rPr>
        <w:t>.</w:t>
      </w:r>
    </w:p>
    <w:p w14:paraId="0BAD97B4"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1DA19821" w14:textId="7983B389" w:rsidR="00756FAE" w:rsidRPr="00EA2C95" w:rsidRDefault="00B61382">
      <w:p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lastRenderedPageBreak/>
        <w:t>El proyecto busca a</w:t>
      </w:r>
      <w:r w:rsidR="00EA2C95" w:rsidRPr="00EA2C95">
        <w:rPr>
          <w:rFonts w:ascii="Bookman Old Style" w:eastAsia="Bookman Old Style" w:hAnsi="Bookman Old Style" w:cs="Bookman Old Style"/>
          <w:color w:val="000000"/>
          <w:sz w:val="22"/>
          <w:szCs w:val="22"/>
        </w:rPr>
        <w:t xml:space="preserve">vanzar en el reconocimiento de los animales como seres sintientes, sujetos de una protección constitucional y legal especial, a través de la prohibición de las prácticas taurinas en todo el territorio nacional, como expresiones de maltrato, crueldad y violencia. </w:t>
      </w:r>
    </w:p>
    <w:p w14:paraId="5B55E541"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0948E275" w14:textId="1CAF6D92" w:rsidR="00756FAE" w:rsidRPr="00EA2C95" w:rsidRDefault="00EA2C95">
      <w:pPr>
        <w:numPr>
          <w:ilvl w:val="0"/>
          <w:numId w:val="2"/>
        </w:numPr>
        <w:pBdr>
          <w:top w:val="nil"/>
          <w:left w:val="nil"/>
          <w:bottom w:val="nil"/>
          <w:right w:val="nil"/>
          <w:between w:val="nil"/>
        </w:pBdr>
        <w:jc w:val="both"/>
        <w:rPr>
          <w:rFonts w:ascii="Bookman Old Style" w:eastAsia="Bookman Old Style" w:hAnsi="Bookman Old Style" w:cs="Bookman Old Style"/>
          <w:b/>
          <w:color w:val="000000"/>
          <w:sz w:val="22"/>
          <w:szCs w:val="22"/>
        </w:rPr>
      </w:pPr>
      <w:r w:rsidRPr="00EA2C95">
        <w:rPr>
          <w:rFonts w:ascii="Bookman Old Style" w:eastAsia="Bookman Old Style" w:hAnsi="Bookman Old Style" w:cs="Bookman Old Style"/>
          <w:b/>
          <w:color w:val="000000"/>
          <w:sz w:val="22"/>
          <w:szCs w:val="22"/>
        </w:rPr>
        <w:t>ANTECEDENTES</w:t>
      </w:r>
      <w:r w:rsidR="00B61382">
        <w:rPr>
          <w:rFonts w:ascii="Bookman Old Style" w:eastAsia="Bookman Old Style" w:hAnsi="Bookman Old Style" w:cs="Bookman Old Style"/>
          <w:b/>
          <w:color w:val="000000"/>
          <w:sz w:val="22"/>
          <w:szCs w:val="22"/>
        </w:rPr>
        <w:t>.</w:t>
      </w:r>
    </w:p>
    <w:p w14:paraId="4C244EF0"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b/>
          <w:color w:val="000000"/>
          <w:sz w:val="22"/>
          <w:szCs w:val="22"/>
        </w:rPr>
      </w:pPr>
    </w:p>
    <w:p w14:paraId="27F51C04"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La prohibición de las actividades taurinas ha sido objeto de debate desde hace varias décadas. En el año 2010, fue proferida la sentencia C-666, esta decisión ponderó el deber de protección a los animales en su calidad de seres sintientes, con las tradiciones culturales y la expresión de las mismas en aquellos territorios donde existe un arraigo social por parte de la población frente al rejoneo, las corridas de toros, las novilladas, las becerradas y las tientas</w:t>
      </w:r>
    </w:p>
    <w:p w14:paraId="01407C3B"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21EA8E72"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 xml:space="preserve">En aquella oportunidad la Corte decidió declarar exequibles las actividades de entretenimiento y de expresión cultural exceptuadas en el artículo 7 de la Ley 84 de 1989, fijando algunas limitaciones con el fin de adaptar dicha normativa a la nueva realidad jurídica que se impuso con la expedición de la Constitución de 1991. </w:t>
      </w:r>
    </w:p>
    <w:p w14:paraId="3E6768EF"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20315CAD"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Desde aquel momento, se han presentado y aprobado distintas iniciativas legislativas que han avanzado en la protección y reconocimiento de los animales, por ejemplo, la Ley 1638 de 2013 y la Ley 1774 de 2016, y, además, han sido proferidas diversas decisiones judiciales, especialmente en sede de tutela y constitucionalidad, que cada vez más ratifican la existencia de una protección especial para los animales no solo como seres sintientes sino, incluso, como sujetos de algunos derechos.</w:t>
      </w:r>
    </w:p>
    <w:p w14:paraId="20BD0B5A"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0F693F82"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El Alto Tribunal Constitucional, además, en distintas oportunidades ha delegado al legislador la potestad de determinar los alcances de la protección a los animales e incluso, desde el año 2010, dejó claro que era el Congreso el llamado a determinar si las actividades taurinas debían mantenerse por su connotación cultural o si, por el contrario, era procedente proceder a su eliminación, con el fin de cumplir los postulados de la Carta Política en materia de protección ambiental y animal, y del mismo reconocimiento hecho por la Corte, del carácter cruel y violento de las corridas respecto a los animales.</w:t>
      </w:r>
    </w:p>
    <w:p w14:paraId="53B62076"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0D083E97"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 xml:space="preserve">Es así, como desde el año 2017 se han venido presentando iniciativas legislativas, como el proyecto de ley número 271 de 2017 Cámara y 216 de 2018 Senado y el proyecto de ley número 064 Cámara de Representantes, que han buscado modificar de forma definitiva la excepción prevista en el artículo 7 de la Ley 84 de 1989, para prohibir de forma definitiva las prácticas taurinas en el país. </w:t>
      </w:r>
    </w:p>
    <w:p w14:paraId="1055D3AA"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47A5EC10"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lastRenderedPageBreak/>
        <w:t xml:space="preserve">Ambos trámites han estado rodeados de la participación de las organizaciones civiles animalistas, que han apoyado y gestionado esta modificación que se ajusta no solo a las leyes y a la jurisprudencia actual, sino que responde verdaderamente a las nuevas formas de relacionamiento ético de los seres humanos con el ambiente y la otredad animal. No obstante, estos proyectos también han contado con la participación de los aficionados a la denominada “fiesta brava”, que han intentado mantener incólume estas tradiciones pese a que, notoriamente, cada vez más, cuentan con menos adeptos. </w:t>
      </w:r>
    </w:p>
    <w:p w14:paraId="435DEA58"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04F40538"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En el caso del proyecto de ley número 271 de 2017 Cámara y 216 de 2018 Senado, es importante resaltar que fue radicado por el Ministerio del Interior, junto a una comisión ciudadana que solicitaron la presentación de la iniciativa a través de la Coalición Colombia Sin Toreo. En aquella oportunidad, el proyecto tuvo un exitoso paso en la Comisión Séptima y en la Plenaria de la Cámara de Representantes, sin embargo, no prosperó en el Senado de la República por vencimiento de términos.</w:t>
      </w:r>
    </w:p>
    <w:p w14:paraId="2078E141"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58663F06"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 xml:space="preserve">Convencidos de la importancia de esta iniciativa, el 01 de agosto de 2018, radicamos nuevamente el proyecto, esta vez con el apoyo de otros parlamentarios, el cual recogió las observaciones recibidas en el proceso legislativo anterior. El proyecto de ley 064 de 2018 superó nuevamente el primer debate en la Comisión Séptima </w:t>
      </w:r>
      <w:r w:rsidRPr="00EA2C95">
        <w:rPr>
          <w:rFonts w:ascii="Bookman Old Style" w:eastAsia="Bookman Old Style" w:hAnsi="Bookman Old Style" w:cs="Bookman Old Style"/>
          <w:sz w:val="22"/>
          <w:szCs w:val="22"/>
        </w:rPr>
        <w:t>de la</w:t>
      </w:r>
      <w:r w:rsidRPr="00EA2C95">
        <w:rPr>
          <w:rFonts w:ascii="Bookman Old Style" w:eastAsia="Bookman Old Style" w:hAnsi="Bookman Old Style" w:cs="Bookman Old Style"/>
          <w:color w:val="000000"/>
          <w:sz w:val="22"/>
          <w:szCs w:val="22"/>
        </w:rPr>
        <w:t xml:space="preserve"> Cámara de Representantes, pero no alcanzó a tener debate en la plenaria de dicha corporación por lo que fue archivado.</w:t>
      </w:r>
    </w:p>
    <w:p w14:paraId="658C9CCC"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5E683339"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 xml:space="preserve">En el año 2020 se volvió a radicar esta iniciativa, proyecto de ley 410 de 2020, convencidos de que en ese momento el Congreso de la República respondería de forma efectiva al llamado ciudadano que cada vez se consolida con más fuerza y que reclama una verdadera protección de los animales y su reconocimiento como seres sintientes a los que, incluso, les asiste el reconocimiento de ciertos derechos. </w:t>
      </w:r>
    </w:p>
    <w:p w14:paraId="5E81E7DF"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38A951DE"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 xml:space="preserve">A diferencia de los trámites anteriores, en esa oportunidad el enfoque del proyecto, más que controvertir actividades culturales o determinar mecanismos de sustitución laboral, se centró en los animales y en su condición de sujetos merecedores de una especial protección y del reconocimiento del derecho más básico de todos: el derecho a existir y a no ser sujetos a tratos crueles. </w:t>
      </w:r>
    </w:p>
    <w:p w14:paraId="52B69527"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4184DB66"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 xml:space="preserve">Se buscó entonces que la iniciativa fuera estudiada desde una perspectiva distinta, ya no desde el enfoque antropocéntrico que ha caracterizado, sino desde un análisis en el que el legislador </w:t>
      </w:r>
      <w:r w:rsidRPr="00EA2C95">
        <w:rPr>
          <w:rFonts w:ascii="Bookman Old Style" w:eastAsia="Bookman Old Style" w:hAnsi="Bookman Old Style" w:cs="Bookman Old Style"/>
          <w:sz w:val="22"/>
          <w:szCs w:val="22"/>
        </w:rPr>
        <w:t>evaluará</w:t>
      </w:r>
      <w:r w:rsidRPr="00EA2C95">
        <w:rPr>
          <w:rFonts w:ascii="Bookman Old Style" w:eastAsia="Bookman Old Style" w:hAnsi="Bookman Old Style" w:cs="Bookman Old Style"/>
          <w:color w:val="000000"/>
          <w:sz w:val="22"/>
          <w:szCs w:val="22"/>
        </w:rPr>
        <w:t xml:space="preserve"> a los animales como verdaderos sujetos de un derecho que, en este caso, está por encima del entretenimiento de los seres humanos. </w:t>
      </w:r>
    </w:p>
    <w:p w14:paraId="20E1B6EB"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0E330734"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 xml:space="preserve">Así las cosas, el proyecto de ley 410 radicado en 2020 inició su trámite en la Comisión Primera Constitucional de la Cámara de Representantes, donde fueron designados como ponentes los H.R. Juan Carlos Lozada Vargas, José Daniel López, </w:t>
      </w:r>
      <w:r w:rsidRPr="00EA2C95">
        <w:rPr>
          <w:rFonts w:ascii="Bookman Old Style" w:eastAsia="Bookman Old Style" w:hAnsi="Bookman Old Style" w:cs="Bookman Old Style"/>
          <w:color w:val="000000"/>
          <w:sz w:val="22"/>
          <w:szCs w:val="22"/>
        </w:rPr>
        <w:lastRenderedPageBreak/>
        <w:t>Inti Raúl Asprilla, Luis Alberto Albán, Juan Manuel Daza y Carlos Germán Navas Talero. El proyecto fue aprobado en primer debate el 07 de diciembre de 2020.</w:t>
      </w:r>
    </w:p>
    <w:p w14:paraId="56A80159"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06489AA9"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 xml:space="preserve">La iniciativa pasó entonces a discusión en la plenaria de la Cámara de Representantes, etapa en la que fue </w:t>
      </w:r>
      <w:r w:rsidRPr="00EA2C95">
        <w:rPr>
          <w:rFonts w:ascii="Bookman Old Style" w:eastAsia="Bookman Old Style" w:hAnsi="Bookman Old Style" w:cs="Bookman Old Style"/>
          <w:sz w:val="22"/>
          <w:szCs w:val="22"/>
        </w:rPr>
        <w:t>aprobada</w:t>
      </w:r>
      <w:r w:rsidRPr="00EA2C95">
        <w:rPr>
          <w:rFonts w:ascii="Bookman Old Style" w:eastAsia="Bookman Old Style" w:hAnsi="Bookman Old Style" w:cs="Bookman Old Style"/>
          <w:color w:val="000000"/>
          <w:sz w:val="22"/>
          <w:szCs w:val="22"/>
        </w:rPr>
        <w:t xml:space="preserve"> el 19 de abril de 2022.</w:t>
      </w:r>
    </w:p>
    <w:p w14:paraId="2A620B61"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0E5B54BE"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 xml:space="preserve">Habiendo surtido su trámite en la Cámara, el proyecto fue remitido a la Comisión Primera del Senado de la República, donde fueron designados como ponentes los H.S. Roy Leonardo Barreras, Angélica Lozano, María Fernanda cabal, Luis Fernando Velasco, Julián Gallo Cubillos, Eduardo Emilio Pacheco, Carlos Guevara </w:t>
      </w:r>
      <w:proofErr w:type="spellStart"/>
      <w:r w:rsidRPr="00EA2C95">
        <w:rPr>
          <w:rFonts w:ascii="Bookman Old Style" w:eastAsia="Bookman Old Style" w:hAnsi="Bookman Old Style" w:cs="Bookman Old Style"/>
          <w:color w:val="000000"/>
          <w:sz w:val="22"/>
          <w:szCs w:val="22"/>
        </w:rPr>
        <w:t>Viillabón</w:t>
      </w:r>
      <w:proofErr w:type="spellEnd"/>
      <w:r w:rsidRPr="00EA2C95">
        <w:rPr>
          <w:rFonts w:ascii="Bookman Old Style" w:eastAsia="Bookman Old Style" w:hAnsi="Bookman Old Style" w:cs="Bookman Old Style"/>
          <w:color w:val="000000"/>
          <w:sz w:val="22"/>
          <w:szCs w:val="22"/>
        </w:rPr>
        <w:t>, Roosevelt Rodríguez, Juan Carlos García y Temístocles Ortega.</w:t>
      </w:r>
    </w:p>
    <w:p w14:paraId="60CEC1F5"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76F3B209"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El 4 de mayo de 2022 la H.S. María Fernanda Cabal, solicitó la realización de audiencia pública, instancia que tuvo lugar el 2 de junio. En la audiencia se escuchó a diversos sectores que manifestaron sus opiniones frente al proyecto.</w:t>
      </w:r>
    </w:p>
    <w:p w14:paraId="7E0201E5"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2E0FAD7F"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Finalmente, la iniciativa no alcanzó a ser discutida, por lo que se archivó.</w:t>
      </w:r>
    </w:p>
    <w:p w14:paraId="2A7FABFE"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3CAC3308" w14:textId="0212E712"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Convencidos de la importancia de insistir en la aprobación de este proyecto, lo volvemos a radicar para que sea discutido en la legislatura 2022-2023, con la finalidad de acabar definitivamente con unas prácticas que, bajo el manto de actividades culturales, incitan la construcción de una sociedad violenta y desconocen el mandato constitucional de respetar y preservar todas las formas de vida.</w:t>
      </w:r>
    </w:p>
    <w:p w14:paraId="352E8A01"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557128DF" w14:textId="6CEEA2F0" w:rsidR="00756FAE" w:rsidRPr="00EA2C95" w:rsidRDefault="00EA2C95">
      <w:pPr>
        <w:numPr>
          <w:ilvl w:val="0"/>
          <w:numId w:val="2"/>
        </w:numPr>
        <w:pBdr>
          <w:top w:val="nil"/>
          <w:left w:val="nil"/>
          <w:bottom w:val="nil"/>
          <w:right w:val="nil"/>
          <w:between w:val="nil"/>
        </w:pBdr>
        <w:jc w:val="both"/>
        <w:rPr>
          <w:rFonts w:ascii="Bookman Old Style" w:eastAsia="Bookman Old Style" w:hAnsi="Bookman Old Style" w:cs="Bookman Old Style"/>
          <w:b/>
          <w:color w:val="000000"/>
          <w:sz w:val="22"/>
          <w:szCs w:val="22"/>
        </w:rPr>
      </w:pPr>
      <w:r w:rsidRPr="00EA2C95">
        <w:rPr>
          <w:rFonts w:ascii="Bookman Old Style" w:eastAsia="Bookman Old Style" w:hAnsi="Bookman Old Style" w:cs="Bookman Old Style"/>
          <w:b/>
          <w:color w:val="000000"/>
          <w:sz w:val="22"/>
          <w:szCs w:val="22"/>
        </w:rPr>
        <w:t>JUSTIFICACIÓN DEL PROYECTO DE LEY</w:t>
      </w:r>
      <w:r w:rsidR="00B61382">
        <w:rPr>
          <w:rFonts w:ascii="Bookman Old Style" w:eastAsia="Bookman Old Style" w:hAnsi="Bookman Old Style" w:cs="Bookman Old Style"/>
          <w:b/>
          <w:color w:val="000000"/>
          <w:sz w:val="22"/>
          <w:szCs w:val="22"/>
        </w:rPr>
        <w:t>.</w:t>
      </w:r>
    </w:p>
    <w:p w14:paraId="7139CB0D"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512F9BF8"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El presente proyecto de ley retoma y valida el mandato ciudadano y el imperativo ético que busca, como muestra de una evolución social creciente, superar las anacrónicas prácticas taurinas, erradicando toda forma de violencia pública y legalizada hacia los animales, continuando el camino que ya ha sido trazado por la jurisprudencia constitucional y administrativa, para superar el antropocentrismo.</w:t>
      </w:r>
    </w:p>
    <w:p w14:paraId="2A7F68D0"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74E4C6BB"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Adicionalmente, este proyecto pretende armonizar y actualizar la legislación con la evolución jurisprudencial relativa al relacionamiento entre los seres humanos y los animales la cual, hoy en día, reconoce a los animales como verdaderos seres sintientes e, incluso, ha llegado a afirmar la existencia de unos eventuales derechos que les son predicables, claramente distintos a aquellos reconocidos a los seres humanos.</w:t>
      </w:r>
    </w:p>
    <w:p w14:paraId="07A8E59B"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757D0D8C"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 xml:space="preserve">En ese sentido, a través de esta iniciativa se pretende actualizar y resignificar la noción de cultura, considerando que una cultura que incluya el daño a otro ser sintiente no puede ser validada ni perpetuada, por medio de la eliminación de unas prácticas crueles y violentas con los animales, y que contravienen los mandatos </w:t>
      </w:r>
      <w:r w:rsidRPr="00EA2C95">
        <w:rPr>
          <w:rFonts w:ascii="Bookman Old Style" w:eastAsia="Bookman Old Style" w:hAnsi="Bookman Old Style" w:cs="Bookman Old Style"/>
          <w:color w:val="000000"/>
          <w:sz w:val="22"/>
          <w:szCs w:val="22"/>
        </w:rPr>
        <w:lastRenderedPageBreak/>
        <w:t xml:space="preserve">constitucionales que claramente propenden por el desarrollo de una sociedad armónica con el ambiente y la fauna y la flora que lo componen. Actualización que, como se desarrollará más </w:t>
      </w:r>
      <w:r w:rsidRPr="00EA2C95">
        <w:rPr>
          <w:rFonts w:ascii="Bookman Old Style" w:eastAsia="Bookman Old Style" w:hAnsi="Bookman Old Style" w:cs="Bookman Old Style"/>
          <w:sz w:val="22"/>
          <w:szCs w:val="22"/>
        </w:rPr>
        <w:t>adelante, parten</w:t>
      </w:r>
      <w:r w:rsidRPr="00EA2C95">
        <w:rPr>
          <w:rFonts w:ascii="Bookman Old Style" w:eastAsia="Bookman Old Style" w:hAnsi="Bookman Old Style" w:cs="Bookman Old Style"/>
          <w:color w:val="000000"/>
          <w:sz w:val="22"/>
          <w:szCs w:val="22"/>
        </w:rPr>
        <w:t xml:space="preserve"> de la prevalencia de los derechos constitucionales a un medio ambiente sano, a la dignidad humana y del necesario reconocimiento de los animales como seres sintientes y sujetos de derechos que merecen una protección especial frente a todas las formas de maltrato y violencia.</w:t>
      </w:r>
    </w:p>
    <w:p w14:paraId="597DB46F"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467FFAD6"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Sobre este particular, vale la pena resaltar lo dispuesto por la Corte Constitucional en sentencia C-041 de 2017, en virtud de la cual:</w:t>
      </w:r>
    </w:p>
    <w:p w14:paraId="36C6CEE4"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03FBD0EE" w14:textId="77777777" w:rsidR="00756FAE" w:rsidRPr="00EA2C95" w:rsidRDefault="00EA2C95">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sidRPr="00EA2C95">
        <w:rPr>
          <w:rFonts w:ascii="Bookman Old Style" w:eastAsia="Bookman Old Style" w:hAnsi="Bookman Old Style" w:cs="Bookman Old Style"/>
          <w:i/>
          <w:color w:val="000000"/>
          <w:sz w:val="22"/>
          <w:szCs w:val="22"/>
        </w:rPr>
        <w:t xml:space="preserve">Siendo este Tribunal el intérprete autorizado de la Carta Política (art. 241), </w:t>
      </w:r>
      <w:r w:rsidRPr="00EA2C95">
        <w:rPr>
          <w:rFonts w:ascii="Bookman Old Style" w:eastAsia="Bookman Old Style" w:hAnsi="Bookman Old Style" w:cs="Bookman Old Style"/>
          <w:b/>
          <w:i/>
          <w:color w:val="000000"/>
          <w:sz w:val="22"/>
          <w:szCs w:val="22"/>
          <w:u w:val="single"/>
        </w:rPr>
        <w:t>tiene una función encomiable de hacer cierta para la realidad del Derecho la inclusión de los animales como titulares de ciertos derechos, en la obtención de los fines esenciales y sociales del Estado constitucional</w:t>
      </w:r>
      <w:r w:rsidRPr="00EA2C95">
        <w:rPr>
          <w:rFonts w:ascii="Bookman Old Style" w:eastAsia="Bookman Old Style" w:hAnsi="Bookman Old Style" w:cs="Bookman Old Style"/>
          <w:i/>
          <w:color w:val="000000"/>
          <w:sz w:val="22"/>
          <w:szCs w:val="22"/>
        </w:rPr>
        <w:t xml:space="preserve"> (preámbulo, arts. 1o y 2o superiores). Un derecho jurídicamente establecido y definido tiene en cuenta el sistema de evidencias, representaciones colectivas y creencias de la comunidad, por lo que el criterio de la consagración expresa de un derecho resulta insuficiente para cuestionar la posición aquí adoptada. Más aún cuando se endilga un déficit de protección o circunstancias de indefensión.</w:t>
      </w:r>
    </w:p>
    <w:p w14:paraId="6E8AF49A" w14:textId="77777777" w:rsidR="00756FAE" w:rsidRPr="00EA2C95" w:rsidRDefault="00756FAE">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p>
    <w:p w14:paraId="63D6B659" w14:textId="77777777" w:rsidR="00756FAE" w:rsidRPr="00EA2C95" w:rsidRDefault="00EA2C95">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sidRPr="00EA2C95">
        <w:rPr>
          <w:rFonts w:ascii="Bookman Old Style" w:eastAsia="Bookman Old Style" w:hAnsi="Bookman Old Style" w:cs="Bookman Old Style"/>
          <w:i/>
          <w:color w:val="000000"/>
          <w:sz w:val="22"/>
          <w:szCs w:val="22"/>
        </w:rPr>
        <w:t xml:space="preserve">La cultura se transforma y revalúa constantemente en el marco de las mentalidades y de los imaginarios de una civilización, para adecuarse a la evolución de la humanidad, la realización de los derechos y el cumplimiento de los deberes, más cuando se busca desterrar rastros de una sociedad violenta que ha impuesto categorías de marginalización y dominación de determinados individuos o colectivos. </w:t>
      </w:r>
      <w:r w:rsidRPr="00EA2C95">
        <w:rPr>
          <w:rFonts w:ascii="Bookman Old Style" w:eastAsia="Bookman Old Style" w:hAnsi="Bookman Old Style" w:cs="Bookman Old Style"/>
          <w:b/>
          <w:i/>
          <w:color w:val="000000"/>
          <w:sz w:val="22"/>
          <w:szCs w:val="22"/>
          <w:u w:val="single"/>
        </w:rPr>
        <w:t>Erradicar la subalternidad hacia los animales se constituye en un claro y preciso derrotero de la sociedad actual</w:t>
      </w:r>
      <w:r w:rsidRPr="00EA2C95">
        <w:rPr>
          <w:rFonts w:ascii="Bookman Old Style" w:eastAsia="Bookman Old Style" w:hAnsi="Bookman Old Style" w:cs="Bookman Old Style"/>
          <w:i/>
          <w:color w:val="000000"/>
          <w:sz w:val="22"/>
          <w:szCs w:val="22"/>
        </w:rPr>
        <w:t>” (Subrayado y negrilla fuera del texto original)</w:t>
      </w:r>
    </w:p>
    <w:p w14:paraId="3F1E5EA8" w14:textId="77777777" w:rsidR="00756FAE" w:rsidRPr="00EA2C95" w:rsidRDefault="00756FAE">
      <w:pPr>
        <w:pBdr>
          <w:top w:val="nil"/>
          <w:left w:val="nil"/>
          <w:bottom w:val="nil"/>
          <w:right w:val="nil"/>
          <w:between w:val="nil"/>
        </w:pBdr>
        <w:ind w:left="567" w:right="616"/>
        <w:jc w:val="both"/>
        <w:rPr>
          <w:rFonts w:ascii="Bookman Old Style" w:eastAsia="Bookman Old Style" w:hAnsi="Bookman Old Style" w:cs="Bookman Old Style"/>
          <w:color w:val="000000"/>
          <w:sz w:val="22"/>
          <w:szCs w:val="22"/>
        </w:rPr>
      </w:pPr>
    </w:p>
    <w:p w14:paraId="0B222335"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 xml:space="preserve">En síntesis, esta iniciativa refleja un ineluctable cambio de paradigma social, impulsado por las nuevas generaciones, a nivel mundial y nacional, que ven en su entorno con la naturaleza y los animales una relación más armónica, integral e interdependiente, en donde la vida, sea cual sea su manifestación, debe ser preservada, respetada y protegida, máxime cuando se encuentre en clara posición de desventaja y vulneración, sobre la base de los siguientes argumentos:  </w:t>
      </w:r>
    </w:p>
    <w:p w14:paraId="37AD695E"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12B00F12" w14:textId="7646EE86" w:rsidR="00756FAE" w:rsidRPr="00EA2C95" w:rsidRDefault="00B61382">
      <w:pPr>
        <w:pBdr>
          <w:top w:val="nil"/>
          <w:left w:val="nil"/>
          <w:bottom w:val="nil"/>
          <w:right w:val="nil"/>
          <w:between w:val="nil"/>
        </w:pBdr>
        <w:rPr>
          <w:rFonts w:ascii="Bookman Old Style" w:eastAsia="Bookman Old Style" w:hAnsi="Bookman Old Style" w:cs="Bookman Old Style"/>
          <w:b/>
          <w:color w:val="000000"/>
          <w:sz w:val="22"/>
          <w:szCs w:val="22"/>
        </w:rPr>
      </w:pPr>
      <w:r>
        <w:rPr>
          <w:rFonts w:ascii="Bookman Old Style" w:eastAsia="Bookman Old Style" w:hAnsi="Bookman Old Style" w:cs="Bookman Old Style"/>
          <w:b/>
          <w:color w:val="000000"/>
          <w:sz w:val="22"/>
          <w:szCs w:val="22"/>
        </w:rPr>
        <w:t>5</w:t>
      </w:r>
      <w:r w:rsidR="00EA2C95" w:rsidRPr="00EA2C95">
        <w:rPr>
          <w:rFonts w:ascii="Bookman Old Style" w:eastAsia="Bookman Old Style" w:hAnsi="Bookman Old Style" w:cs="Bookman Old Style"/>
          <w:b/>
          <w:color w:val="000000"/>
          <w:sz w:val="22"/>
          <w:szCs w:val="22"/>
        </w:rPr>
        <w:t>.1. NORMATIVOS</w:t>
      </w:r>
      <w:r>
        <w:rPr>
          <w:rFonts w:ascii="Bookman Old Style" w:eastAsia="Bookman Old Style" w:hAnsi="Bookman Old Style" w:cs="Bookman Old Style"/>
          <w:b/>
          <w:color w:val="000000"/>
          <w:sz w:val="22"/>
          <w:szCs w:val="22"/>
        </w:rPr>
        <w:t>.</w:t>
      </w:r>
    </w:p>
    <w:p w14:paraId="073EE9CD"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139C2329"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 xml:space="preserve">En Colombia, existe un conjunto de normas vigentes que han consolidado las bases y desarrollos de la protección animal en el país. Si bien aún no se ha desarrollado a cabalidad el mandato constitucional sobre esta materia, los avances han sido </w:t>
      </w:r>
      <w:r w:rsidRPr="00EA2C95">
        <w:rPr>
          <w:rFonts w:ascii="Bookman Old Style" w:eastAsia="Bookman Old Style" w:hAnsi="Bookman Old Style" w:cs="Bookman Old Style"/>
          <w:color w:val="000000"/>
          <w:sz w:val="22"/>
          <w:szCs w:val="22"/>
        </w:rPr>
        <w:lastRenderedPageBreak/>
        <w:t xml:space="preserve">importantes y con esta iniciativa se pretende dar un paso adicional en el camino del reconocimiento de los animales como verdaderos sujetos de protección en el ordenamiento jurídico colombiano. </w:t>
      </w:r>
    </w:p>
    <w:p w14:paraId="67FD8C85"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0504C61A"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Entre estas importantes normas, que integran el marco jurídico general de protección de los animales, podemos citar las siguientes:</w:t>
      </w:r>
    </w:p>
    <w:p w14:paraId="2330899F"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181C58C1" w14:textId="77777777" w:rsidR="00756FAE" w:rsidRPr="00EA2C95" w:rsidRDefault="00EA2C95">
      <w:pPr>
        <w:numPr>
          <w:ilvl w:val="0"/>
          <w:numId w:val="5"/>
        </w:num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b/>
          <w:color w:val="000000"/>
          <w:sz w:val="22"/>
          <w:szCs w:val="22"/>
        </w:rPr>
        <w:t>Ley 5 de 1972 y el Decreto reglamentario 497 de 1973:</w:t>
      </w:r>
      <w:r w:rsidRPr="00EA2C95">
        <w:rPr>
          <w:rFonts w:ascii="Bookman Old Style" w:eastAsia="Bookman Old Style" w:hAnsi="Bookman Old Style" w:cs="Bookman Old Style"/>
          <w:color w:val="000000"/>
          <w:sz w:val="22"/>
          <w:szCs w:val="22"/>
        </w:rPr>
        <w:t xml:space="preserve"> sobre las Juntas Defensoras de Animales. Estas normas disponen como obligación, la creación en cada municipio de un comité para dirigir la creación y funcionamiento de las juntas defensoras de animales, cuya labor es de recibir las “quejas de crueldad, maltratamientos [sic] o el abandono injustificado” de los animales.</w:t>
      </w:r>
    </w:p>
    <w:p w14:paraId="12859C3D" w14:textId="77777777" w:rsidR="00756FAE" w:rsidRPr="00EA2C95" w:rsidRDefault="00756FAE">
      <w:pPr>
        <w:pBdr>
          <w:top w:val="nil"/>
          <w:left w:val="nil"/>
          <w:bottom w:val="nil"/>
          <w:right w:val="nil"/>
          <w:between w:val="nil"/>
        </w:pBdr>
        <w:ind w:left="720"/>
        <w:jc w:val="both"/>
        <w:rPr>
          <w:rFonts w:ascii="Bookman Old Style" w:eastAsia="Bookman Old Style" w:hAnsi="Bookman Old Style" w:cs="Bookman Old Style"/>
          <w:color w:val="000000"/>
          <w:sz w:val="22"/>
          <w:szCs w:val="22"/>
        </w:rPr>
      </w:pPr>
    </w:p>
    <w:p w14:paraId="2AC78583" w14:textId="77777777" w:rsidR="00756FAE" w:rsidRPr="00EA2C95" w:rsidRDefault="00EA2C95">
      <w:pPr>
        <w:numPr>
          <w:ilvl w:val="0"/>
          <w:numId w:val="5"/>
        </w:num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b/>
          <w:color w:val="000000"/>
          <w:sz w:val="22"/>
          <w:szCs w:val="22"/>
        </w:rPr>
        <w:t>Decreto 1608 de 1978:</w:t>
      </w:r>
      <w:r w:rsidRPr="00EA2C95">
        <w:rPr>
          <w:rFonts w:ascii="Bookman Old Style" w:eastAsia="Bookman Old Style" w:hAnsi="Bookman Old Style" w:cs="Bookman Old Style"/>
          <w:color w:val="000000"/>
          <w:sz w:val="22"/>
          <w:szCs w:val="22"/>
        </w:rPr>
        <w:t xml:space="preserve"> Código de los Recursos Naturales Renovables. Determina el aprovechamiento de los recursos de la flora y de la fauna. En lo que respecta a los animales, establece que los especímenes de fauna silvestre pertenecen al Estado y, en consecuencia, limita su tenencia y aprovechamiento a la figura de los zoocriaderos y a las modalidades de caza que, en todo caso, siempre requieren de las autorizaciones correspondientes.</w:t>
      </w:r>
    </w:p>
    <w:p w14:paraId="4359B2A7" w14:textId="77777777" w:rsidR="00756FAE" w:rsidRPr="00EA2C95" w:rsidRDefault="00756FAE">
      <w:pPr>
        <w:pBdr>
          <w:top w:val="nil"/>
          <w:left w:val="nil"/>
          <w:bottom w:val="nil"/>
          <w:right w:val="nil"/>
          <w:between w:val="nil"/>
        </w:pBdr>
        <w:ind w:left="720"/>
        <w:jc w:val="both"/>
        <w:rPr>
          <w:rFonts w:ascii="Bookman Old Style" w:eastAsia="Bookman Old Style" w:hAnsi="Bookman Old Style" w:cs="Bookman Old Style"/>
          <w:color w:val="000000"/>
          <w:sz w:val="22"/>
          <w:szCs w:val="22"/>
        </w:rPr>
      </w:pPr>
    </w:p>
    <w:p w14:paraId="6327961E" w14:textId="77777777" w:rsidR="00756FAE" w:rsidRPr="00EA2C95" w:rsidRDefault="00EA2C95">
      <w:pPr>
        <w:numPr>
          <w:ilvl w:val="0"/>
          <w:numId w:val="5"/>
        </w:num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b/>
          <w:color w:val="000000"/>
          <w:sz w:val="22"/>
          <w:szCs w:val="22"/>
        </w:rPr>
        <w:t>Ley 17 de 1981:</w:t>
      </w:r>
      <w:r w:rsidRPr="00EA2C95">
        <w:rPr>
          <w:rFonts w:ascii="Bookman Old Style" w:eastAsia="Bookman Old Style" w:hAnsi="Bookman Old Style" w:cs="Bookman Old Style"/>
          <w:color w:val="000000"/>
          <w:sz w:val="22"/>
          <w:szCs w:val="22"/>
        </w:rPr>
        <w:t xml:space="preserve"> mediante la cual se ratifica la Convención sobre el Comercio Internacional de especies amenazadas de flora y fauna silvestre (CITES) y las resoluciones de las conferencias posteriores.</w:t>
      </w:r>
    </w:p>
    <w:p w14:paraId="00B6FADB" w14:textId="77777777" w:rsidR="00756FAE" w:rsidRPr="00EA2C95" w:rsidRDefault="00756FAE">
      <w:pPr>
        <w:pBdr>
          <w:top w:val="nil"/>
          <w:left w:val="nil"/>
          <w:bottom w:val="nil"/>
          <w:right w:val="nil"/>
          <w:between w:val="nil"/>
        </w:pBdr>
        <w:ind w:left="720"/>
        <w:jc w:val="both"/>
        <w:rPr>
          <w:rFonts w:ascii="Bookman Old Style" w:eastAsia="Bookman Old Style" w:hAnsi="Bookman Old Style" w:cs="Bookman Old Style"/>
          <w:color w:val="000000"/>
          <w:sz w:val="22"/>
          <w:szCs w:val="22"/>
        </w:rPr>
      </w:pPr>
    </w:p>
    <w:p w14:paraId="06C26400" w14:textId="77777777" w:rsidR="00756FAE" w:rsidRPr="00EA2C95" w:rsidRDefault="00EA2C95">
      <w:pPr>
        <w:numPr>
          <w:ilvl w:val="0"/>
          <w:numId w:val="5"/>
        </w:num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b/>
          <w:color w:val="000000"/>
          <w:sz w:val="22"/>
          <w:szCs w:val="22"/>
        </w:rPr>
        <w:t>Ley 84 de 1989:</w:t>
      </w:r>
      <w:r w:rsidRPr="00EA2C95">
        <w:rPr>
          <w:rFonts w:ascii="Bookman Old Style" w:eastAsia="Bookman Old Style" w:hAnsi="Bookman Old Style" w:cs="Bookman Old Style"/>
          <w:color w:val="000000"/>
          <w:sz w:val="22"/>
          <w:szCs w:val="22"/>
        </w:rPr>
        <w:t xml:space="preserve"> Estatuto Nacional de Protección Animal. Pese a ser una norma anterior a la Constitución de 1991, el Estatuto es la norma que desarrolla más a profundidad el principio de protección y bienestar animal en el territorio nacional. Esta norma cuenta con una parte sustancial de protección de los animales donde se enumeran una serie de conductas constitutivas de crueldad, los deberes correlativos de protección y una serie de prohibiciones. De igual forma, cuenta con una parte procedimental, que impone sanciones a los transgresores del Estatuto y señala un procedimiento administrativo y unas autoridades competentes.</w:t>
      </w:r>
    </w:p>
    <w:p w14:paraId="6A830F91"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40F92287" w14:textId="77777777" w:rsidR="00756FAE" w:rsidRPr="00EA2C95" w:rsidRDefault="00EA2C95">
      <w:pPr>
        <w:numPr>
          <w:ilvl w:val="0"/>
          <w:numId w:val="5"/>
        </w:num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b/>
          <w:color w:val="000000"/>
          <w:sz w:val="22"/>
          <w:szCs w:val="22"/>
        </w:rPr>
        <w:t>Ley 599 de 2000</w:t>
      </w:r>
      <w:r w:rsidRPr="00EA2C95">
        <w:rPr>
          <w:rFonts w:ascii="Bookman Old Style" w:eastAsia="Bookman Old Style" w:hAnsi="Bookman Old Style" w:cs="Bookman Old Style"/>
          <w:color w:val="000000"/>
          <w:sz w:val="22"/>
          <w:szCs w:val="22"/>
        </w:rPr>
        <w:t>: Código Penal. Esta norma contiene un capítulo exclusivo ubicado en el título XI, que tipifica las conductas que atentan contra el medio ambiente y los recursos naturales.</w:t>
      </w:r>
    </w:p>
    <w:p w14:paraId="30AE65F7" w14:textId="77777777" w:rsidR="00756FAE" w:rsidRPr="00EA2C95" w:rsidRDefault="00756FAE">
      <w:pPr>
        <w:pBdr>
          <w:top w:val="nil"/>
          <w:left w:val="nil"/>
          <w:bottom w:val="nil"/>
          <w:right w:val="nil"/>
          <w:between w:val="nil"/>
        </w:pBdr>
        <w:ind w:left="720"/>
        <w:jc w:val="both"/>
        <w:rPr>
          <w:rFonts w:ascii="Bookman Old Style" w:eastAsia="Bookman Old Style" w:hAnsi="Bookman Old Style" w:cs="Bookman Old Style"/>
          <w:color w:val="000000"/>
          <w:sz w:val="22"/>
          <w:szCs w:val="22"/>
        </w:rPr>
      </w:pPr>
    </w:p>
    <w:p w14:paraId="2D8A952A" w14:textId="77777777" w:rsidR="00756FAE" w:rsidRPr="00EA2C95" w:rsidRDefault="00EA2C95">
      <w:pPr>
        <w:numPr>
          <w:ilvl w:val="0"/>
          <w:numId w:val="5"/>
        </w:num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b/>
          <w:color w:val="000000"/>
          <w:sz w:val="22"/>
          <w:szCs w:val="22"/>
        </w:rPr>
        <w:t>Ley 1638 de 2013</w:t>
      </w:r>
      <w:r w:rsidRPr="00EA2C95">
        <w:rPr>
          <w:rFonts w:ascii="Bookman Old Style" w:eastAsia="Bookman Old Style" w:hAnsi="Bookman Old Style" w:cs="Bookman Old Style"/>
          <w:color w:val="000000"/>
          <w:sz w:val="22"/>
          <w:szCs w:val="22"/>
        </w:rPr>
        <w:t>: norma que prohibió el uso de animales silvestres, nativos o exóticos, en circos fijos e itinerantes. La Ley 1638 de 2013 fue demandada ante la Corte Constitucional por la presunta vulneración a los derechos al trabajo y la cultura. No obstante, el Alto Tribunal la declaró exequible a través de la sentencia C-283 de 2014.</w:t>
      </w:r>
    </w:p>
    <w:p w14:paraId="38893D55" w14:textId="77777777" w:rsidR="00756FAE" w:rsidRPr="00EA2C95" w:rsidRDefault="00756FAE">
      <w:pPr>
        <w:pBdr>
          <w:top w:val="nil"/>
          <w:left w:val="nil"/>
          <w:bottom w:val="nil"/>
          <w:right w:val="nil"/>
          <w:between w:val="nil"/>
        </w:pBdr>
        <w:ind w:left="720"/>
        <w:jc w:val="both"/>
        <w:rPr>
          <w:rFonts w:ascii="Bookman Old Style" w:eastAsia="Bookman Old Style" w:hAnsi="Bookman Old Style" w:cs="Bookman Old Style"/>
          <w:color w:val="000000"/>
          <w:sz w:val="22"/>
          <w:szCs w:val="22"/>
        </w:rPr>
      </w:pPr>
    </w:p>
    <w:p w14:paraId="0402ADE4" w14:textId="77777777" w:rsidR="00756FAE" w:rsidRPr="00EA2C95" w:rsidRDefault="00EA2C95">
      <w:pPr>
        <w:numPr>
          <w:ilvl w:val="0"/>
          <w:numId w:val="5"/>
        </w:num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b/>
          <w:color w:val="000000"/>
          <w:sz w:val="22"/>
          <w:szCs w:val="22"/>
        </w:rPr>
        <w:t>Ley 1774 de 2016:</w:t>
      </w:r>
      <w:r w:rsidRPr="00EA2C95">
        <w:rPr>
          <w:rFonts w:ascii="Bookman Old Style" w:eastAsia="Bookman Old Style" w:hAnsi="Bookman Old Style" w:cs="Bookman Old Style"/>
          <w:color w:val="000000"/>
          <w:sz w:val="22"/>
          <w:szCs w:val="22"/>
        </w:rPr>
        <w:t xml:space="preserve"> por medio de la cual se modifican el Código Civil, la Ley 84 de 1989, el Código Penal, el Código de Procedimiento Penal y se dictan otras disposiciones. Esta norma declaró a los animales como seres sintientes y penalizó el maltrato animal. Es conocida popularmente como la Ley contra el maltrato animal y a partir de su expedición, la jurisprudencia constitucional ha sido más contundente frente al deber de protección que les asiste a los animales dentro del ordenamiento jurídico colombiano.</w:t>
      </w:r>
    </w:p>
    <w:p w14:paraId="75D5A64B" w14:textId="77777777" w:rsidR="00756FAE" w:rsidRPr="00EA2C95" w:rsidRDefault="00756FAE">
      <w:pPr>
        <w:pBdr>
          <w:top w:val="nil"/>
          <w:left w:val="nil"/>
          <w:bottom w:val="nil"/>
          <w:right w:val="nil"/>
          <w:between w:val="nil"/>
        </w:pBdr>
        <w:ind w:left="720"/>
        <w:rPr>
          <w:rFonts w:ascii="Bookman Old Style" w:eastAsia="Bookman Old Style" w:hAnsi="Bookman Old Style" w:cs="Bookman Old Style"/>
          <w:color w:val="000000"/>
          <w:sz w:val="22"/>
          <w:szCs w:val="22"/>
        </w:rPr>
      </w:pPr>
    </w:p>
    <w:p w14:paraId="20597A5E"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Pero, sumado a estas normas, es menester reconocer que en el país se ha venido desarrollando un proceso social que, cada vez más, tiende a rechazar los espectáculos en los que se causa algún tipo de maltrato a un animal.</w:t>
      </w:r>
    </w:p>
    <w:p w14:paraId="23B82A03"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6B3081F7" w14:textId="77777777" w:rsidR="00756FAE" w:rsidRPr="00EA2C95" w:rsidRDefault="00EA2C95">
      <w:pP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Este proceso ha sido identificado por las autoridades locales que han venido imponiendo limitaciones al desarrollo de las actividades taurinas, como ocurrió en el Departamento de Antioquia, donde por medio de la Ordenanza Nº 18 de 2020, se prohíbe la utilización de elementos que laceren, corten, mutilen, hieran, quemen, lastimen, o den muerte a los animales en espectáculos.</w:t>
      </w:r>
    </w:p>
    <w:p w14:paraId="3EF6C882" w14:textId="77777777" w:rsidR="00756FAE" w:rsidRPr="00EA2C95" w:rsidRDefault="00756FAE">
      <w:pPr>
        <w:jc w:val="both"/>
        <w:rPr>
          <w:rFonts w:ascii="Bookman Old Style" w:eastAsia="Bookman Old Style" w:hAnsi="Bookman Old Style" w:cs="Bookman Old Style"/>
          <w:color w:val="000000"/>
          <w:sz w:val="22"/>
          <w:szCs w:val="22"/>
        </w:rPr>
      </w:pPr>
    </w:p>
    <w:p w14:paraId="1C76ECBC" w14:textId="77777777" w:rsidR="00756FAE" w:rsidRPr="00EA2C95" w:rsidRDefault="00756FAE">
      <w:pPr>
        <w:jc w:val="both"/>
        <w:rPr>
          <w:rFonts w:ascii="Bookman Old Style" w:eastAsia="Bookman Old Style" w:hAnsi="Bookman Old Style" w:cs="Bookman Old Style"/>
          <w:color w:val="000000"/>
          <w:sz w:val="22"/>
          <w:szCs w:val="22"/>
        </w:rPr>
      </w:pPr>
    </w:p>
    <w:p w14:paraId="1964A30B" w14:textId="77777777" w:rsidR="00756FAE" w:rsidRPr="00EA2C95" w:rsidRDefault="00EA2C95">
      <w:pP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Por otra parte, en la ciudad de Bogotá, se aprobó el  Acuerdo 767 de 2020 del Concejo</w:t>
      </w:r>
      <w:r w:rsidRPr="00EA2C95">
        <w:rPr>
          <w:rFonts w:ascii="Bookman Old Style" w:eastAsia="Bookman Old Style" w:hAnsi="Bookman Old Style" w:cs="Bookman Old Style"/>
          <w:i/>
          <w:color w:val="000000"/>
          <w:sz w:val="22"/>
          <w:szCs w:val="22"/>
        </w:rPr>
        <w:t xml:space="preserve"> “por el cual se desincentivan las prácticas taurinas en el Distrito Capital y se dictan otras disposiciones”. </w:t>
      </w:r>
      <w:r w:rsidRPr="00EA2C95">
        <w:rPr>
          <w:rFonts w:ascii="Bookman Old Style" w:eastAsia="Bookman Old Style" w:hAnsi="Bookman Old Style" w:cs="Bookman Old Style"/>
          <w:color w:val="000000"/>
          <w:sz w:val="22"/>
          <w:szCs w:val="22"/>
        </w:rPr>
        <w:t>Acuerdo que limitó las fechas de la temporada taurina, aumentó los costos tributarios de estos espectáculos y prohibió herir o matar animales”. En razón a esta determinación del Concejo Distrital, actualmente la plaza cultural la Santamaría se encuentra cerrada al público y la tradición taurina en Bogotá quedó suspendida.</w:t>
      </w:r>
    </w:p>
    <w:p w14:paraId="44CFA00F" w14:textId="77777777" w:rsidR="00756FAE" w:rsidRPr="00EA2C95" w:rsidRDefault="00756FAE">
      <w:pPr>
        <w:jc w:val="both"/>
        <w:rPr>
          <w:rFonts w:ascii="Bookman Old Style" w:eastAsia="Bookman Old Style" w:hAnsi="Bookman Old Style" w:cs="Bookman Old Style"/>
          <w:color w:val="000000"/>
          <w:sz w:val="22"/>
          <w:szCs w:val="22"/>
        </w:rPr>
      </w:pPr>
    </w:p>
    <w:p w14:paraId="5AF35A22" w14:textId="2D8C64AC" w:rsidR="00756FAE" w:rsidRPr="00EA2C95" w:rsidRDefault="00EA2C95" w:rsidP="00B61382">
      <w:pP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 xml:space="preserve">Cruzadas similares han sido adelantadas en la Gobernación de Boyacá, los concejos de Medellín y Cali, ciudades que también han ido migrando hacia una cultura de protección y bienestar animal y que han optado por establecer regulaciones locales, a falta de un pronunciamiento del Congreso de la República sobre este asunto. </w:t>
      </w:r>
    </w:p>
    <w:p w14:paraId="44D5C037"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 xml:space="preserve"> </w:t>
      </w:r>
    </w:p>
    <w:p w14:paraId="573BCD1B" w14:textId="3A381F00" w:rsidR="00756FAE" w:rsidRPr="00EA2C95" w:rsidRDefault="00B61382">
      <w:pPr>
        <w:pBdr>
          <w:top w:val="nil"/>
          <w:left w:val="nil"/>
          <w:bottom w:val="nil"/>
          <w:right w:val="nil"/>
          <w:between w:val="nil"/>
        </w:pBdr>
        <w:jc w:val="both"/>
        <w:rPr>
          <w:rFonts w:ascii="Bookman Old Style" w:eastAsia="Bookman Old Style" w:hAnsi="Bookman Old Style" w:cs="Bookman Old Style"/>
          <w:b/>
          <w:color w:val="000000"/>
          <w:sz w:val="22"/>
          <w:szCs w:val="22"/>
        </w:rPr>
      </w:pPr>
      <w:r>
        <w:rPr>
          <w:rFonts w:ascii="Bookman Old Style" w:eastAsia="Bookman Old Style" w:hAnsi="Bookman Old Style" w:cs="Bookman Old Style"/>
          <w:b/>
          <w:color w:val="000000"/>
          <w:sz w:val="22"/>
          <w:szCs w:val="22"/>
        </w:rPr>
        <w:t>5</w:t>
      </w:r>
      <w:r w:rsidR="00EA2C95" w:rsidRPr="00EA2C95">
        <w:rPr>
          <w:rFonts w:ascii="Bookman Old Style" w:eastAsia="Bookman Old Style" w:hAnsi="Bookman Old Style" w:cs="Bookman Old Style"/>
          <w:b/>
          <w:color w:val="000000"/>
          <w:sz w:val="22"/>
          <w:szCs w:val="22"/>
        </w:rPr>
        <w:t>.2</w:t>
      </w:r>
      <w:r w:rsidR="00E56BBC">
        <w:rPr>
          <w:rFonts w:ascii="Bookman Old Style" w:eastAsia="Bookman Old Style" w:hAnsi="Bookman Old Style" w:cs="Bookman Old Style"/>
          <w:b/>
          <w:color w:val="000000"/>
          <w:sz w:val="22"/>
          <w:szCs w:val="22"/>
        </w:rPr>
        <w:t>.</w:t>
      </w:r>
      <w:r w:rsidR="00EA2C95" w:rsidRPr="00EA2C95">
        <w:rPr>
          <w:rFonts w:ascii="Bookman Old Style" w:eastAsia="Bookman Old Style" w:hAnsi="Bookman Old Style" w:cs="Bookman Old Style"/>
          <w:b/>
          <w:color w:val="000000"/>
          <w:sz w:val="22"/>
          <w:szCs w:val="22"/>
        </w:rPr>
        <w:t xml:space="preserve"> JURISPRUDENCIALES.</w:t>
      </w:r>
    </w:p>
    <w:p w14:paraId="2C385775"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b/>
          <w:color w:val="000000"/>
          <w:sz w:val="22"/>
          <w:szCs w:val="22"/>
        </w:rPr>
      </w:pPr>
    </w:p>
    <w:p w14:paraId="087FE465"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bookmarkStart w:id="0" w:name="_heading=h.gjdgxs" w:colFirst="0" w:colLast="0"/>
      <w:bookmarkEnd w:id="0"/>
      <w:r w:rsidRPr="00EA2C95">
        <w:rPr>
          <w:rFonts w:ascii="Bookman Old Style" w:eastAsia="Bookman Old Style" w:hAnsi="Bookman Old Style" w:cs="Bookman Old Style"/>
          <w:color w:val="000000"/>
          <w:sz w:val="22"/>
          <w:szCs w:val="22"/>
        </w:rPr>
        <w:t xml:space="preserve">Las decisiones judiciales </w:t>
      </w:r>
      <w:r w:rsidRPr="00EA2C95">
        <w:rPr>
          <w:rFonts w:ascii="Bookman Old Style" w:eastAsia="Bookman Old Style" w:hAnsi="Bookman Old Style" w:cs="Bookman Old Style"/>
          <w:sz w:val="22"/>
          <w:szCs w:val="22"/>
        </w:rPr>
        <w:t>han sido</w:t>
      </w:r>
      <w:r w:rsidRPr="00EA2C95">
        <w:rPr>
          <w:rFonts w:ascii="Bookman Old Style" w:eastAsia="Bookman Old Style" w:hAnsi="Bookman Old Style" w:cs="Bookman Old Style"/>
          <w:color w:val="000000"/>
          <w:sz w:val="22"/>
          <w:szCs w:val="22"/>
        </w:rPr>
        <w:t xml:space="preserve"> la herramienta más efectiva para avanzar en la protección de los animales en el país. Desde el año 1997 se ha venido consolidando una línea jurisprudencial que cada vez ratifica con mayor ahínco la necesidad de desarrollar herramientas legislativas tendientes a reconocer a los animales como sujetos merecedores de una verdadera protección. </w:t>
      </w:r>
    </w:p>
    <w:p w14:paraId="2D69B5B5"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4B6CB160"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 xml:space="preserve">Además, las decisiones judiciales han profundizado en la relevancia de las relaciones entre los seres humanos y los animales, ya no desde una visión </w:t>
      </w:r>
      <w:r w:rsidRPr="00EA2C95">
        <w:rPr>
          <w:rFonts w:ascii="Bookman Old Style" w:eastAsia="Bookman Old Style" w:hAnsi="Bookman Old Style" w:cs="Bookman Old Style"/>
          <w:color w:val="000000"/>
          <w:sz w:val="22"/>
          <w:szCs w:val="22"/>
        </w:rPr>
        <w:lastRenderedPageBreak/>
        <w:t xml:space="preserve">antropocentrista o utilitarista, sino como seres que comparten espacios vitales y que deben interactuar desde un marco de responsabilidad, respeto y protección.  </w:t>
      </w:r>
    </w:p>
    <w:p w14:paraId="23DD9ACD"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078865AB"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 xml:space="preserve">De esta forma, se ha impulsado, desde la jurisprudencia, la consolidación de instrumentos legales que han propendido por modificar la concepción de los animales como bienes sujetos a la disposición del ser humano, como fue indicado en el acápite anterior. </w:t>
      </w:r>
    </w:p>
    <w:p w14:paraId="16B117A2"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22E45268"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En lo que respecta al tema que ocupa el presente proyecto de ley, la línea jurisprudencial ha sido clara en avanzar en lo que respecta a la prevalencia de la protección animal frente a aquellas tradiciones que se asientan en actividades que implican violencia y maltrato. Ya en varias oportunidades, la Corte ha conminado al legislador para que adecúe las normas vigentes a los mandatos que se derivan de la llamada “Constitución Ecológica”.</w:t>
      </w:r>
    </w:p>
    <w:p w14:paraId="2C3A2E3C"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4F0C6E17"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 xml:space="preserve">A continuación, se expondrán aquellas providencias relevantes en esta materia que no solo justifican la presentación de este proyecto sino que delegan al Congreso de la República, la responsabilidad de dar cumplimiento a los mandatos constitucionales respecto a la protección del ambiente y los animales, deber que hasta la fecha ha omitido el legislativo que, en muchas ocasiones, ni siquiera facilita la realización de los debates pertinentes sobre estos asuntos.  </w:t>
      </w:r>
    </w:p>
    <w:p w14:paraId="2AE84E56"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 xml:space="preserve">  </w:t>
      </w:r>
    </w:p>
    <w:p w14:paraId="2D11F4E3"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b/>
          <w:color w:val="000000"/>
          <w:sz w:val="22"/>
          <w:szCs w:val="22"/>
        </w:rPr>
        <w:t>Sentencia T-035 de 1997. Corte Constitucional.</w:t>
      </w:r>
      <w:r w:rsidRPr="00EA2C95">
        <w:rPr>
          <w:rFonts w:ascii="Bookman Old Style" w:eastAsia="Bookman Old Style" w:hAnsi="Bookman Old Style" w:cs="Bookman Old Style"/>
          <w:color w:val="000000"/>
          <w:sz w:val="22"/>
          <w:szCs w:val="22"/>
        </w:rPr>
        <w:t xml:space="preserve"> Acción de tutela relacionada con la tenencia de animales domésticos en propiedad horizontal. Es el primer pronunciamiento del Alto Tribunal Constitucional frente a la relación existente entre los seres humanos y los animales. La Corte manifiesta que la tenencia de animales es un claro desarrollo de los derechos al libre desarrollo de la personalidad y a la intimidad personal y familiar. </w:t>
      </w:r>
    </w:p>
    <w:p w14:paraId="24EC726C" w14:textId="77777777" w:rsidR="00756FAE" w:rsidRPr="00EA2C95" w:rsidRDefault="00756FAE">
      <w:pPr>
        <w:pBdr>
          <w:top w:val="nil"/>
          <w:left w:val="nil"/>
          <w:bottom w:val="nil"/>
          <w:right w:val="nil"/>
          <w:between w:val="nil"/>
        </w:pBdr>
        <w:ind w:left="720"/>
        <w:jc w:val="both"/>
        <w:rPr>
          <w:rFonts w:ascii="Bookman Old Style" w:eastAsia="Bookman Old Style" w:hAnsi="Bookman Old Style" w:cs="Bookman Old Style"/>
          <w:color w:val="000000"/>
          <w:sz w:val="22"/>
          <w:szCs w:val="22"/>
        </w:rPr>
      </w:pPr>
    </w:p>
    <w:p w14:paraId="1DEE576D"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b/>
          <w:color w:val="000000"/>
          <w:sz w:val="22"/>
          <w:szCs w:val="22"/>
        </w:rPr>
        <w:t>Sentencia C-1190 de 2005. Corte Constitucional.</w:t>
      </w:r>
      <w:r w:rsidRPr="00EA2C95">
        <w:rPr>
          <w:rFonts w:ascii="Bookman Old Style" w:eastAsia="Bookman Old Style" w:hAnsi="Bookman Old Style" w:cs="Bookman Old Style"/>
          <w:color w:val="000000"/>
          <w:sz w:val="22"/>
          <w:szCs w:val="22"/>
        </w:rPr>
        <w:t xml:space="preserve"> Demanda de inconstitucionalidad contra los artículos 15, literal d) y 82 (parcial) de la Ley 916 de 2004, </w:t>
      </w:r>
      <w:r w:rsidRPr="00EA2C95">
        <w:rPr>
          <w:rFonts w:ascii="Bookman Old Style" w:eastAsia="Bookman Old Style" w:hAnsi="Bookman Old Style" w:cs="Bookman Old Style"/>
          <w:i/>
          <w:color w:val="000000"/>
          <w:sz w:val="22"/>
          <w:szCs w:val="22"/>
        </w:rPr>
        <w:t>“Por la cual se establece el Reglamento Nacional Taurino”</w:t>
      </w:r>
      <w:r w:rsidRPr="00EA2C95">
        <w:rPr>
          <w:rFonts w:ascii="Bookman Old Style" w:eastAsia="Bookman Old Style" w:hAnsi="Bookman Old Style" w:cs="Bookman Old Style"/>
          <w:color w:val="000000"/>
          <w:sz w:val="22"/>
          <w:szCs w:val="22"/>
        </w:rPr>
        <w:t>. Sentencia que busca acabar con los monopolios en el gremio taurino.</w:t>
      </w:r>
    </w:p>
    <w:p w14:paraId="5B9CC14B"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27B04C24"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b/>
          <w:color w:val="000000"/>
          <w:sz w:val="22"/>
          <w:szCs w:val="22"/>
        </w:rPr>
        <w:t>Sentencia C-1192 de 2005</w:t>
      </w:r>
      <w:r w:rsidRPr="00EA2C95">
        <w:rPr>
          <w:rFonts w:ascii="Bookman Old Style" w:eastAsia="Bookman Old Style" w:hAnsi="Bookman Old Style" w:cs="Bookman Old Style"/>
          <w:color w:val="000000"/>
          <w:sz w:val="22"/>
          <w:szCs w:val="22"/>
        </w:rPr>
        <w:t xml:space="preserve">. </w:t>
      </w:r>
      <w:r w:rsidRPr="00EA2C95">
        <w:rPr>
          <w:rFonts w:ascii="Bookman Old Style" w:eastAsia="Bookman Old Style" w:hAnsi="Bookman Old Style" w:cs="Bookman Old Style"/>
          <w:b/>
          <w:color w:val="000000"/>
          <w:sz w:val="22"/>
          <w:szCs w:val="22"/>
        </w:rPr>
        <w:t>Corte Constitucional.</w:t>
      </w:r>
      <w:r w:rsidRPr="00EA2C95">
        <w:rPr>
          <w:rFonts w:ascii="Bookman Old Style" w:eastAsia="Bookman Old Style" w:hAnsi="Bookman Old Style" w:cs="Bookman Old Style"/>
          <w:color w:val="000000"/>
          <w:sz w:val="22"/>
          <w:szCs w:val="22"/>
        </w:rPr>
        <w:t xml:space="preserve"> Demanda de inconstitucionalidad contra los artículos 1º, 2º, 22 y 80 parciales de la Ley 916 de 2004 </w:t>
      </w:r>
      <w:r w:rsidRPr="00EA2C95">
        <w:rPr>
          <w:rFonts w:ascii="Bookman Old Style" w:eastAsia="Bookman Old Style" w:hAnsi="Bookman Old Style" w:cs="Bookman Old Style"/>
          <w:i/>
          <w:color w:val="000000"/>
          <w:sz w:val="22"/>
          <w:szCs w:val="22"/>
        </w:rPr>
        <w:t>“Por la cual se establece el Reglamento Nacional Taurino”</w:t>
      </w:r>
      <w:r w:rsidRPr="00EA2C95">
        <w:rPr>
          <w:rFonts w:ascii="Bookman Old Style" w:eastAsia="Bookman Old Style" w:hAnsi="Bookman Old Style" w:cs="Bookman Old Style"/>
          <w:color w:val="000000"/>
          <w:sz w:val="22"/>
          <w:szCs w:val="22"/>
        </w:rPr>
        <w:t xml:space="preserve">. </w:t>
      </w:r>
    </w:p>
    <w:p w14:paraId="3165B827" w14:textId="77777777" w:rsidR="00756FAE" w:rsidRPr="00EA2C95" w:rsidRDefault="00756FAE">
      <w:pPr>
        <w:pBdr>
          <w:top w:val="nil"/>
          <w:left w:val="nil"/>
          <w:bottom w:val="nil"/>
          <w:right w:val="nil"/>
          <w:between w:val="nil"/>
        </w:pBdr>
        <w:ind w:left="720"/>
        <w:jc w:val="both"/>
        <w:rPr>
          <w:rFonts w:ascii="Bookman Old Style" w:eastAsia="Bookman Old Style" w:hAnsi="Bookman Old Style" w:cs="Bookman Old Style"/>
          <w:color w:val="000000"/>
          <w:sz w:val="22"/>
          <w:szCs w:val="22"/>
        </w:rPr>
      </w:pPr>
    </w:p>
    <w:p w14:paraId="2656770D"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i/>
          <w:color w:val="000000"/>
          <w:sz w:val="22"/>
          <w:szCs w:val="22"/>
        </w:rPr>
      </w:pPr>
      <w:r w:rsidRPr="00EA2C95">
        <w:rPr>
          <w:rFonts w:ascii="Bookman Old Style" w:eastAsia="Bookman Old Style" w:hAnsi="Bookman Old Style" w:cs="Bookman Old Style"/>
          <w:color w:val="000000"/>
          <w:sz w:val="22"/>
          <w:szCs w:val="22"/>
        </w:rPr>
        <w:t xml:space="preserve">En esta oportunidad, el Alto Tribunal Constitucional estudió el reconocimiento que el legislador hizo de las prácticas taurinas como actividades culturales. Al respecto, concluyó que </w:t>
      </w:r>
      <w:r w:rsidRPr="00EA2C95">
        <w:rPr>
          <w:rFonts w:ascii="Bookman Old Style" w:eastAsia="Bookman Old Style" w:hAnsi="Bookman Old Style" w:cs="Bookman Old Style"/>
          <w:i/>
          <w:color w:val="000000"/>
          <w:sz w:val="22"/>
          <w:szCs w:val="22"/>
        </w:rPr>
        <w:t xml:space="preserve">“Esta calificación satisface el criterio jurídico de razonabilidad, pues como manifestación de la diversidad y pluralismo de la sociedad, la tauromaquia, o </w:t>
      </w:r>
      <w:r w:rsidRPr="00EA2C95">
        <w:rPr>
          <w:rFonts w:ascii="Bookman Old Style" w:eastAsia="Bookman Old Style" w:hAnsi="Bookman Old Style" w:cs="Bookman Old Style"/>
          <w:i/>
          <w:color w:val="000000"/>
          <w:sz w:val="22"/>
          <w:szCs w:val="22"/>
        </w:rPr>
        <w:lastRenderedPageBreak/>
        <w:t>en otra palabras, “el arte de lidiar toros”</w:t>
      </w:r>
      <w:hyperlink r:id="rId10" w:anchor="_ftn33">
        <w:r w:rsidRPr="00EA2C95">
          <w:rPr>
            <w:rFonts w:ascii="Bookman Old Style" w:eastAsia="Bookman Old Style" w:hAnsi="Bookman Old Style" w:cs="Bookman Old Style"/>
            <w:i/>
            <w:color w:val="000000"/>
            <w:sz w:val="22"/>
            <w:szCs w:val="22"/>
          </w:rPr>
          <w:t>[33]</w:t>
        </w:r>
      </w:hyperlink>
      <w:r w:rsidRPr="00EA2C95">
        <w:rPr>
          <w:rFonts w:ascii="Bookman Old Style" w:eastAsia="Bookman Old Style" w:hAnsi="Bookman Old Style" w:cs="Bookman Old Style"/>
          <w:i/>
          <w:color w:val="000000"/>
          <w:sz w:val="22"/>
          <w:szCs w:val="22"/>
        </w:rPr>
        <w:t>, ha sido reconocida a lo largo de la historia como una expresión artística y cultural de los pueblos iberoamericanos.</w:t>
      </w:r>
      <w:r w:rsidRPr="00EA2C95">
        <w:rPr>
          <w:rFonts w:ascii="Bookman Old Style" w:eastAsia="Bookman Old Style" w:hAnsi="Bookman Old Style" w:cs="Bookman Old Style"/>
          <w:i/>
          <w:color w:val="000000"/>
          <w:sz w:val="22"/>
          <w:szCs w:val="22"/>
          <w:vertAlign w:val="superscript"/>
        </w:rPr>
        <w:footnoteReference w:id="1"/>
      </w:r>
      <w:r w:rsidRPr="00EA2C95">
        <w:rPr>
          <w:rFonts w:ascii="Bookman Old Style" w:eastAsia="Bookman Old Style" w:hAnsi="Bookman Old Style" w:cs="Bookman Old Style"/>
          <w:i/>
          <w:color w:val="000000"/>
          <w:sz w:val="22"/>
          <w:szCs w:val="22"/>
        </w:rPr>
        <w:t>”</w:t>
      </w:r>
    </w:p>
    <w:p w14:paraId="5E22011E"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5991BC1B"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Frente al rechazo de estas prácticas por parte de un importante sector social, la Corte manifestó que “</w:t>
      </w:r>
      <w:r w:rsidRPr="00EA2C95">
        <w:rPr>
          <w:rFonts w:ascii="Bookman Old Style" w:eastAsia="Bookman Old Style" w:hAnsi="Bookman Old Style" w:cs="Bookman Old Style"/>
          <w:i/>
          <w:color w:val="000000"/>
          <w:sz w:val="22"/>
          <w:szCs w:val="22"/>
        </w:rPr>
        <w:t>a pesar de que la actividad taurina es reprobada por un sector de la población, y en especial, por las asociaciones defensoras de animales, no puede desconocerse que la misma históricamente ha sido reconocida como una</w:t>
      </w:r>
      <w:r w:rsidRPr="00EA2C95">
        <w:rPr>
          <w:i/>
          <w:color w:val="000000"/>
          <w:sz w:val="22"/>
          <w:szCs w:val="22"/>
        </w:rPr>
        <w:t> </w:t>
      </w:r>
      <w:r w:rsidRPr="00EA2C95">
        <w:rPr>
          <w:rFonts w:ascii="Bookman Old Style" w:eastAsia="Bookman Old Style" w:hAnsi="Bookman Old Style" w:cs="Bookman Old Style"/>
          <w:i/>
          <w:color w:val="000000"/>
          <w:sz w:val="22"/>
          <w:szCs w:val="22"/>
        </w:rPr>
        <w:t>expresión artística</w:t>
      </w:r>
      <w:r w:rsidRPr="00EA2C95">
        <w:rPr>
          <w:i/>
          <w:color w:val="000000"/>
          <w:sz w:val="22"/>
          <w:szCs w:val="22"/>
        </w:rPr>
        <w:t> </w:t>
      </w:r>
      <w:r w:rsidRPr="00EA2C95">
        <w:rPr>
          <w:rFonts w:ascii="Bookman Old Style" w:eastAsia="Bookman Old Style" w:hAnsi="Bookman Old Style" w:cs="Bookman Old Style"/>
          <w:i/>
          <w:color w:val="000000"/>
          <w:sz w:val="22"/>
          <w:szCs w:val="22"/>
        </w:rPr>
        <w:t xml:space="preserve">que manifiesta la diversidad cultural de un pueblo”. </w:t>
      </w:r>
      <w:r w:rsidRPr="00EA2C95">
        <w:rPr>
          <w:rFonts w:ascii="Bookman Old Style" w:eastAsia="Bookman Old Style" w:hAnsi="Bookman Old Style" w:cs="Bookman Old Style"/>
          <w:color w:val="000000"/>
          <w:sz w:val="22"/>
          <w:szCs w:val="22"/>
        </w:rPr>
        <w:t xml:space="preserve">En ese sentido, declaró exequible el Reglamento Nacional Taurino y, entre otras decisiones, manifestó que la disposición que habilitaba a los menores de 10 años a asistir a corridas de toros en compañía de un adulto se encontraba ajustada a la constitución, en tanto garantizaba derechos como la cultura, la educación y la recreación. </w:t>
      </w:r>
    </w:p>
    <w:p w14:paraId="46EA3A57" w14:textId="77777777" w:rsidR="00756FAE" w:rsidRPr="00EA2C95" w:rsidRDefault="00756FAE">
      <w:pPr>
        <w:pBdr>
          <w:top w:val="nil"/>
          <w:left w:val="nil"/>
          <w:bottom w:val="nil"/>
          <w:right w:val="nil"/>
          <w:between w:val="nil"/>
        </w:pBdr>
        <w:ind w:left="720"/>
        <w:jc w:val="both"/>
        <w:rPr>
          <w:rFonts w:ascii="Bookman Old Style" w:eastAsia="Bookman Old Style" w:hAnsi="Bookman Old Style" w:cs="Bookman Old Style"/>
          <w:color w:val="000000"/>
          <w:sz w:val="22"/>
          <w:szCs w:val="22"/>
        </w:rPr>
      </w:pPr>
    </w:p>
    <w:p w14:paraId="22CCEFFA"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b/>
          <w:color w:val="000000"/>
          <w:sz w:val="22"/>
          <w:szCs w:val="22"/>
        </w:rPr>
        <w:t>Sentencia C-367 de 2006. Corte Constitucional.</w:t>
      </w:r>
      <w:r w:rsidRPr="00EA2C95">
        <w:rPr>
          <w:rFonts w:ascii="Bookman Old Style" w:eastAsia="Bookman Old Style" w:hAnsi="Bookman Old Style" w:cs="Bookman Old Style"/>
          <w:color w:val="000000"/>
          <w:sz w:val="22"/>
          <w:szCs w:val="22"/>
        </w:rPr>
        <w:t xml:space="preserve"> Demanda de inconstitucionalidad contra los artículos 1º, parcial; 2º, parcial; 12, parcial; 22, parcial; 26, parcial; 31, parcial y 80, parcial de la Ley 916 de 2004</w:t>
      </w:r>
      <w:r w:rsidRPr="00EA2C95">
        <w:rPr>
          <w:rFonts w:ascii="Bookman Old Style" w:eastAsia="Bookman Old Style" w:hAnsi="Bookman Old Style" w:cs="Bookman Old Style"/>
          <w:i/>
          <w:color w:val="000000"/>
          <w:sz w:val="22"/>
          <w:szCs w:val="22"/>
        </w:rPr>
        <w:t>, "Por la cual se establece el reglamento nacional taurino."</w:t>
      </w:r>
      <w:r w:rsidRPr="00EA2C95">
        <w:rPr>
          <w:rFonts w:ascii="Bookman Old Style" w:eastAsia="Bookman Old Style" w:hAnsi="Bookman Old Style" w:cs="Bookman Old Style"/>
          <w:color w:val="000000"/>
          <w:sz w:val="22"/>
          <w:szCs w:val="22"/>
        </w:rPr>
        <w:t xml:space="preserve"> </w:t>
      </w:r>
    </w:p>
    <w:p w14:paraId="2B1F1187" w14:textId="77777777" w:rsidR="00756FAE" w:rsidRPr="00EA2C95" w:rsidRDefault="00756FAE">
      <w:pPr>
        <w:pBdr>
          <w:top w:val="nil"/>
          <w:left w:val="nil"/>
          <w:bottom w:val="nil"/>
          <w:right w:val="nil"/>
          <w:between w:val="nil"/>
        </w:pBdr>
        <w:ind w:left="720"/>
        <w:jc w:val="both"/>
        <w:rPr>
          <w:rFonts w:ascii="Bookman Old Style" w:eastAsia="Bookman Old Style" w:hAnsi="Bookman Old Style" w:cs="Bookman Old Style"/>
          <w:b/>
          <w:color w:val="000000"/>
          <w:sz w:val="22"/>
          <w:szCs w:val="22"/>
        </w:rPr>
      </w:pPr>
    </w:p>
    <w:p w14:paraId="61F03B5D"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 xml:space="preserve">Principalmente se cuestiona el desarrollo de actividades taurinas por parte de los niños y su participación en estas actividades (en calidad de torerillos o a través de escuelas taurinas). Adicionalmente, se solicita la declaratoria de </w:t>
      </w:r>
      <w:proofErr w:type="spellStart"/>
      <w:r w:rsidRPr="00EA2C95">
        <w:rPr>
          <w:rFonts w:ascii="Bookman Old Style" w:eastAsia="Bookman Old Style" w:hAnsi="Bookman Old Style" w:cs="Bookman Old Style"/>
          <w:color w:val="000000"/>
          <w:sz w:val="22"/>
          <w:szCs w:val="22"/>
        </w:rPr>
        <w:t>inexequibilidad</w:t>
      </w:r>
      <w:proofErr w:type="spellEnd"/>
      <w:r w:rsidRPr="00EA2C95">
        <w:rPr>
          <w:rFonts w:ascii="Bookman Old Style" w:eastAsia="Bookman Old Style" w:hAnsi="Bookman Old Style" w:cs="Bookman Old Style"/>
          <w:color w:val="000000"/>
          <w:sz w:val="22"/>
          <w:szCs w:val="22"/>
        </w:rPr>
        <w:t xml:space="preserve"> del Reglamento Taurino, en tanto regula una actividad que no requiere desarrollo profesional y le otorga una connotación de relevancia nacional, desconociendo que se trata de una actividad privada que no es del recibo de la sociedad en general.</w:t>
      </w:r>
    </w:p>
    <w:p w14:paraId="58223806" w14:textId="77777777" w:rsidR="00756FAE" w:rsidRPr="00EA2C95" w:rsidRDefault="00756FAE">
      <w:pPr>
        <w:pBdr>
          <w:top w:val="nil"/>
          <w:left w:val="nil"/>
          <w:bottom w:val="nil"/>
          <w:right w:val="nil"/>
          <w:between w:val="nil"/>
        </w:pBdr>
        <w:ind w:left="720"/>
        <w:jc w:val="both"/>
        <w:rPr>
          <w:rFonts w:ascii="Bookman Old Style" w:eastAsia="Bookman Old Style" w:hAnsi="Bookman Old Style" w:cs="Bookman Old Style"/>
          <w:color w:val="000000"/>
          <w:sz w:val="22"/>
          <w:szCs w:val="22"/>
        </w:rPr>
      </w:pPr>
    </w:p>
    <w:p w14:paraId="33CC24D5"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 xml:space="preserve">En lo que respecta a las corridas de toros como actividad cultural y a la aplicación de la Ley 916 de 2004 en todo el territorio nacional, la Corte reiteró lo dispuesto en la sentencia C-1192 de 2005. </w:t>
      </w:r>
    </w:p>
    <w:p w14:paraId="39ADD360" w14:textId="77777777" w:rsidR="00756FAE" w:rsidRPr="00EA2C95" w:rsidRDefault="00756FAE">
      <w:pPr>
        <w:pBdr>
          <w:top w:val="nil"/>
          <w:left w:val="nil"/>
          <w:bottom w:val="nil"/>
          <w:right w:val="nil"/>
          <w:between w:val="nil"/>
        </w:pBdr>
        <w:ind w:left="720"/>
        <w:jc w:val="both"/>
        <w:rPr>
          <w:rFonts w:ascii="Bookman Old Style" w:eastAsia="Bookman Old Style" w:hAnsi="Bookman Old Style" w:cs="Bookman Old Style"/>
          <w:color w:val="000000"/>
          <w:sz w:val="22"/>
          <w:szCs w:val="22"/>
        </w:rPr>
      </w:pPr>
    </w:p>
    <w:p w14:paraId="5C92D51A"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 xml:space="preserve">Frente al cargo relativo a la inconstitucionalidad de la disposición que permite a los niños formar parte de cuadrillas, la Corte declaró una </w:t>
      </w:r>
      <w:proofErr w:type="spellStart"/>
      <w:r w:rsidRPr="00EA2C95">
        <w:rPr>
          <w:rFonts w:ascii="Bookman Old Style" w:eastAsia="Bookman Old Style" w:hAnsi="Bookman Old Style" w:cs="Bookman Old Style"/>
          <w:color w:val="000000"/>
          <w:sz w:val="22"/>
          <w:szCs w:val="22"/>
        </w:rPr>
        <w:t>exequibilidad</w:t>
      </w:r>
      <w:proofErr w:type="spellEnd"/>
      <w:r w:rsidRPr="00EA2C95">
        <w:rPr>
          <w:rFonts w:ascii="Bookman Old Style" w:eastAsia="Bookman Old Style" w:hAnsi="Bookman Old Style" w:cs="Bookman Old Style"/>
          <w:color w:val="000000"/>
          <w:sz w:val="22"/>
          <w:szCs w:val="22"/>
        </w:rPr>
        <w:t xml:space="preserve"> condicionada en tanto no mediara, en ningún caso, explotación económica y los niños fuesen mayores de 14 años. En esta misma línea, el Alto Tribunal determinó que era constitucional la existencia de escuelas taurinas pero que en ningún caso el Estado debía promoverlas.</w:t>
      </w:r>
    </w:p>
    <w:p w14:paraId="08062E60" w14:textId="77777777" w:rsidR="00756FAE" w:rsidRPr="00EA2C95" w:rsidRDefault="00756FAE">
      <w:pPr>
        <w:pBdr>
          <w:top w:val="nil"/>
          <w:left w:val="nil"/>
          <w:bottom w:val="nil"/>
          <w:right w:val="nil"/>
          <w:between w:val="nil"/>
        </w:pBdr>
        <w:ind w:left="720"/>
        <w:jc w:val="both"/>
        <w:rPr>
          <w:rFonts w:ascii="Bookman Old Style" w:eastAsia="Bookman Old Style" w:hAnsi="Bookman Old Style" w:cs="Bookman Old Style"/>
          <w:color w:val="000000"/>
          <w:sz w:val="22"/>
          <w:szCs w:val="22"/>
        </w:rPr>
      </w:pPr>
    </w:p>
    <w:p w14:paraId="702DC9E0"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 xml:space="preserve">Finalmente, la Corte declaró inexequible las disposiciones del Reglamento Taurino que determinaban que la tauromaquia era una actividad de alto interés nacional </w:t>
      </w:r>
    </w:p>
    <w:p w14:paraId="27A68EA3" w14:textId="77777777" w:rsidR="00756FAE" w:rsidRPr="00EA2C95" w:rsidRDefault="00756FAE">
      <w:pPr>
        <w:pBdr>
          <w:top w:val="nil"/>
          <w:left w:val="nil"/>
          <w:bottom w:val="nil"/>
          <w:right w:val="nil"/>
          <w:between w:val="nil"/>
        </w:pBdr>
        <w:ind w:left="720"/>
        <w:jc w:val="both"/>
        <w:rPr>
          <w:rFonts w:ascii="Bookman Old Style" w:eastAsia="Bookman Old Style" w:hAnsi="Bookman Old Style" w:cs="Bookman Old Style"/>
          <w:color w:val="000000"/>
          <w:sz w:val="22"/>
          <w:szCs w:val="22"/>
        </w:rPr>
      </w:pPr>
    </w:p>
    <w:p w14:paraId="3BBACB39"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b/>
          <w:color w:val="000000"/>
          <w:sz w:val="22"/>
          <w:szCs w:val="22"/>
        </w:rPr>
        <w:t>Sentencia C-666 de 2010</w:t>
      </w:r>
      <w:r w:rsidRPr="00EA2C95">
        <w:rPr>
          <w:rFonts w:ascii="Bookman Old Style" w:eastAsia="Bookman Old Style" w:hAnsi="Bookman Old Style" w:cs="Bookman Old Style"/>
          <w:color w:val="000000"/>
          <w:sz w:val="22"/>
          <w:szCs w:val="22"/>
        </w:rPr>
        <w:t xml:space="preserve">. </w:t>
      </w:r>
      <w:r w:rsidRPr="00EA2C95">
        <w:rPr>
          <w:rFonts w:ascii="Bookman Old Style" w:eastAsia="Bookman Old Style" w:hAnsi="Bookman Old Style" w:cs="Bookman Old Style"/>
          <w:b/>
          <w:color w:val="000000"/>
          <w:sz w:val="22"/>
          <w:szCs w:val="22"/>
        </w:rPr>
        <w:t>Corte Constitucional.</w:t>
      </w:r>
      <w:r w:rsidRPr="00EA2C95">
        <w:rPr>
          <w:rFonts w:ascii="Bookman Old Style" w:eastAsia="Bookman Old Style" w:hAnsi="Bookman Old Style" w:cs="Bookman Old Style"/>
          <w:color w:val="000000"/>
          <w:sz w:val="22"/>
          <w:szCs w:val="22"/>
        </w:rPr>
        <w:t xml:space="preserve"> Demanda de inconstitucionalidad contra el artículo 7º de la ley 84 de 1989 que exceptúa de las actividades que constituyen actos crueles en contra de los animales el rejoneo, </w:t>
      </w:r>
      <w:r w:rsidRPr="00EA2C95">
        <w:rPr>
          <w:rFonts w:ascii="Bookman Old Style" w:eastAsia="Bookman Old Style" w:hAnsi="Bookman Old Style" w:cs="Bookman Old Style"/>
          <w:color w:val="000000"/>
          <w:sz w:val="22"/>
          <w:szCs w:val="22"/>
        </w:rPr>
        <w:lastRenderedPageBreak/>
        <w:t>coleo, las corridas de toros, las novilladas, las corralejas, las becerradas y las tientas, así́ como las riñas de gallos y los procedimientos utilizados en estos espectáculos.</w:t>
      </w:r>
    </w:p>
    <w:p w14:paraId="0813128B" w14:textId="77777777" w:rsidR="00756FAE" w:rsidRPr="00EA2C95" w:rsidRDefault="00756FAE">
      <w:pPr>
        <w:pBdr>
          <w:top w:val="nil"/>
          <w:left w:val="nil"/>
          <w:bottom w:val="nil"/>
          <w:right w:val="nil"/>
          <w:between w:val="nil"/>
        </w:pBdr>
        <w:ind w:left="720"/>
        <w:jc w:val="both"/>
        <w:rPr>
          <w:rFonts w:ascii="Bookman Old Style" w:eastAsia="Bookman Old Style" w:hAnsi="Bookman Old Style" w:cs="Bookman Old Style"/>
          <w:color w:val="000000"/>
          <w:sz w:val="22"/>
          <w:szCs w:val="22"/>
        </w:rPr>
      </w:pPr>
    </w:p>
    <w:p w14:paraId="5EBB00E3"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Esta sentencia tiene una especial relevancia en materia de protección y bienestar animal, en tanto fija las bases del cambio jurisprudencial que, hasta la fecha, había hecho prevalecer el desarrollo de las actividades culturales sobre la eliminación de las formas de maltrato y violencia contra los animales.</w:t>
      </w:r>
    </w:p>
    <w:p w14:paraId="471DEC9D" w14:textId="77777777" w:rsidR="00756FAE" w:rsidRPr="00EA2C95" w:rsidRDefault="00756FAE">
      <w:pPr>
        <w:pBdr>
          <w:top w:val="nil"/>
          <w:left w:val="nil"/>
          <w:bottom w:val="nil"/>
          <w:right w:val="nil"/>
          <w:between w:val="nil"/>
        </w:pBdr>
        <w:ind w:left="720"/>
        <w:jc w:val="both"/>
        <w:rPr>
          <w:rFonts w:ascii="Bookman Old Style" w:eastAsia="Bookman Old Style" w:hAnsi="Bookman Old Style" w:cs="Bookman Old Style"/>
          <w:color w:val="000000"/>
          <w:sz w:val="22"/>
          <w:szCs w:val="22"/>
        </w:rPr>
      </w:pPr>
    </w:p>
    <w:p w14:paraId="620B2F4E"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 xml:space="preserve">Si bien en aquella oportunidad se declaró exequible el artículo 7° de la Ley 84 de 1989, dicha </w:t>
      </w:r>
      <w:proofErr w:type="spellStart"/>
      <w:r w:rsidRPr="00EA2C95">
        <w:rPr>
          <w:rFonts w:ascii="Bookman Old Style" w:eastAsia="Bookman Old Style" w:hAnsi="Bookman Old Style" w:cs="Bookman Old Style"/>
          <w:color w:val="000000"/>
          <w:sz w:val="22"/>
          <w:szCs w:val="22"/>
        </w:rPr>
        <w:t>exequibilidad</w:t>
      </w:r>
      <w:proofErr w:type="spellEnd"/>
      <w:r w:rsidRPr="00EA2C95">
        <w:rPr>
          <w:rFonts w:ascii="Bookman Old Style" w:eastAsia="Bookman Old Style" w:hAnsi="Bookman Old Style" w:cs="Bookman Old Style"/>
          <w:color w:val="000000"/>
          <w:sz w:val="22"/>
          <w:szCs w:val="22"/>
        </w:rPr>
        <w:t xml:space="preserve"> fue condicionada en tanto únicamente se permitió la realización de rejoneo, coleo, corridas de toros, novilladas, corralejas, becerradas, tientas y riñas de gallos, bajo las siguientes condiciones:</w:t>
      </w:r>
    </w:p>
    <w:p w14:paraId="6222AF3B" w14:textId="77777777" w:rsidR="00756FAE" w:rsidRPr="00EA2C95" w:rsidRDefault="00756FAE">
      <w:pPr>
        <w:pBdr>
          <w:top w:val="nil"/>
          <w:left w:val="nil"/>
          <w:bottom w:val="nil"/>
          <w:right w:val="nil"/>
          <w:between w:val="nil"/>
        </w:pBdr>
        <w:ind w:left="720"/>
        <w:jc w:val="both"/>
        <w:rPr>
          <w:rFonts w:ascii="Bookman Old Style" w:eastAsia="Bookman Old Style" w:hAnsi="Bookman Old Style" w:cs="Bookman Old Style"/>
          <w:color w:val="000000"/>
          <w:sz w:val="22"/>
          <w:szCs w:val="22"/>
        </w:rPr>
      </w:pPr>
    </w:p>
    <w:p w14:paraId="67A959DA" w14:textId="77777777" w:rsidR="00756FAE" w:rsidRPr="00EA2C95" w:rsidRDefault="00EA2C95">
      <w:pPr>
        <w:numPr>
          <w:ilvl w:val="0"/>
          <w:numId w:val="4"/>
        </w:numPr>
        <w:pBdr>
          <w:top w:val="nil"/>
          <w:left w:val="nil"/>
          <w:bottom w:val="nil"/>
          <w:right w:val="nil"/>
          <w:between w:val="nil"/>
        </w:pBdr>
        <w:ind w:left="872" w:right="900" w:hanging="22"/>
        <w:jc w:val="both"/>
        <w:rPr>
          <w:rFonts w:ascii="Bookman Old Style" w:eastAsia="Bookman Old Style" w:hAnsi="Bookman Old Style" w:cs="Bookman Old Style"/>
          <w:i/>
          <w:color w:val="000000"/>
          <w:sz w:val="22"/>
          <w:szCs w:val="22"/>
        </w:rPr>
      </w:pPr>
      <w:r w:rsidRPr="00EA2C95">
        <w:rPr>
          <w:rFonts w:ascii="Bookman Old Style" w:eastAsia="Bookman Old Style" w:hAnsi="Bookman Old Style" w:cs="Bookman Old Style"/>
          <w:i/>
          <w:color w:val="000000"/>
          <w:sz w:val="22"/>
          <w:szCs w:val="22"/>
        </w:rPr>
        <w:t xml:space="preserve">Las manifestaciones culturales en las cuales se permite excepcionalmente el maltrato animal deben ser reguladas de manera tal que se garantice en la mayor medida posible el deber de protección animal. </w:t>
      </w:r>
      <w:r w:rsidRPr="00EA2C95">
        <w:rPr>
          <w:rFonts w:ascii="Bookman Old Style" w:eastAsia="Bookman Old Style" w:hAnsi="Bookman Old Style" w:cs="Bookman Old Style"/>
          <w:b/>
          <w:i/>
          <w:color w:val="000000"/>
          <w:sz w:val="22"/>
          <w:szCs w:val="22"/>
        </w:rPr>
        <w:t xml:space="preserve">Existe el deber estatal de expedir normas de rango legal e </w:t>
      </w:r>
      <w:proofErr w:type="spellStart"/>
      <w:r w:rsidRPr="00EA2C95">
        <w:rPr>
          <w:rFonts w:ascii="Bookman Old Style" w:eastAsia="Bookman Old Style" w:hAnsi="Bookman Old Style" w:cs="Bookman Old Style"/>
          <w:b/>
          <w:i/>
          <w:color w:val="000000"/>
          <w:sz w:val="22"/>
          <w:szCs w:val="22"/>
        </w:rPr>
        <w:t>infralegal</w:t>
      </w:r>
      <w:proofErr w:type="spellEnd"/>
      <w:r w:rsidRPr="00EA2C95">
        <w:rPr>
          <w:rFonts w:ascii="Bookman Old Style" w:eastAsia="Bookman Old Style" w:hAnsi="Bookman Old Style" w:cs="Bookman Old Style"/>
          <w:b/>
          <w:i/>
          <w:color w:val="000000"/>
          <w:sz w:val="22"/>
          <w:szCs w:val="22"/>
        </w:rPr>
        <w:t xml:space="preserve"> que subsanen el déficit normativo actualmente existente</w:t>
      </w:r>
      <w:r w:rsidRPr="00EA2C95">
        <w:rPr>
          <w:rFonts w:ascii="Bookman Old Style" w:eastAsia="Bookman Old Style" w:hAnsi="Bookman Old Style" w:cs="Bookman Old Style"/>
          <w:i/>
          <w:color w:val="000000"/>
          <w:sz w:val="22"/>
          <w:szCs w:val="22"/>
        </w:rPr>
        <w:t xml:space="preserve"> de manera que cobije no sólo las manifestaciones culturales aludidas por el artículo 7 de la Ley 84 de 1989 sino el conjunto de actividades conexas con las mismas, tales como la crianza, el adiestramiento y el transporte de los animales.</w:t>
      </w:r>
    </w:p>
    <w:p w14:paraId="66E8DDDB" w14:textId="77777777" w:rsidR="00756FAE" w:rsidRPr="00EA2C95" w:rsidRDefault="00756FAE">
      <w:pPr>
        <w:pBdr>
          <w:top w:val="nil"/>
          <w:left w:val="nil"/>
          <w:bottom w:val="nil"/>
          <w:right w:val="nil"/>
          <w:between w:val="nil"/>
        </w:pBdr>
        <w:ind w:left="851" w:right="900" w:hanging="22"/>
        <w:jc w:val="both"/>
        <w:rPr>
          <w:rFonts w:ascii="Bookman Old Style" w:eastAsia="Bookman Old Style" w:hAnsi="Bookman Old Style" w:cs="Bookman Old Style"/>
          <w:i/>
          <w:color w:val="000000"/>
          <w:sz w:val="22"/>
          <w:szCs w:val="22"/>
        </w:rPr>
      </w:pPr>
    </w:p>
    <w:p w14:paraId="0E93F659" w14:textId="77777777" w:rsidR="00756FAE" w:rsidRPr="00EA2C95" w:rsidRDefault="00EA2C95">
      <w:pPr>
        <w:numPr>
          <w:ilvl w:val="0"/>
          <w:numId w:val="4"/>
        </w:numPr>
        <w:pBdr>
          <w:top w:val="nil"/>
          <w:left w:val="nil"/>
          <w:bottom w:val="nil"/>
          <w:right w:val="nil"/>
          <w:between w:val="nil"/>
        </w:pBdr>
        <w:ind w:left="872" w:right="900" w:hanging="22"/>
        <w:jc w:val="both"/>
        <w:rPr>
          <w:rFonts w:ascii="Bookman Old Style" w:eastAsia="Bookman Old Style" w:hAnsi="Bookman Old Style" w:cs="Bookman Old Style"/>
          <w:i/>
          <w:color w:val="000000"/>
          <w:sz w:val="22"/>
          <w:szCs w:val="22"/>
        </w:rPr>
      </w:pPr>
      <w:r w:rsidRPr="00EA2C95">
        <w:rPr>
          <w:rFonts w:ascii="Bookman Old Style" w:eastAsia="Bookman Old Style" w:hAnsi="Bookman Old Style" w:cs="Bookman Old Style"/>
          <w:i/>
          <w:color w:val="000000"/>
          <w:sz w:val="22"/>
          <w:szCs w:val="22"/>
        </w:rPr>
        <w:t>No podría entenderse que las actividades exceptuadas puedan realizarse en cualquier parte del territorio nacional, sino sólo en aquellas en las que implique una manifestación ininterrumpida de tradición de dicha población.</w:t>
      </w:r>
    </w:p>
    <w:p w14:paraId="5D5E7B5D" w14:textId="77777777" w:rsidR="00756FAE" w:rsidRPr="00EA2C95" w:rsidRDefault="00756FAE">
      <w:pPr>
        <w:pBdr>
          <w:top w:val="nil"/>
          <w:left w:val="nil"/>
          <w:bottom w:val="nil"/>
          <w:right w:val="nil"/>
          <w:between w:val="nil"/>
        </w:pBdr>
        <w:ind w:left="851" w:right="900" w:hanging="22"/>
        <w:jc w:val="both"/>
        <w:rPr>
          <w:rFonts w:ascii="Bookman Old Style" w:eastAsia="Bookman Old Style" w:hAnsi="Bookman Old Style" w:cs="Bookman Old Style"/>
          <w:i/>
          <w:color w:val="000000"/>
          <w:sz w:val="22"/>
          <w:szCs w:val="22"/>
        </w:rPr>
      </w:pPr>
    </w:p>
    <w:p w14:paraId="0CAF801F" w14:textId="77777777" w:rsidR="00756FAE" w:rsidRPr="00EA2C95" w:rsidRDefault="00EA2C95">
      <w:pPr>
        <w:numPr>
          <w:ilvl w:val="0"/>
          <w:numId w:val="4"/>
        </w:numPr>
        <w:pBdr>
          <w:top w:val="nil"/>
          <w:left w:val="nil"/>
          <w:bottom w:val="nil"/>
          <w:right w:val="nil"/>
          <w:between w:val="nil"/>
        </w:pBdr>
        <w:ind w:left="872" w:right="900" w:hanging="22"/>
        <w:jc w:val="both"/>
        <w:rPr>
          <w:rFonts w:ascii="Bookman Old Style" w:eastAsia="Bookman Old Style" w:hAnsi="Bookman Old Style" w:cs="Bookman Old Style"/>
          <w:i/>
          <w:color w:val="000000"/>
          <w:sz w:val="22"/>
          <w:szCs w:val="22"/>
        </w:rPr>
      </w:pPr>
      <w:r w:rsidRPr="00EA2C95">
        <w:rPr>
          <w:rFonts w:ascii="Bookman Old Style" w:eastAsia="Bookman Old Style" w:hAnsi="Bookman Old Style" w:cs="Bookman Old Style"/>
          <w:i/>
          <w:color w:val="000000"/>
          <w:sz w:val="22"/>
          <w:szCs w:val="22"/>
        </w:rPr>
        <w:t>La realización de dichas actividades deberá estar limitada a las precisas ocasiones en que usualmente éstas se han llevado a cabo, no pudiendo extenderse a otros momentos del año o lugares distintos a aquellos en los que resulta tradicional su realización.</w:t>
      </w:r>
    </w:p>
    <w:p w14:paraId="43D2D6DD" w14:textId="77777777" w:rsidR="00756FAE" w:rsidRPr="00EA2C95" w:rsidRDefault="00756FAE">
      <w:pPr>
        <w:ind w:left="851" w:right="900" w:hanging="22"/>
        <w:jc w:val="both"/>
        <w:rPr>
          <w:rFonts w:ascii="Bookman Old Style" w:eastAsia="Bookman Old Style" w:hAnsi="Bookman Old Style" w:cs="Bookman Old Style"/>
          <w:i/>
          <w:color w:val="000000"/>
          <w:sz w:val="22"/>
          <w:szCs w:val="22"/>
        </w:rPr>
      </w:pPr>
    </w:p>
    <w:p w14:paraId="0A89BF92" w14:textId="77777777" w:rsidR="00756FAE" w:rsidRPr="00EA2C95" w:rsidRDefault="00EA2C95">
      <w:pPr>
        <w:numPr>
          <w:ilvl w:val="0"/>
          <w:numId w:val="4"/>
        </w:numPr>
        <w:pBdr>
          <w:top w:val="nil"/>
          <w:left w:val="nil"/>
          <w:bottom w:val="nil"/>
          <w:right w:val="nil"/>
          <w:between w:val="nil"/>
        </w:pBdr>
        <w:ind w:left="872" w:right="900" w:hanging="22"/>
        <w:jc w:val="both"/>
        <w:rPr>
          <w:rFonts w:ascii="Bookman Old Style" w:eastAsia="Bookman Old Style" w:hAnsi="Bookman Old Style" w:cs="Bookman Old Style"/>
          <w:i/>
          <w:color w:val="000000"/>
          <w:sz w:val="22"/>
          <w:szCs w:val="22"/>
        </w:rPr>
      </w:pPr>
      <w:r w:rsidRPr="00EA2C95">
        <w:rPr>
          <w:rFonts w:ascii="Bookman Old Style" w:eastAsia="Bookman Old Style" w:hAnsi="Bookman Old Style" w:cs="Bookman Old Style"/>
          <w:i/>
          <w:color w:val="000000"/>
          <w:sz w:val="22"/>
          <w:szCs w:val="22"/>
        </w:rPr>
        <w:t>Las manifestaciones culturales en las cuales está permitido el maltrato animal son aquellas mencionadas por el artículo 7 de la Ley 84 de 1989, no se entienden incluidas dentro de la excepción al deber de protección animal otras expresiones que no hayan sido contempladas en la disposición acusada.</w:t>
      </w:r>
    </w:p>
    <w:p w14:paraId="6186EB00" w14:textId="77777777" w:rsidR="00756FAE" w:rsidRPr="00EA2C95" w:rsidRDefault="00756FAE">
      <w:pPr>
        <w:pBdr>
          <w:top w:val="nil"/>
          <w:left w:val="nil"/>
          <w:bottom w:val="nil"/>
          <w:right w:val="nil"/>
          <w:between w:val="nil"/>
        </w:pBdr>
        <w:ind w:left="851" w:right="900" w:hanging="22"/>
        <w:jc w:val="both"/>
        <w:rPr>
          <w:rFonts w:ascii="Bookman Old Style" w:eastAsia="Bookman Old Style" w:hAnsi="Bookman Old Style" w:cs="Bookman Old Style"/>
          <w:i/>
          <w:color w:val="000000"/>
          <w:sz w:val="22"/>
          <w:szCs w:val="22"/>
        </w:rPr>
      </w:pPr>
    </w:p>
    <w:p w14:paraId="0FF24A3A" w14:textId="77777777" w:rsidR="00756FAE" w:rsidRPr="00EA2C95" w:rsidRDefault="00EA2C95">
      <w:pPr>
        <w:numPr>
          <w:ilvl w:val="0"/>
          <w:numId w:val="4"/>
        </w:numPr>
        <w:pBdr>
          <w:top w:val="nil"/>
          <w:left w:val="nil"/>
          <w:bottom w:val="nil"/>
          <w:right w:val="nil"/>
          <w:between w:val="nil"/>
        </w:pBdr>
        <w:ind w:left="872" w:right="900" w:hanging="22"/>
        <w:jc w:val="both"/>
        <w:rPr>
          <w:rFonts w:ascii="Bookman Old Style" w:eastAsia="Bookman Old Style" w:hAnsi="Bookman Old Style" w:cs="Bookman Old Style"/>
          <w:i/>
          <w:color w:val="000000"/>
          <w:sz w:val="22"/>
          <w:szCs w:val="22"/>
        </w:rPr>
      </w:pPr>
      <w:r w:rsidRPr="00EA2C95">
        <w:rPr>
          <w:rFonts w:ascii="Bookman Old Style" w:eastAsia="Bookman Old Style" w:hAnsi="Bookman Old Style" w:cs="Bookman Old Style"/>
          <w:i/>
          <w:color w:val="000000"/>
          <w:sz w:val="22"/>
          <w:szCs w:val="22"/>
        </w:rPr>
        <w:t>Las autoridades municipales en ningún caso podrán destinar dinero público a la construcción de instalaciones para la realización exclusiva de estas actividades.</w:t>
      </w:r>
    </w:p>
    <w:p w14:paraId="5D1643C6" w14:textId="77777777" w:rsidR="00756FAE" w:rsidRPr="00EA2C95" w:rsidRDefault="00756FAE">
      <w:pPr>
        <w:pBdr>
          <w:top w:val="nil"/>
          <w:left w:val="nil"/>
          <w:bottom w:val="nil"/>
          <w:right w:val="nil"/>
          <w:between w:val="nil"/>
        </w:pBdr>
        <w:ind w:left="1440"/>
        <w:jc w:val="both"/>
        <w:rPr>
          <w:rFonts w:ascii="Bookman Old Style" w:eastAsia="Bookman Old Style" w:hAnsi="Bookman Old Style" w:cs="Bookman Old Style"/>
          <w:color w:val="000000"/>
          <w:sz w:val="22"/>
          <w:szCs w:val="22"/>
        </w:rPr>
      </w:pPr>
    </w:p>
    <w:p w14:paraId="3A32DF51"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Pero, además de la imposición de estos requisitos, la Sentencia C-666 de 2010 desarrolló el principio de protección animal y determinó que se encontraba directamente ligado con el concepto de dignidad humana.</w:t>
      </w:r>
    </w:p>
    <w:p w14:paraId="4CADFED7" w14:textId="77777777" w:rsidR="00756FAE" w:rsidRPr="00EA2C95" w:rsidRDefault="00756FAE">
      <w:pPr>
        <w:pBdr>
          <w:top w:val="nil"/>
          <w:left w:val="nil"/>
          <w:bottom w:val="nil"/>
          <w:right w:val="nil"/>
          <w:between w:val="nil"/>
        </w:pBdr>
        <w:ind w:left="720"/>
        <w:jc w:val="both"/>
        <w:rPr>
          <w:rFonts w:ascii="Bookman Old Style" w:eastAsia="Bookman Old Style" w:hAnsi="Bookman Old Style" w:cs="Bookman Old Style"/>
          <w:color w:val="000000"/>
          <w:sz w:val="22"/>
          <w:szCs w:val="22"/>
        </w:rPr>
      </w:pPr>
    </w:p>
    <w:p w14:paraId="4A1664D5"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Teniendo en cuenta la relevancia de esta decisión, no solo para el proyecto que nos ocupa, sino para la línea jurisprudencial sobre los animales, a continuación, se resaltarán algunos de los apartes más relevantes.</w:t>
      </w:r>
    </w:p>
    <w:p w14:paraId="58271A57"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6F2A6913"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En primer lugar, en lo que respecta a la inclusión de los animales dentro del concepto de ambiente y, en consecuencia, de los mandatos constitucionales frente a la protección del mismo, el Alto Tribunal resaltó lo siguiente:</w:t>
      </w:r>
    </w:p>
    <w:p w14:paraId="490DE634" w14:textId="77777777" w:rsidR="00756FAE" w:rsidRPr="00EA2C95" w:rsidRDefault="00756FAE">
      <w:pPr>
        <w:pBdr>
          <w:top w:val="nil"/>
          <w:left w:val="nil"/>
          <w:bottom w:val="nil"/>
          <w:right w:val="nil"/>
          <w:between w:val="nil"/>
        </w:pBdr>
        <w:ind w:left="720"/>
        <w:jc w:val="both"/>
        <w:rPr>
          <w:rFonts w:ascii="Bookman Old Style" w:eastAsia="Bookman Old Style" w:hAnsi="Bookman Old Style" w:cs="Bookman Old Style"/>
          <w:color w:val="000000"/>
          <w:sz w:val="22"/>
          <w:szCs w:val="22"/>
        </w:rPr>
      </w:pPr>
    </w:p>
    <w:p w14:paraId="35452CBD" w14:textId="77777777" w:rsidR="00756FAE" w:rsidRPr="00EA2C95" w:rsidRDefault="00EA2C95">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sidRPr="00EA2C95">
        <w:rPr>
          <w:rFonts w:ascii="Bookman Old Style" w:eastAsia="Bookman Old Style" w:hAnsi="Bookman Old Style" w:cs="Bookman Old Style"/>
          <w:i/>
          <w:color w:val="000000"/>
          <w:sz w:val="22"/>
          <w:szCs w:val="22"/>
        </w:rPr>
        <w:t>“La inclusión de los animales dentro del concepto de ambiente se hace con base en el papel que estos juegan en el desarrollo de la vida humana. Acentúa la Corte que esta consideración supera el enfoque eminentemente utilitarista –que los considera en cuanto recurso utilizable por los seres humanos-, y se inserta en la visión de los animales como otros seres vivos que comparten el contexto en que se desarrolla la vida humana, siendo determinantes en el concepto de naturaleza y, por consiguiente, convirtiéndose en destinatarios de la visión empática de los seres humanos por el contexto –o ambiente- en el que desarrolla su existencia</w:t>
      </w:r>
    </w:p>
    <w:p w14:paraId="39D20BF4" w14:textId="77777777" w:rsidR="00756FAE" w:rsidRPr="00EA2C95" w:rsidRDefault="00756FAE">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p>
    <w:p w14:paraId="4A215972" w14:textId="77777777" w:rsidR="00756FAE" w:rsidRPr="00EA2C95" w:rsidRDefault="00EA2C95">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sidRPr="00EA2C95">
        <w:rPr>
          <w:rFonts w:ascii="Bookman Old Style" w:eastAsia="Bookman Old Style" w:hAnsi="Bookman Old Style" w:cs="Bookman Old Style"/>
          <w:i/>
          <w:color w:val="000000"/>
          <w:sz w:val="22"/>
          <w:szCs w:val="22"/>
        </w:rPr>
        <w:t>(…) En relación con su protección, la manifestación concreta de esta posición se hace a partir de dos perspectivas: la de fauna protegida en virtud del mantenimiento de la biodiversidad y el equilibrio natural de las especies; y la de fauna a la cual se debe proteger del padecimiento, maltrato y crueldad sin justificación legítima, protección esta última que refleja un contenido de moral política y conciencia de la responsabilidad que deben tener los seres humanos respecto de los otros seres sintientes.</w:t>
      </w:r>
      <w:r w:rsidRPr="00EA2C95">
        <w:rPr>
          <w:rFonts w:ascii="Bookman Old Style" w:eastAsia="Bookman Old Style" w:hAnsi="Bookman Old Style" w:cs="Bookman Old Style"/>
          <w:i/>
          <w:color w:val="000000"/>
          <w:sz w:val="22"/>
          <w:szCs w:val="22"/>
          <w:vertAlign w:val="superscript"/>
        </w:rPr>
        <w:footnoteReference w:id="2"/>
      </w:r>
      <w:r w:rsidRPr="00EA2C95">
        <w:rPr>
          <w:rFonts w:ascii="Bookman Old Style" w:eastAsia="Bookman Old Style" w:hAnsi="Bookman Old Style" w:cs="Bookman Old Style"/>
          <w:i/>
          <w:color w:val="000000"/>
          <w:sz w:val="22"/>
          <w:szCs w:val="22"/>
        </w:rPr>
        <w:t>.”</w:t>
      </w:r>
    </w:p>
    <w:p w14:paraId="7C714107" w14:textId="77777777" w:rsidR="00756FAE" w:rsidRPr="00EA2C95" w:rsidRDefault="00756FAE">
      <w:pPr>
        <w:pBdr>
          <w:top w:val="nil"/>
          <w:left w:val="nil"/>
          <w:bottom w:val="nil"/>
          <w:right w:val="nil"/>
          <w:between w:val="nil"/>
        </w:pBdr>
        <w:ind w:left="720"/>
        <w:jc w:val="both"/>
        <w:rPr>
          <w:rFonts w:ascii="Bookman Old Style" w:eastAsia="Bookman Old Style" w:hAnsi="Bookman Old Style" w:cs="Bookman Old Style"/>
          <w:color w:val="000000"/>
          <w:sz w:val="22"/>
          <w:szCs w:val="22"/>
        </w:rPr>
      </w:pPr>
    </w:p>
    <w:p w14:paraId="1FD8A8D9"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En esta misma línea, la Corte sentó las primeras bases para dejar de lado la concepción utilitarista de los animales, para reconocerlos como verdaderos sujetos de protección. Sobre este asunto, se dispuso que:</w:t>
      </w:r>
    </w:p>
    <w:p w14:paraId="55D257AF" w14:textId="77777777" w:rsidR="00756FAE" w:rsidRPr="00EA2C95" w:rsidRDefault="00756FAE">
      <w:pPr>
        <w:pBdr>
          <w:top w:val="nil"/>
          <w:left w:val="nil"/>
          <w:bottom w:val="nil"/>
          <w:right w:val="nil"/>
          <w:between w:val="nil"/>
        </w:pBdr>
        <w:ind w:left="720"/>
        <w:jc w:val="both"/>
        <w:rPr>
          <w:rFonts w:ascii="Bookman Old Style" w:eastAsia="Bookman Old Style" w:hAnsi="Bookman Old Style" w:cs="Bookman Old Style"/>
          <w:color w:val="000000"/>
          <w:sz w:val="22"/>
          <w:szCs w:val="22"/>
        </w:rPr>
      </w:pPr>
    </w:p>
    <w:p w14:paraId="017AC007" w14:textId="77777777" w:rsidR="00756FAE" w:rsidRPr="00EA2C95" w:rsidRDefault="00EA2C95">
      <w:pPr>
        <w:pBdr>
          <w:top w:val="nil"/>
          <w:left w:val="nil"/>
          <w:bottom w:val="nil"/>
          <w:right w:val="nil"/>
          <w:between w:val="nil"/>
        </w:pBdr>
        <w:ind w:left="851" w:right="900"/>
        <w:jc w:val="both"/>
        <w:rPr>
          <w:rFonts w:ascii="Bookman Old Style" w:eastAsia="Bookman Old Style" w:hAnsi="Bookman Old Style" w:cs="Bookman Old Style"/>
          <w:color w:val="000000"/>
          <w:sz w:val="22"/>
          <w:szCs w:val="22"/>
          <w:u w:val="single"/>
        </w:rPr>
      </w:pPr>
      <w:r w:rsidRPr="00EA2C95">
        <w:rPr>
          <w:rFonts w:ascii="Bookman Old Style" w:eastAsia="Bookman Old Style" w:hAnsi="Bookman Old Style" w:cs="Bookman Old Style"/>
          <w:color w:val="000000"/>
          <w:sz w:val="22"/>
          <w:szCs w:val="22"/>
        </w:rPr>
        <w:t xml:space="preserve"> </w:t>
      </w:r>
      <w:r w:rsidRPr="00EA2C95">
        <w:rPr>
          <w:rFonts w:ascii="Bookman Old Style" w:eastAsia="Bookman Old Style" w:hAnsi="Bookman Old Style" w:cs="Bookman Old Style"/>
          <w:i/>
          <w:color w:val="000000"/>
          <w:sz w:val="22"/>
          <w:szCs w:val="22"/>
        </w:rPr>
        <w:t xml:space="preserve">“la protección que se deriva de la Constitución supera la anacrónica visión de los animales como cosas animadas, para reconocer la importancia que éstos tienen dentro del entorno en que habitan las personas, no simplemente como fuentes de recursos útiles al hombre, sino en cuanto seres sintientes que forman parte del </w:t>
      </w:r>
      <w:r w:rsidRPr="00EA2C95">
        <w:rPr>
          <w:rFonts w:ascii="Bookman Old Style" w:eastAsia="Bookman Old Style" w:hAnsi="Bookman Old Style" w:cs="Bookman Old Style"/>
          <w:i/>
          <w:color w:val="000000"/>
          <w:sz w:val="22"/>
          <w:szCs w:val="22"/>
        </w:rPr>
        <w:lastRenderedPageBreak/>
        <w:t>contexto en que se desarrolla la vida de los principales sujetos del ordenamiento jurídico: los seres humanos</w:t>
      </w:r>
      <w:r w:rsidRPr="00EA2C95">
        <w:rPr>
          <w:rFonts w:ascii="Bookman Old Style" w:eastAsia="Bookman Old Style" w:hAnsi="Bookman Old Style" w:cs="Bookman Old Style"/>
          <w:i/>
          <w:color w:val="000000"/>
          <w:sz w:val="22"/>
          <w:szCs w:val="22"/>
          <w:vertAlign w:val="superscript"/>
        </w:rPr>
        <w:footnoteReference w:id="3"/>
      </w:r>
      <w:r w:rsidRPr="00EA2C95">
        <w:rPr>
          <w:rFonts w:ascii="Bookman Old Style" w:eastAsia="Bookman Old Style" w:hAnsi="Bookman Old Style" w:cs="Bookman Old Style"/>
          <w:i/>
          <w:color w:val="000000"/>
          <w:sz w:val="22"/>
          <w:szCs w:val="22"/>
        </w:rPr>
        <w:t>.”</w:t>
      </w:r>
    </w:p>
    <w:p w14:paraId="5D256BC9" w14:textId="77777777" w:rsidR="00756FAE" w:rsidRPr="00EA2C95" w:rsidRDefault="00756FAE">
      <w:pPr>
        <w:pBdr>
          <w:top w:val="nil"/>
          <w:left w:val="nil"/>
          <w:bottom w:val="nil"/>
          <w:right w:val="nil"/>
          <w:between w:val="nil"/>
        </w:pBdr>
        <w:ind w:left="720"/>
        <w:jc w:val="both"/>
        <w:rPr>
          <w:rFonts w:ascii="Bookman Old Style" w:eastAsia="Bookman Old Style" w:hAnsi="Bookman Old Style" w:cs="Bookman Old Style"/>
          <w:color w:val="000000"/>
          <w:sz w:val="22"/>
          <w:szCs w:val="22"/>
        </w:rPr>
      </w:pPr>
    </w:p>
    <w:p w14:paraId="7FA4F467"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 xml:space="preserve">Fue esta precisamente la base para que, posteriormente, en la decisión se reconociera que es la dignidad humana la fuente de obligaciones jurídicas de los humanos frente a los animales. </w:t>
      </w:r>
    </w:p>
    <w:p w14:paraId="76411EC8" w14:textId="77777777" w:rsidR="00756FAE" w:rsidRPr="00EA2C95" w:rsidRDefault="00756FAE">
      <w:pPr>
        <w:pBdr>
          <w:top w:val="nil"/>
          <w:left w:val="nil"/>
          <w:bottom w:val="nil"/>
          <w:right w:val="nil"/>
          <w:between w:val="nil"/>
        </w:pBdr>
        <w:ind w:left="720"/>
        <w:jc w:val="both"/>
        <w:rPr>
          <w:rFonts w:ascii="Bookman Old Style" w:eastAsia="Bookman Old Style" w:hAnsi="Bookman Old Style" w:cs="Bookman Old Style"/>
          <w:color w:val="000000"/>
          <w:sz w:val="22"/>
          <w:szCs w:val="22"/>
        </w:rPr>
      </w:pPr>
    </w:p>
    <w:p w14:paraId="3B46D92A" w14:textId="77777777" w:rsidR="00756FAE" w:rsidRPr="00EA2C95" w:rsidRDefault="00EA2C95">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sidRPr="00EA2C95">
        <w:rPr>
          <w:rFonts w:ascii="Bookman Old Style" w:eastAsia="Bookman Old Style" w:hAnsi="Bookman Old Style" w:cs="Bookman Old Style"/>
          <w:i/>
          <w:color w:val="000000"/>
          <w:sz w:val="22"/>
          <w:szCs w:val="22"/>
        </w:rPr>
        <w:t>La dignidad humana no es un simple concepto fruto [o útil para] el garantismo estatal. La dignidad resulta un concepto integral en cuanto encarna, representa y construye un concepto, integral, de persona. La dignidad no se otorga, sino que se reconoce, de manera que siempre podrá exigirse de los seres humanos un actuar conforme a parámetros dignos y, en este sentido, coherente con su condición de ser moral que merece el reconocimiento de dichas garantías y que, llegado el caso, podría exigirlas por la posición [también] moral que tiene dentro de la comunidad.</w:t>
      </w:r>
    </w:p>
    <w:p w14:paraId="2805F980" w14:textId="77777777" w:rsidR="00756FAE" w:rsidRPr="00EA2C95" w:rsidRDefault="00756FAE">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p>
    <w:p w14:paraId="084163CB" w14:textId="77777777" w:rsidR="00756FAE" w:rsidRPr="00EA2C95" w:rsidRDefault="00EA2C95">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sidRPr="00EA2C95">
        <w:rPr>
          <w:rFonts w:ascii="Bookman Old Style" w:eastAsia="Bookman Old Style" w:hAnsi="Bookman Old Style" w:cs="Bookman Old Style"/>
          <w:i/>
          <w:color w:val="000000"/>
          <w:sz w:val="22"/>
          <w:szCs w:val="22"/>
        </w:rPr>
        <w:t>Pero esa misma condición moral, que sustenta el concepto de dignidad humana, genera obligaciones a esa persona [en cuanto ser digno] en su manera de actuación. No podría una persona pretender que sea reconocida su condición de ser moral y comportarse legítimamente de forma contraria a la moral que se deriva de los parámetros acordados por la propia comunidad y que son consagrados en la Constitución y demás normas de naturaleza constitucional (…)</w:t>
      </w:r>
    </w:p>
    <w:p w14:paraId="4F9E1060" w14:textId="77777777" w:rsidR="00756FAE" w:rsidRPr="00EA2C95" w:rsidRDefault="00756FAE">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p>
    <w:p w14:paraId="7DE72476" w14:textId="77777777" w:rsidR="00756FAE" w:rsidRPr="00EA2C95" w:rsidRDefault="00EA2C95">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sidRPr="00EA2C95">
        <w:rPr>
          <w:rFonts w:ascii="Bookman Old Style" w:eastAsia="Bookman Old Style" w:hAnsi="Bookman Old Style" w:cs="Bookman Old Style"/>
          <w:i/>
          <w:color w:val="000000"/>
          <w:sz w:val="22"/>
          <w:szCs w:val="22"/>
        </w:rPr>
        <w:t>(…) En este sentido, si en el mismo Estado constitucional se consagra el deber de protección a los animales vía la protección de los recursos naturales, el concepto de dignidad que se concreta en la interacción de las personas en una comunidad que se construye dentro de estos parámetros constitucionales no podrá ignorar las relaciones que surgen entre ellas y los animales. </w:t>
      </w:r>
    </w:p>
    <w:p w14:paraId="276ED128" w14:textId="77777777" w:rsidR="00756FAE" w:rsidRPr="00EA2C95" w:rsidRDefault="00EA2C95">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sidRPr="00EA2C95">
        <w:rPr>
          <w:rFonts w:ascii="Bookman Old Style" w:eastAsia="Bookman Old Style" w:hAnsi="Bookman Old Style" w:cs="Bookman Old Style"/>
          <w:i/>
          <w:color w:val="000000"/>
          <w:sz w:val="22"/>
          <w:szCs w:val="22"/>
        </w:rPr>
        <w:t> </w:t>
      </w:r>
    </w:p>
    <w:p w14:paraId="615AC2F9" w14:textId="77777777" w:rsidR="00756FAE" w:rsidRPr="00EA2C95" w:rsidRDefault="00EA2C95">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sidRPr="00EA2C95">
        <w:rPr>
          <w:rFonts w:ascii="Bookman Old Style" w:eastAsia="Bookman Old Style" w:hAnsi="Bookman Old Style" w:cs="Bookman Old Style"/>
          <w:i/>
          <w:color w:val="000000"/>
          <w:sz w:val="22"/>
          <w:szCs w:val="22"/>
        </w:rPr>
        <w:t xml:space="preserve">El fundamento para esta vinculación radica en su capacidad de sentir. Es este aspecto la raíz del vínculo en la relación entre dignidad y protección a los animales: el hecho de que sean seres sintientes que pueden ser afectados por los actos de las personas. En otras palabras, la posibilidad de que se vean afectados por tratos crueles, por acciones que comportan maltrato, por hechos que los torturen o angustien obliga a que las acciones que respecto de ellos se realicen por parte de los seres humanos sean expresión del comportamiento digno que hacia ellos deben tener seres dignos. En </w:t>
      </w:r>
      <w:r w:rsidRPr="00EA2C95">
        <w:rPr>
          <w:rFonts w:ascii="Bookman Old Style" w:eastAsia="Bookman Old Style" w:hAnsi="Bookman Old Style" w:cs="Bookman Old Style"/>
          <w:i/>
          <w:color w:val="000000"/>
          <w:sz w:val="22"/>
          <w:szCs w:val="22"/>
        </w:rPr>
        <w:lastRenderedPageBreak/>
        <w:t>efecto, la superioridad racional –moral- del hombre no puede significar la ausencia de límites para causar sufrimiento, dolor o angustia a seres sintientes no humanos.</w:t>
      </w:r>
    </w:p>
    <w:p w14:paraId="71F6A352" w14:textId="77777777" w:rsidR="00756FAE" w:rsidRPr="00EA2C95" w:rsidRDefault="00756FAE">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p>
    <w:p w14:paraId="1DE46AF7" w14:textId="77777777" w:rsidR="00756FAE" w:rsidRPr="00EA2C95" w:rsidRDefault="00EA2C95">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u w:val="single"/>
        </w:rPr>
      </w:pPr>
      <w:r w:rsidRPr="00EA2C95">
        <w:rPr>
          <w:rFonts w:ascii="Bookman Old Style" w:eastAsia="Bookman Old Style" w:hAnsi="Bookman Old Style" w:cs="Bookman Old Style"/>
          <w:i/>
          <w:color w:val="000000"/>
          <w:sz w:val="22"/>
          <w:szCs w:val="22"/>
          <w:u w:val="single"/>
        </w:rPr>
        <w:t>Aunque obvia, valga mencionar que la justificación radica en una apreciación fáctica incontestable: no hay interés más primario para un ser sintiente que el de no sufrir daño o maltrato. Y debe ser este uno de los valores primordiales dentro de una comunidad moral que actúa y construye sus relaciones dentro de los parámetros del Estado constitucional</w:t>
      </w:r>
      <w:r w:rsidRPr="00EA2C95">
        <w:rPr>
          <w:rFonts w:ascii="Bookman Old Style" w:eastAsia="Bookman Old Style" w:hAnsi="Bookman Old Style" w:cs="Bookman Old Style"/>
          <w:i/>
          <w:color w:val="000000"/>
          <w:sz w:val="22"/>
          <w:szCs w:val="22"/>
          <w:u w:val="single"/>
          <w:vertAlign w:val="superscript"/>
        </w:rPr>
        <w:footnoteReference w:id="4"/>
      </w:r>
      <w:r w:rsidRPr="00EA2C95">
        <w:rPr>
          <w:rFonts w:ascii="Bookman Old Style" w:eastAsia="Bookman Old Style" w:hAnsi="Bookman Old Style" w:cs="Bookman Old Style"/>
          <w:i/>
          <w:color w:val="000000"/>
          <w:sz w:val="22"/>
          <w:szCs w:val="22"/>
          <w:u w:val="single"/>
        </w:rPr>
        <w:t>.</w:t>
      </w:r>
    </w:p>
    <w:p w14:paraId="5EE8480A" w14:textId="77777777" w:rsidR="00756FAE" w:rsidRPr="00EA2C95" w:rsidRDefault="00756FAE">
      <w:pPr>
        <w:pBdr>
          <w:top w:val="nil"/>
          <w:left w:val="nil"/>
          <w:bottom w:val="nil"/>
          <w:right w:val="nil"/>
          <w:between w:val="nil"/>
        </w:pBdr>
        <w:ind w:left="720"/>
        <w:jc w:val="both"/>
        <w:rPr>
          <w:rFonts w:ascii="Bookman Old Style" w:eastAsia="Bookman Old Style" w:hAnsi="Bookman Old Style" w:cs="Bookman Old Style"/>
          <w:i/>
          <w:color w:val="000000"/>
          <w:sz w:val="22"/>
          <w:szCs w:val="22"/>
        </w:rPr>
      </w:pPr>
    </w:p>
    <w:p w14:paraId="10209E53"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 xml:space="preserve">Ahora bien, en lo que respecta al tema particular, la demanda de inconstitucionalidad frente al rejoneo, el coleo, las corridas de toros, las novilladas, las corralejas, las becerradas, las tientas y las riñas de gallos, la Corte reconoció que su desarrollo implicaba el desarrollo de actividades que se enmarcan en actos de maltrato y crueldad animal. No obstante, también destacó la Corte que: </w:t>
      </w:r>
    </w:p>
    <w:p w14:paraId="4E667ED6" w14:textId="77777777" w:rsidR="00756FAE" w:rsidRPr="00EA2C95" w:rsidRDefault="00756FAE">
      <w:pPr>
        <w:pBdr>
          <w:top w:val="nil"/>
          <w:left w:val="nil"/>
          <w:bottom w:val="nil"/>
          <w:right w:val="nil"/>
          <w:between w:val="nil"/>
        </w:pBdr>
        <w:ind w:left="720"/>
        <w:jc w:val="both"/>
        <w:rPr>
          <w:rFonts w:ascii="Bookman Old Style" w:eastAsia="Bookman Old Style" w:hAnsi="Bookman Old Style" w:cs="Bookman Old Style"/>
          <w:color w:val="000000"/>
          <w:sz w:val="22"/>
          <w:szCs w:val="22"/>
        </w:rPr>
      </w:pPr>
    </w:p>
    <w:p w14:paraId="4D1CC9C8" w14:textId="77777777" w:rsidR="00756FAE" w:rsidRPr="00EA2C95" w:rsidRDefault="00EA2C95">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sidRPr="00EA2C95">
        <w:rPr>
          <w:rFonts w:ascii="Bookman Old Style" w:eastAsia="Bookman Old Style" w:hAnsi="Bookman Old Style" w:cs="Bookman Old Style"/>
          <w:i/>
          <w:color w:val="000000"/>
          <w:sz w:val="22"/>
          <w:szCs w:val="22"/>
        </w:rPr>
        <w:t>“para el examen de constitucionalidad de la disposición acusada no resulta indiferente que dichas actividades hayan sido desarrolladas de tiempo atrás por algunos sectores de la sociedad y, por consiguiente, se entienden como parte de las manifestaciones que identifican a ciertas regiones dentro del territorio nacional</w:t>
      </w:r>
      <w:r w:rsidRPr="00EA2C95">
        <w:rPr>
          <w:rFonts w:ascii="Bookman Old Style" w:eastAsia="Bookman Old Style" w:hAnsi="Bookman Old Style" w:cs="Bookman Old Style"/>
          <w:i/>
          <w:color w:val="000000"/>
          <w:sz w:val="22"/>
          <w:szCs w:val="22"/>
          <w:vertAlign w:val="superscript"/>
        </w:rPr>
        <w:footnoteReference w:id="5"/>
      </w:r>
      <w:r w:rsidRPr="00EA2C95">
        <w:rPr>
          <w:rFonts w:ascii="Bookman Old Style" w:eastAsia="Bookman Old Style" w:hAnsi="Bookman Old Style" w:cs="Bookman Old Style"/>
          <w:i/>
          <w:color w:val="000000"/>
          <w:sz w:val="22"/>
          <w:szCs w:val="22"/>
        </w:rPr>
        <w:t>.”</w:t>
      </w:r>
    </w:p>
    <w:p w14:paraId="6475E907" w14:textId="77777777" w:rsidR="00756FAE" w:rsidRPr="00EA2C95" w:rsidRDefault="00756FAE">
      <w:pPr>
        <w:pBdr>
          <w:top w:val="nil"/>
          <w:left w:val="nil"/>
          <w:bottom w:val="nil"/>
          <w:right w:val="nil"/>
          <w:between w:val="nil"/>
        </w:pBdr>
        <w:ind w:left="720"/>
        <w:jc w:val="both"/>
        <w:rPr>
          <w:rFonts w:ascii="Bookman Old Style" w:eastAsia="Bookman Old Style" w:hAnsi="Bookman Old Style" w:cs="Bookman Old Style"/>
          <w:i/>
          <w:color w:val="000000"/>
          <w:sz w:val="22"/>
          <w:szCs w:val="22"/>
        </w:rPr>
      </w:pPr>
    </w:p>
    <w:p w14:paraId="1A79968D"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 xml:space="preserve">Fue por este último argumento que el Alto Tribunal Constitucional, determinó la </w:t>
      </w:r>
      <w:proofErr w:type="spellStart"/>
      <w:r w:rsidRPr="00EA2C95">
        <w:rPr>
          <w:rFonts w:ascii="Bookman Old Style" w:eastAsia="Bookman Old Style" w:hAnsi="Bookman Old Style" w:cs="Bookman Old Style"/>
          <w:color w:val="000000"/>
          <w:sz w:val="22"/>
          <w:szCs w:val="22"/>
        </w:rPr>
        <w:t>exequibilidad</w:t>
      </w:r>
      <w:proofErr w:type="spellEnd"/>
      <w:r w:rsidRPr="00EA2C95">
        <w:rPr>
          <w:rFonts w:ascii="Bookman Old Style" w:eastAsia="Bookman Old Style" w:hAnsi="Bookman Old Style" w:cs="Bookman Old Style"/>
          <w:color w:val="000000"/>
          <w:sz w:val="22"/>
          <w:szCs w:val="22"/>
        </w:rPr>
        <w:t xml:space="preserve"> de la excepción prevista en la Ley 84 de 1989, bajo los supuestos relatados en acápites anteriores que fijaron claras limitaciones al desarrollo de estas actividades. </w:t>
      </w:r>
    </w:p>
    <w:p w14:paraId="45914D01"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7243F886"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 xml:space="preserve">Adicionalmente, resaltó la Corte que, en ningún caso se podrían ampliar las excepciones previstas en el artículo 7 de la Ley 84 de 1989. Esto en tanto debía armonizarse esta disposición con el mandato constitucional de protección a los animales. </w:t>
      </w:r>
    </w:p>
    <w:p w14:paraId="34A232BA"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4D80E1C3"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Ahora bien, la providencia realizó varios llamados al legislador, como se transcriben a continuación:</w:t>
      </w:r>
    </w:p>
    <w:p w14:paraId="6461C7A9" w14:textId="77777777" w:rsidR="00756FAE" w:rsidRPr="00EA2C95" w:rsidRDefault="00756FAE">
      <w:pPr>
        <w:pBdr>
          <w:top w:val="nil"/>
          <w:left w:val="nil"/>
          <w:bottom w:val="nil"/>
          <w:right w:val="nil"/>
          <w:between w:val="nil"/>
        </w:pBdr>
        <w:ind w:left="720"/>
        <w:jc w:val="both"/>
        <w:rPr>
          <w:rFonts w:ascii="Bookman Old Style" w:eastAsia="Bookman Old Style" w:hAnsi="Bookman Old Style" w:cs="Bookman Old Style"/>
          <w:color w:val="000000"/>
          <w:sz w:val="22"/>
          <w:szCs w:val="22"/>
        </w:rPr>
      </w:pPr>
    </w:p>
    <w:p w14:paraId="163585B9" w14:textId="77777777" w:rsidR="00756FAE" w:rsidRPr="00EA2C95" w:rsidRDefault="00EA2C95">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sidRPr="00EA2C95">
        <w:rPr>
          <w:rFonts w:ascii="Bookman Old Style" w:eastAsia="Bookman Old Style" w:hAnsi="Bookman Old Style" w:cs="Bookman Old Style"/>
          <w:i/>
          <w:color w:val="000000"/>
          <w:sz w:val="22"/>
          <w:szCs w:val="22"/>
        </w:rPr>
        <w:t xml:space="preserve">“Es, precisamente, este deber constitucional el que restringe el ámbito decisional de los poderes constituidos, en especial del legislador, al momento de determinar las distintas formas de regulación de los recursos naturales dentro del sistema jurídico colombiano. El que exista un deber de protección respecto de los </w:t>
      </w:r>
      <w:r w:rsidRPr="00EA2C95">
        <w:rPr>
          <w:rFonts w:ascii="Bookman Old Style" w:eastAsia="Bookman Old Style" w:hAnsi="Bookman Old Style" w:cs="Bookman Old Style"/>
          <w:i/>
          <w:color w:val="000000"/>
          <w:sz w:val="22"/>
          <w:szCs w:val="22"/>
        </w:rPr>
        <w:lastRenderedPageBreak/>
        <w:t xml:space="preserve">mismos excluye automáticamente una posición de indiferencia en lo relativo a los recursos naturales, entre ellos los animales, siendo, por el contrario, preceptiva la creación de un sistema </w:t>
      </w:r>
      <w:proofErr w:type="spellStart"/>
      <w:r w:rsidRPr="00EA2C95">
        <w:rPr>
          <w:rFonts w:ascii="Bookman Old Style" w:eastAsia="Bookman Old Style" w:hAnsi="Bookman Old Style" w:cs="Bookman Old Style"/>
          <w:i/>
          <w:color w:val="000000"/>
          <w:sz w:val="22"/>
          <w:szCs w:val="22"/>
        </w:rPr>
        <w:t>infraconstitucional</w:t>
      </w:r>
      <w:proofErr w:type="spellEnd"/>
      <w:r w:rsidRPr="00EA2C95">
        <w:rPr>
          <w:rFonts w:ascii="Bookman Old Style" w:eastAsia="Bookman Old Style" w:hAnsi="Bookman Old Style" w:cs="Bookman Old Style"/>
          <w:i/>
          <w:color w:val="000000"/>
          <w:sz w:val="22"/>
          <w:szCs w:val="22"/>
        </w:rPr>
        <w:t>, que sea acorde con el sistema constitucional, que implique una protección para los mismos y que tenga en cuenta, armónicamente, el ejercicio de derechos fundamentales que eventualmente puedan verse limitados con la protección establecida para los animales.”</w:t>
      </w:r>
    </w:p>
    <w:p w14:paraId="1E57D031" w14:textId="77777777" w:rsidR="00756FAE" w:rsidRPr="00EA2C95" w:rsidRDefault="00756FAE">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p>
    <w:p w14:paraId="29DAB44E" w14:textId="77777777" w:rsidR="00756FAE" w:rsidRPr="00EA2C95" w:rsidRDefault="00EA2C95">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sidRPr="00EA2C95">
        <w:rPr>
          <w:rFonts w:ascii="Bookman Old Style" w:eastAsia="Bookman Old Style" w:hAnsi="Bookman Old Style" w:cs="Bookman Old Style"/>
          <w:i/>
          <w:color w:val="000000"/>
          <w:sz w:val="22"/>
          <w:szCs w:val="22"/>
        </w:rPr>
        <w:t xml:space="preserve">“la actuación del Legislador, que en cumplimiento de su potestad de configuración normativa debe regular de manera más detallada la permisión de maltrato animal objeto de examen constitucional. Labor que debe ser complementada con el concurso de las autoridades administrativas con competencias normativas en la materia, de manera tal que se subsane el déficit normativo del deber de protección animal al que ya se hizo referencia. En este sentido deberá expedirse una regulación de rango legal e </w:t>
      </w:r>
      <w:proofErr w:type="spellStart"/>
      <w:r w:rsidRPr="00EA2C95">
        <w:rPr>
          <w:rFonts w:ascii="Bookman Old Style" w:eastAsia="Bookman Old Style" w:hAnsi="Bookman Old Style" w:cs="Bookman Old Style"/>
          <w:i/>
          <w:color w:val="000000"/>
          <w:sz w:val="22"/>
          <w:szCs w:val="22"/>
        </w:rPr>
        <w:t>infralegal</w:t>
      </w:r>
      <w:proofErr w:type="spellEnd"/>
      <w:r w:rsidRPr="00EA2C95">
        <w:rPr>
          <w:rFonts w:ascii="Bookman Old Style" w:eastAsia="Bookman Old Style" w:hAnsi="Bookman Old Style" w:cs="Bookman Old Style"/>
          <w:i/>
          <w:color w:val="000000"/>
          <w:sz w:val="22"/>
          <w:szCs w:val="22"/>
        </w:rPr>
        <w:t xml:space="preserve"> que determine con exactitud qué acciones que impliquen maltrato animal pueden ser realizadas en desarrollo de corridas de toros, becerradas, novilladas, rejoneos, riñas de gallos, tientas y coleo, y en las actividades conexas con dichas manifestaciones culturales, tales como la crianza, el encierro, el adiestramiento y el transporte de los animales involucrados en las mismas.”</w:t>
      </w:r>
    </w:p>
    <w:p w14:paraId="4643D945" w14:textId="77777777" w:rsidR="00756FAE" w:rsidRPr="00EA2C95" w:rsidRDefault="00756FAE">
      <w:pPr>
        <w:pBdr>
          <w:top w:val="nil"/>
          <w:left w:val="nil"/>
          <w:bottom w:val="nil"/>
          <w:right w:val="nil"/>
          <w:between w:val="nil"/>
        </w:pBdr>
        <w:ind w:left="720"/>
        <w:jc w:val="both"/>
        <w:rPr>
          <w:rFonts w:ascii="Bookman Old Style" w:eastAsia="Bookman Old Style" w:hAnsi="Bookman Old Style" w:cs="Bookman Old Style"/>
          <w:color w:val="000000"/>
          <w:sz w:val="22"/>
          <w:szCs w:val="22"/>
        </w:rPr>
      </w:pPr>
    </w:p>
    <w:p w14:paraId="33F30A1A"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Ahora bien, respecto a la posibilidad de prohibir estas actividades, el Alto Tribunal señaló:</w:t>
      </w:r>
    </w:p>
    <w:p w14:paraId="0DD75FB7" w14:textId="77777777" w:rsidR="00756FAE" w:rsidRPr="00EA2C95" w:rsidRDefault="00756FAE">
      <w:pPr>
        <w:pBdr>
          <w:top w:val="nil"/>
          <w:left w:val="nil"/>
          <w:bottom w:val="nil"/>
          <w:right w:val="nil"/>
          <w:between w:val="nil"/>
        </w:pBdr>
        <w:ind w:left="720"/>
        <w:jc w:val="both"/>
        <w:rPr>
          <w:rFonts w:ascii="Bookman Old Style" w:eastAsia="Bookman Old Style" w:hAnsi="Bookman Old Style" w:cs="Bookman Old Style"/>
          <w:color w:val="000000"/>
          <w:sz w:val="22"/>
          <w:szCs w:val="22"/>
        </w:rPr>
      </w:pPr>
    </w:p>
    <w:p w14:paraId="1A7FA1E9" w14:textId="77777777" w:rsidR="00756FAE" w:rsidRPr="00EA2C95" w:rsidRDefault="00EA2C95">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sidRPr="00EA2C95">
        <w:rPr>
          <w:rFonts w:ascii="Bookman Old Style" w:eastAsia="Bookman Old Style" w:hAnsi="Bookman Old Style" w:cs="Bookman Old Style"/>
          <w:color w:val="000000"/>
          <w:sz w:val="22"/>
          <w:szCs w:val="22"/>
        </w:rPr>
        <w:t>“</w:t>
      </w:r>
      <w:r w:rsidRPr="00EA2C95">
        <w:rPr>
          <w:rFonts w:ascii="Bookman Old Style" w:eastAsia="Bookman Old Style" w:hAnsi="Bookman Old Style" w:cs="Bookman Old Style"/>
          <w:i/>
          <w:color w:val="000000"/>
          <w:sz w:val="22"/>
          <w:szCs w:val="22"/>
        </w:rPr>
        <w:t xml:space="preserve">Incluso </w:t>
      </w:r>
      <w:r w:rsidRPr="00EA2C95">
        <w:rPr>
          <w:rFonts w:ascii="Bookman Old Style" w:eastAsia="Bookman Old Style" w:hAnsi="Bookman Old Style" w:cs="Bookman Old Style"/>
          <w:b/>
          <w:i/>
          <w:color w:val="000000"/>
          <w:sz w:val="22"/>
          <w:szCs w:val="22"/>
          <w:u w:val="single"/>
        </w:rPr>
        <w:t>el Legislador en ejercicio de su libertad de configuración normativa puede llegar a prohibir las manifestaciones culturales que implican maltrato animal, si considera que debe primar el deber de protección sobre la excepcionalidad de las expresiones culturales que implican agravio a seres vivos</w:t>
      </w:r>
      <w:r w:rsidRPr="00EA2C95">
        <w:rPr>
          <w:rFonts w:ascii="Bookman Old Style" w:eastAsia="Bookman Old Style" w:hAnsi="Bookman Old Style" w:cs="Bookman Old Style"/>
          <w:i/>
          <w:color w:val="000000"/>
          <w:sz w:val="22"/>
          <w:szCs w:val="22"/>
        </w:rPr>
        <w:t>, pues como lo ha defendido esta Corporación en numerosas oportunidades, la Constitución de 1991 no es estática y la permisión contenida en un cuerpo normativo preconstitucional no puede limitar la libertad de configuración del órgano representativo de acuerdo a los cambios que se produzcan en el seno de la sociedad.” (subrayado y negrilla fuera del texto original).</w:t>
      </w:r>
    </w:p>
    <w:p w14:paraId="2D73247D"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354B95C5"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b/>
          <w:color w:val="000000"/>
          <w:sz w:val="22"/>
          <w:szCs w:val="22"/>
        </w:rPr>
        <w:t>Sentencia C-889 del 2012</w:t>
      </w:r>
      <w:r w:rsidRPr="00EA2C95">
        <w:rPr>
          <w:rFonts w:ascii="Bookman Old Style" w:eastAsia="Bookman Old Style" w:hAnsi="Bookman Old Style" w:cs="Bookman Old Style"/>
          <w:color w:val="000000"/>
          <w:sz w:val="22"/>
          <w:szCs w:val="22"/>
        </w:rPr>
        <w:t xml:space="preserve">. </w:t>
      </w:r>
      <w:r w:rsidRPr="00EA2C95">
        <w:rPr>
          <w:rFonts w:ascii="Bookman Old Style" w:eastAsia="Bookman Old Style" w:hAnsi="Bookman Old Style" w:cs="Bookman Old Style"/>
          <w:b/>
          <w:color w:val="000000"/>
          <w:sz w:val="22"/>
          <w:szCs w:val="22"/>
        </w:rPr>
        <w:t>Corte Constitucional.</w:t>
      </w:r>
      <w:r w:rsidRPr="00EA2C95">
        <w:rPr>
          <w:rFonts w:ascii="Bookman Old Style" w:eastAsia="Bookman Old Style" w:hAnsi="Bookman Old Style" w:cs="Bookman Old Style"/>
          <w:color w:val="000000"/>
          <w:sz w:val="22"/>
          <w:szCs w:val="22"/>
        </w:rPr>
        <w:t xml:space="preserve"> Demanda de inconstitucionalidad contra los artículos 14 y 15 (parciales) de la Ley 916 de 2004 </w:t>
      </w:r>
      <w:r w:rsidRPr="00EA2C95">
        <w:rPr>
          <w:rFonts w:ascii="Bookman Old Style" w:eastAsia="Bookman Old Style" w:hAnsi="Bookman Old Style" w:cs="Bookman Old Style"/>
          <w:i/>
          <w:color w:val="000000"/>
          <w:sz w:val="22"/>
          <w:szCs w:val="22"/>
        </w:rPr>
        <w:t>“por la cual se establece el Reglamento Nacional Taurino.”</w:t>
      </w:r>
      <w:r w:rsidRPr="00EA2C95">
        <w:rPr>
          <w:rFonts w:ascii="Bookman Old Style" w:eastAsia="Bookman Old Style" w:hAnsi="Bookman Old Style" w:cs="Bookman Old Style"/>
          <w:color w:val="000000"/>
          <w:sz w:val="22"/>
          <w:szCs w:val="22"/>
        </w:rPr>
        <w:t xml:space="preserve">  Esto en tanto considera la accionante que limita las facultades de las entidades territoriales para </w:t>
      </w:r>
      <w:r w:rsidRPr="00EA2C95">
        <w:rPr>
          <w:rFonts w:ascii="Bookman Old Style" w:eastAsia="Bookman Old Style" w:hAnsi="Bookman Old Style" w:cs="Bookman Old Style"/>
          <w:color w:val="000000"/>
          <w:sz w:val="22"/>
          <w:szCs w:val="22"/>
        </w:rPr>
        <w:lastRenderedPageBreak/>
        <w:t>determinar la procedencia de la realización de corridas de toros. Esta sentencia retoma lo dispuesto en la C-666 de 2010 y al respecto refiere, que:</w:t>
      </w:r>
    </w:p>
    <w:p w14:paraId="2FBD6F8C" w14:textId="77777777" w:rsidR="00756FAE" w:rsidRPr="00EA2C95" w:rsidRDefault="00756FAE">
      <w:pPr>
        <w:pBdr>
          <w:top w:val="nil"/>
          <w:left w:val="nil"/>
          <w:bottom w:val="nil"/>
          <w:right w:val="nil"/>
          <w:between w:val="nil"/>
        </w:pBdr>
        <w:ind w:left="720"/>
        <w:jc w:val="both"/>
        <w:rPr>
          <w:rFonts w:ascii="Bookman Old Style" w:eastAsia="Bookman Old Style" w:hAnsi="Bookman Old Style" w:cs="Bookman Old Style"/>
          <w:color w:val="000000"/>
          <w:sz w:val="22"/>
          <w:szCs w:val="22"/>
        </w:rPr>
      </w:pPr>
    </w:p>
    <w:p w14:paraId="116D248E" w14:textId="77777777" w:rsidR="00756FAE" w:rsidRPr="00EA2C95" w:rsidRDefault="00EA2C95">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sidRPr="00EA2C95">
        <w:rPr>
          <w:rFonts w:ascii="Bookman Old Style" w:eastAsia="Bookman Old Style" w:hAnsi="Bookman Old Style" w:cs="Bookman Old Style"/>
          <w:i/>
          <w:color w:val="000000"/>
          <w:sz w:val="22"/>
          <w:szCs w:val="22"/>
        </w:rPr>
        <w:t>Como se observa, de las decisiones C-1192/05 y C-666/10 se colige que la jurisprudencia constitucional advierte que concurre una previsión legislativa de reconocimiento de las corridas de toros como una expresión tradicional que integra el patrimonio cultural de la Nación.  Con todo, en tanto esa práctica involucra maltrato animal, contradice el mandato superior de protección al medio ambiente, a través de la garantía del</w:t>
      </w:r>
      <w:r w:rsidRPr="00EA2C95">
        <w:rPr>
          <w:i/>
          <w:color w:val="000000"/>
          <w:sz w:val="22"/>
          <w:szCs w:val="22"/>
        </w:rPr>
        <w:t> </w:t>
      </w:r>
      <w:r w:rsidRPr="00EA2C95">
        <w:rPr>
          <w:rFonts w:ascii="Bookman Old Style" w:eastAsia="Bookman Old Style" w:hAnsi="Bookman Old Style" w:cs="Bookman Old Style"/>
          <w:i/>
          <w:color w:val="000000"/>
          <w:sz w:val="22"/>
          <w:szCs w:val="22"/>
        </w:rPr>
        <w:t>bienestar animal.  Por ende, se hace necesario imponer restricciones, también de naturaleza constitucional, sobre dichas actividades.  Estas limitaciones responden a dos planos diferenciados: (i) la exigencia de carácter cualificado a la práctica cultural, en términos de arraigo, localización, oportunidad y excepcionalidad, excluyéndose el reconocimiento estatal a las demás expresiones que no respondan a estos criterios; y (ii) el deber estatal de adelantar acciones que desincentiven las prácticas culturales que incorporan maltrato o tratos crueles a los animales.</w:t>
      </w:r>
    </w:p>
    <w:p w14:paraId="23201522" w14:textId="77777777" w:rsidR="00756FAE" w:rsidRPr="00EA2C95" w:rsidRDefault="00756FAE">
      <w:pPr>
        <w:pBdr>
          <w:top w:val="nil"/>
          <w:left w:val="nil"/>
          <w:bottom w:val="nil"/>
          <w:right w:val="nil"/>
          <w:between w:val="nil"/>
        </w:pBdr>
        <w:ind w:left="720"/>
        <w:jc w:val="both"/>
        <w:rPr>
          <w:rFonts w:ascii="Bookman Old Style" w:eastAsia="Bookman Old Style" w:hAnsi="Bookman Old Style" w:cs="Bookman Old Style"/>
          <w:i/>
          <w:color w:val="000000"/>
          <w:sz w:val="22"/>
          <w:szCs w:val="22"/>
        </w:rPr>
      </w:pPr>
    </w:p>
    <w:p w14:paraId="20D78003"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 xml:space="preserve">Más adelante, frente a la posibilidad de prohibir las actividades culturales que implican maltrato animal, y frente al cargo de inconstitucionalidad que sustentó el pronunciamiento, la Corte dispuso lo siguiente: </w:t>
      </w:r>
    </w:p>
    <w:p w14:paraId="0656B195" w14:textId="77777777" w:rsidR="00756FAE" w:rsidRPr="00EA2C95" w:rsidRDefault="00756FAE">
      <w:pPr>
        <w:pBdr>
          <w:top w:val="nil"/>
          <w:left w:val="nil"/>
          <w:bottom w:val="nil"/>
          <w:right w:val="nil"/>
          <w:between w:val="nil"/>
        </w:pBdr>
        <w:ind w:left="720"/>
        <w:jc w:val="both"/>
        <w:rPr>
          <w:rFonts w:ascii="Bookman Old Style" w:eastAsia="Bookman Old Style" w:hAnsi="Bookman Old Style" w:cs="Bookman Old Style"/>
          <w:color w:val="000000"/>
          <w:sz w:val="22"/>
          <w:szCs w:val="22"/>
        </w:rPr>
      </w:pPr>
    </w:p>
    <w:p w14:paraId="46E76756" w14:textId="77777777" w:rsidR="00756FAE" w:rsidRPr="00EA2C95" w:rsidRDefault="00EA2C95">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sidRPr="00EA2C95">
        <w:rPr>
          <w:rFonts w:ascii="Bookman Old Style" w:eastAsia="Bookman Old Style" w:hAnsi="Bookman Old Style" w:cs="Bookman Old Style"/>
          <w:i/>
          <w:color w:val="000000"/>
          <w:sz w:val="22"/>
          <w:szCs w:val="22"/>
        </w:rPr>
        <w:t>“(…) las autoridades locales carecen de un soporte normativo que las lleve a concluir que la actividad taurina está prohibida in genere. En contrario, se trata de un espectáculo avalado por las normas legales, pero que ha sido sometido a restricciones estrictas y específicas por parte de la Corte, en aras de hacerlo compatible con las prescripciones constitucionales relacionadas con la protección del medio ambiente.  En ese sentido, comparte unidad de sentido con otra serie de actividades que si bien no están constitucional o legalmente prohibidas, sí se someten válidamente a limitaciones, incluso intensas, pues existe el interés de desincentivarlas, como sucede con el consumo de tabaco o de bebidas embriagantes.</w:t>
      </w:r>
      <w:hyperlink r:id="rId11" w:anchor="_ftn32">
        <w:r w:rsidRPr="00EA2C95">
          <w:rPr>
            <w:rFonts w:ascii="Bookman Old Style" w:eastAsia="Bookman Old Style" w:hAnsi="Bookman Old Style" w:cs="Bookman Old Style"/>
            <w:i/>
            <w:color w:val="000000"/>
            <w:sz w:val="22"/>
            <w:szCs w:val="22"/>
          </w:rPr>
          <w:t>[32]</w:t>
        </w:r>
      </w:hyperlink>
      <w:r w:rsidRPr="00EA2C95">
        <w:rPr>
          <w:rFonts w:ascii="Bookman Old Style" w:eastAsia="Bookman Old Style" w:hAnsi="Bookman Old Style" w:cs="Bookman Old Style"/>
          <w:i/>
          <w:color w:val="000000"/>
          <w:sz w:val="22"/>
          <w:szCs w:val="22"/>
        </w:rPr>
        <w:t> A su vez, como se trata de una actividad controversial y que compromete posiciones jurídicas constitucionalmente relevantes, bien puede ser restringida por el legislador, al grado de prohibición general.  Sin embargo, consideraciones básicas derivadas de la eficacia del principio democrático, exigen que esas decisiones estén precedidas del debate propio de las normas legales.”</w:t>
      </w:r>
    </w:p>
    <w:p w14:paraId="36742FA6" w14:textId="77777777" w:rsidR="00756FAE" w:rsidRPr="00EA2C95" w:rsidRDefault="00756FAE">
      <w:pPr>
        <w:pBdr>
          <w:top w:val="nil"/>
          <w:left w:val="nil"/>
          <w:bottom w:val="nil"/>
          <w:right w:val="nil"/>
          <w:between w:val="nil"/>
        </w:pBdr>
        <w:ind w:left="720"/>
        <w:jc w:val="both"/>
        <w:rPr>
          <w:rFonts w:ascii="Bookman Old Style" w:eastAsia="Bookman Old Style" w:hAnsi="Bookman Old Style" w:cs="Bookman Old Style"/>
          <w:i/>
          <w:color w:val="000000"/>
          <w:sz w:val="22"/>
          <w:szCs w:val="22"/>
        </w:rPr>
      </w:pPr>
    </w:p>
    <w:p w14:paraId="2254D23E"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 xml:space="preserve">Finalmente, la Corte determina los criterios que se deben cumplir para poder realizar una corrida de toros, de conformidad con el Reglamento Nacional Taurino </w:t>
      </w:r>
      <w:r w:rsidRPr="00EA2C95">
        <w:rPr>
          <w:rFonts w:ascii="Bookman Old Style" w:eastAsia="Bookman Old Style" w:hAnsi="Bookman Old Style" w:cs="Bookman Old Style"/>
          <w:color w:val="000000"/>
          <w:sz w:val="22"/>
          <w:szCs w:val="22"/>
        </w:rPr>
        <w:lastRenderedPageBreak/>
        <w:t xml:space="preserve">y declara la </w:t>
      </w:r>
      <w:proofErr w:type="spellStart"/>
      <w:r w:rsidRPr="00EA2C95">
        <w:rPr>
          <w:rFonts w:ascii="Bookman Old Style" w:eastAsia="Bookman Old Style" w:hAnsi="Bookman Old Style" w:cs="Bookman Old Style"/>
          <w:color w:val="000000"/>
          <w:sz w:val="22"/>
          <w:szCs w:val="22"/>
        </w:rPr>
        <w:t>exequibilidad</w:t>
      </w:r>
      <w:proofErr w:type="spellEnd"/>
      <w:r w:rsidRPr="00EA2C95">
        <w:rPr>
          <w:rFonts w:ascii="Bookman Old Style" w:eastAsia="Bookman Old Style" w:hAnsi="Bookman Old Style" w:cs="Bookman Old Style"/>
          <w:color w:val="000000"/>
          <w:sz w:val="22"/>
          <w:szCs w:val="22"/>
        </w:rPr>
        <w:t xml:space="preserve"> de la norma acusada bajo los criterios ya reseñados en la sentencia C-666 de 2010.</w:t>
      </w:r>
    </w:p>
    <w:p w14:paraId="2B124D52"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782D107D"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b/>
          <w:color w:val="000000"/>
          <w:sz w:val="22"/>
          <w:szCs w:val="22"/>
        </w:rPr>
        <w:t>Fallo 22592 de 2012</w:t>
      </w:r>
      <w:r w:rsidRPr="00EA2C95">
        <w:rPr>
          <w:rFonts w:ascii="Bookman Old Style" w:eastAsia="Bookman Old Style" w:hAnsi="Bookman Old Style" w:cs="Bookman Old Style"/>
          <w:color w:val="000000"/>
          <w:sz w:val="22"/>
          <w:szCs w:val="22"/>
        </w:rPr>
        <w:t xml:space="preserve">. </w:t>
      </w:r>
      <w:r w:rsidRPr="00EA2C95">
        <w:rPr>
          <w:rFonts w:ascii="Bookman Old Style" w:eastAsia="Bookman Old Style" w:hAnsi="Bookman Old Style" w:cs="Bookman Old Style"/>
          <w:b/>
          <w:color w:val="000000"/>
          <w:sz w:val="22"/>
          <w:szCs w:val="22"/>
        </w:rPr>
        <w:t>Consejo de Estado</w:t>
      </w:r>
      <w:r w:rsidRPr="00EA2C95">
        <w:rPr>
          <w:rFonts w:ascii="Bookman Old Style" w:eastAsia="Bookman Old Style" w:hAnsi="Bookman Old Style" w:cs="Bookman Old Style"/>
          <w:color w:val="000000"/>
          <w:sz w:val="22"/>
          <w:szCs w:val="22"/>
        </w:rPr>
        <w:t>. Sus implicaciones complementan el reconocimiento sobre la sintiencia (Capacidad de sentir placer y dolor) de los animales que hizo la Corte Constitucional en la Sentencia 666 de 2010. Es armónico con la Sentencia 666 de 2010, que limitó de manera considerable el ejercicio de la tauromaquia en Colombia, reconociéndola como un acto cruel que debe ir desapareciendo con el tiempo, a la par que resalta una serie de medidas que llevan a proteger a los animales partícipes. Lo anterior, va en dirección del espíritu consagrado en los anales de la Ley 84 de 1989 – Estatuto Nacional de Protección a los Animales, que a pesar de sus expresas y controversiales excepciones, donde se incluye la tauromaquia, sí pone de manifiesto la necesidad de una mayor evolución moral, de modo que logre abarcar y no discrimine a ninguna especie animal.</w:t>
      </w:r>
    </w:p>
    <w:p w14:paraId="73DE731C" w14:textId="77777777" w:rsidR="00756FAE" w:rsidRPr="00EA2C95" w:rsidRDefault="00756FAE">
      <w:pPr>
        <w:pBdr>
          <w:top w:val="nil"/>
          <w:left w:val="nil"/>
          <w:bottom w:val="nil"/>
          <w:right w:val="nil"/>
          <w:between w:val="nil"/>
        </w:pBdr>
        <w:ind w:left="720"/>
        <w:jc w:val="both"/>
        <w:rPr>
          <w:rFonts w:ascii="Bookman Old Style" w:eastAsia="Bookman Old Style" w:hAnsi="Bookman Old Style" w:cs="Bookman Old Style"/>
          <w:color w:val="000000"/>
          <w:sz w:val="22"/>
          <w:szCs w:val="22"/>
        </w:rPr>
      </w:pPr>
    </w:p>
    <w:p w14:paraId="37F2E1FF"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b/>
          <w:color w:val="000000"/>
          <w:sz w:val="22"/>
          <w:szCs w:val="22"/>
        </w:rPr>
      </w:pPr>
      <w:r w:rsidRPr="00EA2C95">
        <w:rPr>
          <w:rFonts w:ascii="Bookman Old Style" w:eastAsia="Bookman Old Style" w:hAnsi="Bookman Old Style" w:cs="Bookman Old Style"/>
          <w:b/>
          <w:color w:val="000000"/>
          <w:sz w:val="22"/>
          <w:szCs w:val="22"/>
        </w:rPr>
        <w:t>Sentencia C-283 de 2014. Corte Constitucional.</w:t>
      </w:r>
      <w:r w:rsidRPr="00EA2C95">
        <w:rPr>
          <w:rFonts w:ascii="Bookman Old Style" w:eastAsia="Bookman Old Style" w:hAnsi="Bookman Old Style" w:cs="Bookman Old Style"/>
          <w:color w:val="000000"/>
          <w:sz w:val="22"/>
          <w:szCs w:val="22"/>
        </w:rPr>
        <w:t xml:space="preserve"> Demanda de inconstitucionalidad contra la Ley 1638 de 2013 que prohibió el uso de animales silvestres, nativos o exóticos, en espectáculos de circos fijos e itinerantes, en todo el territorio nacional. </w:t>
      </w:r>
    </w:p>
    <w:p w14:paraId="7BD4D1F8" w14:textId="77777777" w:rsidR="00756FAE" w:rsidRPr="00EA2C95" w:rsidRDefault="00756FAE">
      <w:pPr>
        <w:pBdr>
          <w:top w:val="nil"/>
          <w:left w:val="nil"/>
          <w:bottom w:val="nil"/>
          <w:right w:val="nil"/>
          <w:between w:val="nil"/>
        </w:pBdr>
        <w:ind w:left="720"/>
        <w:rPr>
          <w:rFonts w:ascii="Bookman Old Style" w:eastAsia="Bookman Old Style" w:hAnsi="Bookman Old Style" w:cs="Bookman Old Style"/>
          <w:color w:val="000000"/>
          <w:sz w:val="22"/>
          <w:szCs w:val="22"/>
        </w:rPr>
      </w:pPr>
    </w:p>
    <w:p w14:paraId="2E880B3C"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 xml:space="preserve">La Corte declaró la </w:t>
      </w:r>
      <w:proofErr w:type="spellStart"/>
      <w:r w:rsidRPr="00EA2C95">
        <w:rPr>
          <w:rFonts w:ascii="Bookman Old Style" w:eastAsia="Bookman Old Style" w:hAnsi="Bookman Old Style" w:cs="Bookman Old Style"/>
          <w:color w:val="000000"/>
          <w:sz w:val="22"/>
          <w:szCs w:val="22"/>
        </w:rPr>
        <w:t>exequibilidad</w:t>
      </w:r>
      <w:proofErr w:type="spellEnd"/>
      <w:r w:rsidRPr="00EA2C95">
        <w:rPr>
          <w:rFonts w:ascii="Bookman Old Style" w:eastAsia="Bookman Old Style" w:hAnsi="Bookman Old Style" w:cs="Bookman Old Style"/>
          <w:color w:val="000000"/>
          <w:sz w:val="22"/>
          <w:szCs w:val="22"/>
        </w:rPr>
        <w:t xml:space="preserve"> de las normas demandadas, resaltando que fueron </w:t>
      </w:r>
      <w:r w:rsidRPr="00EA2C95">
        <w:rPr>
          <w:rFonts w:ascii="Bookman Old Style" w:eastAsia="Bookman Old Style" w:hAnsi="Bookman Old Style" w:cs="Bookman Old Style"/>
          <w:sz w:val="22"/>
          <w:szCs w:val="22"/>
        </w:rPr>
        <w:t>proferidas</w:t>
      </w:r>
      <w:r w:rsidRPr="00EA2C95">
        <w:rPr>
          <w:rFonts w:ascii="Bookman Old Style" w:eastAsia="Bookman Old Style" w:hAnsi="Bookman Old Style" w:cs="Bookman Old Style"/>
          <w:color w:val="000000"/>
          <w:sz w:val="22"/>
          <w:szCs w:val="22"/>
        </w:rPr>
        <w:t xml:space="preserve"> en cumplimiento del mandato constitucional de protección al ambiente y a los animales.</w:t>
      </w:r>
    </w:p>
    <w:p w14:paraId="3423C541" w14:textId="77777777" w:rsidR="00756FAE" w:rsidRPr="00EA2C95" w:rsidRDefault="00756FAE">
      <w:pPr>
        <w:pBdr>
          <w:top w:val="nil"/>
          <w:left w:val="nil"/>
          <w:bottom w:val="nil"/>
          <w:right w:val="nil"/>
          <w:between w:val="nil"/>
        </w:pBdr>
        <w:ind w:left="720"/>
        <w:jc w:val="both"/>
        <w:rPr>
          <w:rFonts w:ascii="Bookman Old Style" w:eastAsia="Bookman Old Style" w:hAnsi="Bookman Old Style" w:cs="Bookman Old Style"/>
          <w:color w:val="000000"/>
          <w:sz w:val="22"/>
          <w:szCs w:val="22"/>
        </w:rPr>
      </w:pPr>
    </w:p>
    <w:p w14:paraId="5B531AE4"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Sobre este asunto y después de realizar un recuento sobre las normas constitucionales que tratan sobre estos asuntos, los instrumentos internacionales que se han ocupado sobre la materia y las razones para prohibir el uso de animales en este tipo de espectáculos, el Alto Tribunal resaltó:</w:t>
      </w:r>
    </w:p>
    <w:p w14:paraId="1E3B7339" w14:textId="77777777" w:rsidR="00756FAE" w:rsidRPr="00EA2C95" w:rsidRDefault="00756FAE">
      <w:pPr>
        <w:pBdr>
          <w:top w:val="nil"/>
          <w:left w:val="nil"/>
          <w:bottom w:val="nil"/>
          <w:right w:val="nil"/>
          <w:between w:val="nil"/>
        </w:pBdr>
        <w:ind w:left="720"/>
        <w:jc w:val="both"/>
        <w:rPr>
          <w:rFonts w:ascii="Bookman Old Style" w:eastAsia="Bookman Old Style" w:hAnsi="Bookman Old Style" w:cs="Bookman Old Style"/>
          <w:color w:val="000000"/>
          <w:sz w:val="22"/>
          <w:szCs w:val="22"/>
        </w:rPr>
      </w:pPr>
    </w:p>
    <w:p w14:paraId="69C015BD" w14:textId="77777777" w:rsidR="00756FAE" w:rsidRPr="00EA2C95" w:rsidRDefault="00EA2C95">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bookmarkStart w:id="1" w:name="_heading=h.30j0zll" w:colFirst="0" w:colLast="0"/>
      <w:bookmarkEnd w:id="1"/>
      <w:r w:rsidRPr="00EA2C95">
        <w:rPr>
          <w:rFonts w:ascii="Bookman Old Style" w:eastAsia="Bookman Old Style" w:hAnsi="Bookman Old Style" w:cs="Bookman Old Style"/>
          <w:i/>
          <w:color w:val="000000"/>
          <w:sz w:val="22"/>
          <w:szCs w:val="22"/>
        </w:rPr>
        <w:t>“Tales preceptos constitucionales muestran la relevancia del interés superior del medio ambiente -Carta ecológica- como bien a proteger por sí mismo, además de la relación estrecha con los seres de la tierra. Una mayor consciencia, efectividad y drasticidad en la política defensora de la fauna silvestre se constituye en un imperativo. Los peligros y daños ambientales (maltrato animal-progresiva desaparición de la fauna) plantean la necesidad de normar los procesos bajo la neutralización del daño ambiental y la adopción de medidas oportunas eficaces aunque no exista certeza del daño.</w:t>
      </w:r>
      <w:hyperlink r:id="rId12" w:anchor="_ftn242">
        <w:r w:rsidRPr="00EA2C95">
          <w:rPr>
            <w:rFonts w:ascii="Bookman Old Style" w:eastAsia="Bookman Old Style" w:hAnsi="Bookman Old Style" w:cs="Bookman Old Style"/>
            <w:i/>
            <w:color w:val="000000"/>
            <w:sz w:val="22"/>
            <w:szCs w:val="22"/>
          </w:rPr>
          <w:t>[242]</w:t>
        </w:r>
      </w:hyperlink>
      <w:r w:rsidRPr="00EA2C95">
        <w:rPr>
          <w:rFonts w:ascii="Bookman Old Style" w:eastAsia="Bookman Old Style" w:hAnsi="Bookman Old Style" w:cs="Bookman Old Style"/>
          <w:i/>
          <w:color w:val="000000"/>
          <w:sz w:val="22"/>
          <w:szCs w:val="22"/>
        </w:rPr>
        <w:t xml:space="preserve"> La interconexión con las demás formas de vida, el acceso apropiado a los recursos biológicos y genéticos, el respeto </w:t>
      </w:r>
      <w:r w:rsidRPr="00EA2C95">
        <w:rPr>
          <w:rFonts w:ascii="Bookman Old Style" w:eastAsia="Bookman Old Style" w:hAnsi="Bookman Old Style" w:cs="Bookman Old Style"/>
          <w:i/>
          <w:color w:val="000000"/>
          <w:sz w:val="22"/>
          <w:szCs w:val="22"/>
        </w:rPr>
        <w:lastRenderedPageBreak/>
        <w:t>por el conocimiento tradicional y la protección de la biósfera y biodiversidad, habrán de atenderse por la humanidad</w:t>
      </w:r>
      <w:r w:rsidRPr="00EA2C95">
        <w:rPr>
          <w:rFonts w:ascii="Bookman Old Style" w:eastAsia="Bookman Old Style" w:hAnsi="Bookman Old Style" w:cs="Bookman Old Style"/>
          <w:i/>
          <w:color w:val="000000"/>
          <w:sz w:val="22"/>
          <w:szCs w:val="22"/>
          <w:vertAlign w:val="superscript"/>
        </w:rPr>
        <w:footnoteReference w:id="6"/>
      </w:r>
      <w:r w:rsidRPr="00EA2C95">
        <w:rPr>
          <w:rFonts w:ascii="Bookman Old Style" w:eastAsia="Bookman Old Style" w:hAnsi="Bookman Old Style" w:cs="Bookman Old Style"/>
          <w:i/>
          <w:color w:val="000000"/>
          <w:sz w:val="22"/>
          <w:szCs w:val="22"/>
        </w:rPr>
        <w:t xml:space="preserve">”. </w:t>
      </w:r>
    </w:p>
    <w:p w14:paraId="090EF12B" w14:textId="77777777" w:rsidR="00756FAE" w:rsidRPr="00EA2C95" w:rsidRDefault="00756FAE">
      <w:pPr>
        <w:pBdr>
          <w:top w:val="nil"/>
          <w:left w:val="nil"/>
          <w:bottom w:val="nil"/>
          <w:right w:val="nil"/>
          <w:between w:val="nil"/>
        </w:pBdr>
        <w:ind w:left="720"/>
        <w:jc w:val="both"/>
        <w:rPr>
          <w:rFonts w:ascii="Bookman Old Style" w:eastAsia="Bookman Old Style" w:hAnsi="Bookman Old Style" w:cs="Bookman Old Style"/>
          <w:color w:val="000000"/>
          <w:sz w:val="22"/>
          <w:szCs w:val="22"/>
        </w:rPr>
      </w:pPr>
    </w:p>
    <w:p w14:paraId="1D46BB9D"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b/>
          <w:color w:val="000000"/>
          <w:sz w:val="22"/>
          <w:szCs w:val="22"/>
        </w:rPr>
      </w:pPr>
      <w:r w:rsidRPr="00EA2C95">
        <w:rPr>
          <w:rFonts w:ascii="Bookman Old Style" w:eastAsia="Bookman Old Style" w:hAnsi="Bookman Old Style" w:cs="Bookman Old Style"/>
          <w:color w:val="000000"/>
          <w:sz w:val="22"/>
          <w:szCs w:val="22"/>
        </w:rPr>
        <w:t xml:space="preserve">En suma, la Corte determinó la existencia de un fin constitucionalmente válido en la ley demandada, al propender por la preservación del medio ambiente a través de la protección de los animales silvestres. </w:t>
      </w:r>
    </w:p>
    <w:p w14:paraId="3D984A54"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16685F9F"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b/>
          <w:color w:val="000000"/>
          <w:sz w:val="22"/>
          <w:szCs w:val="22"/>
        </w:rPr>
        <w:t>Sentencia C-467 de 2016.</w:t>
      </w:r>
      <w:r w:rsidRPr="00EA2C95">
        <w:rPr>
          <w:rFonts w:ascii="Bookman Old Style" w:eastAsia="Bookman Old Style" w:hAnsi="Bookman Old Style" w:cs="Bookman Old Style"/>
          <w:color w:val="000000"/>
          <w:sz w:val="22"/>
          <w:szCs w:val="22"/>
        </w:rPr>
        <w:t xml:space="preserve"> </w:t>
      </w:r>
      <w:r w:rsidRPr="00EA2C95">
        <w:rPr>
          <w:rFonts w:ascii="Bookman Old Style" w:eastAsia="Bookman Old Style" w:hAnsi="Bookman Old Style" w:cs="Bookman Old Style"/>
          <w:b/>
          <w:color w:val="000000"/>
          <w:sz w:val="22"/>
          <w:szCs w:val="22"/>
        </w:rPr>
        <w:t>Corte Constitucional.</w:t>
      </w:r>
      <w:r w:rsidRPr="00EA2C95">
        <w:rPr>
          <w:rFonts w:ascii="Bookman Old Style" w:eastAsia="Bookman Old Style" w:hAnsi="Bookman Old Style" w:cs="Bookman Old Style"/>
          <w:color w:val="000000"/>
          <w:sz w:val="22"/>
          <w:szCs w:val="22"/>
        </w:rPr>
        <w:t xml:space="preserve"> Demanda de inconstitucionalidad presentada contra los artículos 656 y 658 del Código Civil que otorgaban a los animales la calidad de bienes muebles semovientes e inmuebles por destinación. La demanda tuvo como fundamento el reconocimiento de seres sintientes realizado por el legislador a través de la Ley 1774 de 2016.</w:t>
      </w:r>
      <w:r w:rsidRPr="00EA2C95">
        <w:rPr>
          <w:rFonts w:ascii="Arial" w:eastAsia="Arial" w:hAnsi="Arial" w:cs="Arial"/>
          <w:color w:val="000000"/>
          <w:sz w:val="22"/>
          <w:szCs w:val="22"/>
        </w:rPr>
        <w:t xml:space="preserve"> </w:t>
      </w:r>
    </w:p>
    <w:p w14:paraId="3D2907D7" w14:textId="77777777" w:rsidR="00756FAE" w:rsidRPr="00EA2C95" w:rsidRDefault="00756FAE">
      <w:pPr>
        <w:pBdr>
          <w:top w:val="nil"/>
          <w:left w:val="nil"/>
          <w:bottom w:val="nil"/>
          <w:right w:val="nil"/>
          <w:between w:val="nil"/>
        </w:pBdr>
        <w:ind w:left="720"/>
        <w:jc w:val="both"/>
        <w:rPr>
          <w:rFonts w:ascii="Bookman Old Style" w:eastAsia="Bookman Old Style" w:hAnsi="Bookman Old Style" w:cs="Bookman Old Style"/>
          <w:color w:val="000000"/>
          <w:sz w:val="22"/>
          <w:szCs w:val="22"/>
        </w:rPr>
      </w:pPr>
    </w:p>
    <w:p w14:paraId="6A1E9BF8"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 xml:space="preserve">En esta oportunidad la Corte estudió las implicaciones de que los animales tuviesen doble connotación, a saber, la de bienes y la de seres sintientes, concluyendo que </w:t>
      </w:r>
      <w:r w:rsidRPr="00EA2C95">
        <w:rPr>
          <w:rFonts w:ascii="Bookman Old Style" w:eastAsia="Bookman Old Style" w:hAnsi="Bookman Old Style" w:cs="Bookman Old Style"/>
          <w:i/>
          <w:color w:val="000000"/>
          <w:sz w:val="22"/>
          <w:szCs w:val="22"/>
        </w:rPr>
        <w:t>“la definición legal que se cuestiona se proyecta exclusivamente en el escenario civil, escenario que, por su propia naturaleza, escapa a la definición del trato que deben recibir los animales como seres sintientes</w:t>
      </w:r>
      <w:r w:rsidRPr="00EA2C95">
        <w:rPr>
          <w:rFonts w:ascii="Bookman Old Style" w:eastAsia="Bookman Old Style" w:hAnsi="Bookman Old Style" w:cs="Bookman Old Style"/>
          <w:i/>
          <w:color w:val="000000"/>
          <w:sz w:val="22"/>
          <w:szCs w:val="22"/>
          <w:vertAlign w:val="superscript"/>
        </w:rPr>
        <w:footnoteReference w:id="7"/>
      </w:r>
      <w:r w:rsidRPr="00EA2C95">
        <w:rPr>
          <w:rFonts w:ascii="Bookman Old Style" w:eastAsia="Bookman Old Style" w:hAnsi="Bookman Old Style" w:cs="Bookman Old Style"/>
          <w:i/>
          <w:color w:val="000000"/>
          <w:sz w:val="22"/>
          <w:szCs w:val="22"/>
        </w:rPr>
        <w:t>”.</w:t>
      </w:r>
      <w:r w:rsidRPr="00EA2C95">
        <w:rPr>
          <w:rFonts w:ascii="Bookman Old Style" w:eastAsia="Bookman Old Style" w:hAnsi="Bookman Old Style" w:cs="Bookman Old Style"/>
          <w:color w:val="000000"/>
          <w:sz w:val="22"/>
          <w:szCs w:val="22"/>
        </w:rPr>
        <w:t xml:space="preserve"> </w:t>
      </w:r>
    </w:p>
    <w:p w14:paraId="33526345" w14:textId="77777777" w:rsidR="00756FAE" w:rsidRPr="00EA2C95" w:rsidRDefault="00756FAE">
      <w:pPr>
        <w:pBdr>
          <w:top w:val="nil"/>
          <w:left w:val="nil"/>
          <w:bottom w:val="nil"/>
          <w:right w:val="nil"/>
          <w:between w:val="nil"/>
        </w:pBdr>
        <w:ind w:left="720"/>
        <w:jc w:val="both"/>
        <w:rPr>
          <w:rFonts w:ascii="Bookman Old Style" w:eastAsia="Bookman Old Style" w:hAnsi="Bookman Old Style" w:cs="Bookman Old Style"/>
          <w:color w:val="000000"/>
          <w:sz w:val="22"/>
          <w:szCs w:val="22"/>
        </w:rPr>
      </w:pPr>
    </w:p>
    <w:p w14:paraId="7AB7104D"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 xml:space="preserve">Para llegar a esta conclusión el Alto Tribunal determinó que la protección de los animales </w:t>
      </w:r>
      <w:r w:rsidRPr="00EA2C95">
        <w:rPr>
          <w:rFonts w:ascii="Bookman Old Style" w:eastAsia="Bookman Old Style" w:hAnsi="Bookman Old Style" w:cs="Bookman Old Style"/>
          <w:i/>
          <w:color w:val="000000"/>
          <w:sz w:val="22"/>
          <w:szCs w:val="22"/>
        </w:rPr>
        <w:t>“se produce, no por vía de su calificación abstracta como seres sintientes ni como sujetos de derechos, sino con la identificación de las modalidades y de los escenarios en los que se infringe sufrimiento a los animales individualmente considerados, y con la adopción de medidas idóneas y eficaces para la erradicación de estas modalidades y escenarios en los que se produce el sufrimiento animal</w:t>
      </w:r>
      <w:r w:rsidRPr="00EA2C95">
        <w:rPr>
          <w:rFonts w:ascii="Bookman Old Style" w:eastAsia="Bookman Old Style" w:hAnsi="Bookman Old Style" w:cs="Bookman Old Style"/>
          <w:i/>
          <w:color w:val="000000"/>
          <w:sz w:val="22"/>
          <w:szCs w:val="22"/>
          <w:vertAlign w:val="superscript"/>
        </w:rPr>
        <w:footnoteReference w:id="8"/>
      </w:r>
      <w:r w:rsidRPr="00EA2C95">
        <w:rPr>
          <w:rFonts w:ascii="Bookman Old Style" w:eastAsia="Bookman Old Style" w:hAnsi="Bookman Old Style" w:cs="Bookman Old Style"/>
          <w:i/>
          <w:color w:val="000000"/>
          <w:sz w:val="22"/>
          <w:szCs w:val="22"/>
        </w:rPr>
        <w:t>.”</w:t>
      </w:r>
      <w:r w:rsidRPr="00EA2C95">
        <w:rPr>
          <w:rFonts w:ascii="Bookman Old Style" w:eastAsia="Bookman Old Style" w:hAnsi="Bookman Old Style" w:cs="Bookman Old Style"/>
          <w:color w:val="000000"/>
          <w:sz w:val="22"/>
          <w:szCs w:val="22"/>
        </w:rPr>
        <w:t xml:space="preserve"> En ese sentido, y en lo que corresponde a la función del legislador, la Corte resaltó que:</w:t>
      </w:r>
    </w:p>
    <w:p w14:paraId="5BF949B0"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058CDE8D" w14:textId="77777777" w:rsidR="00756FAE" w:rsidRPr="00EA2C95" w:rsidRDefault="00EA2C95">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sidRPr="00EA2C95">
        <w:rPr>
          <w:rFonts w:ascii="Bookman Old Style" w:eastAsia="Bookman Old Style" w:hAnsi="Bookman Old Style" w:cs="Bookman Old Style"/>
          <w:color w:val="000000"/>
          <w:sz w:val="22"/>
          <w:szCs w:val="22"/>
        </w:rPr>
        <w:t xml:space="preserve"> “</w:t>
      </w:r>
      <w:r w:rsidRPr="00EA2C95">
        <w:rPr>
          <w:rFonts w:ascii="Bookman Old Style" w:eastAsia="Bookman Old Style" w:hAnsi="Bookman Old Style" w:cs="Bookman Old Style"/>
          <w:i/>
          <w:color w:val="000000"/>
          <w:sz w:val="22"/>
          <w:szCs w:val="22"/>
        </w:rPr>
        <w:t xml:space="preserve">la intervención legislativa en estos escenarios a la luz de los estándares de bienestar animal reviste un alto nivel de complejidad, porque implica mucho más que una recalificación legal abstracta, y exige intervenir variables de orden cultural, patrones alimentarios de vieja data, y reconfigurar modelos de producción no susceptibles de ser alterados unilateral y automáticamente. Es decir, la intervención legislativa en los ámbitos en los que se produce el maltrato animal, como la producción de materias primas (carne, lácteos y pieles), la investigación y experimentación con fines científicos e industriales, la utilización de animales como fuerza de trabajo o espectáculos públicos, y la tenencia de animales domésticos y salvajes, requiere de instrumentos y herramientas </w:t>
      </w:r>
      <w:r w:rsidRPr="00EA2C95">
        <w:rPr>
          <w:rFonts w:ascii="Bookman Old Style" w:eastAsia="Bookman Old Style" w:hAnsi="Bookman Old Style" w:cs="Bookman Old Style"/>
          <w:i/>
          <w:color w:val="000000"/>
          <w:sz w:val="22"/>
          <w:szCs w:val="22"/>
        </w:rPr>
        <w:lastRenderedPageBreak/>
        <w:t>altamente sofisticadas, que rebasan por mucho la sola recalificación legal de los animales.</w:t>
      </w:r>
    </w:p>
    <w:p w14:paraId="08427322" w14:textId="77777777" w:rsidR="00756FAE" w:rsidRPr="00EA2C95" w:rsidRDefault="00756FAE">
      <w:pPr>
        <w:ind w:left="851" w:right="900"/>
        <w:jc w:val="both"/>
        <w:rPr>
          <w:rFonts w:ascii="Bookman Old Style" w:eastAsia="Bookman Old Style" w:hAnsi="Bookman Old Style" w:cs="Bookman Old Style"/>
          <w:b/>
          <w:color w:val="000000"/>
          <w:sz w:val="22"/>
          <w:szCs w:val="22"/>
        </w:rPr>
      </w:pPr>
    </w:p>
    <w:p w14:paraId="7847A3C2" w14:textId="77777777" w:rsidR="00756FAE" w:rsidRPr="00EA2C95" w:rsidRDefault="00EA2C95">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sidRPr="00EA2C95">
        <w:rPr>
          <w:rFonts w:ascii="Bookman Old Style" w:eastAsia="Bookman Old Style" w:hAnsi="Bookman Old Style" w:cs="Bookman Old Style"/>
          <w:i/>
          <w:color w:val="000000"/>
          <w:sz w:val="22"/>
          <w:szCs w:val="22"/>
        </w:rPr>
        <w:t>De hecho, en aquellos casos en los que este tribunal se ha pronunciado sobre la prohibición de maltrato animal, ha concluido que la materialización de este principio no se obtiene por vía de la variación de su status legal, considerado en abstracto, sino por vía de la adopción de medidas concretas y específicas que regularicen la actividad humana en su interacción con los animales, como la adopción de protocolos para el ejercicio de actividades que provocan sufrimiento animal, o su prohibición inmediata o progresiva</w:t>
      </w:r>
      <w:r w:rsidRPr="00EA2C95">
        <w:rPr>
          <w:rFonts w:ascii="Bookman Old Style" w:eastAsia="Bookman Old Style" w:hAnsi="Bookman Old Style" w:cs="Bookman Old Style"/>
          <w:i/>
          <w:color w:val="000000"/>
          <w:sz w:val="22"/>
          <w:szCs w:val="22"/>
          <w:vertAlign w:val="superscript"/>
        </w:rPr>
        <w:footnoteReference w:id="9"/>
      </w:r>
      <w:r w:rsidRPr="00EA2C95">
        <w:rPr>
          <w:rFonts w:ascii="Bookman Old Style" w:eastAsia="Bookman Old Style" w:hAnsi="Bookman Old Style" w:cs="Bookman Old Style"/>
          <w:i/>
          <w:color w:val="000000"/>
          <w:sz w:val="22"/>
          <w:szCs w:val="22"/>
        </w:rPr>
        <w:t>.”</w:t>
      </w:r>
    </w:p>
    <w:p w14:paraId="6F624375" w14:textId="77777777" w:rsidR="00756FAE" w:rsidRPr="00EA2C95" w:rsidRDefault="00756FAE">
      <w:pPr>
        <w:pBdr>
          <w:top w:val="nil"/>
          <w:left w:val="nil"/>
          <w:bottom w:val="nil"/>
          <w:right w:val="nil"/>
          <w:between w:val="nil"/>
        </w:pBdr>
        <w:ind w:left="720"/>
        <w:jc w:val="both"/>
        <w:rPr>
          <w:rFonts w:ascii="Bookman Old Style" w:eastAsia="Bookman Old Style" w:hAnsi="Bookman Old Style" w:cs="Bookman Old Style"/>
          <w:color w:val="000000"/>
          <w:sz w:val="22"/>
          <w:szCs w:val="22"/>
        </w:rPr>
      </w:pPr>
    </w:p>
    <w:p w14:paraId="27C2D49E"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 xml:space="preserve">Estos comentarios nuevamente, ratifican que es el Legislador el llamado a armonizar las normas actuales con los principios constitucionales de protección a los animales y que, solo el Congreso puede proceder a erradicar aquellas prácticas que constituyan maltrato animal, incluso cuando estén cobijadas por una connotación cultural. </w:t>
      </w:r>
    </w:p>
    <w:p w14:paraId="786387A3"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1D577B0B"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b/>
          <w:color w:val="000000"/>
          <w:sz w:val="22"/>
          <w:szCs w:val="22"/>
        </w:rPr>
      </w:pPr>
      <w:r w:rsidRPr="00EA2C95">
        <w:rPr>
          <w:rFonts w:ascii="Bookman Old Style" w:eastAsia="Bookman Old Style" w:hAnsi="Bookman Old Style" w:cs="Bookman Old Style"/>
          <w:b/>
          <w:color w:val="000000"/>
          <w:sz w:val="22"/>
          <w:szCs w:val="22"/>
        </w:rPr>
        <w:t xml:space="preserve">Sentencia C-041 de 2017. Corte Constitucional. </w:t>
      </w:r>
      <w:r w:rsidRPr="00EA2C95">
        <w:rPr>
          <w:rFonts w:ascii="Bookman Old Style" w:eastAsia="Bookman Old Style" w:hAnsi="Bookman Old Style" w:cs="Bookman Old Style"/>
          <w:color w:val="000000"/>
          <w:sz w:val="22"/>
          <w:szCs w:val="22"/>
        </w:rPr>
        <w:t>En esta oportunidad se demanda la expresión “menoscaben gravemente” prevista en el artículo 5º de la Ley 1774 de 2016, que adicionó el artículo 339A al Código Penal, por considerar que es ambigua. La Corte, amparada en el concepto de “tipo penal en blanco” declara exequible la norma, pero profundiza en el deber de protección de los animales, reconociendo incluso la posibilidad de que les sean predicables algunos derechos que, evidentemente, no podrán ser equiparables a los de los seres humanos.</w:t>
      </w:r>
    </w:p>
    <w:p w14:paraId="40180E2B" w14:textId="77777777" w:rsidR="00756FAE" w:rsidRPr="00EA2C95" w:rsidRDefault="00756FAE">
      <w:pPr>
        <w:pBdr>
          <w:top w:val="nil"/>
          <w:left w:val="nil"/>
          <w:bottom w:val="nil"/>
          <w:right w:val="nil"/>
          <w:between w:val="nil"/>
        </w:pBdr>
        <w:ind w:left="720"/>
        <w:jc w:val="both"/>
        <w:rPr>
          <w:rFonts w:ascii="Bookman Old Style" w:eastAsia="Bookman Old Style" w:hAnsi="Bookman Old Style" w:cs="Bookman Old Style"/>
          <w:b/>
          <w:color w:val="000000"/>
          <w:sz w:val="22"/>
          <w:szCs w:val="22"/>
        </w:rPr>
      </w:pPr>
    </w:p>
    <w:p w14:paraId="75E451CC"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Al respecto, refiere el Alto Tribunal lo siguiente:</w:t>
      </w:r>
    </w:p>
    <w:p w14:paraId="5322F891" w14:textId="77777777" w:rsidR="00756FAE" w:rsidRPr="00EA2C95" w:rsidRDefault="00756FAE">
      <w:pPr>
        <w:pBdr>
          <w:top w:val="nil"/>
          <w:left w:val="nil"/>
          <w:bottom w:val="nil"/>
          <w:right w:val="nil"/>
          <w:between w:val="nil"/>
        </w:pBdr>
        <w:ind w:left="720"/>
        <w:jc w:val="both"/>
        <w:rPr>
          <w:rFonts w:ascii="Bookman Old Style" w:eastAsia="Bookman Old Style" w:hAnsi="Bookman Old Style" w:cs="Bookman Old Style"/>
          <w:color w:val="000000"/>
          <w:sz w:val="22"/>
          <w:szCs w:val="22"/>
        </w:rPr>
      </w:pPr>
    </w:p>
    <w:p w14:paraId="7FA6BD72" w14:textId="77777777" w:rsidR="00756FAE" w:rsidRPr="00EA2C95" w:rsidRDefault="00EA2C95">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sidRPr="00EA2C95">
        <w:rPr>
          <w:rFonts w:ascii="Bookman Old Style" w:eastAsia="Bookman Old Style" w:hAnsi="Bookman Old Style" w:cs="Bookman Old Style"/>
          <w:i/>
          <w:color w:val="000000"/>
          <w:sz w:val="22"/>
          <w:szCs w:val="22"/>
        </w:rPr>
        <w:t>“(…) Aunque la Constitución no reconozca explícitamente a los animales como titulares de derechos, ello no debe entenderse como su negación, ni menos como una prohibición para su reconocimiento -innominados-. Su exigencia atiende a factores como la evolución de la humanidad y los cambios que presente una sociedad, lo cual puede llevar a la Corte a hacer visible lo que a primera vista no se avizora en la Constitución. Además, con independencia de la clasificación de los derechos en el tiempo (generacionales), forman una unidad por cuanto son interdependientes, integrales y universales.</w:t>
      </w:r>
    </w:p>
    <w:p w14:paraId="3ABEB866" w14:textId="77777777" w:rsidR="00756FAE" w:rsidRPr="00EA2C95" w:rsidRDefault="00756FAE">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p>
    <w:p w14:paraId="41B4EFCE" w14:textId="77777777" w:rsidR="00756FAE" w:rsidRPr="00EA2C95" w:rsidRDefault="00EA2C95">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sidRPr="00EA2C95">
        <w:rPr>
          <w:rFonts w:ascii="Bookman Old Style" w:eastAsia="Bookman Old Style" w:hAnsi="Bookman Old Style" w:cs="Bookman Old Style"/>
          <w:i/>
          <w:color w:val="000000"/>
          <w:sz w:val="22"/>
          <w:szCs w:val="22"/>
        </w:rPr>
        <w:t xml:space="preserve">Siendo este Tribunal el intérprete autorizado de la Carta Política (art. 241), tiene una función encomiable de hacer cierta para la realidad del Derecho la inclusión de los animales como titulares de ciertos </w:t>
      </w:r>
      <w:r w:rsidRPr="00EA2C95">
        <w:rPr>
          <w:rFonts w:ascii="Bookman Old Style" w:eastAsia="Bookman Old Style" w:hAnsi="Bookman Old Style" w:cs="Bookman Old Style"/>
          <w:i/>
          <w:color w:val="000000"/>
          <w:sz w:val="22"/>
          <w:szCs w:val="22"/>
        </w:rPr>
        <w:lastRenderedPageBreak/>
        <w:t>derechos, en la obtención de los fines esenciales y sociales del Estado constitucional (preámbulo, arts. 1o y 2o superiores). Un derecho jurídicamente establecido y definido tiene en cuenta el sistema de evidencias, representaciones colectivas y creencias de la comunidad, por lo que el criterio de la consagración expresa de un derecho resulta insuficiente para cuestionar la posición aquí adoptada. Más aún cuando se endilga un déficit de protección o circunstancias de indefensión.</w:t>
      </w:r>
    </w:p>
    <w:p w14:paraId="55608801" w14:textId="77777777" w:rsidR="00756FAE" w:rsidRPr="00EA2C95" w:rsidRDefault="00756FAE">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p>
    <w:p w14:paraId="734E63DB" w14:textId="77777777" w:rsidR="00756FAE" w:rsidRPr="00EA2C95" w:rsidRDefault="00EA2C95">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sidRPr="00EA2C95">
        <w:rPr>
          <w:rFonts w:ascii="Bookman Old Style" w:eastAsia="Bookman Old Style" w:hAnsi="Bookman Old Style" w:cs="Bookman Old Style"/>
          <w:i/>
          <w:color w:val="000000"/>
          <w:sz w:val="22"/>
          <w:szCs w:val="22"/>
        </w:rPr>
        <w:t>La cultura se transforma y revalúa constantemente en el marco de las mentalidades y de los imaginarios de una civilización, para adecuarse a la evolución de la humanidad, la realización de los derechos y el cumplimiento de los deberes, más cuando se busca desterrar rastros de una sociedad violenta que ha impuesto categorías de marginalización y dominación de determinados individuos o colectivos. Erradicar la subalternidad hacia los animales se constituye en un claro y preciso derrotero de la sociedad actual</w:t>
      </w:r>
      <w:r w:rsidRPr="00EA2C95">
        <w:rPr>
          <w:rFonts w:ascii="Bookman Old Style" w:eastAsia="Bookman Old Style" w:hAnsi="Bookman Old Style" w:cs="Bookman Old Style"/>
          <w:i/>
          <w:color w:val="000000"/>
          <w:sz w:val="22"/>
          <w:szCs w:val="22"/>
          <w:vertAlign w:val="superscript"/>
        </w:rPr>
        <w:footnoteReference w:id="10"/>
      </w:r>
      <w:r w:rsidRPr="00EA2C95">
        <w:rPr>
          <w:rFonts w:ascii="Bookman Old Style" w:eastAsia="Bookman Old Style" w:hAnsi="Bookman Old Style" w:cs="Bookman Old Style"/>
          <w:i/>
          <w:color w:val="000000"/>
          <w:sz w:val="22"/>
          <w:szCs w:val="22"/>
        </w:rPr>
        <w:t>.”</w:t>
      </w:r>
    </w:p>
    <w:p w14:paraId="2159AC11" w14:textId="77777777" w:rsidR="00756FAE" w:rsidRPr="00EA2C95" w:rsidRDefault="00756FAE">
      <w:pPr>
        <w:pBdr>
          <w:top w:val="nil"/>
          <w:left w:val="nil"/>
          <w:bottom w:val="nil"/>
          <w:right w:val="nil"/>
          <w:between w:val="nil"/>
        </w:pBdr>
        <w:ind w:left="720"/>
        <w:jc w:val="both"/>
        <w:rPr>
          <w:rFonts w:ascii="Bookman Old Style" w:eastAsia="Bookman Old Style" w:hAnsi="Bookman Old Style" w:cs="Bookman Old Style"/>
          <w:i/>
          <w:color w:val="000000"/>
          <w:sz w:val="22"/>
          <w:szCs w:val="22"/>
        </w:rPr>
      </w:pPr>
    </w:p>
    <w:p w14:paraId="082AC40C"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Siguiendo esta línea y, frente al argumento en virtud del cual no es posible reconocerles derechos a los animales en tanto no pueden reclamarlos por sí mismo, la Corte manifiesta que:</w:t>
      </w:r>
    </w:p>
    <w:p w14:paraId="6BAFB8DA" w14:textId="77777777" w:rsidR="00756FAE" w:rsidRPr="00EA2C95" w:rsidRDefault="00756FAE">
      <w:pPr>
        <w:pBdr>
          <w:top w:val="nil"/>
          <w:left w:val="nil"/>
          <w:bottom w:val="nil"/>
          <w:right w:val="nil"/>
          <w:between w:val="nil"/>
        </w:pBdr>
        <w:ind w:left="720"/>
        <w:jc w:val="both"/>
        <w:rPr>
          <w:rFonts w:ascii="Bookman Old Style" w:eastAsia="Bookman Old Style" w:hAnsi="Bookman Old Style" w:cs="Bookman Old Style"/>
          <w:color w:val="000000"/>
          <w:sz w:val="22"/>
          <w:szCs w:val="22"/>
        </w:rPr>
      </w:pPr>
    </w:p>
    <w:p w14:paraId="4F5381C0" w14:textId="77777777" w:rsidR="00756FAE" w:rsidRPr="00EA2C95" w:rsidRDefault="00EA2C95">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sidRPr="00EA2C95">
        <w:rPr>
          <w:rFonts w:ascii="Bookman Old Style" w:eastAsia="Bookman Old Style" w:hAnsi="Bookman Old Style" w:cs="Bookman Old Style"/>
          <w:i/>
          <w:color w:val="000000"/>
          <w:sz w:val="22"/>
          <w:szCs w:val="22"/>
        </w:rPr>
        <w:t>Una lógica de lo razonable permite comprender que el hecho de que los animales no puedan reclamar directamente un buen trato o el respeto por sus derechos, no significa que deba prescindirse de su garantía. Su condición de indefensión haría forzosa la figura de la representación o agencia humana, pudiendo ser un instrumento efectivo las acciones populares o incluso la acción de tutela, mientras se establece la regulación.</w:t>
      </w:r>
    </w:p>
    <w:p w14:paraId="51A574A5" w14:textId="77777777" w:rsidR="00756FAE" w:rsidRPr="00EA2C95" w:rsidRDefault="00EA2C95">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sidRPr="00EA2C95">
        <w:rPr>
          <w:rFonts w:ascii="Bookman Old Style" w:eastAsia="Bookman Old Style" w:hAnsi="Bookman Old Style" w:cs="Bookman Old Style"/>
          <w:i/>
          <w:color w:val="000000"/>
          <w:sz w:val="22"/>
          <w:szCs w:val="22"/>
        </w:rPr>
        <w:t> </w:t>
      </w:r>
    </w:p>
    <w:p w14:paraId="5378CC3C" w14:textId="77777777" w:rsidR="00756FAE" w:rsidRPr="00EA2C95" w:rsidRDefault="00EA2C95">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sidRPr="00EA2C95">
        <w:rPr>
          <w:rFonts w:ascii="Bookman Old Style" w:eastAsia="Bookman Old Style" w:hAnsi="Bookman Old Style" w:cs="Bookman Old Style"/>
          <w:i/>
          <w:color w:val="000000"/>
          <w:sz w:val="22"/>
          <w:szCs w:val="22"/>
        </w:rPr>
        <w:t xml:space="preserve">Los animales no son individuos idénticos a los humanos y no tienen </w:t>
      </w:r>
      <w:proofErr w:type="spellStart"/>
      <w:r w:rsidRPr="00EA2C95">
        <w:rPr>
          <w:rFonts w:ascii="Bookman Old Style" w:eastAsia="Bookman Old Style" w:hAnsi="Bookman Old Style" w:cs="Bookman Old Style"/>
          <w:i/>
          <w:color w:val="000000"/>
          <w:sz w:val="22"/>
          <w:szCs w:val="22"/>
        </w:rPr>
        <w:t>porqu</w:t>
      </w:r>
      <w:r w:rsidRPr="00EA2C95">
        <w:rPr>
          <w:rFonts w:ascii="Bookman Old Style" w:eastAsia="Bookman Old Style" w:hAnsi="Bookman Old Style" w:cs="Bookman Old Style"/>
          <w:i/>
          <w:sz w:val="22"/>
          <w:szCs w:val="22"/>
        </w:rPr>
        <w:t>e</w:t>
      </w:r>
      <w:proofErr w:type="spellEnd"/>
      <w:r w:rsidRPr="00EA2C95">
        <w:rPr>
          <w:rFonts w:ascii="Bookman Old Style" w:eastAsia="Bookman Old Style" w:hAnsi="Bookman Old Style" w:cs="Bookman Old Style"/>
          <w:i/>
          <w:color w:val="000000"/>
          <w:sz w:val="22"/>
          <w:szCs w:val="22"/>
        </w:rPr>
        <w:t xml:space="preserve"> serlo. La Constitución preserva las especies -humanas y no humanas- como parte del entorno ecológico, pero también es posible extraer su protección como individuos al disponer de variadas y similares capacidades y niveles de raciocinio. De las interacciones que los humanos tienen con los demás seres vivos es claro que hacemos parte del mismo ecosistema compartiendo análogas y diferentes necesidades básicas, que no se reducen a la condición de seres vivos y sintientes.</w:t>
      </w:r>
    </w:p>
    <w:p w14:paraId="5C400205" w14:textId="77777777" w:rsidR="00756FAE" w:rsidRPr="00EA2C95" w:rsidRDefault="00756FAE">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p>
    <w:p w14:paraId="1E9A6D0F" w14:textId="77777777" w:rsidR="00756FAE" w:rsidRPr="00EA2C95" w:rsidRDefault="00EA2C95">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bookmarkStart w:id="2" w:name="_heading=h.1fob9te" w:colFirst="0" w:colLast="0"/>
      <w:bookmarkEnd w:id="2"/>
      <w:r w:rsidRPr="00EA2C95">
        <w:rPr>
          <w:rFonts w:ascii="Bookman Old Style" w:eastAsia="Bookman Old Style" w:hAnsi="Bookman Old Style" w:cs="Bookman Old Style"/>
          <w:i/>
          <w:color w:val="000000"/>
          <w:sz w:val="22"/>
          <w:szCs w:val="22"/>
        </w:rPr>
        <w:lastRenderedPageBreak/>
        <w:t>Desterrar toda concepción de vida mecánica y sin racionalidad respecto de los animales permite encausarlos dentro del sentido amplio de persona. Susan Hurley</w:t>
      </w:r>
      <w:hyperlink r:id="rId13" w:anchor="_ftn142">
        <w:r w:rsidRPr="00EA2C95">
          <w:rPr>
            <w:rFonts w:ascii="Bookman Old Style" w:eastAsia="Bookman Old Style" w:hAnsi="Bookman Old Style" w:cs="Bookman Old Style"/>
            <w:i/>
            <w:color w:val="000000"/>
            <w:sz w:val="22"/>
            <w:szCs w:val="22"/>
          </w:rPr>
          <w:t>[142]</w:t>
        </w:r>
      </w:hyperlink>
      <w:r w:rsidRPr="00EA2C95">
        <w:rPr>
          <w:rFonts w:ascii="Bookman Old Style" w:eastAsia="Bookman Old Style" w:hAnsi="Bookman Old Style" w:cs="Bookman Old Style"/>
          <w:i/>
          <w:color w:val="000000"/>
          <w:sz w:val="22"/>
          <w:szCs w:val="22"/>
        </w:rPr>
        <w:t> recoge la idea que este Tribunal busca transmitir en esta decisión: "El interés en si los animales son agentes racionales no requiere que la racionalidad tenga una unidad profunda o que todos sus aspectos puedan ser comparados en un solo espectro; es un interés en varias maneras específicas en que las capacidades de los animales pueden ser continuas así como discontinuas con las nuestras”.</w:t>
      </w:r>
    </w:p>
    <w:p w14:paraId="255699DD" w14:textId="77777777" w:rsidR="00756FAE" w:rsidRPr="00EA2C95" w:rsidRDefault="00EA2C95">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sidRPr="00EA2C95">
        <w:rPr>
          <w:rFonts w:ascii="Bookman Old Style" w:eastAsia="Bookman Old Style" w:hAnsi="Bookman Old Style" w:cs="Bookman Old Style"/>
          <w:i/>
          <w:color w:val="000000"/>
          <w:sz w:val="22"/>
          <w:szCs w:val="22"/>
        </w:rPr>
        <w:t> </w:t>
      </w:r>
    </w:p>
    <w:p w14:paraId="06597CB8" w14:textId="77777777" w:rsidR="00756FAE" w:rsidRPr="00EA2C95" w:rsidRDefault="00EA2C95">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sidRPr="00EA2C95">
        <w:rPr>
          <w:rFonts w:ascii="Bookman Old Style" w:eastAsia="Bookman Old Style" w:hAnsi="Bookman Old Style" w:cs="Bookman Old Style"/>
          <w:i/>
          <w:color w:val="000000"/>
          <w:sz w:val="22"/>
          <w:szCs w:val="22"/>
        </w:rPr>
        <w:t>En conclusión, la dogmática dinámica y evolutiva impone avanzar con mecanismos más decisivos para la efectividad de los intereses de los animales, al disponer hoy de nuevos estudios científicos y mayores saberes. Es un imperativo repensar posibles horizontes y transformar las sedimentadas tradiciones cuando socavan intereses vitales y primarios de toda sociedad democrática y constitucional.</w:t>
      </w:r>
    </w:p>
    <w:p w14:paraId="3212529F" w14:textId="77777777" w:rsidR="00756FAE" w:rsidRPr="00EA2C95" w:rsidRDefault="00756FAE">
      <w:pPr>
        <w:pBdr>
          <w:top w:val="nil"/>
          <w:left w:val="nil"/>
          <w:bottom w:val="nil"/>
          <w:right w:val="nil"/>
          <w:between w:val="nil"/>
        </w:pBdr>
        <w:ind w:left="720"/>
        <w:jc w:val="both"/>
        <w:rPr>
          <w:rFonts w:ascii="Bookman Old Style" w:eastAsia="Bookman Old Style" w:hAnsi="Bookman Old Style" w:cs="Bookman Old Style"/>
          <w:i/>
          <w:color w:val="000000"/>
          <w:sz w:val="22"/>
          <w:szCs w:val="22"/>
        </w:rPr>
      </w:pPr>
    </w:p>
    <w:p w14:paraId="03F864F3"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b/>
          <w:color w:val="000000"/>
          <w:sz w:val="22"/>
          <w:szCs w:val="22"/>
        </w:rPr>
      </w:pPr>
      <w:r w:rsidRPr="00EA2C95">
        <w:rPr>
          <w:rFonts w:ascii="Bookman Old Style" w:eastAsia="Bookman Old Style" w:hAnsi="Bookman Old Style" w:cs="Bookman Old Style"/>
          <w:color w:val="000000"/>
          <w:sz w:val="22"/>
          <w:szCs w:val="22"/>
        </w:rPr>
        <w:t xml:space="preserve">Esta es tal vez la decisión más relevante en cuanto a la protección de los animales pues va más allá del reconocimiento legal y jurisprudencial de su calidad de seres sintientes, para reconocer la posibilidad de que sean declarados verdaderos sujetos de derechos, con unos límites que permitan distinguirlos de aquellos reconocidos a los seres humanos.  </w:t>
      </w:r>
    </w:p>
    <w:p w14:paraId="6B4560D1"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5FA02803"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 xml:space="preserve">Del anterior recuento jurisprudencial, es dable afirmar hoy que existen un conjunto de criterios claros con relación a la protección animal, que deben ser tenidos en cuenta por el legislador, así: </w:t>
      </w:r>
    </w:p>
    <w:p w14:paraId="1E2BDF1F"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 xml:space="preserve"> </w:t>
      </w:r>
    </w:p>
    <w:p w14:paraId="141B6E8C" w14:textId="77777777" w:rsidR="00756FAE" w:rsidRPr="00EA2C95" w:rsidRDefault="00EA2C95">
      <w:pPr>
        <w:numPr>
          <w:ilvl w:val="0"/>
          <w:numId w:val="1"/>
        </w:num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 xml:space="preserve">Existe un deber constitucional y moral de evitar sufrimiento a los animales, motivo por el cual, en diversos momentos, el Legislador ha establecido sanciones a aquellas personas que causen daños físicos a los “animales no humanos”. </w:t>
      </w:r>
    </w:p>
    <w:p w14:paraId="7B6CB2DE" w14:textId="77777777" w:rsidR="00756FAE" w:rsidRPr="00EA2C95" w:rsidRDefault="00756FAE">
      <w:pPr>
        <w:pBdr>
          <w:top w:val="nil"/>
          <w:left w:val="nil"/>
          <w:bottom w:val="nil"/>
          <w:right w:val="nil"/>
          <w:between w:val="nil"/>
        </w:pBdr>
        <w:ind w:left="720"/>
        <w:jc w:val="both"/>
        <w:rPr>
          <w:rFonts w:ascii="Bookman Old Style" w:eastAsia="Bookman Old Style" w:hAnsi="Bookman Old Style" w:cs="Bookman Old Style"/>
          <w:color w:val="000000"/>
          <w:sz w:val="22"/>
          <w:szCs w:val="22"/>
        </w:rPr>
      </w:pPr>
    </w:p>
    <w:p w14:paraId="1416EFD4" w14:textId="77777777" w:rsidR="00756FAE" w:rsidRPr="00EA2C95" w:rsidRDefault="00EA2C95">
      <w:pPr>
        <w:numPr>
          <w:ilvl w:val="0"/>
          <w:numId w:val="1"/>
        </w:num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La regla general del comportamiento humano frente a la naturaleza (incluida la fauna y la flora), es el de cuidado y protección. En esa medida, la Ley no puede contener conductas que representen actos de crueldad para con los animales.</w:t>
      </w:r>
    </w:p>
    <w:p w14:paraId="4EFB512F" w14:textId="77777777" w:rsidR="00756FAE" w:rsidRPr="00EA2C95" w:rsidRDefault="00756FAE">
      <w:pPr>
        <w:pBdr>
          <w:top w:val="nil"/>
          <w:left w:val="nil"/>
          <w:bottom w:val="nil"/>
          <w:right w:val="nil"/>
          <w:between w:val="nil"/>
        </w:pBdr>
        <w:ind w:left="720"/>
        <w:jc w:val="both"/>
        <w:rPr>
          <w:rFonts w:ascii="Bookman Old Style" w:eastAsia="Bookman Old Style" w:hAnsi="Bookman Old Style" w:cs="Bookman Old Style"/>
          <w:color w:val="000000"/>
          <w:sz w:val="22"/>
          <w:szCs w:val="22"/>
        </w:rPr>
      </w:pPr>
    </w:p>
    <w:p w14:paraId="1A66689E" w14:textId="77777777" w:rsidR="00756FAE" w:rsidRPr="00EA2C95" w:rsidRDefault="00EA2C95">
      <w:pPr>
        <w:numPr>
          <w:ilvl w:val="0"/>
          <w:numId w:val="1"/>
        </w:num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 xml:space="preserve">De las disposiciones constitucionales surgen obligaciones que condicionan el comportamiento de los seres humanos y que conllevan al respeto de los animales, de forma que los operadores del derecho (ya sean legisladores, jueces o funcionarios de la administración) tienen la obligación de tener en cuenta, dentro de sus actuaciones, la dignidad de los animales no humanos en tanto seres sintientes.  </w:t>
      </w:r>
    </w:p>
    <w:p w14:paraId="65C8487E" w14:textId="77777777" w:rsidR="00756FAE" w:rsidRPr="00EA2C95" w:rsidRDefault="00756FAE">
      <w:pPr>
        <w:pBdr>
          <w:top w:val="nil"/>
          <w:left w:val="nil"/>
          <w:bottom w:val="nil"/>
          <w:right w:val="nil"/>
          <w:between w:val="nil"/>
        </w:pBdr>
        <w:ind w:left="720"/>
        <w:rPr>
          <w:rFonts w:ascii="Bookman Old Style" w:eastAsia="Bookman Old Style" w:hAnsi="Bookman Old Style" w:cs="Bookman Old Style"/>
          <w:color w:val="000000"/>
          <w:sz w:val="22"/>
          <w:szCs w:val="22"/>
        </w:rPr>
      </w:pPr>
    </w:p>
    <w:p w14:paraId="4F91F478" w14:textId="77777777" w:rsidR="00756FAE" w:rsidRPr="00EA2C95" w:rsidRDefault="00EA2C95">
      <w:pPr>
        <w:numPr>
          <w:ilvl w:val="0"/>
          <w:numId w:val="1"/>
        </w:num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 xml:space="preserve">El Deber de protección refleja un contenido de moral política y conciencia de la responsabilidad que deben tener los seres humanos respecto de los </w:t>
      </w:r>
      <w:r w:rsidRPr="00EA2C95">
        <w:rPr>
          <w:rFonts w:ascii="Bookman Old Style" w:eastAsia="Bookman Old Style" w:hAnsi="Bookman Old Style" w:cs="Bookman Old Style"/>
          <w:i/>
          <w:color w:val="000000"/>
          <w:sz w:val="22"/>
          <w:szCs w:val="22"/>
        </w:rPr>
        <w:t>otros</w:t>
      </w:r>
      <w:r w:rsidRPr="00EA2C95">
        <w:rPr>
          <w:rFonts w:ascii="Bookman Old Style" w:eastAsia="Bookman Old Style" w:hAnsi="Bookman Old Style" w:cs="Bookman Old Style"/>
          <w:color w:val="000000"/>
          <w:sz w:val="22"/>
          <w:szCs w:val="22"/>
        </w:rPr>
        <w:t xml:space="preserve"> seres vivos y sintientes. </w:t>
      </w:r>
    </w:p>
    <w:p w14:paraId="2D5C929C" w14:textId="77777777" w:rsidR="00756FAE" w:rsidRPr="00EA2C95" w:rsidRDefault="00756FAE">
      <w:pPr>
        <w:pBdr>
          <w:top w:val="nil"/>
          <w:left w:val="nil"/>
          <w:bottom w:val="nil"/>
          <w:right w:val="nil"/>
          <w:between w:val="nil"/>
        </w:pBdr>
        <w:ind w:left="720"/>
        <w:rPr>
          <w:rFonts w:ascii="Bookman Old Style" w:eastAsia="Bookman Old Style" w:hAnsi="Bookman Old Style" w:cs="Bookman Old Style"/>
          <w:color w:val="000000"/>
          <w:sz w:val="22"/>
          <w:szCs w:val="22"/>
        </w:rPr>
      </w:pPr>
    </w:p>
    <w:p w14:paraId="53713D8B" w14:textId="77777777" w:rsidR="00756FAE" w:rsidRPr="00EA2C95" w:rsidRDefault="00EA2C95">
      <w:pPr>
        <w:numPr>
          <w:ilvl w:val="0"/>
          <w:numId w:val="1"/>
        </w:num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 xml:space="preserve">Ha de tomarse en cuenta la existencia de parámetros de obligatorio cumplimiento por el legislador, quien ya no tendrá plena libertad de opción respecto del tipo, alcance, amplitud o naturaleza de la protección que cree respecto de los animales, sino que, en cuanto poder constituido, se encuentra vinculado por el </w:t>
      </w:r>
      <w:r w:rsidRPr="00EA2C95">
        <w:rPr>
          <w:rFonts w:ascii="Bookman Old Style" w:eastAsia="Bookman Old Style" w:hAnsi="Bookman Old Style" w:cs="Bookman Old Style"/>
          <w:i/>
          <w:color w:val="000000"/>
          <w:sz w:val="22"/>
          <w:szCs w:val="22"/>
        </w:rPr>
        <w:t>deber constitucional</w:t>
      </w:r>
      <w:r w:rsidRPr="00EA2C95">
        <w:rPr>
          <w:rFonts w:ascii="Bookman Old Style" w:eastAsia="Bookman Old Style" w:hAnsi="Bookman Old Style" w:cs="Bookman Old Style"/>
          <w:color w:val="000000"/>
          <w:sz w:val="22"/>
          <w:szCs w:val="22"/>
        </w:rPr>
        <w:t xml:space="preserve"> previsto en los artículos 8º, 79 y 95.8, y el concepto de dignidad humana (fundamento de las relaciones que un ser sintiente –humano- tiene con otro ser sintiente –animal-). En esa medida, el Congreso está llamado a establecer un sistema jurídico de protección que garantice la integridad de los animales en cuanto seres sintientes, e incluso podría hablarse de un eventual reconocimiento de los animales como sujetos de derechos, que hacen parte del contexto natural en el que las personas desarrollan su vida.</w:t>
      </w:r>
    </w:p>
    <w:p w14:paraId="3A52D34A" w14:textId="77777777" w:rsidR="00756FAE" w:rsidRPr="00EA2C95" w:rsidRDefault="00756FAE">
      <w:pPr>
        <w:pBdr>
          <w:top w:val="nil"/>
          <w:left w:val="nil"/>
          <w:bottom w:val="nil"/>
          <w:right w:val="nil"/>
          <w:between w:val="nil"/>
        </w:pBdr>
        <w:ind w:left="720"/>
        <w:rPr>
          <w:rFonts w:ascii="Bookman Old Style" w:eastAsia="Bookman Old Style" w:hAnsi="Bookman Old Style" w:cs="Bookman Old Style"/>
          <w:color w:val="000000"/>
          <w:sz w:val="22"/>
          <w:szCs w:val="22"/>
        </w:rPr>
      </w:pPr>
    </w:p>
    <w:p w14:paraId="168096E7" w14:textId="77777777" w:rsidR="00756FAE" w:rsidRPr="00EA2C95" w:rsidRDefault="00EA2C95">
      <w:pPr>
        <w:numPr>
          <w:ilvl w:val="0"/>
          <w:numId w:val="1"/>
        </w:num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 xml:space="preserve">El tratamiento que las personas brindan a los animales se encuentra restringido y regido por el principio de </w:t>
      </w:r>
      <w:r w:rsidRPr="00EA2C95">
        <w:rPr>
          <w:rFonts w:ascii="Bookman Old Style" w:eastAsia="Bookman Old Style" w:hAnsi="Bookman Old Style" w:cs="Bookman Old Style"/>
          <w:i/>
          <w:color w:val="000000"/>
          <w:sz w:val="22"/>
          <w:szCs w:val="22"/>
        </w:rPr>
        <w:t>bienestar animal</w:t>
      </w:r>
      <w:r w:rsidRPr="00EA2C95">
        <w:rPr>
          <w:rFonts w:ascii="Bookman Old Style" w:eastAsia="Bookman Old Style" w:hAnsi="Bookman Old Style" w:cs="Bookman Old Style"/>
          <w:color w:val="000000"/>
          <w:sz w:val="22"/>
          <w:szCs w:val="22"/>
          <w:vertAlign w:val="superscript"/>
        </w:rPr>
        <w:footnoteReference w:id="11"/>
      </w:r>
      <w:r w:rsidRPr="00EA2C95">
        <w:rPr>
          <w:rFonts w:ascii="Bookman Old Style" w:eastAsia="Bookman Old Style" w:hAnsi="Bookman Old Style" w:cs="Bookman Old Style"/>
          <w:color w:val="000000"/>
          <w:sz w:val="22"/>
          <w:szCs w:val="22"/>
        </w:rPr>
        <w:t xml:space="preserve">, el cual se sustenta en el concepto complejo y amplio de ambiente, que debe superar una visión utilitarista y antropocéntrica, para centrarse en una que comprenda no solo al ser humano como parte de un todo natural donde los animales también son fines en sí mismos con intereses propios e independientes del arbitrio humano. </w:t>
      </w:r>
    </w:p>
    <w:p w14:paraId="5E29C74D" w14:textId="77777777" w:rsidR="00756FAE" w:rsidRPr="00EA2C95" w:rsidRDefault="00756FAE">
      <w:pPr>
        <w:pBdr>
          <w:top w:val="nil"/>
          <w:left w:val="nil"/>
          <w:bottom w:val="nil"/>
          <w:right w:val="nil"/>
          <w:between w:val="nil"/>
        </w:pBdr>
        <w:ind w:left="720"/>
        <w:rPr>
          <w:rFonts w:ascii="Bookman Old Style" w:eastAsia="Bookman Old Style" w:hAnsi="Bookman Old Style" w:cs="Bookman Old Style"/>
          <w:color w:val="000000"/>
          <w:sz w:val="22"/>
          <w:szCs w:val="22"/>
        </w:rPr>
      </w:pPr>
    </w:p>
    <w:p w14:paraId="03CFB556" w14:textId="77777777" w:rsidR="00756FAE" w:rsidRPr="00EA2C95" w:rsidRDefault="00EA2C95">
      <w:pPr>
        <w:numPr>
          <w:ilvl w:val="0"/>
          <w:numId w:val="1"/>
        </w:num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 xml:space="preserve">El ejercicio de las diversas expresiones culturales debe estar en armonía con los otros valores, derechos y principios fundamentales que integran el sistema constitucional colombiano. </w:t>
      </w:r>
    </w:p>
    <w:p w14:paraId="526C47FB" w14:textId="77777777" w:rsidR="00756FAE" w:rsidRPr="00EA2C95" w:rsidRDefault="00756FAE">
      <w:pPr>
        <w:pBdr>
          <w:top w:val="nil"/>
          <w:left w:val="nil"/>
          <w:bottom w:val="nil"/>
          <w:right w:val="nil"/>
          <w:between w:val="nil"/>
        </w:pBdr>
        <w:ind w:left="720"/>
        <w:rPr>
          <w:rFonts w:ascii="Bookman Old Style" w:eastAsia="Bookman Old Style" w:hAnsi="Bookman Old Style" w:cs="Bookman Old Style"/>
          <w:color w:val="000000"/>
          <w:sz w:val="22"/>
          <w:szCs w:val="22"/>
        </w:rPr>
      </w:pPr>
    </w:p>
    <w:p w14:paraId="1F125AAD" w14:textId="77777777" w:rsidR="00756FAE" w:rsidRPr="00EA2C95" w:rsidRDefault="00EA2C95">
      <w:pPr>
        <w:numPr>
          <w:ilvl w:val="0"/>
          <w:numId w:val="1"/>
        </w:num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Las distintas manifestaciones culturales</w:t>
      </w:r>
      <w:r w:rsidRPr="00EA2C95">
        <w:rPr>
          <w:rFonts w:ascii="Bookman Old Style" w:eastAsia="Bookman Old Style" w:hAnsi="Bookman Old Style" w:cs="Bookman Old Style"/>
          <w:i/>
          <w:color w:val="000000"/>
          <w:sz w:val="22"/>
          <w:szCs w:val="22"/>
        </w:rPr>
        <w:t xml:space="preserve"> no son una expresión directa de la Constitución</w:t>
      </w:r>
      <w:r w:rsidRPr="00EA2C95">
        <w:rPr>
          <w:rFonts w:ascii="Bookman Old Style" w:eastAsia="Bookman Old Style" w:hAnsi="Bookman Old Style" w:cs="Bookman Old Style"/>
          <w:color w:val="000000"/>
          <w:sz w:val="22"/>
          <w:szCs w:val="22"/>
        </w:rPr>
        <w:t xml:space="preserve">, sino fruto de la interacción de los distintos actores sociales determinados por un tiempo y un espacio específicos.  Por ende, no puede entenderse que, </w:t>
      </w:r>
      <w:r w:rsidRPr="00EA2C95">
        <w:rPr>
          <w:rFonts w:ascii="Bookman Old Style" w:eastAsia="Bookman Old Style" w:hAnsi="Bookman Old Style" w:cs="Bookman Old Style"/>
          <w:i/>
          <w:color w:val="000000"/>
          <w:sz w:val="22"/>
          <w:szCs w:val="22"/>
        </w:rPr>
        <w:t>en sí mismas consideradas</w:t>
      </w:r>
      <w:r w:rsidRPr="00EA2C95">
        <w:rPr>
          <w:rFonts w:ascii="Bookman Old Style" w:eastAsia="Bookman Old Style" w:hAnsi="Bookman Old Style" w:cs="Bookman Old Style"/>
          <w:color w:val="000000"/>
          <w:sz w:val="22"/>
          <w:szCs w:val="22"/>
        </w:rPr>
        <w:t>, esas manifestaciones sean concreción de postulados constitucionales, ni que cuenten con blindaje alguno que impida su limitación o incluso su prohibición, por ser contrarias a los valores sociales y constitucionales.</w:t>
      </w:r>
    </w:p>
    <w:p w14:paraId="1E2D674E" w14:textId="77777777" w:rsidR="00756FAE" w:rsidRPr="00EA2C95" w:rsidRDefault="00756FAE">
      <w:pPr>
        <w:pBdr>
          <w:top w:val="nil"/>
          <w:left w:val="nil"/>
          <w:bottom w:val="nil"/>
          <w:right w:val="nil"/>
          <w:between w:val="nil"/>
        </w:pBdr>
        <w:ind w:left="720"/>
        <w:rPr>
          <w:rFonts w:ascii="Bookman Old Style" w:eastAsia="Bookman Old Style" w:hAnsi="Bookman Old Style" w:cs="Bookman Old Style"/>
          <w:color w:val="000000"/>
          <w:sz w:val="22"/>
          <w:szCs w:val="22"/>
        </w:rPr>
      </w:pPr>
    </w:p>
    <w:p w14:paraId="4EE0E79D" w14:textId="77777777" w:rsidR="00756FAE" w:rsidRPr="00EA2C95" w:rsidRDefault="00EA2C95">
      <w:pPr>
        <w:numPr>
          <w:ilvl w:val="0"/>
          <w:numId w:val="1"/>
        </w:num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 xml:space="preserve">El Legislador, en ejercicio de su libertad de configuración normativa, puede prohibir las manifestaciones culturales que implican maltrato animal, si </w:t>
      </w:r>
      <w:r w:rsidRPr="00EA2C95">
        <w:rPr>
          <w:rFonts w:ascii="Bookman Old Style" w:eastAsia="Bookman Old Style" w:hAnsi="Bookman Old Style" w:cs="Bookman Old Style"/>
          <w:color w:val="000000"/>
          <w:sz w:val="22"/>
          <w:szCs w:val="22"/>
        </w:rPr>
        <w:lastRenderedPageBreak/>
        <w:t xml:space="preserve">considera que debe primar el deber de protección de la fauna sobre la existencia de expresiones culturales que </w:t>
      </w:r>
      <w:r w:rsidRPr="00EA2C95">
        <w:rPr>
          <w:rFonts w:ascii="Bookman Old Style" w:eastAsia="Bookman Old Style" w:hAnsi="Bookman Old Style" w:cs="Bookman Old Style"/>
          <w:i/>
          <w:color w:val="000000"/>
          <w:sz w:val="22"/>
          <w:szCs w:val="22"/>
        </w:rPr>
        <w:t>implican agravio a seres vivos</w:t>
      </w:r>
    </w:p>
    <w:p w14:paraId="2522486E" w14:textId="77777777" w:rsidR="00756FAE" w:rsidRPr="00EA2C95" w:rsidRDefault="00756FAE">
      <w:pPr>
        <w:pBdr>
          <w:top w:val="nil"/>
          <w:left w:val="nil"/>
          <w:bottom w:val="nil"/>
          <w:right w:val="nil"/>
          <w:between w:val="nil"/>
        </w:pBdr>
        <w:ind w:left="720"/>
        <w:rPr>
          <w:rFonts w:ascii="Bookman Old Style" w:eastAsia="Bookman Old Style" w:hAnsi="Bookman Old Style" w:cs="Bookman Old Style"/>
          <w:color w:val="000000"/>
          <w:sz w:val="22"/>
          <w:szCs w:val="22"/>
        </w:rPr>
      </w:pPr>
    </w:p>
    <w:p w14:paraId="2F4167FF" w14:textId="77777777" w:rsidR="00756FAE" w:rsidRPr="00EA2C95" w:rsidRDefault="00EA2C95">
      <w:pPr>
        <w:numPr>
          <w:ilvl w:val="0"/>
          <w:numId w:val="1"/>
        </w:num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 xml:space="preserve">La Constitución de 1991 y las leyes no son estáticas y pueden, y deben, cambiar para adaptarse a las nuevas realidades sociales.  </w:t>
      </w:r>
    </w:p>
    <w:p w14:paraId="7B3F78C6"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 xml:space="preserve"> </w:t>
      </w:r>
    </w:p>
    <w:p w14:paraId="4D094DA6" w14:textId="312D12FF" w:rsidR="00756FAE" w:rsidRPr="00EA2C95" w:rsidRDefault="00B61382">
      <w:pPr>
        <w:pBdr>
          <w:top w:val="nil"/>
          <w:left w:val="nil"/>
          <w:bottom w:val="nil"/>
          <w:right w:val="nil"/>
          <w:between w:val="nil"/>
        </w:pBdr>
        <w:jc w:val="both"/>
        <w:rPr>
          <w:rFonts w:ascii="Bookman Old Style" w:eastAsia="Bookman Old Style" w:hAnsi="Bookman Old Style" w:cs="Bookman Old Style"/>
          <w:b/>
          <w:color w:val="000000"/>
          <w:sz w:val="22"/>
          <w:szCs w:val="22"/>
        </w:rPr>
      </w:pPr>
      <w:r>
        <w:rPr>
          <w:rFonts w:ascii="Bookman Old Style" w:eastAsia="Bookman Old Style" w:hAnsi="Bookman Old Style" w:cs="Bookman Old Style"/>
          <w:b/>
          <w:color w:val="000000"/>
          <w:sz w:val="22"/>
          <w:szCs w:val="22"/>
        </w:rPr>
        <w:t>5</w:t>
      </w:r>
      <w:r w:rsidR="00EA2C95" w:rsidRPr="00EA2C95">
        <w:rPr>
          <w:rFonts w:ascii="Bookman Old Style" w:eastAsia="Bookman Old Style" w:hAnsi="Bookman Old Style" w:cs="Bookman Old Style"/>
          <w:b/>
          <w:color w:val="000000"/>
          <w:sz w:val="22"/>
          <w:szCs w:val="22"/>
        </w:rPr>
        <w:t>.3. INTERNACIONALES.</w:t>
      </w:r>
    </w:p>
    <w:p w14:paraId="78F4ADBF"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 xml:space="preserve"> </w:t>
      </w:r>
    </w:p>
    <w:p w14:paraId="5DBA6D6C"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Ahora bien, planteados los antecedentes normativos y jurisprudenciales locales, vale la pena revisar el tratamiento que se le ha otorgado a las prácticas culturales de las que trata este proyecto y a otras actividades que implican el uso de los animales, en otros países.</w:t>
      </w:r>
    </w:p>
    <w:p w14:paraId="5404BDF2"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54F7D477"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Como resultado de un conjunto de variables, entre ellas, cambios de paradigmas sociales y cambio de conciencia colectiva, los espectáculos con animales están siendo objeto de prohibiciones locales y nacionales progresivamente en muchos países del mundo, así como la eliminación de actividades tradicionales que conllevan maltrato o crueldad hacia los animales, teniendo en cuenta que la defensa de la vida está por encima de prácticas culturales. Los estados han hecho uso concomitante del poder legislativo, ejecutivo y judicial, para expedir fuentes de derecho de carácter vinculante y de obligatorio cumplimiento para ponerle fin a este tipo de espectáculos.</w:t>
      </w:r>
    </w:p>
    <w:p w14:paraId="429EB41E"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 xml:space="preserve"> </w:t>
      </w:r>
    </w:p>
    <w:p w14:paraId="5D70C966"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Países como Inglaterra, Italia, Argentina, Chile, Bolivia, Perú, China, entre muchos otros, han prohibido prácticas tradicionales como la caza, circos, fiestas religiosas o consumos de productos por considerarse que son una práctica violenta donde el maltrato animal es evidente.</w:t>
      </w:r>
    </w:p>
    <w:p w14:paraId="4AEB3A7A"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3D2F2DCA"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 xml:space="preserve">Sobre este asunto, vale la pena recordar el recuento realizado por la Sentencia C-283 de 2014, en la que resalta las legislaciones de Suecia, Dinamarca, Estonia, República Checa, Israel, Finlandia, Polonia, Singapur, India, Costa Rica, Nueva Zelanda, Austria, Bélgica, Portugal, Bolivia, Noruega, Panamá, Perú y Paraguay, que han prohibido el uso de animales en circos. </w:t>
      </w:r>
    </w:p>
    <w:p w14:paraId="55FC858F"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539C9D5C"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Para el caso de la tauromaquia esta es prohibida en la mayoría de países del planeta. Solamente ocho países, España, Francia, Portugal, México, Venezuela, Perú, Ecuador y Colombia, mantienen la realización de corridas de toros en los cuales existe un fuerte trabajo en pos de su abolición.</w:t>
      </w:r>
    </w:p>
    <w:p w14:paraId="3A4DA72B"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5012E0CE" w14:textId="3E0750BF" w:rsidR="00756FAE" w:rsidRPr="00EA2C95" w:rsidRDefault="00B61382">
      <w:pPr>
        <w:pBdr>
          <w:top w:val="nil"/>
          <w:left w:val="nil"/>
          <w:bottom w:val="nil"/>
          <w:right w:val="nil"/>
          <w:between w:val="nil"/>
        </w:pBdr>
        <w:jc w:val="both"/>
        <w:rPr>
          <w:rFonts w:ascii="Bookman Old Style" w:eastAsia="Bookman Old Style" w:hAnsi="Bookman Old Style" w:cs="Bookman Old Style"/>
          <w:b/>
          <w:color w:val="000000"/>
          <w:sz w:val="22"/>
          <w:szCs w:val="22"/>
        </w:rPr>
      </w:pPr>
      <w:r>
        <w:rPr>
          <w:rFonts w:ascii="Bookman Old Style" w:eastAsia="Bookman Old Style" w:hAnsi="Bookman Old Style" w:cs="Bookman Old Style"/>
          <w:b/>
          <w:color w:val="000000"/>
          <w:sz w:val="22"/>
          <w:szCs w:val="22"/>
        </w:rPr>
        <w:t>5</w:t>
      </w:r>
      <w:r w:rsidR="00EA2C95" w:rsidRPr="00EA2C95">
        <w:rPr>
          <w:rFonts w:ascii="Bookman Old Style" w:eastAsia="Bookman Old Style" w:hAnsi="Bookman Old Style" w:cs="Bookman Old Style"/>
          <w:b/>
          <w:color w:val="000000"/>
          <w:sz w:val="22"/>
          <w:szCs w:val="22"/>
        </w:rPr>
        <w:t>.4. CIENTÍFICOS</w:t>
      </w:r>
      <w:r>
        <w:rPr>
          <w:rFonts w:ascii="Bookman Old Style" w:eastAsia="Bookman Old Style" w:hAnsi="Bookman Old Style" w:cs="Bookman Old Style"/>
          <w:b/>
          <w:color w:val="000000"/>
          <w:sz w:val="22"/>
          <w:szCs w:val="22"/>
        </w:rPr>
        <w:t>.</w:t>
      </w:r>
    </w:p>
    <w:p w14:paraId="7F4723E9"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 xml:space="preserve"> </w:t>
      </w:r>
    </w:p>
    <w:p w14:paraId="6739A31E" w14:textId="174FE3B9" w:rsidR="00756FAE" w:rsidRPr="00EA2C95" w:rsidRDefault="00E56BBC">
      <w:pPr>
        <w:pBdr>
          <w:top w:val="nil"/>
          <w:left w:val="nil"/>
          <w:bottom w:val="nil"/>
          <w:right w:val="nil"/>
          <w:between w:val="nil"/>
        </w:pBdr>
        <w:jc w:val="both"/>
        <w:rPr>
          <w:rFonts w:ascii="Bookman Old Style" w:eastAsia="Bookman Old Style" w:hAnsi="Bookman Old Style" w:cs="Bookman Old Style"/>
          <w:color w:val="000000"/>
          <w:sz w:val="22"/>
          <w:szCs w:val="22"/>
          <w:u w:val="single"/>
        </w:rPr>
      </w:pPr>
      <w:r>
        <w:rPr>
          <w:rFonts w:ascii="Bookman Old Style" w:eastAsia="Bookman Old Style" w:hAnsi="Bookman Old Style" w:cs="Bookman Old Style"/>
          <w:color w:val="000000"/>
          <w:sz w:val="22"/>
          <w:szCs w:val="22"/>
          <w:u w:val="single"/>
        </w:rPr>
        <w:t>5</w:t>
      </w:r>
      <w:r w:rsidR="00EA2C95" w:rsidRPr="00EA2C95">
        <w:rPr>
          <w:rFonts w:ascii="Bookman Old Style" w:eastAsia="Bookman Old Style" w:hAnsi="Bookman Old Style" w:cs="Bookman Old Style"/>
          <w:color w:val="000000"/>
          <w:sz w:val="22"/>
          <w:szCs w:val="22"/>
          <w:u w:val="single"/>
        </w:rPr>
        <w:t>.4.1. Lo que dice la ciencia veterinaria sobre las corridas de toros</w:t>
      </w:r>
    </w:p>
    <w:p w14:paraId="2933B14F"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3F25DD65"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lastRenderedPageBreak/>
        <w:t>La Asociación de Veterinarios Abolicionistas de la Tauromaquia (</w:t>
      </w:r>
      <w:proofErr w:type="spellStart"/>
      <w:r w:rsidRPr="00EA2C95">
        <w:rPr>
          <w:rFonts w:ascii="Bookman Old Style" w:eastAsia="Bookman Old Style" w:hAnsi="Bookman Old Style" w:cs="Bookman Old Style"/>
          <w:color w:val="000000"/>
          <w:sz w:val="22"/>
          <w:szCs w:val="22"/>
        </w:rPr>
        <w:t>Avatma</w:t>
      </w:r>
      <w:proofErr w:type="spellEnd"/>
      <w:r w:rsidRPr="00EA2C95">
        <w:rPr>
          <w:rFonts w:ascii="Bookman Old Style" w:eastAsia="Bookman Old Style" w:hAnsi="Bookman Old Style" w:cs="Bookman Old Style"/>
          <w:color w:val="000000"/>
          <w:sz w:val="22"/>
          <w:szCs w:val="22"/>
        </w:rPr>
        <w:t xml:space="preserve">) (2016), en particular su “Informe técnico veterinario sobre los espectáculos taurinos con vacas y vaquillas”, afirma: </w:t>
      </w:r>
    </w:p>
    <w:p w14:paraId="2AAB4049"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06CE0D22" w14:textId="77777777" w:rsidR="00756FAE" w:rsidRPr="00EA2C95" w:rsidRDefault="00EA2C95">
      <w:pPr>
        <w:pBdr>
          <w:top w:val="nil"/>
          <w:left w:val="nil"/>
          <w:bottom w:val="nil"/>
          <w:right w:val="nil"/>
          <w:between w:val="nil"/>
        </w:pBdr>
        <w:ind w:left="851" w:right="900"/>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i/>
          <w:color w:val="000000"/>
          <w:sz w:val="22"/>
          <w:szCs w:val="22"/>
        </w:rPr>
        <w:t>“A los toros, vaquillas y becerros que protagonizan estos festejos se les ingieren daños graves. El origen de ese daño procede de las manipulaciones, transporte, aislamiento, hambre, y sed a que son sometidos, partiendo de que, el simple hecho de sacarlos de su ambiente natural, provoca en ellos una intensa sensación de miedo que provoca respuestas orgánicas que pasarán de ser fisiológicas a patológicas, dada su incapacidad para adaptarse a estas nuevas situaciones, que son incompatibles con su naturaleza y que se realizan en entornos para ellos desconocidos. A las situaciones anómalas mencionadas anteriormente habrá que sumar como origen de ese daño, la persecución, la incapacidad de huida, las agresiones, así como el continuo acosamiento al que se ven sometidos  por parte de las personas que acuden a estos espectáculos. La existencia fehaciente del daño la basamos en la visualización de las imágenes que nos llevan a concluir que si se realizarán determinaciones de ACTH, cortisol y catecolaminas en estos animales estaríamos ante cifras alarmantes que superarían con creces lo considerado como normal, basándonos en los estudios científicos realizados sobre animales de sus mismas razas sometidos a situaciones de estrés bastante similares a los espectáculos a los que nos referimos, e incluso a situaciones que en teoría podríamos considerar como menos perniciosas para su salud y bienestar. Todo esto nos lleva a concluir la existencia fehaciente de un sufrimiento físico y psíquico gratuito, sin ningún fin que podamos considerar de interés general o que lo pueda justificar”</w:t>
      </w:r>
      <w:r w:rsidRPr="00EA2C95">
        <w:rPr>
          <w:rFonts w:ascii="Bookman Old Style" w:eastAsia="Bookman Old Style" w:hAnsi="Bookman Old Style" w:cs="Bookman Old Style"/>
          <w:i/>
          <w:color w:val="000000"/>
          <w:sz w:val="22"/>
          <w:szCs w:val="22"/>
          <w:vertAlign w:val="superscript"/>
        </w:rPr>
        <w:footnoteReference w:id="12"/>
      </w:r>
      <w:r w:rsidRPr="00EA2C95">
        <w:rPr>
          <w:rFonts w:ascii="Bookman Old Style" w:eastAsia="Bookman Old Style" w:hAnsi="Bookman Old Style" w:cs="Bookman Old Style"/>
          <w:color w:val="000000"/>
          <w:sz w:val="22"/>
          <w:szCs w:val="22"/>
        </w:rPr>
        <w:t xml:space="preserve"> </w:t>
      </w:r>
    </w:p>
    <w:p w14:paraId="29DA984F"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 xml:space="preserve"> </w:t>
      </w:r>
    </w:p>
    <w:p w14:paraId="4211E910" w14:textId="273F750F" w:rsidR="00756FAE" w:rsidRPr="00EA2C95" w:rsidRDefault="00E56BBC">
      <w:p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u w:val="single"/>
        </w:rPr>
        <w:t>5</w:t>
      </w:r>
      <w:r w:rsidR="00EA2C95" w:rsidRPr="00EA2C95">
        <w:rPr>
          <w:rFonts w:ascii="Bookman Old Style" w:eastAsia="Bookman Old Style" w:hAnsi="Bookman Old Style" w:cs="Bookman Old Style"/>
          <w:color w:val="000000"/>
          <w:sz w:val="22"/>
          <w:szCs w:val="22"/>
          <w:u w:val="single"/>
        </w:rPr>
        <w:t>.4.2. Sobre la invalidez de las regulaciones en la actividad taurina y la negativa a las denominadas “Corridas incruentas</w:t>
      </w:r>
      <w:r w:rsidR="00EA2C95" w:rsidRPr="00EA2C95">
        <w:rPr>
          <w:rFonts w:ascii="Bookman Old Style" w:eastAsia="Bookman Old Style" w:hAnsi="Bookman Old Style" w:cs="Bookman Old Style"/>
          <w:color w:val="000000"/>
          <w:sz w:val="22"/>
          <w:szCs w:val="22"/>
        </w:rPr>
        <w:t>”.</w:t>
      </w:r>
    </w:p>
    <w:p w14:paraId="4426E6E6"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b/>
          <w:color w:val="000000"/>
          <w:sz w:val="22"/>
          <w:szCs w:val="22"/>
        </w:rPr>
      </w:pPr>
    </w:p>
    <w:p w14:paraId="2374E876"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Las corridas de toros no solo implican la violencia física que se muestra evidente, hacia los animales involucrados. Es necesario tener en cuenta el sufrimiento emocional o psicológico que conlleva para estos animales el ser partícipes obligados de esta actividad.</w:t>
      </w:r>
    </w:p>
    <w:p w14:paraId="5706C7B7"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3A2890F2"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 xml:space="preserve">El etólogo español Jordi </w:t>
      </w:r>
      <w:proofErr w:type="spellStart"/>
      <w:r w:rsidRPr="00EA2C95">
        <w:rPr>
          <w:rFonts w:ascii="Bookman Old Style" w:eastAsia="Bookman Old Style" w:hAnsi="Bookman Old Style" w:cs="Bookman Old Style"/>
          <w:color w:val="000000"/>
          <w:sz w:val="22"/>
          <w:szCs w:val="22"/>
        </w:rPr>
        <w:t>Casamitjana</w:t>
      </w:r>
      <w:proofErr w:type="spellEnd"/>
      <w:r w:rsidRPr="00EA2C95">
        <w:rPr>
          <w:rFonts w:ascii="Bookman Old Style" w:eastAsia="Bookman Old Style" w:hAnsi="Bookman Old Style" w:cs="Bookman Old Style"/>
          <w:color w:val="000000"/>
          <w:sz w:val="22"/>
          <w:szCs w:val="22"/>
        </w:rPr>
        <w:t xml:space="preserve"> (2012)</w:t>
      </w:r>
      <w:r w:rsidRPr="00EA2C95">
        <w:rPr>
          <w:rFonts w:ascii="Bookman Old Style" w:eastAsia="Bookman Old Style" w:hAnsi="Bookman Old Style" w:cs="Bookman Old Style"/>
          <w:color w:val="000000"/>
          <w:sz w:val="22"/>
          <w:szCs w:val="22"/>
          <w:vertAlign w:val="superscript"/>
        </w:rPr>
        <w:footnoteReference w:id="13"/>
      </w:r>
      <w:r w:rsidRPr="00EA2C95">
        <w:rPr>
          <w:rFonts w:ascii="Bookman Old Style" w:eastAsia="Bookman Old Style" w:hAnsi="Bookman Old Style" w:cs="Bookman Old Style"/>
          <w:color w:val="000000"/>
          <w:sz w:val="22"/>
          <w:szCs w:val="22"/>
        </w:rPr>
        <w:t xml:space="preserve">, desarrolló un completo informe sobre todas las formas de maltrato, violencia y crueldad presentes en las corridas </w:t>
      </w:r>
      <w:r w:rsidRPr="00EA2C95">
        <w:rPr>
          <w:rFonts w:ascii="Bookman Old Style" w:eastAsia="Bookman Old Style" w:hAnsi="Bookman Old Style" w:cs="Bookman Old Style"/>
          <w:color w:val="000000"/>
          <w:sz w:val="22"/>
          <w:szCs w:val="22"/>
        </w:rPr>
        <w:lastRenderedPageBreak/>
        <w:t>de toros, denominado “La Crueldad de las corridas incruentas”. Sobre el tema específico del sufrimiento emocional de los toros en las corridas, el informe sugiere que no existe algo como las corridas incruentas, que solo han intentado vender al público una imagen de la tauromaquia más políticamente correcta.</w:t>
      </w:r>
    </w:p>
    <w:p w14:paraId="414D691C"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51C61ECD"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La sola presencia del toro en una plaza ya involucra grandes niveles de maltrato emocional o sufrimiento psicológico para el animal, evidenciados en la incomodidad del animal por su cautiverio, el miedo ante un ambiente ajeno respecto al que está acostumbrado, la angustia por la experiencia aversiva vivida, y el estrés continuado para el que biológicamente no está dotado para responder adecuadamente.</w:t>
      </w:r>
    </w:p>
    <w:p w14:paraId="38989130"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5006BBCC"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Este tipo de sufrimiento psicológico, es todavía más común en el caso de las corridas “incruentas” en las que el toro sobrevive el espectáculo y o bien se le sacrifica unos días más tarde donde el estrés se va acumulando (como en muchas corridas al estilo portugués), o se le vuelve a hacer pasar por el mismo calvario varias veces con posterioridad, incluso durante el resto de su vida (como en las corridas autóctonas francesas).</w:t>
      </w:r>
    </w:p>
    <w:p w14:paraId="2D5F6763"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400E187B"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 xml:space="preserve">De acuerdo </w:t>
      </w:r>
      <w:r w:rsidRPr="00EA2C95">
        <w:rPr>
          <w:rFonts w:ascii="Bookman Old Style" w:eastAsia="Bookman Old Style" w:hAnsi="Bookman Old Style" w:cs="Bookman Old Style"/>
          <w:sz w:val="22"/>
          <w:szCs w:val="22"/>
        </w:rPr>
        <w:t>con lo anterior</w:t>
      </w:r>
      <w:r w:rsidRPr="00EA2C95">
        <w:rPr>
          <w:rFonts w:ascii="Bookman Old Style" w:eastAsia="Bookman Old Style" w:hAnsi="Bookman Old Style" w:cs="Bookman Old Style"/>
          <w:color w:val="000000"/>
          <w:sz w:val="22"/>
          <w:szCs w:val="22"/>
        </w:rPr>
        <w:t xml:space="preserve">, es posible concluir que las evidencias veterinarias y etológicas, evidencian que el maltrato a los toros y caballos es inevitable en cualquier tipo de corrida.  </w:t>
      </w:r>
    </w:p>
    <w:p w14:paraId="77CE0684"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35DCDC02" w14:textId="47CB41FF" w:rsidR="00756FAE" w:rsidRPr="00EA2C95" w:rsidRDefault="00B61382">
      <w:pPr>
        <w:pBdr>
          <w:top w:val="nil"/>
          <w:left w:val="nil"/>
          <w:bottom w:val="nil"/>
          <w:right w:val="nil"/>
          <w:between w:val="nil"/>
        </w:pBdr>
        <w:jc w:val="both"/>
        <w:rPr>
          <w:rFonts w:ascii="Bookman Old Style" w:eastAsia="Bookman Old Style" w:hAnsi="Bookman Old Style" w:cs="Bookman Old Style"/>
          <w:b/>
          <w:color w:val="000000"/>
          <w:sz w:val="22"/>
          <w:szCs w:val="22"/>
        </w:rPr>
      </w:pPr>
      <w:r>
        <w:rPr>
          <w:rFonts w:ascii="Bookman Old Style" w:eastAsia="Bookman Old Style" w:hAnsi="Bookman Old Style" w:cs="Bookman Old Style"/>
          <w:b/>
          <w:color w:val="000000"/>
          <w:sz w:val="22"/>
          <w:szCs w:val="22"/>
        </w:rPr>
        <w:t>5</w:t>
      </w:r>
      <w:r w:rsidR="00EA2C95" w:rsidRPr="00EA2C95">
        <w:rPr>
          <w:rFonts w:ascii="Bookman Old Style" w:eastAsia="Bookman Old Style" w:hAnsi="Bookman Old Style" w:cs="Bookman Old Style"/>
          <w:b/>
          <w:color w:val="000000"/>
          <w:sz w:val="22"/>
          <w:szCs w:val="22"/>
        </w:rPr>
        <w:t>.5. PSICOSOCIALES</w:t>
      </w:r>
      <w:r>
        <w:rPr>
          <w:rFonts w:ascii="Bookman Old Style" w:eastAsia="Bookman Old Style" w:hAnsi="Bookman Old Style" w:cs="Bookman Old Style"/>
          <w:b/>
          <w:color w:val="000000"/>
          <w:sz w:val="22"/>
          <w:szCs w:val="22"/>
        </w:rPr>
        <w:t>.</w:t>
      </w:r>
    </w:p>
    <w:p w14:paraId="74F0FB7C"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5BECBE2E" w14:textId="4ECE63D1" w:rsidR="00756FAE" w:rsidRPr="00EA2C95" w:rsidRDefault="00E56BBC">
      <w:pPr>
        <w:pBdr>
          <w:top w:val="nil"/>
          <w:left w:val="nil"/>
          <w:bottom w:val="nil"/>
          <w:right w:val="nil"/>
          <w:between w:val="nil"/>
        </w:pBdr>
        <w:jc w:val="both"/>
        <w:rPr>
          <w:rFonts w:ascii="Bookman Old Style" w:eastAsia="Bookman Old Style" w:hAnsi="Bookman Old Style" w:cs="Bookman Old Style"/>
          <w:color w:val="000000"/>
          <w:sz w:val="22"/>
          <w:szCs w:val="22"/>
          <w:u w:val="single"/>
        </w:rPr>
      </w:pPr>
      <w:r>
        <w:rPr>
          <w:rFonts w:ascii="Bookman Old Style" w:eastAsia="Bookman Old Style" w:hAnsi="Bookman Old Style" w:cs="Bookman Old Style"/>
          <w:color w:val="000000"/>
          <w:sz w:val="22"/>
          <w:szCs w:val="22"/>
          <w:u w:val="single"/>
        </w:rPr>
        <w:t>5</w:t>
      </w:r>
      <w:r w:rsidR="00EA2C95" w:rsidRPr="00EA2C95">
        <w:rPr>
          <w:rFonts w:ascii="Bookman Old Style" w:eastAsia="Bookman Old Style" w:hAnsi="Bookman Old Style" w:cs="Bookman Old Style"/>
          <w:color w:val="000000"/>
          <w:sz w:val="22"/>
          <w:szCs w:val="22"/>
          <w:u w:val="single"/>
        </w:rPr>
        <w:t xml:space="preserve">.5.1. El toreo y su impacto negativo sobre la infancia </w:t>
      </w:r>
    </w:p>
    <w:p w14:paraId="2448C78D"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u w:val="single"/>
        </w:rPr>
      </w:pPr>
    </w:p>
    <w:p w14:paraId="171C21B9"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La Ley 1098 del 2006 “Código de Infancia y Adolescencia”, trae un cúmulo de garantías que buscan hacer realidad el mandato constitucional de la prevalencia de los derechos de los niños, las niñas y los adolescentes. En este sentido, exige que la protección estatal debe ser máxima para posibilitar que, en un futuro, nuestros menores cuenten con un entorno sostenible, o por lo menos con una fauna y flora que cuidar.</w:t>
      </w:r>
    </w:p>
    <w:p w14:paraId="2D468435"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054AC278"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En este sentido, la Convención para los Derechos de los Niños de la ONU, en su informe de observaciones para Colombia del 4 de febrero de 2015</w:t>
      </w:r>
      <w:r w:rsidRPr="00EA2C95">
        <w:rPr>
          <w:rFonts w:ascii="Bookman Old Style" w:eastAsia="Bookman Old Style" w:hAnsi="Bookman Old Style" w:cs="Bookman Old Style"/>
          <w:color w:val="000000"/>
          <w:sz w:val="22"/>
          <w:szCs w:val="22"/>
          <w:vertAlign w:val="superscript"/>
        </w:rPr>
        <w:footnoteReference w:id="14"/>
      </w:r>
      <w:r w:rsidRPr="00EA2C95">
        <w:rPr>
          <w:rFonts w:ascii="Bookman Old Style" w:eastAsia="Bookman Old Style" w:hAnsi="Bookman Old Style" w:cs="Bookman Old Style"/>
          <w:color w:val="000000"/>
          <w:sz w:val="22"/>
          <w:szCs w:val="22"/>
        </w:rPr>
        <w:t xml:space="preserve">, recomendó, entre otras, proteger a los niños y niñas de la violencia de la tauromaquia, aspectos que deben ser tenidos en cuenta en el país, señalando de manera puntual: </w:t>
      </w:r>
    </w:p>
    <w:p w14:paraId="20132793"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19E1EBCD" w14:textId="77777777" w:rsidR="00756FAE" w:rsidRPr="00EA2C95" w:rsidRDefault="00EA2C95">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sidRPr="00EA2C95">
        <w:rPr>
          <w:rFonts w:ascii="Bookman Old Style" w:eastAsia="Bookman Old Style" w:hAnsi="Bookman Old Style" w:cs="Bookman Old Style"/>
          <w:color w:val="000000"/>
          <w:sz w:val="22"/>
          <w:szCs w:val="22"/>
        </w:rPr>
        <w:t>“</w:t>
      </w:r>
      <w:r w:rsidRPr="00EA2C95">
        <w:rPr>
          <w:rFonts w:ascii="Bookman Old Style" w:eastAsia="Bookman Old Style" w:hAnsi="Bookman Old Style" w:cs="Bookman Old Style"/>
          <w:i/>
          <w:color w:val="000000"/>
          <w:sz w:val="22"/>
          <w:szCs w:val="22"/>
        </w:rPr>
        <w:t>Apartado D. Violencia en contra de los niños (arts. 19, 24, párr.3, 28, párr. 2, 34, 37 (a) y 39)</w:t>
      </w:r>
    </w:p>
    <w:p w14:paraId="0B1FD032" w14:textId="77777777" w:rsidR="00756FAE" w:rsidRPr="00EA2C95" w:rsidRDefault="00756FAE">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p>
    <w:p w14:paraId="5E82D4E5" w14:textId="77777777" w:rsidR="00756FAE" w:rsidRPr="00EA2C95" w:rsidRDefault="00EA2C95">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sidRPr="00EA2C95">
        <w:rPr>
          <w:rFonts w:ascii="Bookman Old Style" w:eastAsia="Bookman Old Style" w:hAnsi="Bookman Old Style" w:cs="Bookman Old Style"/>
          <w:i/>
          <w:color w:val="000000"/>
          <w:sz w:val="22"/>
          <w:szCs w:val="22"/>
        </w:rPr>
        <w:lastRenderedPageBreak/>
        <w:t>Libertad de los niños contra toda forma de violencia</w:t>
      </w:r>
    </w:p>
    <w:p w14:paraId="5C2E4103" w14:textId="77777777" w:rsidR="00756FAE" w:rsidRPr="00EA2C95" w:rsidRDefault="00756FAE">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p>
    <w:p w14:paraId="7580F889" w14:textId="77777777" w:rsidR="00756FAE" w:rsidRPr="00EA2C95" w:rsidRDefault="00EA2C95">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sidRPr="00EA2C95">
        <w:rPr>
          <w:rFonts w:ascii="Bookman Old Style" w:eastAsia="Bookman Old Style" w:hAnsi="Bookman Old Style" w:cs="Bookman Old Style"/>
          <w:i/>
          <w:color w:val="000000"/>
          <w:sz w:val="22"/>
          <w:szCs w:val="22"/>
        </w:rPr>
        <w:t xml:space="preserve">27. El Comité está profundamente preocupado por los altos niveles de violencia al que se enfrentan los niños, y en particular, sobre: </w:t>
      </w:r>
    </w:p>
    <w:p w14:paraId="6FCBA7E9" w14:textId="77777777" w:rsidR="00756FAE" w:rsidRPr="00EA2C95" w:rsidRDefault="00EA2C95">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sidRPr="00EA2C95">
        <w:rPr>
          <w:rFonts w:ascii="Bookman Old Style" w:eastAsia="Bookman Old Style" w:hAnsi="Bookman Old Style" w:cs="Bookman Old Style"/>
          <w:i/>
          <w:color w:val="000000"/>
          <w:sz w:val="22"/>
          <w:szCs w:val="22"/>
        </w:rPr>
        <w:t xml:space="preserve">(…) </w:t>
      </w:r>
    </w:p>
    <w:p w14:paraId="72F5977E" w14:textId="77777777" w:rsidR="00756FAE" w:rsidRPr="00EA2C95" w:rsidRDefault="00756FAE">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p>
    <w:p w14:paraId="52C1B4BC" w14:textId="77777777" w:rsidR="00756FAE" w:rsidRPr="00EA2C95" w:rsidRDefault="00EA2C95">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sidRPr="00EA2C95">
        <w:rPr>
          <w:rFonts w:ascii="Bookman Old Style" w:eastAsia="Bookman Old Style" w:hAnsi="Bookman Old Style" w:cs="Bookman Old Style"/>
          <w:i/>
          <w:color w:val="000000"/>
          <w:sz w:val="22"/>
          <w:szCs w:val="22"/>
        </w:rPr>
        <w:t xml:space="preserve">f) </w:t>
      </w:r>
      <w:r w:rsidRPr="00EA2C95">
        <w:rPr>
          <w:rFonts w:ascii="Bookman Old Style" w:eastAsia="Bookman Old Style" w:hAnsi="Bookman Old Style" w:cs="Bookman Old Style"/>
          <w:i/>
          <w:color w:val="000000"/>
          <w:sz w:val="22"/>
          <w:szCs w:val="22"/>
          <w:u w:val="single"/>
        </w:rPr>
        <w:t>El bienestar físico y mental de los niños que participan en la formación/entrenamiento de la tauromaquia, y las actuaciones asociadas a ella, así como el bienestar mental y emocional de los niños espectadores que están expuestos a la violencia de la tauromaquia</w:t>
      </w:r>
      <w:r w:rsidRPr="00EA2C95">
        <w:rPr>
          <w:rFonts w:ascii="Bookman Old Style" w:eastAsia="Bookman Old Style" w:hAnsi="Bookman Old Style" w:cs="Bookman Old Style"/>
          <w:i/>
          <w:color w:val="000000"/>
          <w:sz w:val="22"/>
          <w:szCs w:val="22"/>
        </w:rPr>
        <w:t xml:space="preserve">. </w:t>
      </w:r>
    </w:p>
    <w:p w14:paraId="6C3F62CA" w14:textId="77777777" w:rsidR="00756FAE" w:rsidRPr="00EA2C95" w:rsidRDefault="00756FAE">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p>
    <w:p w14:paraId="56BDDF0F" w14:textId="77777777" w:rsidR="00756FAE" w:rsidRPr="00EA2C95" w:rsidRDefault="00EA2C95">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sidRPr="00EA2C95">
        <w:rPr>
          <w:rFonts w:ascii="Bookman Old Style" w:eastAsia="Bookman Old Style" w:hAnsi="Bookman Old Style" w:cs="Bookman Old Style"/>
          <w:i/>
          <w:color w:val="000000"/>
          <w:sz w:val="22"/>
          <w:szCs w:val="22"/>
        </w:rPr>
        <w:t xml:space="preserve">28. A la luz de la Observación general Nº 13 (2011) sobre el “Derecho del niño a no ser objeto de ninguna forma de violencia” y recordando las recomendaciones del estudio de las Naciones Unidas sobre la violencia en contra de los niños de 2006 (A/61/299), el Comité insta al Estado Parte a dar prioridad a la </w:t>
      </w:r>
      <w:r w:rsidRPr="00EA2C95">
        <w:rPr>
          <w:rFonts w:ascii="Bookman Old Style" w:eastAsia="Bookman Old Style" w:hAnsi="Bookman Old Style" w:cs="Bookman Old Style"/>
          <w:i/>
          <w:color w:val="000000"/>
          <w:sz w:val="22"/>
          <w:szCs w:val="22"/>
          <w:u w:val="single"/>
        </w:rPr>
        <w:t>eliminación de todas las formas de violencia en contra de los niños</w:t>
      </w:r>
      <w:r w:rsidRPr="00EA2C95">
        <w:rPr>
          <w:rFonts w:ascii="Bookman Old Style" w:eastAsia="Bookman Old Style" w:hAnsi="Bookman Old Style" w:cs="Bookman Old Style"/>
          <w:i/>
          <w:color w:val="000000"/>
          <w:sz w:val="22"/>
          <w:szCs w:val="22"/>
        </w:rPr>
        <w:t xml:space="preserve">, y en particular a: </w:t>
      </w:r>
    </w:p>
    <w:p w14:paraId="4D233012" w14:textId="77777777" w:rsidR="00756FAE" w:rsidRPr="00EA2C95" w:rsidRDefault="00EA2C95">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sidRPr="00EA2C95">
        <w:rPr>
          <w:rFonts w:ascii="Bookman Old Style" w:eastAsia="Bookman Old Style" w:hAnsi="Bookman Old Style" w:cs="Bookman Old Style"/>
          <w:i/>
          <w:color w:val="000000"/>
          <w:sz w:val="22"/>
          <w:szCs w:val="22"/>
        </w:rPr>
        <w:t>(…)</w:t>
      </w:r>
    </w:p>
    <w:p w14:paraId="59F7F269" w14:textId="77777777" w:rsidR="00756FAE" w:rsidRPr="00EA2C95" w:rsidRDefault="00756FAE">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p>
    <w:p w14:paraId="181B981D" w14:textId="77777777" w:rsidR="00756FAE" w:rsidRPr="00EA2C95" w:rsidRDefault="00EA2C95">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sidRPr="00EA2C95">
        <w:rPr>
          <w:rFonts w:ascii="Bookman Old Style" w:eastAsia="Bookman Old Style" w:hAnsi="Bookman Old Style" w:cs="Bookman Old Style"/>
          <w:i/>
          <w:color w:val="000000"/>
          <w:sz w:val="22"/>
          <w:szCs w:val="22"/>
        </w:rPr>
        <w:t xml:space="preserve">i) Con el objetivo de </w:t>
      </w:r>
      <w:r w:rsidRPr="00EA2C95">
        <w:rPr>
          <w:rFonts w:ascii="Bookman Old Style" w:eastAsia="Bookman Old Style" w:hAnsi="Bookman Old Style" w:cs="Bookman Old Style"/>
          <w:i/>
          <w:color w:val="000000"/>
          <w:sz w:val="22"/>
          <w:szCs w:val="22"/>
          <w:u w:val="single"/>
        </w:rPr>
        <w:t>prohibir la participación de los niños en la tauromaquia</w:t>
      </w:r>
      <w:r w:rsidRPr="00EA2C95">
        <w:rPr>
          <w:rFonts w:ascii="Bookman Old Style" w:eastAsia="Bookman Old Style" w:hAnsi="Bookman Old Style" w:cs="Bookman Old Style"/>
          <w:i/>
          <w:color w:val="000000"/>
          <w:sz w:val="22"/>
          <w:szCs w:val="22"/>
        </w:rPr>
        <w:t xml:space="preserve">, incluyendo las corralejas, </w:t>
      </w:r>
      <w:r w:rsidRPr="00EA2C95">
        <w:rPr>
          <w:rFonts w:ascii="Bookman Old Style" w:eastAsia="Bookman Old Style" w:hAnsi="Bookman Old Style" w:cs="Bookman Old Style"/>
          <w:i/>
          <w:color w:val="000000"/>
          <w:sz w:val="22"/>
          <w:szCs w:val="22"/>
          <w:u w:val="single"/>
        </w:rPr>
        <w:t>tome las medidas legislativas y administrativas</w:t>
      </w:r>
      <w:r w:rsidRPr="00EA2C95">
        <w:rPr>
          <w:rFonts w:ascii="Bookman Old Style" w:eastAsia="Bookman Old Style" w:hAnsi="Bookman Old Style" w:cs="Bookman Old Style"/>
          <w:i/>
          <w:color w:val="000000"/>
          <w:sz w:val="22"/>
          <w:szCs w:val="22"/>
        </w:rPr>
        <w:t xml:space="preserve"> necesarias con el fin de proteger a todos los niños que participan en la formación/entrenamiento y actuaciones en la tauromaquia, así como en su condición de espectadores, y a sensibilizar sobre la violencia física y mental asociada a la tauromaquia y su impacto en los niños. </w:t>
      </w:r>
    </w:p>
    <w:p w14:paraId="75A74E93" w14:textId="77777777" w:rsidR="00756FAE" w:rsidRPr="00EA2C95" w:rsidRDefault="00756FAE">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p>
    <w:p w14:paraId="2E7E4687" w14:textId="77777777" w:rsidR="00756FAE" w:rsidRPr="00EA2C95" w:rsidRDefault="00EA2C95">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sidRPr="00EA2C95">
        <w:rPr>
          <w:rFonts w:ascii="Bookman Old Style" w:eastAsia="Bookman Old Style" w:hAnsi="Bookman Old Style" w:cs="Bookman Old Style"/>
          <w:i/>
          <w:color w:val="000000"/>
          <w:sz w:val="22"/>
          <w:szCs w:val="22"/>
        </w:rPr>
        <w:t>H. Medidas de protección especial (Artículos 22, 30, 32-33, 36, 37 (b)-(d), 38, 39 y 40))</w:t>
      </w:r>
    </w:p>
    <w:p w14:paraId="3D647CE3" w14:textId="77777777" w:rsidR="00756FAE" w:rsidRPr="00EA2C95" w:rsidRDefault="00756FAE">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p>
    <w:p w14:paraId="5317F41E" w14:textId="77777777" w:rsidR="00756FAE" w:rsidRPr="00EA2C95" w:rsidRDefault="00EA2C95">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sidRPr="00EA2C95">
        <w:rPr>
          <w:rFonts w:ascii="Bookman Old Style" w:eastAsia="Bookman Old Style" w:hAnsi="Bookman Old Style" w:cs="Bookman Old Style"/>
          <w:i/>
          <w:color w:val="000000"/>
          <w:sz w:val="22"/>
          <w:szCs w:val="22"/>
        </w:rPr>
        <w:t>Explotación económica, incluido el trabajo infantil</w:t>
      </w:r>
    </w:p>
    <w:p w14:paraId="58FD1311" w14:textId="77777777" w:rsidR="00756FAE" w:rsidRPr="00EA2C95" w:rsidRDefault="00756FAE">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p>
    <w:p w14:paraId="7FD149CA" w14:textId="77777777" w:rsidR="00756FAE" w:rsidRPr="00EA2C95" w:rsidRDefault="00EA2C95">
      <w:pPr>
        <w:pBdr>
          <w:top w:val="nil"/>
          <w:left w:val="nil"/>
          <w:bottom w:val="nil"/>
          <w:right w:val="nil"/>
          <w:between w:val="nil"/>
        </w:pBdr>
        <w:ind w:left="851" w:right="900"/>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i/>
          <w:color w:val="000000"/>
          <w:sz w:val="22"/>
          <w:szCs w:val="22"/>
        </w:rPr>
        <w:t xml:space="preserve">59. La explotación económica, incluido el trabajo infantil. El Comité toma nota de las medidas jurídicas y normativas adoptadas por el Estado parte para proteger a los niños de la explotación económica. Sin embargo, está preocupado por el elevado número de niños involucrados en el trabajo infantil. En particular, sigue profundamente preocupado por la participación persistente de niños en trabajos peligrosos y/o degradantes, como las labores agrícolas en los cultivos ilícitos, el narcotráfico, la minería ilegal y </w:t>
      </w:r>
      <w:r w:rsidRPr="00EA2C95">
        <w:rPr>
          <w:rFonts w:ascii="Bookman Old Style" w:eastAsia="Bookman Old Style" w:hAnsi="Bookman Old Style" w:cs="Bookman Old Style"/>
          <w:i/>
          <w:color w:val="000000"/>
          <w:sz w:val="22"/>
          <w:szCs w:val="22"/>
          <w:u w:val="single"/>
        </w:rPr>
        <w:t>la tauromaquia</w:t>
      </w:r>
      <w:r w:rsidRPr="00EA2C95">
        <w:rPr>
          <w:rFonts w:ascii="Bookman Old Style" w:eastAsia="Bookman Old Style" w:hAnsi="Bookman Old Style" w:cs="Bookman Old Style"/>
          <w:color w:val="000000"/>
          <w:sz w:val="22"/>
          <w:szCs w:val="22"/>
        </w:rPr>
        <w:t xml:space="preserve">”. (subrayado fuera de texto) </w:t>
      </w:r>
    </w:p>
    <w:p w14:paraId="1B08C9B0"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3B2E2FCB"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lastRenderedPageBreak/>
        <w:t>Por ello, el psicólogo Carlos Crespo (2017) afirma que la tauromaquia normaliza la violencia en la infancia que es llevada a estos espectáculos, sobre el particular, anota:</w:t>
      </w:r>
    </w:p>
    <w:p w14:paraId="75EC43D4"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03F307FE" w14:textId="77777777" w:rsidR="00756FAE" w:rsidRPr="00EA2C95" w:rsidRDefault="00EA2C95">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sidRPr="00EA2C95">
        <w:rPr>
          <w:rFonts w:ascii="Bookman Old Style" w:eastAsia="Bookman Old Style" w:hAnsi="Bookman Old Style" w:cs="Bookman Old Style"/>
          <w:color w:val="000000"/>
          <w:sz w:val="22"/>
          <w:szCs w:val="22"/>
        </w:rPr>
        <w:t>“</w:t>
      </w:r>
      <w:r w:rsidRPr="00EA2C95">
        <w:rPr>
          <w:rFonts w:ascii="Bookman Old Style" w:eastAsia="Bookman Old Style" w:hAnsi="Bookman Old Style" w:cs="Bookman Old Style"/>
          <w:i/>
          <w:color w:val="000000"/>
          <w:sz w:val="22"/>
          <w:szCs w:val="22"/>
        </w:rPr>
        <w:t>La afición a la tauromaquia no es un proceso natural sino aprendido. Los niños y niñas en sus más tempranas etapas de desarrollo, aprenden a valorar la tauromaquia por medio del aprendizaje por observación. Las familias taurinas enseñan a sus hijos a valorar por medio de la atención selectiva, elementos y estímulos externos a la lidia del toro (la música, la comida, la vestimenta, la arquitectura de la plaza, etc.).</w:t>
      </w:r>
    </w:p>
    <w:p w14:paraId="1D864503" w14:textId="77777777" w:rsidR="00756FAE" w:rsidRPr="00EA2C95" w:rsidRDefault="00756FAE">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p>
    <w:p w14:paraId="43123E3C" w14:textId="77777777" w:rsidR="00756FAE" w:rsidRPr="00EA2C95" w:rsidRDefault="00EA2C95">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sidRPr="00EA2C95">
        <w:rPr>
          <w:rFonts w:ascii="Bookman Old Style" w:eastAsia="Bookman Old Style" w:hAnsi="Bookman Old Style" w:cs="Bookman Old Style"/>
          <w:i/>
          <w:color w:val="000000"/>
          <w:sz w:val="22"/>
          <w:szCs w:val="22"/>
        </w:rPr>
        <w:t>Cuando la infancia es llevada a una corrida de toros por primera vez se enfrenta a una disonancia cognitiva, producto de sus más probables reacciones de empatía hacia el otro animal y rechazo hacia lo que le ocurre al animal en el ruedo (Siendo un estímulo aversivo) frente a la observación de las conductas de aprobación del evento por parte de sus padres, figuras de autoridad e identificación.</w:t>
      </w:r>
    </w:p>
    <w:p w14:paraId="2DEA5BD7" w14:textId="77777777" w:rsidR="00756FAE" w:rsidRPr="00EA2C95" w:rsidRDefault="00756FAE">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p>
    <w:p w14:paraId="12D20AFE" w14:textId="77777777" w:rsidR="00756FAE" w:rsidRPr="00EA2C95" w:rsidRDefault="00EA2C95">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sidRPr="00EA2C95">
        <w:rPr>
          <w:rFonts w:ascii="Bookman Old Style" w:eastAsia="Bookman Old Style" w:hAnsi="Bookman Old Style" w:cs="Bookman Old Style"/>
          <w:i/>
          <w:color w:val="000000"/>
          <w:sz w:val="22"/>
          <w:szCs w:val="22"/>
        </w:rPr>
        <w:t>Cuando las familias llevan a sus hijos de manera continua a las corridas de toros, estos comienzan a valorar y priorizar los elementos de la tauromaquia (los que habían aprendido más otros nuevos, como el carácter de figura de los toreros, los tercios, los pases y en general, los clásicos argumentos taurinos como que es tradición, cultura, arte, rito, etc.)  y a dar menor importancia a lo que les ocurre a los animales (A los que solo valoran en cuanto a su utilidad en medio de la actividad). Estos elementos actúan como reforzadores y forjadores de sus conductas a favor de la tauromaquia produciéndose el proceso psicológico conocido como desensibilización sistemática que hace que el niño o la niña normalice progresivamente la violencia hacia toros y caballos en el contexto de la lidia, eliminando cualquier sentimiento negativo o aversivo a lo que le ocurre a estos últimos.</w:t>
      </w:r>
    </w:p>
    <w:p w14:paraId="1EFC7B7B" w14:textId="77777777" w:rsidR="00756FAE" w:rsidRPr="00EA2C95" w:rsidRDefault="00756FAE">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p>
    <w:p w14:paraId="5719E2EB" w14:textId="77777777" w:rsidR="00756FAE" w:rsidRPr="00EA2C95" w:rsidRDefault="00EA2C95">
      <w:pPr>
        <w:pBdr>
          <w:top w:val="nil"/>
          <w:left w:val="nil"/>
          <w:bottom w:val="nil"/>
          <w:right w:val="nil"/>
          <w:between w:val="nil"/>
        </w:pBdr>
        <w:ind w:left="851" w:right="900"/>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i/>
          <w:color w:val="000000"/>
          <w:sz w:val="22"/>
          <w:szCs w:val="22"/>
        </w:rPr>
        <w:t xml:space="preserve">Normalizar actos de violencia no es positivo ni compatible con una sociedad que busca consolidar un proceso de paz y por ello, educar a la infancia, para que no habitúe los refuerzos asociados a la tauromaquia y se desensibilice frente a lo que le ocurre al animal. Así mismo, se debe educar a la sociedad en general en el respeto hacia toda forma de vida sintiente, haciendo esto un imperativo moral que debe tener efectos legales. El fenómeno de la violencia </w:t>
      </w:r>
      <w:r w:rsidRPr="00EA2C95">
        <w:rPr>
          <w:rFonts w:ascii="Bookman Old Style" w:eastAsia="Bookman Old Style" w:hAnsi="Bookman Old Style" w:cs="Bookman Old Style"/>
          <w:i/>
          <w:color w:val="000000"/>
          <w:sz w:val="22"/>
          <w:szCs w:val="22"/>
        </w:rPr>
        <w:lastRenderedPageBreak/>
        <w:t>debe ser combatida en todas sus formas de manera integral, no solamente en el contexto antropocéntrico</w:t>
      </w:r>
      <w:r w:rsidRPr="00EA2C95">
        <w:rPr>
          <w:rFonts w:ascii="Bookman Old Style" w:eastAsia="Bookman Old Style" w:hAnsi="Bookman Old Style" w:cs="Bookman Old Style"/>
          <w:color w:val="000000"/>
          <w:sz w:val="22"/>
          <w:szCs w:val="22"/>
        </w:rPr>
        <w:t>”.</w:t>
      </w:r>
      <w:r w:rsidRPr="00EA2C95">
        <w:rPr>
          <w:rFonts w:ascii="Bookman Old Style" w:eastAsia="Bookman Old Style" w:hAnsi="Bookman Old Style" w:cs="Bookman Old Style"/>
          <w:color w:val="000000"/>
          <w:sz w:val="22"/>
          <w:szCs w:val="22"/>
          <w:vertAlign w:val="superscript"/>
        </w:rPr>
        <w:footnoteReference w:id="15"/>
      </w:r>
    </w:p>
    <w:p w14:paraId="172324EB"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u w:val="single"/>
        </w:rPr>
      </w:pPr>
    </w:p>
    <w:p w14:paraId="3A4C1327"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 xml:space="preserve">En consecuencia, es un imperativo, como Estado y sociedad, adoptar las medidas necesarias encaminadas a erradicar toda forma de violencia que pueda afectar la formación integral de la infancia, promoviendo, por el contrario, el respeto hacia todas las manifestaciones de vida y la no violencia.  </w:t>
      </w:r>
    </w:p>
    <w:p w14:paraId="13879976"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u w:val="single"/>
        </w:rPr>
      </w:pPr>
    </w:p>
    <w:p w14:paraId="5416F29F" w14:textId="02E168AC" w:rsidR="00756FAE" w:rsidRPr="00EA2C95" w:rsidRDefault="00E56BBC">
      <w:pPr>
        <w:pBdr>
          <w:top w:val="nil"/>
          <w:left w:val="nil"/>
          <w:bottom w:val="nil"/>
          <w:right w:val="nil"/>
          <w:between w:val="nil"/>
        </w:pBdr>
        <w:jc w:val="both"/>
        <w:rPr>
          <w:rFonts w:ascii="Bookman Old Style" w:eastAsia="Bookman Old Style" w:hAnsi="Bookman Old Style" w:cs="Bookman Old Style"/>
          <w:color w:val="000000"/>
          <w:sz w:val="22"/>
          <w:szCs w:val="22"/>
          <w:u w:val="single"/>
        </w:rPr>
      </w:pPr>
      <w:r>
        <w:rPr>
          <w:rFonts w:ascii="Bookman Old Style" w:eastAsia="Bookman Old Style" w:hAnsi="Bookman Old Style" w:cs="Bookman Old Style"/>
          <w:color w:val="000000"/>
          <w:sz w:val="22"/>
          <w:szCs w:val="22"/>
          <w:u w:val="single"/>
        </w:rPr>
        <w:t>5</w:t>
      </w:r>
      <w:r w:rsidR="00EA2C95" w:rsidRPr="00EA2C95">
        <w:rPr>
          <w:rFonts w:ascii="Bookman Old Style" w:eastAsia="Bookman Old Style" w:hAnsi="Bookman Old Style" w:cs="Bookman Old Style"/>
          <w:color w:val="000000"/>
          <w:sz w:val="22"/>
          <w:szCs w:val="22"/>
          <w:u w:val="single"/>
        </w:rPr>
        <w:t>.5.2. La convivencia se ve afectada con este tipo de actividades</w:t>
      </w:r>
    </w:p>
    <w:p w14:paraId="0F66A4CB"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u w:val="single"/>
        </w:rPr>
      </w:pPr>
    </w:p>
    <w:p w14:paraId="6FCCA9DA"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 xml:space="preserve">La tauromaquia ha sido controversial desde sus inicios. En el caso colombiano, las expresiones públicas de rechazo a estas actividades no son nuevas. Rodolfo Kohn Olaya publicó un libro en 1952: </w:t>
      </w:r>
      <w:r w:rsidRPr="00EA2C95">
        <w:rPr>
          <w:rFonts w:ascii="Bookman Old Style" w:eastAsia="Bookman Old Style" w:hAnsi="Bookman Old Style" w:cs="Bookman Old Style"/>
          <w:i/>
          <w:color w:val="000000"/>
          <w:sz w:val="22"/>
          <w:szCs w:val="22"/>
        </w:rPr>
        <w:t>De la Impía tauromaquia y su corruptor influjo - Significativos datos para un balance de la cultura en Colombia</w:t>
      </w:r>
      <w:r w:rsidRPr="00EA2C95">
        <w:rPr>
          <w:rFonts w:ascii="Bookman Old Style" w:eastAsia="Bookman Old Style" w:hAnsi="Bookman Old Style" w:cs="Bookman Old Style"/>
          <w:color w:val="000000"/>
          <w:sz w:val="22"/>
          <w:szCs w:val="22"/>
        </w:rPr>
        <w:t>, convirtiéndose en pionero de una nueva forma de relación más respetuosa entre humanos y demás animales, que ha venido en constante crecimiento. La sociedad colombiana cuenta en el presente con un amplio consenso ciudadano sobre la necesidad de abolir la tauromaquia, como expresión de maltrato gratuito, e injustificado, que ha dado pie a una creciente insatisfacción por la imposición legal de su continuidad, que entes gubernamentales como el Ministerio del Interior, en la exposición de motivos del proyecto de ley 271 de 2017, refirieron como un problema de convivencia ciudadana que debe ser solucionado, exponiendo.</w:t>
      </w:r>
    </w:p>
    <w:p w14:paraId="199D138C"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3A03A55F" w14:textId="77777777" w:rsidR="00756FAE" w:rsidRPr="00EA2C95" w:rsidRDefault="00EA2C95">
      <w:pPr>
        <w:pBdr>
          <w:top w:val="nil"/>
          <w:left w:val="nil"/>
          <w:bottom w:val="nil"/>
          <w:right w:val="nil"/>
          <w:between w:val="nil"/>
        </w:pBdr>
        <w:ind w:left="851" w:right="900"/>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w:t>
      </w:r>
      <w:r w:rsidRPr="00EA2C95">
        <w:rPr>
          <w:rFonts w:ascii="Bookman Old Style" w:eastAsia="Bookman Old Style" w:hAnsi="Bookman Old Style" w:cs="Bookman Old Style"/>
          <w:i/>
          <w:color w:val="000000"/>
          <w:sz w:val="22"/>
          <w:szCs w:val="22"/>
        </w:rPr>
        <w:t>Si estamos erradicando la violencia en nuestro país, debemos empezar a construir una sociedad basada en el respeto a la vida y a los demás; así mismo avanzar en la dirección más humanitaria de otros países que han eliminado la tortura de seres sintientes como espectáculo. La eliminación de prácticas como la tauromaquia, se correspondería con la promoción del desarrollo de valores deseables en la sociedad como del respeto hacia el otro, constituyéndose, así como una de tantas estrategias para superar la violencia, insolidaridad y crueldad por razones injustificables y, de paso, contribuir a garantizar la no repetición de la guerra, superar la violencia, insolidaridad y crueldad y de paso garantizar la no repetición de la guerra</w:t>
      </w:r>
      <w:r w:rsidRPr="00EA2C95">
        <w:rPr>
          <w:rFonts w:ascii="Bookman Old Style" w:eastAsia="Bookman Old Style" w:hAnsi="Bookman Old Style" w:cs="Bookman Old Style"/>
          <w:color w:val="000000"/>
          <w:sz w:val="22"/>
          <w:szCs w:val="22"/>
        </w:rPr>
        <w:t>”.</w:t>
      </w:r>
    </w:p>
    <w:p w14:paraId="38EBFA3D"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 xml:space="preserve">  </w:t>
      </w:r>
    </w:p>
    <w:p w14:paraId="4FEBD000" w14:textId="43E6F99E" w:rsidR="00756FAE" w:rsidRPr="00EA2C95" w:rsidRDefault="00E56BBC">
      <w:pPr>
        <w:pBdr>
          <w:top w:val="nil"/>
          <w:left w:val="nil"/>
          <w:bottom w:val="nil"/>
          <w:right w:val="nil"/>
          <w:between w:val="nil"/>
        </w:pBdr>
        <w:jc w:val="both"/>
        <w:rPr>
          <w:rFonts w:ascii="Bookman Old Style" w:eastAsia="Bookman Old Style" w:hAnsi="Bookman Old Style" w:cs="Bookman Old Style"/>
          <w:color w:val="000000"/>
          <w:sz w:val="22"/>
          <w:szCs w:val="22"/>
          <w:u w:val="single"/>
        </w:rPr>
      </w:pPr>
      <w:r>
        <w:rPr>
          <w:rFonts w:ascii="Bookman Old Style" w:eastAsia="Bookman Old Style" w:hAnsi="Bookman Old Style" w:cs="Bookman Old Style"/>
          <w:color w:val="000000"/>
          <w:sz w:val="22"/>
          <w:szCs w:val="22"/>
          <w:u w:val="single"/>
        </w:rPr>
        <w:t>5</w:t>
      </w:r>
      <w:r w:rsidR="00EA2C95" w:rsidRPr="00EA2C95">
        <w:rPr>
          <w:rFonts w:ascii="Bookman Old Style" w:eastAsia="Bookman Old Style" w:hAnsi="Bookman Old Style" w:cs="Bookman Old Style"/>
          <w:color w:val="000000"/>
          <w:sz w:val="22"/>
          <w:szCs w:val="22"/>
          <w:u w:val="single"/>
        </w:rPr>
        <w:t>.5.3. Pertinencia social</w:t>
      </w:r>
    </w:p>
    <w:p w14:paraId="249761AD"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b/>
          <w:i/>
          <w:color w:val="000000"/>
          <w:sz w:val="22"/>
          <w:szCs w:val="22"/>
        </w:rPr>
      </w:pPr>
    </w:p>
    <w:p w14:paraId="5E8ADCDF"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 xml:space="preserve">Desde las mesas de trabajo realizadas en el marco del proyecto de Ley anterior, radicado por el Ministerio del Interior, hasta el sector que representa a los defensores de animales, se  manifestó la necesidad de desarrollar un plan para </w:t>
      </w:r>
      <w:r w:rsidRPr="00EA2C95">
        <w:rPr>
          <w:rFonts w:ascii="Bookman Old Style" w:eastAsia="Bookman Old Style" w:hAnsi="Bookman Old Style" w:cs="Bookman Old Style"/>
          <w:color w:val="000000"/>
          <w:sz w:val="22"/>
          <w:szCs w:val="22"/>
        </w:rPr>
        <w:lastRenderedPageBreak/>
        <w:t>apoyar laboralmente a quienes comprueben que su estabilidad económica depende únicamente de la actividad taurina, como una mecanismo efectivo y concreto de sustitución y reconversión laboral, emulando ejemplos exitosos como el de las familias que vivían de los vehículos de tracción animal, desarrollados en ciudades como Medellín, Manizales, Cali y Bogotá, entre otras.</w:t>
      </w:r>
    </w:p>
    <w:p w14:paraId="10484B9A"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 xml:space="preserve"> </w:t>
      </w:r>
    </w:p>
    <w:p w14:paraId="40891EB3"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 xml:space="preserve">Este proceso de sustitución laboral es fundamental para cerrar la brecha social que impacta en Colombia, dado que tradicionalmente quienes trabajan en el sector taurino, carecen de plenas garantías laborales como las debe tener cualquier trabajador formal, máxime cuando es un trabajo ocasional con un alto riesgo a la integridad física. Es común ver las quejas del sector de los toreros, banderilleros, mozos de espadas, </w:t>
      </w:r>
      <w:proofErr w:type="spellStart"/>
      <w:r w:rsidRPr="00EA2C95">
        <w:rPr>
          <w:rFonts w:ascii="Bookman Old Style" w:eastAsia="Bookman Old Style" w:hAnsi="Bookman Old Style" w:cs="Bookman Old Style"/>
          <w:color w:val="000000"/>
          <w:sz w:val="22"/>
          <w:szCs w:val="22"/>
        </w:rPr>
        <w:t>etc</w:t>
      </w:r>
      <w:proofErr w:type="spellEnd"/>
      <w:r w:rsidRPr="00EA2C95">
        <w:rPr>
          <w:rFonts w:ascii="Bookman Old Style" w:eastAsia="Bookman Old Style" w:hAnsi="Bookman Old Style" w:cs="Bookman Old Style"/>
          <w:color w:val="000000"/>
          <w:sz w:val="22"/>
          <w:szCs w:val="22"/>
        </w:rPr>
        <w:t xml:space="preserve">, por el abandono en cuestiones sociales, de salud y pensionales en el que se encuentran. </w:t>
      </w:r>
    </w:p>
    <w:p w14:paraId="676B8501"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22DA583F"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La abolición del toreo da pie a crear nuevas economías creativas y alternativas, donde se mantenga la historia de la tauromaquia por medio de la museología, la gastronomía, la música y otras expresiones, sin tapar el contenido estético que para algunos pueda tener, ni mucho menos olvidarlo como inspiración a numerosas piezas del arte.</w:t>
      </w:r>
    </w:p>
    <w:p w14:paraId="2D783D68"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 xml:space="preserve"> </w:t>
      </w:r>
    </w:p>
    <w:p w14:paraId="78D8946C"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Así mismo las Plazas de Toros, como ha sucedido en muchas partes del mundo, se pueden convertir en epicentros de prácticas circenses, comerciales y sociales. Una Plaza de éstas es el espacio ideal para una galería comercial, que puede ser administrada por quienes antes vivían de las corridas de toros, con la diferencia que con este nuevo eje económico sí tendrían estabilidad laboral con todas las garantías que todo ciudadano debe tener. Son numerosos los ejemplos de reconversión de plazas de toros en otro tipo de espacios para fines diferentes a la explotación animal: La plaza de toros de las arenas en Barcelona (España), es un centro comercial, la antigua plaza de toros en Zacatecas (México) es ahora un hotel, en Caracas (Venezuela), su plaza de toros se convirtió en el nuevo circo de Caracas, escenario para el arte y la cultura. Finalmente, en Colombia la plaza de Santamaría fue durante cinco años escenario para espectáculos artísticos, deportivos y culturales. Los últimos ejemplos en Colombia, los ofrecen la población de Toledo en Norte de Santander, cuya plaza de toros será convertida en Coso municipal destinado a la atención y el bienestar animal; la Plaza de la Serrezuela en Cartagena, convertida en Centro Comercial; la Plaza de Armenia, con amplias discusiones y propuestas sobre su transformación y nuevo uso (como vivero, mariposario, teatro al aire libre o deportivo), y finalmente, la plaza Cesar Rincón de Duitama, que ahora se llamará plaza de todos Arena Mancipe, Centro cultural y deportivo.</w:t>
      </w:r>
    </w:p>
    <w:p w14:paraId="27C2E4AD"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7ACB9AFC"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7005A317" w14:textId="30232CE1" w:rsidR="00756FAE" w:rsidRPr="00EA2C95" w:rsidRDefault="00E56BBC">
      <w:pPr>
        <w:pBdr>
          <w:top w:val="nil"/>
          <w:left w:val="nil"/>
          <w:bottom w:val="nil"/>
          <w:right w:val="nil"/>
          <w:between w:val="nil"/>
        </w:pBdr>
        <w:jc w:val="both"/>
        <w:rPr>
          <w:rFonts w:ascii="Bookman Old Style" w:eastAsia="Bookman Old Style" w:hAnsi="Bookman Old Style" w:cs="Bookman Old Style"/>
          <w:color w:val="000000"/>
          <w:sz w:val="22"/>
          <w:szCs w:val="22"/>
          <w:u w:val="single"/>
        </w:rPr>
      </w:pPr>
      <w:r>
        <w:rPr>
          <w:rFonts w:ascii="Bookman Old Style" w:eastAsia="Bookman Old Style" w:hAnsi="Bookman Old Style" w:cs="Bookman Old Style"/>
          <w:color w:val="000000"/>
          <w:sz w:val="22"/>
          <w:szCs w:val="22"/>
          <w:u w:val="single"/>
        </w:rPr>
        <w:t>5</w:t>
      </w:r>
      <w:r w:rsidR="00EA2C95" w:rsidRPr="00EA2C95">
        <w:rPr>
          <w:rFonts w:ascii="Bookman Old Style" w:eastAsia="Bookman Old Style" w:hAnsi="Bookman Old Style" w:cs="Bookman Old Style"/>
          <w:color w:val="000000"/>
          <w:sz w:val="22"/>
          <w:szCs w:val="22"/>
          <w:u w:val="single"/>
        </w:rPr>
        <w:t>.5.4. Aspectos bioéticos: El deber de no maleficencia</w:t>
      </w:r>
    </w:p>
    <w:p w14:paraId="234E98C7"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1947C1AB"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lastRenderedPageBreak/>
        <w:t>La defensa de la vida e integridad de un ser sintiente debe estar por encima de la defensa de la cultura o la tradición. De acuerdo al Psicólogo y Magíster en Bioética Carlos Crespo (2013):</w:t>
      </w:r>
    </w:p>
    <w:p w14:paraId="70DD7983"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7B8B7FDC" w14:textId="77777777" w:rsidR="00756FAE" w:rsidRPr="00EA2C95" w:rsidRDefault="00EA2C95">
      <w:pPr>
        <w:pBdr>
          <w:top w:val="nil"/>
          <w:left w:val="nil"/>
          <w:bottom w:val="nil"/>
          <w:right w:val="nil"/>
          <w:between w:val="nil"/>
        </w:pBdr>
        <w:ind w:left="851" w:right="900"/>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w:t>
      </w:r>
      <w:r w:rsidRPr="00EA2C95">
        <w:rPr>
          <w:rFonts w:ascii="Bookman Old Style" w:eastAsia="Bookman Old Style" w:hAnsi="Bookman Old Style" w:cs="Bookman Old Style"/>
          <w:i/>
          <w:color w:val="000000"/>
          <w:sz w:val="22"/>
          <w:szCs w:val="22"/>
        </w:rPr>
        <w:t xml:space="preserve">el principio de no maleficencia es considerado el principio base mínimo. La no maleficencia obliga a no dañar intencionalmente a los demás, a respetar a los demás, a no hacer daño entendido como no herir ni física o moralmente. La importancia de este principio está dada en cuanto asegura la vida e integridad física de los individuos, su supervivencia, asegurando que no se será dañado, ya sea por ejecución de una acción dañina, o la omisión de una acción que debió hacerse para evitar el daño. </w:t>
      </w:r>
    </w:p>
    <w:p w14:paraId="31B52311" w14:textId="77777777" w:rsidR="00756FAE" w:rsidRPr="00EA2C95" w:rsidRDefault="00756FAE">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p>
    <w:p w14:paraId="0D0F1EAB" w14:textId="77777777" w:rsidR="00756FAE" w:rsidRPr="00EA2C95" w:rsidRDefault="00EA2C95">
      <w:pPr>
        <w:pBdr>
          <w:top w:val="nil"/>
          <w:left w:val="nil"/>
          <w:bottom w:val="nil"/>
          <w:right w:val="nil"/>
          <w:between w:val="nil"/>
        </w:pBdr>
        <w:ind w:left="851" w:right="900"/>
        <w:rPr>
          <w:rFonts w:ascii="Bookman Old Style" w:eastAsia="Bookman Old Style" w:hAnsi="Bookman Old Style" w:cs="Bookman Old Style"/>
          <w:i/>
          <w:color w:val="000000"/>
          <w:sz w:val="22"/>
          <w:szCs w:val="22"/>
        </w:rPr>
      </w:pPr>
      <w:r w:rsidRPr="00EA2C95">
        <w:rPr>
          <w:rFonts w:ascii="Bookman Old Style" w:eastAsia="Bookman Old Style" w:hAnsi="Bookman Old Style" w:cs="Bookman Old Style"/>
          <w:i/>
          <w:color w:val="000000"/>
          <w:sz w:val="22"/>
          <w:szCs w:val="22"/>
        </w:rPr>
        <w:t>No es necesario relatar los elementos de una corrida de toros para saber que este principio está siendo violado…</w:t>
      </w:r>
      <w:r w:rsidRPr="00EA2C95">
        <w:rPr>
          <w:rFonts w:ascii="Bookman Old Style" w:eastAsia="Bookman Old Style" w:hAnsi="Bookman Old Style" w:cs="Bookman Old Style"/>
          <w:color w:val="000000"/>
          <w:sz w:val="22"/>
          <w:szCs w:val="22"/>
        </w:rPr>
        <w:t>”.</w:t>
      </w:r>
      <w:r w:rsidRPr="00EA2C95">
        <w:rPr>
          <w:rFonts w:ascii="Bookman Old Style" w:eastAsia="Bookman Old Style" w:hAnsi="Bookman Old Style" w:cs="Bookman Old Style"/>
          <w:color w:val="000000"/>
          <w:sz w:val="22"/>
          <w:szCs w:val="22"/>
          <w:vertAlign w:val="superscript"/>
        </w:rPr>
        <w:footnoteReference w:id="16"/>
      </w:r>
      <w:r w:rsidRPr="00EA2C95">
        <w:rPr>
          <w:rFonts w:ascii="Bookman Old Style" w:eastAsia="Bookman Old Style" w:hAnsi="Bookman Old Style" w:cs="Bookman Old Style"/>
          <w:color w:val="000000"/>
          <w:sz w:val="22"/>
          <w:szCs w:val="22"/>
        </w:rPr>
        <w:br/>
      </w:r>
    </w:p>
    <w:p w14:paraId="18183148"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 xml:space="preserve">No es necesario relatar los elementos de una corrida de toros para saber que este principio está siendo violado…El no hacer daño a otro es una obligación moral” </w:t>
      </w:r>
    </w:p>
    <w:p w14:paraId="7327629B"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u w:val="single"/>
        </w:rPr>
      </w:pPr>
    </w:p>
    <w:p w14:paraId="48FED124" w14:textId="16D967D1" w:rsidR="00756FAE" w:rsidRPr="00EA2C95" w:rsidRDefault="00E56BBC">
      <w:pPr>
        <w:pBdr>
          <w:top w:val="nil"/>
          <w:left w:val="nil"/>
          <w:bottom w:val="nil"/>
          <w:right w:val="nil"/>
          <w:between w:val="nil"/>
        </w:pBdr>
        <w:jc w:val="both"/>
        <w:rPr>
          <w:rFonts w:ascii="Bookman Old Style" w:eastAsia="Bookman Old Style" w:hAnsi="Bookman Old Style" w:cs="Bookman Old Style"/>
          <w:color w:val="000000"/>
          <w:sz w:val="22"/>
          <w:szCs w:val="22"/>
          <w:u w:val="single"/>
        </w:rPr>
      </w:pPr>
      <w:r>
        <w:rPr>
          <w:rFonts w:ascii="Bookman Old Style" w:eastAsia="Bookman Old Style" w:hAnsi="Bookman Old Style" w:cs="Bookman Old Style"/>
          <w:color w:val="000000"/>
          <w:sz w:val="22"/>
          <w:szCs w:val="22"/>
          <w:u w:val="single"/>
        </w:rPr>
        <w:t>5</w:t>
      </w:r>
      <w:r w:rsidR="00EA2C95" w:rsidRPr="00EA2C95">
        <w:rPr>
          <w:rFonts w:ascii="Bookman Old Style" w:eastAsia="Bookman Old Style" w:hAnsi="Bookman Old Style" w:cs="Bookman Old Style"/>
          <w:color w:val="000000"/>
          <w:sz w:val="22"/>
          <w:szCs w:val="22"/>
          <w:u w:val="single"/>
        </w:rPr>
        <w:t>.5.5. El sector taurino no es una minoría vulnerable</w:t>
      </w:r>
    </w:p>
    <w:p w14:paraId="72AA1D3A"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03304165"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 xml:space="preserve">La población taurina ha buscado ser protegida en sus gustos y libertades como una minoría. Sin embargo, no pueden ser considerados una minoría constitucionalmente protegida. Sobre este aspecto, Carlos Crespo afirmó (2017): </w:t>
      </w:r>
    </w:p>
    <w:p w14:paraId="6D4974F7"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36190731" w14:textId="77777777" w:rsidR="00756FAE" w:rsidRPr="00EA2C95" w:rsidRDefault="00EA2C95">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sidRPr="00EA2C95">
        <w:rPr>
          <w:rFonts w:ascii="Bookman Old Style" w:eastAsia="Bookman Old Style" w:hAnsi="Bookman Old Style" w:cs="Bookman Old Style"/>
          <w:color w:val="000000"/>
          <w:sz w:val="22"/>
          <w:szCs w:val="22"/>
        </w:rPr>
        <w:t>“</w:t>
      </w:r>
      <w:r w:rsidRPr="00EA2C95">
        <w:rPr>
          <w:rFonts w:ascii="Bookman Old Style" w:eastAsia="Bookman Old Style" w:hAnsi="Bookman Old Style" w:cs="Bookman Old Style"/>
          <w:i/>
          <w:color w:val="000000"/>
          <w:sz w:val="22"/>
          <w:szCs w:val="22"/>
        </w:rPr>
        <w:t>Se ha considerado minoría a aquellos grupos poblacionales que han sufrido la discriminación, el sometimiento, la violencia, de manera histórica y sistemática, y que a pesar de virtuales avances en el discurso de DDHH por la equidad, siguen siendo segregados y no teniendo acceso igualitario a los derechos básicos y al desarrollo de capacidades en la sociedad, tornándolos en poblaciones vulnerables que deben ser protegidas por el estado o por sus comunidades, emitiendo por ejemplo políticas públicas, leyes, etc., que garanticen sus vidas, integridad y desarrollo, así como el equilibrio de su posición desfavorable en la sociedad.</w:t>
      </w:r>
    </w:p>
    <w:p w14:paraId="7935BD16" w14:textId="77777777" w:rsidR="00756FAE" w:rsidRPr="00EA2C95" w:rsidRDefault="00EA2C95">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sidRPr="00EA2C95">
        <w:rPr>
          <w:rFonts w:ascii="Bookman Old Style" w:eastAsia="Bookman Old Style" w:hAnsi="Bookman Old Style" w:cs="Bookman Old Style"/>
          <w:i/>
          <w:color w:val="000000"/>
          <w:sz w:val="22"/>
          <w:szCs w:val="22"/>
        </w:rPr>
        <w:t xml:space="preserve"> </w:t>
      </w:r>
    </w:p>
    <w:p w14:paraId="1DA3F07A" w14:textId="77777777" w:rsidR="00756FAE" w:rsidRPr="00EA2C95" w:rsidRDefault="00EA2C95">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sidRPr="00EA2C95">
        <w:rPr>
          <w:rFonts w:ascii="Bookman Old Style" w:eastAsia="Bookman Old Style" w:hAnsi="Bookman Old Style" w:cs="Bookman Old Style"/>
          <w:i/>
          <w:color w:val="000000"/>
          <w:sz w:val="22"/>
          <w:szCs w:val="22"/>
        </w:rPr>
        <w:t xml:space="preserve">Ejemplo de estas comunidades son las personas afros, indígenas, LGBTI, desplazadas, exiliadas, refugiadas, habitantes de calle, personas en ejercicio de prostitución, personas con discapacidades y desde hace un tiempo, también se ha ampliado el concepto a los animales no humanos. Las grandes desigualdades sociales y el </w:t>
      </w:r>
      <w:r w:rsidRPr="00EA2C95">
        <w:rPr>
          <w:rFonts w:ascii="Bookman Old Style" w:eastAsia="Bookman Old Style" w:hAnsi="Bookman Old Style" w:cs="Bookman Old Style"/>
          <w:i/>
          <w:color w:val="000000"/>
          <w:sz w:val="22"/>
          <w:szCs w:val="22"/>
        </w:rPr>
        <w:lastRenderedPageBreak/>
        <w:t>aniquilamiento de las poblaciones vulnerables han dado paso a la protección no solo de sus derechos básicos sino a la ampliación de la protección a sus cosmovisiones, formas de vida, usos y costumbres. Una minoría, entendida como población vulnerable no siempre tiene que ver con números. Las mujeres son mayoría en el planeta pero hacen parte de las poblaciones vulnerables desde su posición desfavorable y desigual en la sociedad. La infancia y las personas mayores son otro ejemplo de ello. Eso quiere decir que se protegen las poblaciones por sus características de vulnerabilidad, no por ser pocas en términos numéricos. Son estas las minorías con las que toda la población debe solidarizarse y eliminar todo tipo de discriminación.</w:t>
      </w:r>
    </w:p>
    <w:p w14:paraId="354D38FC" w14:textId="77777777" w:rsidR="00756FAE" w:rsidRPr="00EA2C95" w:rsidRDefault="00EA2C95">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sidRPr="00EA2C95">
        <w:rPr>
          <w:rFonts w:ascii="Bookman Old Style" w:eastAsia="Bookman Old Style" w:hAnsi="Bookman Old Style" w:cs="Bookman Old Style"/>
          <w:i/>
          <w:color w:val="000000"/>
          <w:sz w:val="22"/>
          <w:szCs w:val="22"/>
        </w:rPr>
        <w:t xml:space="preserve"> </w:t>
      </w:r>
    </w:p>
    <w:p w14:paraId="6E8FEC04" w14:textId="77777777" w:rsidR="00756FAE" w:rsidRPr="00EA2C95" w:rsidRDefault="00EA2C95">
      <w:pPr>
        <w:pBdr>
          <w:top w:val="nil"/>
          <w:left w:val="nil"/>
          <w:bottom w:val="nil"/>
          <w:right w:val="nil"/>
          <w:between w:val="nil"/>
        </w:pBdr>
        <w:ind w:left="851" w:right="900"/>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i/>
          <w:color w:val="000000"/>
          <w:sz w:val="22"/>
          <w:szCs w:val="22"/>
        </w:rPr>
        <w:t>Es en el sentido estricto de minorías protegidas constitucionalmente, que se puede afirmar de manera tajante que los taurinos NO son una minoría, y que a pesar de que pueden ser asumidos como tal de manera numérica, son un grupo de interés sin ningún derecho especial a proteger más allá de otros grupos de interés como los aficionados a un equipo de fútbol o el club de fans de un grupo musical</w:t>
      </w:r>
      <w:r w:rsidRPr="00EA2C95">
        <w:rPr>
          <w:rFonts w:ascii="Bookman Old Style" w:eastAsia="Bookman Old Style" w:hAnsi="Bookman Old Style" w:cs="Bookman Old Style"/>
          <w:color w:val="000000"/>
          <w:sz w:val="22"/>
          <w:szCs w:val="22"/>
        </w:rPr>
        <w:t>”.</w:t>
      </w:r>
      <w:r w:rsidRPr="00EA2C95">
        <w:rPr>
          <w:rFonts w:ascii="Bookman Old Style" w:eastAsia="Bookman Old Style" w:hAnsi="Bookman Old Style" w:cs="Bookman Old Style"/>
          <w:color w:val="000000"/>
          <w:sz w:val="22"/>
          <w:szCs w:val="22"/>
          <w:vertAlign w:val="superscript"/>
        </w:rPr>
        <w:footnoteReference w:id="17"/>
      </w:r>
    </w:p>
    <w:p w14:paraId="225E58CE"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18819A59" w14:textId="497ADC6B" w:rsidR="00756FAE" w:rsidRPr="00EA2C95" w:rsidRDefault="00E56BBC">
      <w:pPr>
        <w:pBdr>
          <w:top w:val="nil"/>
          <w:left w:val="nil"/>
          <w:bottom w:val="nil"/>
          <w:right w:val="nil"/>
          <w:between w:val="nil"/>
        </w:pBdr>
        <w:jc w:val="both"/>
        <w:rPr>
          <w:rFonts w:ascii="Bookman Old Style" w:eastAsia="Bookman Old Style" w:hAnsi="Bookman Old Style" w:cs="Bookman Old Style"/>
          <w:color w:val="000000"/>
          <w:sz w:val="22"/>
          <w:szCs w:val="22"/>
          <w:u w:val="single"/>
        </w:rPr>
      </w:pPr>
      <w:r>
        <w:rPr>
          <w:rFonts w:ascii="Bookman Old Style" w:eastAsia="Bookman Old Style" w:hAnsi="Bookman Old Style" w:cs="Bookman Old Style"/>
          <w:color w:val="000000"/>
          <w:sz w:val="22"/>
          <w:szCs w:val="22"/>
          <w:u w:val="single"/>
        </w:rPr>
        <w:t>5</w:t>
      </w:r>
      <w:r w:rsidR="00EA2C95" w:rsidRPr="00EA2C95">
        <w:rPr>
          <w:rFonts w:ascii="Bookman Old Style" w:eastAsia="Bookman Old Style" w:hAnsi="Bookman Old Style" w:cs="Bookman Old Style"/>
          <w:color w:val="000000"/>
          <w:sz w:val="22"/>
          <w:szCs w:val="22"/>
          <w:u w:val="single"/>
        </w:rPr>
        <w:t>.5.6. Sobre el argumento de que las corridas de toros son arte</w:t>
      </w:r>
    </w:p>
    <w:p w14:paraId="3F0B150F"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2733BA4A"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El afamado artista, director y actor de cine y teatro Fabio Rubiano (2017), rechaza que las corridas de toros sean consideradas una expresión artística. Sobre el particular afirma:</w:t>
      </w:r>
    </w:p>
    <w:p w14:paraId="067E7A8F"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i/>
          <w:color w:val="000000"/>
          <w:sz w:val="22"/>
          <w:szCs w:val="22"/>
        </w:rPr>
      </w:pPr>
      <w:r w:rsidRPr="00EA2C95">
        <w:rPr>
          <w:rFonts w:ascii="Bookman Old Style" w:eastAsia="Bookman Old Style" w:hAnsi="Bookman Old Style" w:cs="Bookman Old Style"/>
          <w:color w:val="000000"/>
          <w:sz w:val="22"/>
          <w:szCs w:val="22"/>
        </w:rPr>
        <w:t xml:space="preserve"> </w:t>
      </w:r>
    </w:p>
    <w:p w14:paraId="3D3072FA" w14:textId="77777777" w:rsidR="00756FAE" w:rsidRPr="00EA2C95" w:rsidRDefault="00EA2C95">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sidRPr="00EA2C95">
        <w:rPr>
          <w:rFonts w:ascii="Bookman Old Style" w:eastAsia="Bookman Old Style" w:hAnsi="Bookman Old Style" w:cs="Bookman Old Style"/>
          <w:i/>
          <w:color w:val="000000"/>
          <w:sz w:val="22"/>
          <w:szCs w:val="22"/>
        </w:rPr>
        <w:t>“Uno de los argumentos más poderosos de los taurinos es cuando hacen referencia a los grandes artistas que han generado obras de arte a partir de esa práctica: Picasso, Botero, Miró, Buñuel, Hemingway. Parten para sus creaciones de la plasticidad dancística del banderillero, de la presencia mítica del toro (la continua referencia al minotauro), o de lo atractivo de la pasión suicida de un torero.</w:t>
      </w:r>
    </w:p>
    <w:p w14:paraId="06B7AF0D" w14:textId="77777777" w:rsidR="00756FAE" w:rsidRPr="00EA2C95" w:rsidRDefault="00EA2C95">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sidRPr="00EA2C95">
        <w:rPr>
          <w:rFonts w:ascii="Bookman Old Style" w:eastAsia="Bookman Old Style" w:hAnsi="Bookman Old Style" w:cs="Bookman Old Style"/>
          <w:i/>
          <w:color w:val="000000"/>
          <w:sz w:val="22"/>
          <w:szCs w:val="22"/>
        </w:rPr>
        <w:t xml:space="preserve"> </w:t>
      </w:r>
    </w:p>
    <w:p w14:paraId="4FC32B1C" w14:textId="77777777" w:rsidR="00756FAE" w:rsidRPr="00EA2C95" w:rsidRDefault="00EA2C95">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sidRPr="00EA2C95">
        <w:rPr>
          <w:rFonts w:ascii="Bookman Old Style" w:eastAsia="Bookman Old Style" w:hAnsi="Bookman Old Style" w:cs="Bookman Old Style"/>
          <w:i/>
          <w:color w:val="000000"/>
          <w:sz w:val="22"/>
          <w:szCs w:val="22"/>
        </w:rPr>
        <w:t>A partir de un acto de barbarie se han creado muchas obras de arte, lo cual es muy diferente a decir que un acto de barbarie sea asumido como una expresión artística. Algún artista posmoderno ha puesto a un perro a morir de hambre como acción estética, y algún otro ha mutilado pollos en una galería. Para mí, dichas acciones aparte de ser crueles son vacías.</w:t>
      </w:r>
    </w:p>
    <w:p w14:paraId="0D59C384" w14:textId="77777777" w:rsidR="00756FAE" w:rsidRPr="00EA2C95" w:rsidRDefault="00EA2C95">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sidRPr="00EA2C95">
        <w:rPr>
          <w:rFonts w:ascii="Bookman Old Style" w:eastAsia="Bookman Old Style" w:hAnsi="Bookman Old Style" w:cs="Bookman Old Style"/>
          <w:i/>
          <w:color w:val="000000"/>
          <w:sz w:val="22"/>
          <w:szCs w:val="22"/>
        </w:rPr>
        <w:lastRenderedPageBreak/>
        <w:t xml:space="preserve"> </w:t>
      </w:r>
    </w:p>
    <w:p w14:paraId="47AE5979" w14:textId="77777777" w:rsidR="00756FAE" w:rsidRPr="00EA2C95" w:rsidRDefault="00EA2C95">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sidRPr="00EA2C95">
        <w:rPr>
          <w:rFonts w:ascii="Bookman Old Style" w:eastAsia="Bookman Old Style" w:hAnsi="Bookman Old Style" w:cs="Bookman Old Style"/>
          <w:i/>
          <w:color w:val="000000"/>
          <w:sz w:val="22"/>
          <w:szCs w:val="22"/>
        </w:rPr>
        <w:t>Al final de una de las funciones de la obra Labio de liebre que hicimos en México, se hizo un foro. Como el que se acostumbraba a hacer en Colombia en los años 60 y 70. La obra gira alrededor de algunos de los muchos episodios de las atrocidades que nos deja la guerra en nuestro país. El público expresaba su conmoción por lo que se acababa de contar, gente del Perú, de México, de Estados Unidos; pero hubo una señora colombiana que dijo lo que muchas veces escuchamos de nuestros compatriotas: ¿Por qué habiendo tantas cosas buenas en Colombia se va a otros países a hablar de lo malo?</w:t>
      </w:r>
    </w:p>
    <w:p w14:paraId="06AB4B7B" w14:textId="77777777" w:rsidR="00756FAE" w:rsidRPr="00EA2C95" w:rsidRDefault="00EA2C95">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sidRPr="00EA2C95">
        <w:rPr>
          <w:rFonts w:ascii="Bookman Old Style" w:eastAsia="Bookman Old Style" w:hAnsi="Bookman Old Style" w:cs="Bookman Old Style"/>
          <w:i/>
          <w:color w:val="000000"/>
          <w:sz w:val="22"/>
          <w:szCs w:val="22"/>
        </w:rPr>
        <w:t xml:space="preserve"> </w:t>
      </w:r>
    </w:p>
    <w:p w14:paraId="747B5CF6" w14:textId="77777777" w:rsidR="00756FAE" w:rsidRPr="00EA2C95" w:rsidRDefault="00756FAE">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p>
    <w:p w14:paraId="3BAA3ACF" w14:textId="77777777" w:rsidR="00756FAE" w:rsidRPr="00EA2C95" w:rsidRDefault="00EA2C95">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sidRPr="00EA2C95">
        <w:rPr>
          <w:rFonts w:ascii="Bookman Old Style" w:eastAsia="Bookman Old Style" w:hAnsi="Bookman Old Style" w:cs="Bookman Old Style"/>
          <w:i/>
          <w:color w:val="000000"/>
          <w:sz w:val="22"/>
          <w:szCs w:val="22"/>
        </w:rPr>
        <w:t>En el martirio no hay arte, solo dolor. El arte es lo más alejado que existe de la muerte”.</w:t>
      </w:r>
      <w:r w:rsidRPr="00EA2C95">
        <w:rPr>
          <w:rFonts w:ascii="Bookman Old Style" w:eastAsia="Bookman Old Style" w:hAnsi="Bookman Old Style" w:cs="Bookman Old Style"/>
          <w:i/>
          <w:color w:val="000000"/>
          <w:sz w:val="22"/>
          <w:szCs w:val="22"/>
          <w:vertAlign w:val="superscript"/>
        </w:rPr>
        <w:footnoteReference w:id="18"/>
      </w:r>
    </w:p>
    <w:p w14:paraId="0C9EF157" w14:textId="77777777" w:rsidR="00756FAE" w:rsidRPr="00EA2C95" w:rsidRDefault="00756FAE">
      <w:pPr>
        <w:pBdr>
          <w:top w:val="nil"/>
          <w:left w:val="nil"/>
          <w:bottom w:val="nil"/>
          <w:right w:val="nil"/>
          <w:between w:val="nil"/>
        </w:pBdr>
        <w:rPr>
          <w:rFonts w:ascii="Bookman Old Style" w:eastAsia="Bookman Old Style" w:hAnsi="Bookman Old Style" w:cs="Bookman Old Style"/>
          <w:color w:val="000000"/>
          <w:sz w:val="22"/>
          <w:szCs w:val="22"/>
        </w:rPr>
      </w:pPr>
    </w:p>
    <w:p w14:paraId="489D5DCA" w14:textId="1E9C4B89" w:rsidR="00756FAE" w:rsidRPr="00EA2C95" w:rsidRDefault="00E56BBC">
      <w:pPr>
        <w:pBdr>
          <w:top w:val="nil"/>
          <w:left w:val="nil"/>
          <w:bottom w:val="nil"/>
          <w:right w:val="nil"/>
          <w:between w:val="nil"/>
        </w:pBdr>
        <w:rPr>
          <w:rFonts w:ascii="Bookman Old Style" w:eastAsia="Bookman Old Style" w:hAnsi="Bookman Old Style" w:cs="Bookman Old Style"/>
          <w:b/>
          <w:color w:val="000000"/>
          <w:sz w:val="22"/>
          <w:szCs w:val="22"/>
        </w:rPr>
      </w:pPr>
      <w:r>
        <w:rPr>
          <w:rFonts w:ascii="Bookman Old Style" w:eastAsia="Bookman Old Style" w:hAnsi="Bookman Old Style" w:cs="Bookman Old Style"/>
          <w:b/>
          <w:color w:val="000000"/>
          <w:sz w:val="22"/>
          <w:szCs w:val="22"/>
        </w:rPr>
        <w:t>5</w:t>
      </w:r>
      <w:r w:rsidR="00EA2C95" w:rsidRPr="00EA2C95">
        <w:rPr>
          <w:rFonts w:ascii="Bookman Old Style" w:eastAsia="Bookman Old Style" w:hAnsi="Bookman Old Style" w:cs="Bookman Old Style"/>
          <w:b/>
          <w:color w:val="000000"/>
          <w:sz w:val="22"/>
          <w:szCs w:val="22"/>
        </w:rPr>
        <w:t>.6</w:t>
      </w:r>
      <w:r>
        <w:rPr>
          <w:rFonts w:ascii="Bookman Old Style" w:eastAsia="Bookman Old Style" w:hAnsi="Bookman Old Style" w:cs="Bookman Old Style"/>
          <w:b/>
          <w:color w:val="000000"/>
          <w:sz w:val="22"/>
          <w:szCs w:val="22"/>
        </w:rPr>
        <w:t>.</w:t>
      </w:r>
      <w:r w:rsidR="00EA2C95" w:rsidRPr="00EA2C95">
        <w:rPr>
          <w:rFonts w:ascii="Bookman Old Style" w:eastAsia="Bookman Old Style" w:hAnsi="Bookman Old Style" w:cs="Bookman Old Style"/>
          <w:b/>
          <w:color w:val="000000"/>
          <w:sz w:val="22"/>
          <w:szCs w:val="22"/>
        </w:rPr>
        <w:t xml:space="preserve"> ECONÓMICOS</w:t>
      </w:r>
      <w:r>
        <w:rPr>
          <w:rFonts w:ascii="Bookman Old Style" w:eastAsia="Bookman Old Style" w:hAnsi="Bookman Old Style" w:cs="Bookman Old Style"/>
          <w:b/>
          <w:color w:val="000000"/>
          <w:sz w:val="22"/>
          <w:szCs w:val="22"/>
        </w:rPr>
        <w:t>.</w:t>
      </w:r>
    </w:p>
    <w:p w14:paraId="5823D749" w14:textId="77777777" w:rsidR="00756FAE" w:rsidRPr="00EA2C95" w:rsidRDefault="00756FAE">
      <w:pPr>
        <w:pBdr>
          <w:top w:val="nil"/>
          <w:left w:val="nil"/>
          <w:bottom w:val="nil"/>
          <w:right w:val="nil"/>
          <w:between w:val="nil"/>
        </w:pBdr>
        <w:rPr>
          <w:rFonts w:ascii="Bookman Old Style" w:eastAsia="Bookman Old Style" w:hAnsi="Bookman Old Style" w:cs="Bookman Old Style"/>
          <w:color w:val="000000"/>
          <w:sz w:val="22"/>
          <w:szCs w:val="22"/>
        </w:rPr>
      </w:pPr>
    </w:p>
    <w:p w14:paraId="7207019B"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La Fundación Colectivo Identidad Animal realiza desde el año 2018 hasta la fecha, una investigación denominada “</w:t>
      </w:r>
      <w:r w:rsidRPr="00EA2C95">
        <w:rPr>
          <w:rFonts w:ascii="Bookman Old Style" w:eastAsia="Bookman Old Style" w:hAnsi="Bookman Old Style" w:cs="Bookman Old Style"/>
          <w:i/>
          <w:color w:val="000000"/>
          <w:sz w:val="22"/>
          <w:szCs w:val="22"/>
        </w:rPr>
        <w:t>El Impacto de la Tauromaquia en la ciudad de Manizales, Caldas</w:t>
      </w:r>
      <w:r w:rsidRPr="00EA2C95">
        <w:rPr>
          <w:rFonts w:ascii="Bookman Old Style" w:eastAsia="Bookman Old Style" w:hAnsi="Bookman Old Style" w:cs="Bookman Old Style"/>
          <w:i/>
          <w:color w:val="000000"/>
          <w:sz w:val="22"/>
          <w:szCs w:val="22"/>
          <w:vertAlign w:val="superscript"/>
        </w:rPr>
        <w:footnoteReference w:id="19"/>
      </w:r>
      <w:r w:rsidRPr="00EA2C95">
        <w:rPr>
          <w:rFonts w:ascii="Bookman Old Style" w:eastAsia="Bookman Old Style" w:hAnsi="Bookman Old Style" w:cs="Bookman Old Style"/>
          <w:color w:val="000000"/>
          <w:sz w:val="22"/>
          <w:szCs w:val="22"/>
        </w:rPr>
        <w:t>”, que demuestra que si se logra la abolición de las corridas de toros, la feria de Manizales no sufrirá ningún impacto económico significativo. Un resumen de este informe es el siguiente:</w:t>
      </w:r>
    </w:p>
    <w:p w14:paraId="11D57B57" w14:textId="77777777" w:rsidR="00756FAE" w:rsidRPr="00EA2C95" w:rsidRDefault="00756FAE">
      <w:pPr>
        <w:pBdr>
          <w:top w:val="nil"/>
          <w:left w:val="nil"/>
          <w:bottom w:val="nil"/>
          <w:right w:val="nil"/>
          <w:between w:val="nil"/>
        </w:pBdr>
        <w:rPr>
          <w:rFonts w:ascii="Bookman Old Style" w:eastAsia="Bookman Old Style" w:hAnsi="Bookman Old Style" w:cs="Bookman Old Style"/>
          <w:color w:val="000000"/>
          <w:sz w:val="22"/>
          <w:szCs w:val="22"/>
        </w:rPr>
      </w:pPr>
    </w:p>
    <w:p w14:paraId="45E97EF7"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 xml:space="preserve">Hace más de 60 años se realizan eventos taurinos celebrados en el marco anual de la Feria de Manizales, sin embargo, la gran cantidad de eventos que actualmente tiene esta actividad ferial supera la parte taurina; el presente estudio tuvo como fin investigar el impacto económico y social de esta festividad, haciendo especial énfasis en el turismo, la ocupación hotelera versus la asistencia a las corridas, se realizó un análisis cuantitativo en donde se comparó el comportamiento fluctuante de las anteriores variables. </w:t>
      </w:r>
    </w:p>
    <w:p w14:paraId="29B892B6"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28E126D0"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 xml:space="preserve">De la misma manera se han analizado las utilidades de la Feria, las cuales se comportan de forma positiva y en ascenso, con el fin de tener una base comparativa para sustentar los paralelos económicos de diferentes situaciones. </w:t>
      </w:r>
    </w:p>
    <w:p w14:paraId="609AB31B"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29D5FFD5"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 xml:space="preserve">El turismo asegura ingresos y reconocimiento a esta actividad ferial con impacto en la ocupación hotelera. Al comparar la ocupación hotelera con la asistencia a la temporada taurina, se presentaron en todos los años comportamientos indirectamente proporcionales. Los hoteles se declararon en crisis en 2019, </w:t>
      </w:r>
      <w:r w:rsidRPr="00EA2C95">
        <w:rPr>
          <w:rFonts w:ascii="Bookman Old Style" w:eastAsia="Bookman Old Style" w:hAnsi="Bookman Old Style" w:cs="Bookman Old Style"/>
          <w:color w:val="000000"/>
          <w:sz w:val="22"/>
          <w:szCs w:val="22"/>
        </w:rPr>
        <w:lastRenderedPageBreak/>
        <w:t xml:space="preserve">mientras los asistentes a la plaza aumentaban en más de 12.000. Actualmente el sector hotelero presentó una baja de solo 1.54% en su ocupación versus el gremio taurino que perdió </w:t>
      </w:r>
      <w:r w:rsidRPr="00EA2C95">
        <w:rPr>
          <w:color w:val="000000"/>
          <w:sz w:val="22"/>
          <w:szCs w:val="22"/>
        </w:rPr>
        <w:t xml:space="preserve">17.805 </w:t>
      </w:r>
      <w:r w:rsidRPr="00EA2C95">
        <w:rPr>
          <w:rFonts w:ascii="Bookman Old Style" w:eastAsia="Bookman Old Style" w:hAnsi="Bookman Old Style" w:cs="Bookman Old Style"/>
          <w:color w:val="000000"/>
          <w:sz w:val="22"/>
          <w:szCs w:val="22"/>
        </w:rPr>
        <w:t>asistentes, comparándolos con el año anterior a la crisis pandémica.</w:t>
      </w:r>
    </w:p>
    <w:p w14:paraId="11C44CDF"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32C5CD38"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 xml:space="preserve">Adicionalmente, se hace mención del Festival Internacional de Teatro y cómo su capacidad de atracción cultural y turística establece una alternativa de ingresos e internacionalización de la ciudad. </w:t>
      </w:r>
    </w:p>
    <w:p w14:paraId="695EBEC0"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72C8AAAE"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Una vez recopilados los datos estadísticos de las diferentes fuentes de información, se puede concluir que: la variación de la ocupación hotelera y de turistas en la ciudad no es directamente proporcional con la asistencia a eventos taurinos; los datos analizados demuestran que la financiación y utilidades de la Feria de Manizales depende netamente de los patrocinadores y la Alcaldía, generando aumentos en las utilidades sin depender de la fluctuación en asistentes a los eventos taurinos; el ingreso de turistas a la feria no es directamente proporcional con la asistencia a la plaza. Finalmente, cabe resaltar que en gran medida los empleos generados en la feria no son a raíz de los eventos taurinos, por lo que no se puede considerar como un punto de referencia económico y que sea relevante en los informes de la Feria de Manizales entregados por el ICTM.</w:t>
      </w:r>
    </w:p>
    <w:p w14:paraId="1748DABC"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45367D14" w14:textId="482F7E2F" w:rsidR="00756FAE" w:rsidRPr="00E56BBC"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Si lo anterior es demostrado para Manizales, como la principal plaza taurina del país, es válido extrapolar estos resultados a otras ciudades de Colombia.</w:t>
      </w:r>
    </w:p>
    <w:p w14:paraId="566948D9"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b/>
          <w:color w:val="000000"/>
          <w:sz w:val="22"/>
          <w:szCs w:val="22"/>
        </w:rPr>
      </w:pPr>
    </w:p>
    <w:p w14:paraId="201C8BD8" w14:textId="07A0F3AA" w:rsidR="00756FAE" w:rsidRPr="00EA2C95" w:rsidRDefault="00E56BBC">
      <w:pPr>
        <w:pBdr>
          <w:top w:val="nil"/>
          <w:left w:val="nil"/>
          <w:bottom w:val="nil"/>
          <w:right w:val="nil"/>
          <w:between w:val="nil"/>
        </w:pBdr>
        <w:jc w:val="both"/>
        <w:rPr>
          <w:rFonts w:ascii="Bookman Old Style" w:eastAsia="Bookman Old Style" w:hAnsi="Bookman Old Style" w:cs="Bookman Old Style"/>
          <w:b/>
          <w:color w:val="000000"/>
          <w:sz w:val="22"/>
          <w:szCs w:val="22"/>
        </w:rPr>
      </w:pPr>
      <w:r>
        <w:rPr>
          <w:rFonts w:ascii="Bookman Old Style" w:eastAsia="Bookman Old Style" w:hAnsi="Bookman Old Style" w:cs="Bookman Old Style"/>
          <w:b/>
          <w:color w:val="000000"/>
          <w:sz w:val="22"/>
          <w:szCs w:val="22"/>
        </w:rPr>
        <w:t>6</w:t>
      </w:r>
      <w:r w:rsidR="00EA2C95" w:rsidRPr="00EA2C95">
        <w:rPr>
          <w:rFonts w:ascii="Bookman Old Style" w:eastAsia="Bookman Old Style" w:hAnsi="Bookman Old Style" w:cs="Bookman Old Style"/>
          <w:b/>
          <w:color w:val="000000"/>
          <w:sz w:val="22"/>
          <w:szCs w:val="22"/>
        </w:rPr>
        <w:t>. COMPETENCIA DEL CONGRESO</w:t>
      </w:r>
      <w:r>
        <w:rPr>
          <w:rFonts w:ascii="Bookman Old Style" w:eastAsia="Bookman Old Style" w:hAnsi="Bookman Old Style" w:cs="Bookman Old Style"/>
          <w:b/>
          <w:color w:val="000000"/>
          <w:sz w:val="22"/>
          <w:szCs w:val="22"/>
        </w:rPr>
        <w:t>.</w:t>
      </w:r>
    </w:p>
    <w:p w14:paraId="022D9D3D"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2AF5D061" w14:textId="492762FF" w:rsidR="00756FAE" w:rsidRPr="00EA2C95" w:rsidRDefault="00EA2C95">
      <w:pPr>
        <w:pBdr>
          <w:top w:val="nil"/>
          <w:left w:val="nil"/>
          <w:bottom w:val="nil"/>
          <w:right w:val="nil"/>
          <w:between w:val="nil"/>
        </w:pBdr>
        <w:jc w:val="both"/>
        <w:rPr>
          <w:rFonts w:ascii="Bookman Old Style" w:eastAsia="Bookman Old Style" w:hAnsi="Bookman Old Style" w:cs="Bookman Old Style"/>
          <w:b/>
          <w:color w:val="000000"/>
          <w:sz w:val="22"/>
          <w:szCs w:val="22"/>
          <w:u w:val="single"/>
        </w:rPr>
      </w:pPr>
      <w:r w:rsidRPr="00EA2C95">
        <w:rPr>
          <w:rFonts w:ascii="Bookman Old Style" w:eastAsia="Bookman Old Style" w:hAnsi="Bookman Old Style" w:cs="Bookman Old Style"/>
          <w:color w:val="000000"/>
          <w:sz w:val="22"/>
          <w:szCs w:val="22"/>
        </w:rPr>
        <w:t xml:space="preserve"> </w:t>
      </w:r>
      <w:r w:rsidR="00E56BBC">
        <w:rPr>
          <w:rFonts w:ascii="Bookman Old Style" w:eastAsia="Bookman Old Style" w:hAnsi="Bookman Old Style" w:cs="Bookman Old Style"/>
          <w:b/>
          <w:color w:val="000000"/>
          <w:sz w:val="22"/>
          <w:szCs w:val="22"/>
        </w:rPr>
        <w:t>6</w:t>
      </w:r>
      <w:r w:rsidRPr="00EA2C95">
        <w:rPr>
          <w:rFonts w:ascii="Bookman Old Style" w:eastAsia="Bookman Old Style" w:hAnsi="Bookman Old Style" w:cs="Bookman Old Style"/>
          <w:b/>
          <w:color w:val="000000"/>
          <w:sz w:val="22"/>
          <w:szCs w:val="22"/>
        </w:rPr>
        <w:t xml:space="preserve">.1. </w:t>
      </w:r>
      <w:r w:rsidRPr="00EA2C95">
        <w:rPr>
          <w:rFonts w:ascii="Bookman Old Style" w:eastAsia="Bookman Old Style" w:hAnsi="Bookman Old Style" w:cs="Bookman Old Style"/>
          <w:b/>
          <w:color w:val="000000"/>
          <w:sz w:val="22"/>
          <w:szCs w:val="22"/>
          <w:u w:val="single"/>
        </w:rPr>
        <w:t>CONSTITUCIONAL:</w:t>
      </w:r>
    </w:p>
    <w:p w14:paraId="3347DAF4" w14:textId="77777777" w:rsidR="00756FAE" w:rsidRPr="00EA2C95" w:rsidRDefault="00EA2C95">
      <w:pPr>
        <w:pBdr>
          <w:top w:val="nil"/>
          <w:left w:val="nil"/>
          <w:bottom w:val="nil"/>
          <w:right w:val="nil"/>
          <w:between w:val="nil"/>
        </w:pBdr>
        <w:ind w:right="900"/>
        <w:jc w:val="both"/>
        <w:rPr>
          <w:rFonts w:ascii="Bookman Old Style" w:eastAsia="Bookman Old Style" w:hAnsi="Bookman Old Style" w:cs="Bookman Old Style"/>
          <w:b/>
          <w:color w:val="000000"/>
          <w:sz w:val="22"/>
          <w:szCs w:val="22"/>
        </w:rPr>
      </w:pPr>
      <w:r w:rsidRPr="00EA2C95">
        <w:rPr>
          <w:rFonts w:ascii="Bookman Old Style" w:eastAsia="Bookman Old Style" w:hAnsi="Bookman Old Style" w:cs="Bookman Old Style"/>
          <w:b/>
          <w:color w:val="000000"/>
          <w:sz w:val="22"/>
          <w:szCs w:val="22"/>
        </w:rPr>
        <w:t xml:space="preserve"> </w:t>
      </w:r>
    </w:p>
    <w:p w14:paraId="66A79895" w14:textId="77777777" w:rsidR="00756FAE" w:rsidRPr="00EA2C95" w:rsidRDefault="00EA2C95">
      <w:pPr>
        <w:pBdr>
          <w:top w:val="nil"/>
          <w:left w:val="nil"/>
          <w:bottom w:val="nil"/>
          <w:right w:val="nil"/>
          <w:between w:val="nil"/>
        </w:pBdr>
        <w:ind w:left="860" w:right="900"/>
        <w:jc w:val="both"/>
        <w:rPr>
          <w:rFonts w:ascii="Bookman Old Style" w:eastAsia="Bookman Old Style" w:hAnsi="Bookman Old Style" w:cs="Bookman Old Style"/>
          <w:i/>
          <w:color w:val="000000"/>
          <w:sz w:val="22"/>
          <w:szCs w:val="22"/>
        </w:rPr>
      </w:pPr>
      <w:r w:rsidRPr="00EA2C95">
        <w:rPr>
          <w:rFonts w:ascii="Bookman Old Style" w:eastAsia="Bookman Old Style" w:hAnsi="Bookman Old Style" w:cs="Bookman Old Style"/>
          <w:b/>
          <w:i/>
          <w:color w:val="000000"/>
          <w:sz w:val="22"/>
          <w:szCs w:val="22"/>
        </w:rPr>
        <w:t>“ARTÍCULO 114</w:t>
      </w:r>
      <w:r w:rsidRPr="00EA2C95">
        <w:rPr>
          <w:rFonts w:ascii="Bookman Old Style" w:eastAsia="Bookman Old Style" w:hAnsi="Bookman Old Style" w:cs="Bookman Old Style"/>
          <w:i/>
          <w:color w:val="000000"/>
          <w:sz w:val="22"/>
          <w:szCs w:val="22"/>
        </w:rPr>
        <w:t>. Corresponde al Congreso de la República reformar la Constitución, hacer las leyes y ejercer control político sobre el gobierno y la administración.</w:t>
      </w:r>
    </w:p>
    <w:p w14:paraId="46957315" w14:textId="77777777" w:rsidR="00756FAE" w:rsidRPr="00EA2C95" w:rsidRDefault="00EA2C95">
      <w:pPr>
        <w:pBdr>
          <w:top w:val="nil"/>
          <w:left w:val="nil"/>
          <w:bottom w:val="nil"/>
          <w:right w:val="nil"/>
          <w:between w:val="nil"/>
        </w:pBdr>
        <w:ind w:left="860" w:right="900"/>
        <w:jc w:val="both"/>
        <w:rPr>
          <w:rFonts w:ascii="Bookman Old Style" w:eastAsia="Bookman Old Style" w:hAnsi="Bookman Old Style" w:cs="Bookman Old Style"/>
          <w:i/>
          <w:color w:val="000000"/>
          <w:sz w:val="22"/>
          <w:szCs w:val="22"/>
        </w:rPr>
      </w:pPr>
      <w:r w:rsidRPr="00EA2C95">
        <w:rPr>
          <w:rFonts w:ascii="Bookman Old Style" w:eastAsia="Bookman Old Style" w:hAnsi="Bookman Old Style" w:cs="Bookman Old Style"/>
          <w:i/>
          <w:color w:val="000000"/>
          <w:sz w:val="22"/>
          <w:szCs w:val="22"/>
        </w:rPr>
        <w:t xml:space="preserve"> </w:t>
      </w:r>
    </w:p>
    <w:p w14:paraId="6E6CB622" w14:textId="77777777" w:rsidR="00756FAE" w:rsidRPr="00EA2C95" w:rsidRDefault="00EA2C95">
      <w:pPr>
        <w:pBdr>
          <w:top w:val="nil"/>
          <w:left w:val="nil"/>
          <w:bottom w:val="nil"/>
          <w:right w:val="nil"/>
          <w:between w:val="nil"/>
        </w:pBdr>
        <w:ind w:left="860" w:right="900"/>
        <w:jc w:val="both"/>
        <w:rPr>
          <w:rFonts w:ascii="Bookman Old Style" w:eastAsia="Bookman Old Style" w:hAnsi="Bookman Old Style" w:cs="Bookman Old Style"/>
          <w:i/>
          <w:color w:val="000000"/>
          <w:sz w:val="22"/>
          <w:szCs w:val="22"/>
        </w:rPr>
      </w:pPr>
      <w:r w:rsidRPr="00EA2C95">
        <w:rPr>
          <w:rFonts w:ascii="Bookman Old Style" w:eastAsia="Bookman Old Style" w:hAnsi="Bookman Old Style" w:cs="Bookman Old Style"/>
          <w:i/>
          <w:color w:val="000000"/>
          <w:sz w:val="22"/>
          <w:szCs w:val="22"/>
        </w:rPr>
        <w:t>El Congreso de la República, estará integrado por el Senado y la Cámara de Representantes (...)</w:t>
      </w:r>
    </w:p>
    <w:p w14:paraId="5B941775" w14:textId="77777777" w:rsidR="00756FAE" w:rsidRPr="00EA2C95" w:rsidRDefault="00EA2C95">
      <w:pPr>
        <w:pBdr>
          <w:top w:val="nil"/>
          <w:left w:val="nil"/>
          <w:bottom w:val="nil"/>
          <w:right w:val="nil"/>
          <w:between w:val="nil"/>
        </w:pBdr>
        <w:ind w:left="860" w:right="900"/>
        <w:jc w:val="both"/>
        <w:rPr>
          <w:rFonts w:ascii="Bookman Old Style" w:eastAsia="Bookman Old Style" w:hAnsi="Bookman Old Style" w:cs="Bookman Old Style"/>
          <w:i/>
          <w:color w:val="000000"/>
          <w:sz w:val="22"/>
          <w:szCs w:val="22"/>
        </w:rPr>
      </w:pPr>
      <w:r w:rsidRPr="00EA2C95">
        <w:rPr>
          <w:rFonts w:ascii="Bookman Old Style" w:eastAsia="Bookman Old Style" w:hAnsi="Bookman Old Style" w:cs="Bookman Old Style"/>
          <w:i/>
          <w:color w:val="000000"/>
          <w:sz w:val="22"/>
          <w:szCs w:val="22"/>
        </w:rPr>
        <w:t xml:space="preserve"> </w:t>
      </w:r>
    </w:p>
    <w:p w14:paraId="5B54CCED" w14:textId="77777777" w:rsidR="00756FAE" w:rsidRPr="00EA2C95" w:rsidRDefault="00EA2C95">
      <w:pPr>
        <w:pBdr>
          <w:top w:val="nil"/>
          <w:left w:val="nil"/>
          <w:bottom w:val="nil"/>
          <w:right w:val="nil"/>
          <w:between w:val="nil"/>
        </w:pBdr>
        <w:ind w:left="860" w:right="900"/>
        <w:jc w:val="both"/>
        <w:rPr>
          <w:rFonts w:ascii="Bookman Old Style" w:eastAsia="Bookman Old Style" w:hAnsi="Bookman Old Style" w:cs="Bookman Old Style"/>
          <w:i/>
          <w:color w:val="000000"/>
          <w:sz w:val="22"/>
          <w:szCs w:val="22"/>
        </w:rPr>
      </w:pPr>
      <w:r w:rsidRPr="00EA2C95">
        <w:rPr>
          <w:rFonts w:ascii="Bookman Old Style" w:eastAsia="Bookman Old Style" w:hAnsi="Bookman Old Style" w:cs="Bookman Old Style"/>
          <w:b/>
          <w:i/>
          <w:color w:val="000000"/>
          <w:sz w:val="22"/>
          <w:szCs w:val="22"/>
        </w:rPr>
        <w:t>ARTÍCULO  150</w:t>
      </w:r>
      <w:r w:rsidRPr="00EA2C95">
        <w:rPr>
          <w:rFonts w:ascii="Bookman Old Style" w:eastAsia="Bookman Old Style" w:hAnsi="Bookman Old Style" w:cs="Bookman Old Style"/>
          <w:i/>
          <w:color w:val="000000"/>
          <w:sz w:val="22"/>
          <w:szCs w:val="22"/>
        </w:rPr>
        <w:t>. Corresponde al Congreso hacer las leyes. Por medio de ellas ejerce las siguientes funciones:</w:t>
      </w:r>
    </w:p>
    <w:p w14:paraId="5F468FBD" w14:textId="77777777" w:rsidR="00756FAE" w:rsidRPr="00EA2C95" w:rsidRDefault="00EA2C95">
      <w:pPr>
        <w:pBdr>
          <w:top w:val="nil"/>
          <w:left w:val="nil"/>
          <w:bottom w:val="nil"/>
          <w:right w:val="nil"/>
          <w:between w:val="nil"/>
        </w:pBdr>
        <w:ind w:left="860" w:right="900"/>
        <w:jc w:val="both"/>
        <w:rPr>
          <w:rFonts w:ascii="Bookman Old Style" w:eastAsia="Bookman Old Style" w:hAnsi="Bookman Old Style" w:cs="Bookman Old Style"/>
          <w:i/>
          <w:color w:val="000000"/>
          <w:sz w:val="22"/>
          <w:szCs w:val="22"/>
        </w:rPr>
      </w:pPr>
      <w:r w:rsidRPr="00EA2C95">
        <w:rPr>
          <w:rFonts w:ascii="Bookman Old Style" w:eastAsia="Bookman Old Style" w:hAnsi="Bookman Old Style" w:cs="Bookman Old Style"/>
          <w:i/>
          <w:color w:val="000000"/>
          <w:sz w:val="22"/>
          <w:szCs w:val="22"/>
        </w:rPr>
        <w:t xml:space="preserve"> </w:t>
      </w:r>
    </w:p>
    <w:p w14:paraId="3105383A" w14:textId="77777777" w:rsidR="00756FAE" w:rsidRPr="00EA2C95" w:rsidRDefault="00EA2C95">
      <w:pPr>
        <w:pBdr>
          <w:top w:val="nil"/>
          <w:left w:val="nil"/>
          <w:bottom w:val="nil"/>
          <w:right w:val="nil"/>
          <w:between w:val="nil"/>
        </w:pBdr>
        <w:ind w:left="1640" w:right="900" w:hanging="360"/>
        <w:jc w:val="both"/>
        <w:rPr>
          <w:rFonts w:ascii="Bookman Old Style" w:eastAsia="Bookman Old Style" w:hAnsi="Bookman Old Style" w:cs="Bookman Old Style"/>
          <w:i/>
          <w:color w:val="000000"/>
          <w:sz w:val="22"/>
          <w:szCs w:val="22"/>
        </w:rPr>
      </w:pPr>
      <w:r w:rsidRPr="00EA2C95">
        <w:rPr>
          <w:rFonts w:ascii="Bookman Old Style" w:eastAsia="Bookman Old Style" w:hAnsi="Bookman Old Style" w:cs="Bookman Old Style"/>
          <w:i/>
          <w:color w:val="000000"/>
          <w:sz w:val="22"/>
          <w:szCs w:val="22"/>
        </w:rPr>
        <w:t>1.   Interpretar, reformar y derogar las leyes.</w:t>
      </w:r>
    </w:p>
    <w:p w14:paraId="304AD87F" w14:textId="77777777" w:rsidR="00756FAE" w:rsidRPr="00EA2C95" w:rsidRDefault="00EA2C95">
      <w:pPr>
        <w:pBdr>
          <w:top w:val="nil"/>
          <w:left w:val="nil"/>
          <w:bottom w:val="nil"/>
          <w:right w:val="nil"/>
          <w:between w:val="nil"/>
        </w:pBdr>
        <w:ind w:left="1640" w:right="900" w:hanging="360"/>
        <w:jc w:val="both"/>
        <w:rPr>
          <w:rFonts w:ascii="Bookman Old Style" w:eastAsia="Bookman Old Style" w:hAnsi="Bookman Old Style" w:cs="Bookman Old Style"/>
          <w:i/>
          <w:color w:val="000000"/>
          <w:sz w:val="22"/>
          <w:szCs w:val="22"/>
        </w:rPr>
      </w:pPr>
      <w:r w:rsidRPr="00EA2C95">
        <w:rPr>
          <w:rFonts w:ascii="Bookman Old Style" w:eastAsia="Bookman Old Style" w:hAnsi="Bookman Old Style" w:cs="Bookman Old Style"/>
          <w:i/>
          <w:color w:val="000000"/>
          <w:sz w:val="22"/>
          <w:szCs w:val="22"/>
        </w:rPr>
        <w:t>(...)”</w:t>
      </w:r>
    </w:p>
    <w:p w14:paraId="4260484B" w14:textId="77777777" w:rsidR="00756FAE" w:rsidRPr="00EA2C95" w:rsidRDefault="00EA2C95">
      <w:pPr>
        <w:pBdr>
          <w:top w:val="nil"/>
          <w:left w:val="nil"/>
          <w:bottom w:val="nil"/>
          <w:right w:val="nil"/>
          <w:between w:val="nil"/>
        </w:pBdr>
        <w:ind w:left="1280" w:right="900"/>
        <w:jc w:val="both"/>
        <w:rPr>
          <w:rFonts w:ascii="Bookman Old Style" w:eastAsia="Bookman Old Style" w:hAnsi="Bookman Old Style" w:cs="Bookman Old Style"/>
          <w:i/>
          <w:color w:val="000000"/>
          <w:sz w:val="22"/>
          <w:szCs w:val="22"/>
        </w:rPr>
      </w:pPr>
      <w:r w:rsidRPr="00EA2C95">
        <w:rPr>
          <w:rFonts w:ascii="Bookman Old Style" w:eastAsia="Bookman Old Style" w:hAnsi="Bookman Old Style" w:cs="Bookman Old Style"/>
          <w:i/>
          <w:color w:val="000000"/>
          <w:sz w:val="22"/>
          <w:szCs w:val="22"/>
        </w:rPr>
        <w:t xml:space="preserve"> </w:t>
      </w:r>
    </w:p>
    <w:p w14:paraId="02C23C04" w14:textId="3CBDAEFC" w:rsidR="00756FAE" w:rsidRPr="00EA2C95" w:rsidRDefault="00EA2C95">
      <w:pPr>
        <w:pBdr>
          <w:top w:val="nil"/>
          <w:left w:val="nil"/>
          <w:bottom w:val="nil"/>
          <w:right w:val="nil"/>
          <w:between w:val="nil"/>
        </w:pBdr>
        <w:ind w:right="900"/>
        <w:jc w:val="both"/>
        <w:rPr>
          <w:rFonts w:ascii="Bookman Old Style" w:eastAsia="Bookman Old Style" w:hAnsi="Bookman Old Style" w:cs="Bookman Old Style"/>
          <w:b/>
          <w:color w:val="000000"/>
          <w:sz w:val="22"/>
          <w:szCs w:val="22"/>
          <w:u w:val="single"/>
        </w:rPr>
      </w:pPr>
      <w:r w:rsidRPr="00EA2C95">
        <w:rPr>
          <w:rFonts w:ascii="Bookman Old Style" w:eastAsia="Bookman Old Style" w:hAnsi="Bookman Old Style" w:cs="Bookman Old Style"/>
          <w:b/>
          <w:color w:val="000000"/>
          <w:sz w:val="22"/>
          <w:szCs w:val="22"/>
        </w:rPr>
        <w:t xml:space="preserve"> </w:t>
      </w:r>
      <w:r w:rsidR="00E56BBC">
        <w:rPr>
          <w:rFonts w:ascii="Bookman Old Style" w:eastAsia="Bookman Old Style" w:hAnsi="Bookman Old Style" w:cs="Bookman Old Style"/>
          <w:b/>
          <w:color w:val="000000"/>
          <w:sz w:val="22"/>
          <w:szCs w:val="22"/>
        </w:rPr>
        <w:t>6</w:t>
      </w:r>
      <w:r w:rsidRPr="00EA2C95">
        <w:rPr>
          <w:rFonts w:ascii="Bookman Old Style" w:eastAsia="Bookman Old Style" w:hAnsi="Bookman Old Style" w:cs="Bookman Old Style"/>
          <w:b/>
          <w:color w:val="000000"/>
          <w:sz w:val="22"/>
          <w:szCs w:val="22"/>
        </w:rPr>
        <w:t xml:space="preserve">.2. </w:t>
      </w:r>
      <w:r w:rsidRPr="00EA2C95">
        <w:rPr>
          <w:rFonts w:ascii="Bookman Old Style" w:eastAsia="Bookman Old Style" w:hAnsi="Bookman Old Style" w:cs="Bookman Old Style"/>
          <w:b/>
          <w:color w:val="000000"/>
          <w:sz w:val="22"/>
          <w:szCs w:val="22"/>
          <w:u w:val="single"/>
        </w:rPr>
        <w:t>LEGAL:</w:t>
      </w:r>
    </w:p>
    <w:p w14:paraId="708525F7" w14:textId="77777777" w:rsidR="00756FAE" w:rsidRPr="00EA2C95" w:rsidRDefault="00EA2C95">
      <w:pPr>
        <w:pBdr>
          <w:top w:val="nil"/>
          <w:left w:val="nil"/>
          <w:bottom w:val="nil"/>
          <w:right w:val="nil"/>
          <w:between w:val="nil"/>
        </w:pBdr>
        <w:ind w:right="900"/>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 xml:space="preserve"> </w:t>
      </w:r>
    </w:p>
    <w:p w14:paraId="3F0E5DA2" w14:textId="77777777" w:rsidR="00756FAE" w:rsidRPr="00EA2C95" w:rsidRDefault="00EA2C95">
      <w:pPr>
        <w:pBdr>
          <w:top w:val="nil"/>
          <w:left w:val="nil"/>
          <w:bottom w:val="nil"/>
          <w:right w:val="nil"/>
          <w:between w:val="nil"/>
        </w:pBdr>
        <w:ind w:left="860" w:right="900"/>
        <w:jc w:val="both"/>
        <w:rPr>
          <w:rFonts w:ascii="Bookman Old Style" w:eastAsia="Bookman Old Style" w:hAnsi="Bookman Old Style" w:cs="Bookman Old Style"/>
          <w:b/>
          <w:color w:val="000000"/>
          <w:sz w:val="22"/>
          <w:szCs w:val="22"/>
        </w:rPr>
      </w:pPr>
      <w:r w:rsidRPr="00EA2C95">
        <w:rPr>
          <w:rFonts w:ascii="Bookman Old Style" w:eastAsia="Bookman Old Style" w:hAnsi="Bookman Old Style" w:cs="Bookman Old Style"/>
          <w:b/>
          <w:color w:val="000000"/>
          <w:sz w:val="22"/>
          <w:szCs w:val="22"/>
        </w:rPr>
        <w:lastRenderedPageBreak/>
        <w:t>LEY 3 DE 1992. POR LA CUAL SE EXPIDEN NORMAS SOBRE LAS COMISIONES DEL CONGRESO DE COLOMBIA Y SE DICTAN OTRAS DISPOSICIONES.</w:t>
      </w:r>
    </w:p>
    <w:p w14:paraId="252AE5CC" w14:textId="77777777" w:rsidR="00756FAE" w:rsidRPr="00EA2C95" w:rsidRDefault="00EA2C95">
      <w:pPr>
        <w:pBdr>
          <w:top w:val="nil"/>
          <w:left w:val="nil"/>
          <w:bottom w:val="nil"/>
          <w:right w:val="nil"/>
          <w:between w:val="nil"/>
        </w:pBdr>
        <w:ind w:left="860" w:right="900"/>
        <w:jc w:val="both"/>
        <w:rPr>
          <w:rFonts w:ascii="Bookman Old Style" w:eastAsia="Bookman Old Style" w:hAnsi="Bookman Old Style" w:cs="Bookman Old Style"/>
          <w:b/>
          <w:color w:val="000000"/>
          <w:sz w:val="22"/>
          <w:szCs w:val="22"/>
        </w:rPr>
      </w:pPr>
      <w:r w:rsidRPr="00EA2C95">
        <w:rPr>
          <w:rFonts w:ascii="Bookman Old Style" w:eastAsia="Bookman Old Style" w:hAnsi="Bookman Old Style" w:cs="Bookman Old Style"/>
          <w:b/>
          <w:color w:val="000000"/>
          <w:sz w:val="22"/>
          <w:szCs w:val="22"/>
        </w:rPr>
        <w:t xml:space="preserve"> </w:t>
      </w:r>
    </w:p>
    <w:p w14:paraId="79BE83B2" w14:textId="77777777" w:rsidR="00756FAE" w:rsidRPr="00EA2C95" w:rsidRDefault="00EA2C95">
      <w:pPr>
        <w:pBdr>
          <w:top w:val="nil"/>
          <w:left w:val="nil"/>
          <w:bottom w:val="nil"/>
          <w:right w:val="nil"/>
          <w:between w:val="nil"/>
        </w:pBdr>
        <w:ind w:left="860" w:right="900"/>
        <w:jc w:val="both"/>
        <w:rPr>
          <w:rFonts w:ascii="Bookman Old Style" w:eastAsia="Bookman Old Style" w:hAnsi="Bookman Old Style" w:cs="Bookman Old Style"/>
          <w:i/>
          <w:color w:val="000000"/>
          <w:sz w:val="22"/>
          <w:szCs w:val="22"/>
        </w:rPr>
      </w:pPr>
      <w:r w:rsidRPr="00EA2C95">
        <w:rPr>
          <w:rFonts w:ascii="Bookman Old Style" w:eastAsia="Bookman Old Style" w:hAnsi="Bookman Old Style" w:cs="Bookman Old Style"/>
          <w:b/>
          <w:i/>
          <w:color w:val="000000"/>
          <w:sz w:val="22"/>
          <w:szCs w:val="22"/>
        </w:rPr>
        <w:t xml:space="preserve">“ARTÍCULO 2º </w:t>
      </w:r>
      <w:r w:rsidRPr="00EA2C95">
        <w:rPr>
          <w:rFonts w:ascii="Bookman Old Style" w:eastAsia="Bookman Old Style" w:hAnsi="Bookman Old Style" w:cs="Bookman Old Style"/>
          <w:i/>
          <w:color w:val="000000"/>
          <w:sz w:val="22"/>
          <w:szCs w:val="22"/>
        </w:rPr>
        <w:t>Tanto en el Senado como en la Cámara de Representantes funcionarán Comisiones Constitucionales Permanentes, encargadas de dar primer debate a los proyectos de acto legislativo o de ley referente a los asuntos de su competencia.</w:t>
      </w:r>
    </w:p>
    <w:p w14:paraId="1CCF3389" w14:textId="77777777" w:rsidR="00756FAE" w:rsidRPr="00EA2C95" w:rsidRDefault="00EA2C95">
      <w:pPr>
        <w:pBdr>
          <w:top w:val="nil"/>
          <w:left w:val="nil"/>
          <w:bottom w:val="nil"/>
          <w:right w:val="nil"/>
          <w:between w:val="nil"/>
        </w:pBdr>
        <w:ind w:left="860" w:right="900"/>
        <w:jc w:val="both"/>
        <w:rPr>
          <w:rFonts w:ascii="Bookman Old Style" w:eastAsia="Bookman Old Style" w:hAnsi="Bookman Old Style" w:cs="Bookman Old Style"/>
          <w:i/>
          <w:color w:val="000000"/>
          <w:sz w:val="22"/>
          <w:szCs w:val="22"/>
        </w:rPr>
      </w:pPr>
      <w:r w:rsidRPr="00EA2C95">
        <w:rPr>
          <w:rFonts w:ascii="Bookman Old Style" w:eastAsia="Bookman Old Style" w:hAnsi="Bookman Old Style" w:cs="Bookman Old Style"/>
          <w:i/>
          <w:color w:val="000000"/>
          <w:sz w:val="22"/>
          <w:szCs w:val="22"/>
        </w:rPr>
        <w:t xml:space="preserve"> </w:t>
      </w:r>
    </w:p>
    <w:p w14:paraId="53F8C996" w14:textId="77777777" w:rsidR="00756FAE" w:rsidRPr="00EA2C95" w:rsidRDefault="00EA2C95">
      <w:pPr>
        <w:pBdr>
          <w:top w:val="nil"/>
          <w:left w:val="nil"/>
          <w:bottom w:val="nil"/>
          <w:right w:val="nil"/>
          <w:between w:val="nil"/>
        </w:pBdr>
        <w:ind w:left="860" w:right="900"/>
        <w:jc w:val="both"/>
        <w:rPr>
          <w:rFonts w:ascii="Bookman Old Style" w:eastAsia="Bookman Old Style" w:hAnsi="Bookman Old Style" w:cs="Bookman Old Style"/>
          <w:i/>
          <w:color w:val="000000"/>
          <w:sz w:val="22"/>
          <w:szCs w:val="22"/>
        </w:rPr>
      </w:pPr>
      <w:r w:rsidRPr="00EA2C95">
        <w:rPr>
          <w:rFonts w:ascii="Bookman Old Style" w:eastAsia="Bookman Old Style" w:hAnsi="Bookman Old Style" w:cs="Bookman Old Style"/>
          <w:i/>
          <w:color w:val="000000"/>
          <w:sz w:val="22"/>
          <w:szCs w:val="22"/>
        </w:rPr>
        <w:t>Las Comisiones Constitucionales Permanentes en cada una de las Cámaras serán siete (7) a saber”</w:t>
      </w:r>
    </w:p>
    <w:p w14:paraId="0A5A6FE3" w14:textId="77777777" w:rsidR="00756FAE" w:rsidRPr="00EA2C95" w:rsidRDefault="00756FAE">
      <w:pPr>
        <w:pBdr>
          <w:top w:val="nil"/>
          <w:left w:val="nil"/>
          <w:bottom w:val="nil"/>
          <w:right w:val="nil"/>
          <w:between w:val="nil"/>
        </w:pBdr>
        <w:ind w:left="860" w:right="900"/>
        <w:jc w:val="both"/>
        <w:rPr>
          <w:rFonts w:ascii="Bookman Old Style" w:eastAsia="Bookman Old Style" w:hAnsi="Bookman Old Style" w:cs="Bookman Old Style"/>
          <w:b/>
          <w:color w:val="000000"/>
          <w:sz w:val="22"/>
          <w:szCs w:val="22"/>
        </w:rPr>
      </w:pPr>
    </w:p>
    <w:p w14:paraId="4A831CA0" w14:textId="77777777" w:rsidR="00756FAE" w:rsidRPr="00EA2C95" w:rsidRDefault="00EA2C95">
      <w:pPr>
        <w:pBdr>
          <w:top w:val="nil"/>
          <w:left w:val="nil"/>
          <w:bottom w:val="nil"/>
          <w:right w:val="nil"/>
          <w:between w:val="nil"/>
        </w:pBdr>
        <w:ind w:left="860" w:right="900"/>
        <w:jc w:val="both"/>
        <w:rPr>
          <w:rFonts w:ascii="Bookman Old Style" w:eastAsia="Bookman Old Style" w:hAnsi="Bookman Old Style" w:cs="Bookman Old Style"/>
          <w:b/>
          <w:color w:val="000000"/>
          <w:sz w:val="22"/>
          <w:szCs w:val="22"/>
        </w:rPr>
      </w:pPr>
      <w:r w:rsidRPr="00EA2C95">
        <w:rPr>
          <w:rFonts w:ascii="Bookman Old Style" w:eastAsia="Bookman Old Style" w:hAnsi="Bookman Old Style" w:cs="Bookman Old Style"/>
          <w:b/>
          <w:color w:val="000000"/>
          <w:sz w:val="22"/>
          <w:szCs w:val="22"/>
        </w:rPr>
        <w:t>LEY 5 DE 1992.</w:t>
      </w:r>
      <w:r w:rsidRPr="00EA2C95">
        <w:rPr>
          <w:rFonts w:ascii="Bookman Old Style" w:eastAsia="Bookman Old Style" w:hAnsi="Bookman Old Style" w:cs="Bookman Old Style"/>
          <w:color w:val="000000"/>
          <w:sz w:val="22"/>
          <w:szCs w:val="22"/>
        </w:rPr>
        <w:t xml:space="preserve"> </w:t>
      </w:r>
      <w:r w:rsidRPr="00EA2C95">
        <w:rPr>
          <w:rFonts w:ascii="Bookman Old Style" w:eastAsia="Bookman Old Style" w:hAnsi="Bookman Old Style" w:cs="Bookman Old Style"/>
          <w:b/>
          <w:color w:val="000000"/>
          <w:sz w:val="22"/>
          <w:szCs w:val="22"/>
        </w:rPr>
        <w:t>POR LA CUAL SE EXPIDE EL REGLAMENTO DEL CONGRESO; EL SENADO Y LA CÁMARA DE REPRESENTANTES</w:t>
      </w:r>
    </w:p>
    <w:p w14:paraId="22EDF2B4" w14:textId="77777777" w:rsidR="00756FAE" w:rsidRPr="00EA2C95" w:rsidRDefault="00EA2C95">
      <w:pPr>
        <w:pBdr>
          <w:top w:val="nil"/>
          <w:left w:val="nil"/>
          <w:bottom w:val="nil"/>
          <w:right w:val="nil"/>
          <w:between w:val="nil"/>
        </w:pBdr>
        <w:ind w:left="860" w:right="900"/>
        <w:jc w:val="both"/>
        <w:rPr>
          <w:rFonts w:ascii="Bookman Old Style" w:eastAsia="Bookman Old Style" w:hAnsi="Bookman Old Style" w:cs="Bookman Old Style"/>
          <w:b/>
          <w:color w:val="000000"/>
          <w:sz w:val="22"/>
          <w:szCs w:val="22"/>
        </w:rPr>
      </w:pPr>
      <w:r w:rsidRPr="00EA2C95">
        <w:rPr>
          <w:rFonts w:ascii="Bookman Old Style" w:eastAsia="Bookman Old Style" w:hAnsi="Bookman Old Style" w:cs="Bookman Old Style"/>
          <w:b/>
          <w:color w:val="000000"/>
          <w:sz w:val="22"/>
          <w:szCs w:val="22"/>
        </w:rPr>
        <w:t xml:space="preserve"> </w:t>
      </w:r>
    </w:p>
    <w:p w14:paraId="1D84AF4C" w14:textId="77777777" w:rsidR="00756FAE" w:rsidRPr="00EA2C95" w:rsidRDefault="00EA2C95">
      <w:pPr>
        <w:pBdr>
          <w:top w:val="nil"/>
          <w:left w:val="nil"/>
          <w:bottom w:val="nil"/>
          <w:right w:val="nil"/>
          <w:between w:val="nil"/>
        </w:pBdr>
        <w:ind w:left="860" w:right="900"/>
        <w:jc w:val="both"/>
        <w:rPr>
          <w:rFonts w:ascii="Bookman Old Style" w:eastAsia="Bookman Old Style" w:hAnsi="Bookman Old Style" w:cs="Bookman Old Style"/>
          <w:i/>
          <w:color w:val="000000"/>
          <w:sz w:val="22"/>
          <w:szCs w:val="22"/>
        </w:rPr>
      </w:pPr>
      <w:r w:rsidRPr="00EA2C95">
        <w:rPr>
          <w:rFonts w:ascii="Bookman Old Style" w:eastAsia="Bookman Old Style" w:hAnsi="Bookman Old Style" w:cs="Bookman Old Style"/>
          <w:b/>
          <w:i/>
          <w:color w:val="000000"/>
          <w:sz w:val="22"/>
          <w:szCs w:val="22"/>
        </w:rPr>
        <w:t xml:space="preserve">“ARTÍCULO 6o. CLASES DE FUNCIONES DEL CONGRESO. </w:t>
      </w:r>
      <w:r w:rsidRPr="00EA2C95">
        <w:rPr>
          <w:rFonts w:ascii="Bookman Old Style" w:eastAsia="Bookman Old Style" w:hAnsi="Bookman Old Style" w:cs="Bookman Old Style"/>
          <w:i/>
          <w:color w:val="000000"/>
          <w:sz w:val="22"/>
          <w:szCs w:val="22"/>
        </w:rPr>
        <w:t>El Congreso de la República cumple:</w:t>
      </w:r>
    </w:p>
    <w:p w14:paraId="0645AA2A" w14:textId="77777777" w:rsidR="00756FAE" w:rsidRPr="00EA2C95" w:rsidRDefault="00EA2C95">
      <w:pPr>
        <w:pBdr>
          <w:top w:val="nil"/>
          <w:left w:val="nil"/>
          <w:bottom w:val="nil"/>
          <w:right w:val="nil"/>
          <w:between w:val="nil"/>
        </w:pBdr>
        <w:ind w:left="860" w:right="900"/>
        <w:jc w:val="both"/>
        <w:rPr>
          <w:rFonts w:ascii="Bookman Old Style" w:eastAsia="Bookman Old Style" w:hAnsi="Bookman Old Style" w:cs="Bookman Old Style"/>
          <w:i/>
          <w:color w:val="000000"/>
          <w:sz w:val="22"/>
          <w:szCs w:val="22"/>
        </w:rPr>
      </w:pPr>
      <w:r w:rsidRPr="00EA2C95">
        <w:rPr>
          <w:rFonts w:ascii="Bookman Old Style" w:eastAsia="Bookman Old Style" w:hAnsi="Bookman Old Style" w:cs="Bookman Old Style"/>
          <w:i/>
          <w:color w:val="000000"/>
          <w:sz w:val="22"/>
          <w:szCs w:val="22"/>
        </w:rPr>
        <w:t xml:space="preserve"> </w:t>
      </w:r>
    </w:p>
    <w:p w14:paraId="399DBF89" w14:textId="77777777" w:rsidR="00756FAE" w:rsidRPr="00EA2C95" w:rsidRDefault="00EA2C95">
      <w:pPr>
        <w:pBdr>
          <w:top w:val="nil"/>
          <w:left w:val="nil"/>
          <w:bottom w:val="nil"/>
          <w:right w:val="nil"/>
          <w:between w:val="nil"/>
        </w:pBdr>
        <w:ind w:left="860" w:right="900"/>
        <w:jc w:val="both"/>
        <w:rPr>
          <w:rFonts w:ascii="Bookman Old Style" w:eastAsia="Bookman Old Style" w:hAnsi="Bookman Old Style" w:cs="Bookman Old Style"/>
          <w:i/>
          <w:color w:val="000000"/>
          <w:sz w:val="22"/>
          <w:szCs w:val="22"/>
        </w:rPr>
      </w:pPr>
      <w:r w:rsidRPr="00EA2C95">
        <w:rPr>
          <w:rFonts w:ascii="Bookman Old Style" w:eastAsia="Bookman Old Style" w:hAnsi="Bookman Old Style" w:cs="Bookman Old Style"/>
          <w:i/>
          <w:color w:val="000000"/>
          <w:sz w:val="22"/>
          <w:szCs w:val="22"/>
        </w:rPr>
        <w:t>1. Función CONSTITUYENTE, para reformar la Constitución Política mediante actos legislativos.</w:t>
      </w:r>
    </w:p>
    <w:p w14:paraId="73C9C009" w14:textId="77777777" w:rsidR="00756FAE" w:rsidRPr="00EA2C95" w:rsidRDefault="00EA2C95">
      <w:pPr>
        <w:pBdr>
          <w:top w:val="nil"/>
          <w:left w:val="nil"/>
          <w:bottom w:val="nil"/>
          <w:right w:val="nil"/>
          <w:between w:val="nil"/>
        </w:pBdr>
        <w:ind w:left="860" w:right="900"/>
        <w:jc w:val="both"/>
        <w:rPr>
          <w:rFonts w:ascii="Bookman Old Style" w:eastAsia="Bookman Old Style" w:hAnsi="Bookman Old Style" w:cs="Bookman Old Style"/>
          <w:i/>
          <w:color w:val="000000"/>
          <w:sz w:val="22"/>
          <w:szCs w:val="22"/>
        </w:rPr>
      </w:pPr>
      <w:r w:rsidRPr="00EA2C95">
        <w:rPr>
          <w:rFonts w:ascii="Bookman Old Style" w:eastAsia="Bookman Old Style" w:hAnsi="Bookman Old Style" w:cs="Bookman Old Style"/>
          <w:i/>
          <w:color w:val="000000"/>
          <w:sz w:val="22"/>
          <w:szCs w:val="22"/>
        </w:rPr>
        <w:t xml:space="preserve"> </w:t>
      </w:r>
    </w:p>
    <w:p w14:paraId="1DD90E3C" w14:textId="77777777" w:rsidR="00756FAE" w:rsidRPr="00EA2C95" w:rsidRDefault="00EA2C95">
      <w:pPr>
        <w:pBdr>
          <w:top w:val="nil"/>
          <w:left w:val="nil"/>
          <w:bottom w:val="nil"/>
          <w:right w:val="nil"/>
          <w:between w:val="nil"/>
        </w:pBdr>
        <w:ind w:left="860" w:right="900"/>
        <w:jc w:val="both"/>
        <w:rPr>
          <w:rFonts w:ascii="Bookman Old Style" w:eastAsia="Bookman Old Style" w:hAnsi="Bookman Old Style" w:cs="Bookman Old Style"/>
          <w:i/>
          <w:color w:val="000000"/>
          <w:sz w:val="22"/>
          <w:szCs w:val="22"/>
        </w:rPr>
      </w:pPr>
      <w:r w:rsidRPr="00EA2C95">
        <w:rPr>
          <w:rFonts w:ascii="Bookman Old Style" w:eastAsia="Bookman Old Style" w:hAnsi="Bookman Old Style" w:cs="Bookman Old Style"/>
          <w:i/>
          <w:color w:val="000000"/>
          <w:sz w:val="22"/>
          <w:szCs w:val="22"/>
        </w:rPr>
        <w:t>2. Función LEGISLATIVA, para elaborar, interpretar, reformar y derogar las leyes y códigos en todos los ramos de la legislación</w:t>
      </w:r>
    </w:p>
    <w:p w14:paraId="2B03DC1B" w14:textId="77777777" w:rsidR="00756FAE" w:rsidRPr="00EA2C95" w:rsidRDefault="00EA2C95">
      <w:pPr>
        <w:pBdr>
          <w:top w:val="nil"/>
          <w:left w:val="nil"/>
          <w:bottom w:val="nil"/>
          <w:right w:val="nil"/>
          <w:between w:val="nil"/>
        </w:pBdr>
        <w:ind w:left="860" w:right="900"/>
        <w:jc w:val="both"/>
        <w:rPr>
          <w:rFonts w:ascii="Bookman Old Style" w:eastAsia="Bookman Old Style" w:hAnsi="Bookman Old Style" w:cs="Bookman Old Style"/>
          <w:i/>
          <w:color w:val="000000"/>
          <w:sz w:val="22"/>
          <w:szCs w:val="22"/>
        </w:rPr>
      </w:pPr>
      <w:r w:rsidRPr="00EA2C95">
        <w:rPr>
          <w:rFonts w:ascii="Bookman Old Style" w:eastAsia="Bookman Old Style" w:hAnsi="Bookman Old Style" w:cs="Bookman Old Style"/>
          <w:i/>
          <w:color w:val="000000"/>
          <w:sz w:val="22"/>
          <w:szCs w:val="22"/>
        </w:rPr>
        <w:t>(...)</w:t>
      </w:r>
    </w:p>
    <w:p w14:paraId="4E1FB626"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1201096E" w14:textId="65BCD42C"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En el caso particular, se considera que el presente proyecto debe tramitarse a través de la Comisión Primera Constitucional, en tanto pretende el reconocimiento de la protección y derechos de los animales en su calidad de seres sintientes.</w:t>
      </w:r>
    </w:p>
    <w:p w14:paraId="4CD380CD"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2F1E7E59" w14:textId="2414D3D4" w:rsidR="00E56BBC" w:rsidRPr="00EA2C95" w:rsidRDefault="00E56BBC">
      <w:pPr>
        <w:pBdr>
          <w:top w:val="nil"/>
          <w:left w:val="nil"/>
          <w:bottom w:val="nil"/>
          <w:right w:val="nil"/>
          <w:between w:val="nil"/>
        </w:pBdr>
        <w:jc w:val="both"/>
        <w:rPr>
          <w:rFonts w:ascii="Bookman Old Style" w:eastAsia="Bookman Old Style" w:hAnsi="Bookman Old Style" w:cs="Bookman Old Style"/>
          <w:b/>
          <w:color w:val="000000"/>
          <w:sz w:val="22"/>
          <w:szCs w:val="22"/>
        </w:rPr>
      </w:pPr>
      <w:r>
        <w:rPr>
          <w:rFonts w:ascii="Bookman Old Style" w:eastAsia="Bookman Old Style" w:hAnsi="Bookman Old Style" w:cs="Bookman Old Style"/>
          <w:b/>
          <w:color w:val="000000"/>
          <w:sz w:val="22"/>
          <w:szCs w:val="22"/>
        </w:rPr>
        <w:t>7</w:t>
      </w:r>
      <w:r w:rsidR="00EA2C95" w:rsidRPr="00EA2C95">
        <w:rPr>
          <w:rFonts w:ascii="Bookman Old Style" w:eastAsia="Bookman Old Style" w:hAnsi="Bookman Old Style" w:cs="Bookman Old Style"/>
          <w:b/>
          <w:color w:val="000000"/>
          <w:sz w:val="22"/>
          <w:szCs w:val="22"/>
        </w:rPr>
        <w:t>.</w:t>
      </w:r>
      <w:r w:rsidR="00EA2C95" w:rsidRPr="00EA2C95">
        <w:rPr>
          <w:rFonts w:ascii="Bookman Old Style" w:eastAsia="Bookman Old Style" w:hAnsi="Bookman Old Style" w:cs="Bookman Old Style"/>
          <w:color w:val="000000"/>
          <w:sz w:val="22"/>
          <w:szCs w:val="22"/>
        </w:rPr>
        <w:t xml:space="preserve"> </w:t>
      </w:r>
      <w:r w:rsidR="00EA2C95" w:rsidRPr="00EA2C95">
        <w:rPr>
          <w:rFonts w:ascii="Bookman Old Style" w:eastAsia="Bookman Old Style" w:hAnsi="Bookman Old Style" w:cs="Bookman Old Style"/>
          <w:b/>
          <w:color w:val="000000"/>
          <w:sz w:val="22"/>
          <w:szCs w:val="22"/>
        </w:rPr>
        <w:t>CONFLICTO DE INTERÉS</w:t>
      </w:r>
      <w:r>
        <w:rPr>
          <w:rFonts w:ascii="Bookman Old Style" w:eastAsia="Bookman Old Style" w:hAnsi="Bookman Old Style" w:cs="Bookman Old Style"/>
          <w:b/>
          <w:color w:val="000000"/>
          <w:sz w:val="22"/>
          <w:szCs w:val="22"/>
        </w:rPr>
        <w:t>.</w:t>
      </w:r>
    </w:p>
    <w:p w14:paraId="67C3E8C5" w14:textId="77777777" w:rsidR="00756FAE" w:rsidRPr="00EA2C95"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61C5B33E" w14:textId="77777777" w:rsidR="00756FAE" w:rsidRPr="00EA2C95" w:rsidRDefault="00EA2C95">
      <w:pP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Dando alcance a lo establecido en el artículo 3 de la Ley 2003 de 2019, “</w:t>
      </w:r>
      <w:r w:rsidRPr="00EA2C95">
        <w:rPr>
          <w:rFonts w:ascii="Bookman Old Style" w:eastAsia="Bookman Old Style" w:hAnsi="Bookman Old Style" w:cs="Bookman Old Style"/>
          <w:i/>
          <w:color w:val="000000"/>
          <w:sz w:val="22"/>
          <w:szCs w:val="22"/>
        </w:rPr>
        <w:t>Por la cual se modifica parcialmente la Ley 5 de 1992</w:t>
      </w:r>
      <w:r w:rsidRPr="00EA2C95">
        <w:rPr>
          <w:rFonts w:ascii="Bookman Old Style" w:eastAsia="Bookman Old Style" w:hAnsi="Bookman Old Style" w:cs="Bookman Old Style"/>
          <w:color w:val="000000"/>
          <w:sz w:val="22"/>
          <w:szCs w:val="22"/>
        </w:rPr>
        <w:t xml:space="preserve">”, se hacen las siguientes consideraciones a fin de describir la circunstancias o eventos que podrían generar conflicto de interés en la discusión y votación de la presente iniciativa legislativa, de conformidad con el artículo 286 de la Ley 5 de 1992, modificado por el artículo 1 de la Ley 2003 de 2019, que reza: </w:t>
      </w:r>
    </w:p>
    <w:p w14:paraId="787A3E04" w14:textId="77777777" w:rsidR="00756FAE" w:rsidRPr="00EA2C95" w:rsidRDefault="00756FAE">
      <w:pPr>
        <w:jc w:val="both"/>
        <w:rPr>
          <w:rFonts w:ascii="Bookman Old Style" w:eastAsia="Bookman Old Style" w:hAnsi="Bookman Old Style" w:cs="Bookman Old Style"/>
          <w:color w:val="000000"/>
          <w:sz w:val="22"/>
          <w:szCs w:val="22"/>
        </w:rPr>
      </w:pPr>
    </w:p>
    <w:p w14:paraId="04AA2042" w14:textId="77777777" w:rsidR="00756FAE" w:rsidRPr="00EA2C95" w:rsidRDefault="00EA2C95">
      <w:pPr>
        <w:ind w:left="850" w:right="900"/>
        <w:jc w:val="both"/>
        <w:rPr>
          <w:rFonts w:ascii="Bookman Old Style" w:eastAsia="Bookman Old Style" w:hAnsi="Bookman Old Style" w:cs="Bookman Old Style"/>
          <w:i/>
          <w:color w:val="000000"/>
          <w:sz w:val="22"/>
          <w:szCs w:val="22"/>
        </w:rPr>
      </w:pPr>
      <w:r w:rsidRPr="00EA2C95">
        <w:rPr>
          <w:rFonts w:ascii="Bookman Old Style" w:eastAsia="Bookman Old Style" w:hAnsi="Bookman Old Style" w:cs="Bookman Old Style"/>
          <w:i/>
          <w:color w:val="000000"/>
          <w:sz w:val="22"/>
          <w:szCs w:val="22"/>
        </w:rPr>
        <w:t>“</w:t>
      </w:r>
      <w:r w:rsidRPr="00EA2C95">
        <w:rPr>
          <w:rFonts w:ascii="Bookman Old Style" w:eastAsia="Bookman Old Style" w:hAnsi="Bookman Old Style" w:cs="Bookman Old Style"/>
          <w:b/>
          <w:i/>
          <w:color w:val="000000"/>
          <w:sz w:val="22"/>
          <w:szCs w:val="22"/>
        </w:rPr>
        <w:t>Artículo 286. Régimen de conflicto de interés de los congresistas.</w:t>
      </w:r>
      <w:r w:rsidRPr="00EA2C95">
        <w:rPr>
          <w:rFonts w:ascii="Bookman Old Style" w:eastAsia="Bookman Old Style" w:hAnsi="Bookman Old Style" w:cs="Bookman Old Style"/>
          <w:i/>
          <w:color w:val="000000"/>
          <w:sz w:val="22"/>
          <w:szCs w:val="22"/>
        </w:rPr>
        <w:t xml:space="preserve"> Todos los congresistas deberán declarar los conflictos </w:t>
      </w:r>
      <w:r w:rsidRPr="00EA2C95">
        <w:rPr>
          <w:rFonts w:ascii="Bookman Old Style" w:eastAsia="Bookman Old Style" w:hAnsi="Bookman Old Style" w:cs="Bookman Old Style"/>
          <w:i/>
          <w:sz w:val="22"/>
          <w:szCs w:val="22"/>
        </w:rPr>
        <w:t>de intereses</w:t>
      </w:r>
      <w:r w:rsidRPr="00EA2C95">
        <w:rPr>
          <w:rFonts w:ascii="Bookman Old Style" w:eastAsia="Bookman Old Style" w:hAnsi="Bookman Old Style" w:cs="Bookman Old Style"/>
          <w:i/>
          <w:color w:val="000000"/>
          <w:sz w:val="22"/>
          <w:szCs w:val="22"/>
        </w:rPr>
        <w:t xml:space="preserve"> que pudieran surgir en ejercicio de sus funciones.</w:t>
      </w:r>
    </w:p>
    <w:p w14:paraId="0DA440BF" w14:textId="77777777" w:rsidR="00756FAE" w:rsidRPr="00EA2C95" w:rsidRDefault="00EA2C95">
      <w:pPr>
        <w:ind w:left="850" w:right="900"/>
        <w:jc w:val="both"/>
        <w:rPr>
          <w:rFonts w:ascii="Bookman Old Style" w:eastAsia="Bookman Old Style" w:hAnsi="Bookman Old Style" w:cs="Bookman Old Style"/>
          <w:i/>
          <w:color w:val="000000"/>
          <w:sz w:val="22"/>
          <w:szCs w:val="22"/>
        </w:rPr>
      </w:pPr>
      <w:r w:rsidRPr="00EA2C95">
        <w:rPr>
          <w:rFonts w:ascii="Bookman Old Style" w:eastAsia="Bookman Old Style" w:hAnsi="Bookman Old Style" w:cs="Bookman Old Style"/>
          <w:i/>
          <w:color w:val="000000"/>
          <w:sz w:val="22"/>
          <w:szCs w:val="22"/>
        </w:rPr>
        <w:lastRenderedPageBreak/>
        <w:t>Se entiende como conflicto de interés una situación donde la discusión o votación de un proyecto de ley o acto legislativo o artículo, pueda resultar en un beneficio particular, actual y directo a favor del congresista. </w:t>
      </w:r>
    </w:p>
    <w:p w14:paraId="71549EC6" w14:textId="77777777" w:rsidR="00756FAE" w:rsidRPr="00EA2C95" w:rsidRDefault="00EA2C95">
      <w:pPr>
        <w:numPr>
          <w:ilvl w:val="0"/>
          <w:numId w:val="3"/>
        </w:numPr>
        <w:spacing w:after="160"/>
        <w:ind w:left="850" w:right="900" w:firstLine="0"/>
        <w:jc w:val="both"/>
        <w:rPr>
          <w:rFonts w:ascii="Bookman Old Style" w:eastAsia="Bookman Old Style" w:hAnsi="Bookman Old Style" w:cs="Bookman Old Style"/>
          <w:i/>
          <w:color w:val="000000"/>
          <w:sz w:val="22"/>
          <w:szCs w:val="22"/>
        </w:rPr>
      </w:pPr>
      <w:r w:rsidRPr="00EA2C95">
        <w:rPr>
          <w:rFonts w:ascii="Bookman Old Style" w:eastAsia="Bookman Old Style" w:hAnsi="Bookman Old Style" w:cs="Bookman Old Style"/>
          <w:i/>
          <w:color w:val="000000"/>
          <w:sz w:val="22"/>
          <w:szCs w:val="22"/>
        </w:rPr>
        <w:t>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14:paraId="565C0565" w14:textId="77777777" w:rsidR="00756FAE" w:rsidRPr="00EA2C95" w:rsidRDefault="00EA2C95">
      <w:pPr>
        <w:numPr>
          <w:ilvl w:val="0"/>
          <w:numId w:val="3"/>
        </w:numPr>
        <w:spacing w:after="160"/>
        <w:ind w:left="850" w:right="900" w:firstLine="0"/>
        <w:jc w:val="both"/>
        <w:rPr>
          <w:rFonts w:ascii="Bookman Old Style" w:eastAsia="Bookman Old Style" w:hAnsi="Bookman Old Style" w:cs="Bookman Old Style"/>
          <w:i/>
          <w:color w:val="000000"/>
          <w:sz w:val="22"/>
          <w:szCs w:val="22"/>
        </w:rPr>
      </w:pPr>
      <w:r w:rsidRPr="00EA2C95">
        <w:rPr>
          <w:rFonts w:ascii="Bookman Old Style" w:eastAsia="Bookman Old Style" w:hAnsi="Bookman Old Style" w:cs="Bookman Old Style"/>
          <w:i/>
          <w:color w:val="000000"/>
          <w:sz w:val="22"/>
          <w:szCs w:val="22"/>
        </w:rPr>
        <w:t>Beneficio actual: aquel que efectivamente se configura en las circunstancias presentes y existentes al momento en el que el congresista participa de la decisión. </w:t>
      </w:r>
    </w:p>
    <w:p w14:paraId="2347CA16" w14:textId="77777777" w:rsidR="00756FAE" w:rsidRPr="00EA2C95" w:rsidRDefault="00EA2C95">
      <w:pPr>
        <w:numPr>
          <w:ilvl w:val="0"/>
          <w:numId w:val="3"/>
        </w:numPr>
        <w:spacing w:after="160"/>
        <w:ind w:left="850" w:right="900" w:firstLine="0"/>
        <w:jc w:val="both"/>
        <w:rPr>
          <w:rFonts w:ascii="Bookman Old Style" w:eastAsia="Bookman Old Style" w:hAnsi="Bookman Old Style" w:cs="Bookman Old Style"/>
          <w:i/>
          <w:color w:val="000000"/>
          <w:sz w:val="22"/>
          <w:szCs w:val="22"/>
        </w:rPr>
      </w:pPr>
      <w:r w:rsidRPr="00EA2C95">
        <w:rPr>
          <w:rFonts w:ascii="Bookman Old Style" w:eastAsia="Bookman Old Style" w:hAnsi="Bookman Old Style" w:cs="Bookman Old Style"/>
          <w:i/>
          <w:color w:val="000000"/>
          <w:sz w:val="22"/>
          <w:szCs w:val="22"/>
        </w:rPr>
        <w:t>Beneficio directo: aquel que se produzca de forma específica respecto del congresista, de su cónyuge, compañero o compañera permanente, o parientes dentro del segundo grado de consanguinidad, segundo de afinidad o primero civil.</w:t>
      </w:r>
    </w:p>
    <w:p w14:paraId="14207208" w14:textId="77777777" w:rsidR="00756FAE" w:rsidRPr="00EA2C95" w:rsidRDefault="00EA2C95">
      <w:pPr>
        <w:ind w:left="850" w:right="474"/>
        <w:jc w:val="both"/>
        <w:rPr>
          <w:rFonts w:ascii="Bookman Old Style" w:eastAsia="Bookman Old Style" w:hAnsi="Bookman Old Style" w:cs="Bookman Old Style"/>
          <w:i/>
          <w:color w:val="000000"/>
          <w:sz w:val="22"/>
          <w:szCs w:val="22"/>
        </w:rPr>
      </w:pPr>
      <w:r w:rsidRPr="00EA2C95">
        <w:rPr>
          <w:rFonts w:ascii="Bookman Old Style" w:eastAsia="Bookman Old Style" w:hAnsi="Bookman Old Style" w:cs="Bookman Old Style"/>
          <w:i/>
          <w:color w:val="000000"/>
          <w:sz w:val="22"/>
          <w:szCs w:val="22"/>
        </w:rPr>
        <w:t xml:space="preserve">                                                                                                          (…)”</w:t>
      </w:r>
    </w:p>
    <w:p w14:paraId="3BC34DAF" w14:textId="77777777" w:rsidR="00756FAE" w:rsidRPr="00EA2C95" w:rsidRDefault="00756FAE">
      <w:pPr>
        <w:ind w:left="284" w:right="474"/>
        <w:jc w:val="both"/>
        <w:rPr>
          <w:rFonts w:ascii="Bookman Old Style" w:eastAsia="Bookman Old Style" w:hAnsi="Bookman Old Style" w:cs="Bookman Old Style"/>
          <w:i/>
          <w:color w:val="000000"/>
          <w:sz w:val="22"/>
          <w:szCs w:val="22"/>
        </w:rPr>
      </w:pPr>
    </w:p>
    <w:p w14:paraId="4E8815EE" w14:textId="77777777" w:rsidR="00756FAE" w:rsidRPr="00EA2C95" w:rsidRDefault="00EA2C95">
      <w:pP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Sobre este asunto la Sala Plena Contenciosa Administrativa del Honorable Consejo de Estado en su sentencia 02830 del 16 de julio de 2019, M.P. Carlos Enrique Moreno Rubio, señaló que:</w:t>
      </w:r>
    </w:p>
    <w:p w14:paraId="55BE1FC1" w14:textId="77777777" w:rsidR="00756FAE" w:rsidRPr="00EA2C95" w:rsidRDefault="00756FAE">
      <w:pPr>
        <w:jc w:val="both"/>
        <w:rPr>
          <w:rFonts w:ascii="Bookman Old Style" w:eastAsia="Bookman Old Style" w:hAnsi="Bookman Old Style" w:cs="Bookman Old Style"/>
          <w:color w:val="000000"/>
          <w:sz w:val="22"/>
          <w:szCs w:val="22"/>
        </w:rPr>
      </w:pPr>
    </w:p>
    <w:p w14:paraId="79D51636" w14:textId="77777777" w:rsidR="00756FAE" w:rsidRPr="00EA2C95" w:rsidRDefault="00EA2C95">
      <w:pPr>
        <w:ind w:left="850" w:right="900"/>
        <w:jc w:val="both"/>
        <w:rPr>
          <w:rFonts w:ascii="Bookman Old Style" w:eastAsia="Bookman Old Style" w:hAnsi="Bookman Old Style" w:cs="Bookman Old Style"/>
          <w:i/>
          <w:color w:val="000000"/>
          <w:sz w:val="22"/>
          <w:szCs w:val="22"/>
        </w:rPr>
      </w:pPr>
      <w:r w:rsidRPr="00EA2C95">
        <w:rPr>
          <w:rFonts w:ascii="Bookman Old Style" w:eastAsia="Bookman Old Style" w:hAnsi="Bookman Old Style" w:cs="Bookman Old Style"/>
          <w:i/>
          <w:color w:val="000000"/>
          <w:sz w:val="22"/>
          <w:szCs w:val="22"/>
        </w:rPr>
        <w:t>“No cualquier interés configura la causal de desinvestidura en comento, pues se sabe que sólo lo será aquél del que se pueda predicar que es directo, esto es, que per se el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p>
    <w:p w14:paraId="7EC2136B" w14:textId="77777777" w:rsidR="00756FAE" w:rsidRPr="00EA2C95" w:rsidRDefault="00756FAE">
      <w:pPr>
        <w:jc w:val="both"/>
        <w:rPr>
          <w:rFonts w:ascii="Bookman Old Style" w:eastAsia="Bookman Old Style" w:hAnsi="Bookman Old Style" w:cs="Bookman Old Style"/>
          <w:color w:val="000000"/>
          <w:sz w:val="22"/>
          <w:szCs w:val="22"/>
        </w:rPr>
      </w:pPr>
    </w:p>
    <w:p w14:paraId="766FEF2C" w14:textId="77777777" w:rsidR="00756FAE" w:rsidRPr="00EA2C95" w:rsidRDefault="00EA2C95">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 xml:space="preserve">Se estima que la discusión y aprobación del presente Proyecto de Ley podría generar conflictos de interés en razón de beneficios particulares, actuales y directos a favor de un congresista, de su cónyuge, compañero o compañera permanente o pariente dentro del segundo grado de consanguinidad, segundo de afinidad o primero civil, conforme a lo dispuesto en la ley, que tenga participación en empresas vinculadas a la producción, comercialización, reproducción, exportación, </w:t>
      </w:r>
      <w:r w:rsidRPr="00EA2C95">
        <w:rPr>
          <w:rFonts w:ascii="Bookman Old Style" w:eastAsia="Bookman Old Style" w:hAnsi="Bookman Old Style" w:cs="Bookman Old Style"/>
          <w:color w:val="000000"/>
          <w:sz w:val="22"/>
          <w:szCs w:val="22"/>
        </w:rPr>
        <w:lastRenderedPageBreak/>
        <w:t>importación, cría, entrenamiento o sacrificio de ganadería destinada a actividades de coleo, corridas de toros, novilladas, corralejas, becerradas y tientas.</w:t>
      </w:r>
    </w:p>
    <w:p w14:paraId="3F375C34" w14:textId="77777777" w:rsidR="00756FAE" w:rsidRPr="00EA2C95" w:rsidRDefault="00756FAE">
      <w:pPr>
        <w:jc w:val="both"/>
        <w:rPr>
          <w:rFonts w:ascii="Bookman Old Style" w:eastAsia="Bookman Old Style" w:hAnsi="Bookman Old Style" w:cs="Bookman Old Style"/>
          <w:color w:val="000000"/>
          <w:sz w:val="22"/>
          <w:szCs w:val="22"/>
        </w:rPr>
      </w:pPr>
      <w:bookmarkStart w:id="3" w:name="bookmark=id.3znysh7" w:colFirst="0" w:colLast="0"/>
      <w:bookmarkEnd w:id="3"/>
    </w:p>
    <w:p w14:paraId="49D8FC0D" w14:textId="77777777" w:rsidR="00756FAE" w:rsidRPr="00EA2C95" w:rsidRDefault="00EA2C95">
      <w:pP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También incurrirán en conflicto de interés quienes pertenezcan a gremios relacionados con las actividades de coleo, corridas de toros, novilladas, corralejas, becerradas y tientas y quienes promuevan, desarrollen o financien dichas actividades.</w:t>
      </w:r>
    </w:p>
    <w:p w14:paraId="244A4B4D" w14:textId="77777777" w:rsidR="00756FAE" w:rsidRPr="00EA2C95" w:rsidRDefault="00756FAE">
      <w:pPr>
        <w:jc w:val="both"/>
        <w:rPr>
          <w:rFonts w:ascii="Bookman Old Style" w:eastAsia="Bookman Old Style" w:hAnsi="Bookman Old Style" w:cs="Bookman Old Style"/>
          <w:color w:val="000000"/>
          <w:sz w:val="22"/>
          <w:szCs w:val="22"/>
        </w:rPr>
      </w:pPr>
    </w:p>
    <w:p w14:paraId="513794E0" w14:textId="77777777" w:rsidR="00756FAE" w:rsidRPr="00EA2C95" w:rsidRDefault="00EA2C95">
      <w:pP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Es menester señalar, que la descripción de los posibles conflictos de interés que se puedan presentar frente al trámite o votación del presente Proyecto de Ley, conforme a lo dispuesto en el artículo 291 de la Ley 5 de 1992 modificado por la Ley 2003 de 2019, no exime al Congresista de identificar causales adicionales en las que pueda estar incurso.</w:t>
      </w:r>
    </w:p>
    <w:p w14:paraId="5C572F4A" w14:textId="3F6D6FF9" w:rsidR="00756FAE" w:rsidRDefault="00756FAE">
      <w:pPr>
        <w:jc w:val="both"/>
        <w:rPr>
          <w:rFonts w:ascii="Bookman Old Style" w:eastAsia="Bookman Old Style" w:hAnsi="Bookman Old Style" w:cs="Bookman Old Style"/>
          <w:color w:val="000000"/>
          <w:sz w:val="22"/>
          <w:szCs w:val="22"/>
        </w:rPr>
      </w:pPr>
    </w:p>
    <w:p w14:paraId="3BEDB51C" w14:textId="5482C52D" w:rsidR="00E56BBC" w:rsidRPr="00E56BBC" w:rsidRDefault="00E56BBC" w:rsidP="00E56BBC">
      <w:pPr>
        <w:pStyle w:val="Ttulo2"/>
        <w:keepNext w:val="0"/>
        <w:keepLines w:val="0"/>
        <w:widowControl w:val="0"/>
        <w:numPr>
          <w:ilvl w:val="0"/>
          <w:numId w:val="8"/>
        </w:numPr>
        <w:spacing w:before="0" w:after="0"/>
        <w:rPr>
          <w:rFonts w:ascii="Bookman Old Style" w:eastAsia="Calibri" w:hAnsi="Bookman Old Style" w:cs="Calibri"/>
          <w:sz w:val="22"/>
          <w:szCs w:val="22"/>
        </w:rPr>
      </w:pPr>
      <w:r w:rsidRPr="00E56BBC">
        <w:rPr>
          <w:rFonts w:ascii="Bookman Old Style" w:eastAsia="Calibri" w:hAnsi="Bookman Old Style" w:cs="Calibri"/>
          <w:sz w:val="22"/>
          <w:szCs w:val="22"/>
        </w:rPr>
        <w:t>PROPOSICIÓN.</w:t>
      </w:r>
    </w:p>
    <w:p w14:paraId="2949D7E1" w14:textId="77777777" w:rsidR="00E56BBC" w:rsidRPr="00E56BBC" w:rsidRDefault="00E56BBC" w:rsidP="00E56BBC">
      <w:pPr>
        <w:jc w:val="both"/>
        <w:rPr>
          <w:rFonts w:ascii="Bookman Old Style" w:hAnsi="Bookman Old Style" w:cs="Arial"/>
          <w:sz w:val="22"/>
          <w:szCs w:val="22"/>
        </w:rPr>
      </w:pPr>
    </w:p>
    <w:p w14:paraId="10EB8B03" w14:textId="783100FC" w:rsidR="00E56BBC" w:rsidRPr="00E56BBC" w:rsidRDefault="00E56BBC" w:rsidP="00E56BBC">
      <w:pPr>
        <w:jc w:val="both"/>
        <w:rPr>
          <w:rFonts w:ascii="Bookman Old Style" w:hAnsi="Bookman Old Style" w:cs="Arial"/>
          <w:i/>
          <w:sz w:val="22"/>
          <w:szCs w:val="22"/>
        </w:rPr>
      </w:pPr>
      <w:r w:rsidRPr="00E56BBC">
        <w:rPr>
          <w:rFonts w:ascii="Bookman Old Style" w:hAnsi="Bookman Old Style" w:cs="Arial"/>
          <w:sz w:val="22"/>
          <w:szCs w:val="22"/>
        </w:rPr>
        <w:t xml:space="preserve">Con fundamento en las anteriores consideraciones, presento </w:t>
      </w:r>
      <w:r w:rsidRPr="00E56BBC">
        <w:rPr>
          <w:rFonts w:ascii="Bookman Old Style" w:hAnsi="Bookman Old Style" w:cs="Arial"/>
          <w:b/>
          <w:sz w:val="22"/>
          <w:szCs w:val="22"/>
        </w:rPr>
        <w:t>ponencia positiva</w:t>
      </w:r>
      <w:r w:rsidRPr="00E56BBC">
        <w:rPr>
          <w:rFonts w:ascii="Bookman Old Style" w:hAnsi="Bookman Old Style" w:cs="Arial"/>
          <w:sz w:val="22"/>
          <w:szCs w:val="22"/>
        </w:rPr>
        <w:t xml:space="preserve"> y solicito a los Honorables Representantes que integran la Comisión Primera de la Cámara de Representantes dar Primer Debate al </w:t>
      </w:r>
      <w:r>
        <w:rPr>
          <w:rFonts w:ascii="Bookman Old Style" w:hAnsi="Bookman Old Style" w:cs="Arial"/>
          <w:bCs/>
          <w:sz w:val="22"/>
          <w:szCs w:val="22"/>
          <w:lang w:val="es-ES_tradnl"/>
        </w:rPr>
        <w:t>Proyecto de Ley</w:t>
      </w:r>
      <w:r w:rsidRPr="00E56BBC">
        <w:rPr>
          <w:rFonts w:ascii="Bookman Old Style" w:hAnsi="Bookman Old Style" w:cs="Arial"/>
          <w:bCs/>
          <w:sz w:val="22"/>
          <w:szCs w:val="22"/>
          <w:lang w:val="es-ES_tradnl"/>
        </w:rPr>
        <w:t xml:space="preserve"> número 00</w:t>
      </w:r>
      <w:r>
        <w:rPr>
          <w:rFonts w:ascii="Bookman Old Style" w:hAnsi="Bookman Old Style" w:cs="Arial"/>
          <w:bCs/>
          <w:sz w:val="22"/>
          <w:szCs w:val="22"/>
          <w:lang w:val="es-ES_tradnl"/>
        </w:rPr>
        <w:t>7</w:t>
      </w:r>
      <w:r w:rsidRPr="00E56BBC">
        <w:rPr>
          <w:rFonts w:ascii="Bookman Old Style" w:hAnsi="Bookman Old Style" w:cs="Arial"/>
          <w:bCs/>
          <w:sz w:val="22"/>
          <w:szCs w:val="22"/>
          <w:lang w:val="es-ES_tradnl"/>
        </w:rPr>
        <w:t xml:space="preserve"> de 2022 Cámara</w:t>
      </w:r>
      <w:r w:rsidRPr="00E56BBC">
        <w:rPr>
          <w:rFonts w:ascii="Bookman Old Style" w:hAnsi="Bookman Old Style" w:cs="Arial"/>
          <w:sz w:val="22"/>
          <w:szCs w:val="22"/>
          <w:lang w:val="es-ES"/>
        </w:rPr>
        <w:t xml:space="preserve"> </w:t>
      </w:r>
      <w:r>
        <w:rPr>
          <w:rFonts w:ascii="Bookman Old Style" w:hAnsi="Bookman Old Style" w:cs="Arial"/>
          <w:sz w:val="22"/>
          <w:szCs w:val="22"/>
          <w:lang w:val="es-ES"/>
        </w:rPr>
        <w:t>“</w:t>
      </w:r>
      <w:r w:rsidRPr="00E56BBC">
        <w:rPr>
          <w:rFonts w:ascii="Bookman Old Style" w:hAnsi="Bookman Old Style" w:cs="Arial"/>
          <w:bCs/>
          <w:i/>
          <w:sz w:val="22"/>
          <w:szCs w:val="22"/>
        </w:rPr>
        <w:t>Por el cual se eliminan las prácticas taurinas en el territorio nacional y se dictan otras disposiciones</w:t>
      </w:r>
      <w:r>
        <w:rPr>
          <w:rFonts w:ascii="Bookman Old Style" w:hAnsi="Bookman Old Style" w:cs="Arial"/>
          <w:bCs/>
          <w:i/>
          <w:sz w:val="22"/>
          <w:szCs w:val="22"/>
        </w:rPr>
        <w:t>”.</w:t>
      </w:r>
    </w:p>
    <w:p w14:paraId="7922306A" w14:textId="4AB7FCE0" w:rsidR="00E56BBC" w:rsidRPr="00EA2C95" w:rsidRDefault="00E56BBC">
      <w:pPr>
        <w:jc w:val="both"/>
        <w:rPr>
          <w:rFonts w:ascii="Bookman Old Style" w:eastAsia="Bookman Old Style" w:hAnsi="Bookman Old Style" w:cs="Bookman Old Style"/>
          <w:color w:val="000000"/>
          <w:sz w:val="22"/>
          <w:szCs w:val="22"/>
        </w:rPr>
      </w:pPr>
    </w:p>
    <w:p w14:paraId="7398BF0A" w14:textId="77777777" w:rsidR="00756FAE" w:rsidRPr="00EA2C95" w:rsidRDefault="00EA2C95">
      <w:pP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Cordialmente,</w:t>
      </w:r>
    </w:p>
    <w:p w14:paraId="59EC1827" w14:textId="77777777" w:rsidR="0047400B" w:rsidRPr="00EA2C95" w:rsidRDefault="0047400B">
      <w:pPr>
        <w:jc w:val="both"/>
        <w:rPr>
          <w:rFonts w:ascii="Bookman Old Style" w:eastAsia="Bookman Old Style" w:hAnsi="Bookman Old Style" w:cs="Bookman Old Style"/>
          <w:color w:val="000000"/>
          <w:sz w:val="22"/>
          <w:szCs w:val="22"/>
        </w:rPr>
      </w:pPr>
    </w:p>
    <w:p w14:paraId="09E4432D" w14:textId="77777777" w:rsidR="0047400B" w:rsidRPr="00EA2C95" w:rsidRDefault="0047400B" w:rsidP="0047400B">
      <w:pPr>
        <w:jc w:val="both"/>
        <w:rPr>
          <w:rFonts w:ascii="Bookman Old Style" w:eastAsia="Bookman Old Style" w:hAnsi="Bookman Old Style" w:cs="Bookman Old Style"/>
          <w:color w:val="000000"/>
          <w:sz w:val="22"/>
          <w:szCs w:val="22"/>
        </w:rPr>
      </w:pPr>
    </w:p>
    <w:p w14:paraId="14F1BDBD" w14:textId="77777777" w:rsidR="0047400B" w:rsidRPr="00EA2C95" w:rsidRDefault="0047400B" w:rsidP="0047400B">
      <w:pPr>
        <w:jc w:val="both"/>
        <w:rPr>
          <w:rFonts w:ascii="Bookman Old Style" w:eastAsia="Bookman Old Style" w:hAnsi="Bookman Old Style" w:cs="Bookman Old Style"/>
          <w:color w:val="000000"/>
          <w:sz w:val="22"/>
          <w:szCs w:val="22"/>
        </w:rPr>
      </w:pPr>
    </w:p>
    <w:p w14:paraId="1908AB78" w14:textId="77777777" w:rsidR="0047400B" w:rsidRPr="00EA2C95" w:rsidRDefault="0047400B" w:rsidP="0047400B">
      <w:pPr>
        <w:jc w:val="both"/>
        <w:rPr>
          <w:rFonts w:ascii="Bookman Old Style" w:eastAsia="Bookman Old Style" w:hAnsi="Bookman Old Style" w:cs="Bookman Old Style"/>
          <w:color w:val="000000"/>
          <w:sz w:val="22"/>
          <w:szCs w:val="22"/>
        </w:rPr>
      </w:pPr>
    </w:p>
    <w:p w14:paraId="7CA6C9B8" w14:textId="77777777" w:rsidR="0047400B" w:rsidRPr="00EA2C95" w:rsidRDefault="0047400B" w:rsidP="0047400B">
      <w:pPr>
        <w:tabs>
          <w:tab w:val="right" w:pos="8838"/>
        </w:tabs>
        <w:jc w:val="center"/>
        <w:rPr>
          <w:rFonts w:ascii="Bookman Old Style" w:eastAsia="Bookman Old Style" w:hAnsi="Bookman Old Style" w:cs="Bookman Old Style"/>
          <w:b/>
          <w:sz w:val="22"/>
          <w:szCs w:val="22"/>
        </w:rPr>
      </w:pPr>
    </w:p>
    <w:p w14:paraId="2595A1B7" w14:textId="77777777" w:rsidR="0047400B" w:rsidRPr="00EA2C95" w:rsidRDefault="0047400B" w:rsidP="0047400B">
      <w:pPr>
        <w:tabs>
          <w:tab w:val="right" w:pos="8838"/>
        </w:tabs>
        <w:jc w:val="center"/>
        <w:rPr>
          <w:rFonts w:ascii="Bookman Old Style" w:eastAsia="Bookman Old Style" w:hAnsi="Bookman Old Style" w:cs="Bookman Old Style"/>
          <w:b/>
          <w:color w:val="000000"/>
          <w:sz w:val="22"/>
          <w:szCs w:val="22"/>
        </w:rPr>
      </w:pPr>
      <w:r w:rsidRPr="00EA2C95">
        <w:rPr>
          <w:rFonts w:ascii="Bookman Old Style" w:eastAsia="Bookman Old Style" w:hAnsi="Bookman Old Style" w:cs="Bookman Old Style"/>
          <w:b/>
          <w:color w:val="000000"/>
          <w:sz w:val="22"/>
          <w:szCs w:val="22"/>
        </w:rPr>
        <w:t>JUAN CARLOS LOZADA VARGAS</w:t>
      </w:r>
    </w:p>
    <w:p w14:paraId="7869A558" w14:textId="77777777" w:rsidR="0047400B" w:rsidRPr="00EA2C95" w:rsidRDefault="0047400B" w:rsidP="0047400B">
      <w:pPr>
        <w:tabs>
          <w:tab w:val="right" w:pos="8838"/>
        </w:tabs>
        <w:jc w:val="center"/>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Representante a la Cámara por Bogotá</w:t>
      </w:r>
    </w:p>
    <w:p w14:paraId="07F92632" w14:textId="4B0EB2A6" w:rsidR="0047400B" w:rsidRPr="00EA2C95" w:rsidRDefault="00E56BBC" w:rsidP="0047400B">
      <w:pPr>
        <w:jc w:val="center"/>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Ponente.</w:t>
      </w:r>
    </w:p>
    <w:p w14:paraId="07C98D2F" w14:textId="269D72A4" w:rsidR="005A4FEA" w:rsidRDefault="005A4FEA" w:rsidP="005A4FEA">
      <w:pPr>
        <w:rPr>
          <w:rFonts w:ascii="Bookman Old Style" w:eastAsia="Bookman Old Style" w:hAnsi="Bookman Old Style" w:cs="Bookman Old Style"/>
          <w:color w:val="000000"/>
          <w:sz w:val="22"/>
          <w:szCs w:val="22"/>
        </w:rPr>
      </w:pPr>
    </w:p>
    <w:p w14:paraId="0143D300" w14:textId="52A99BEA" w:rsidR="00E56BBC" w:rsidRDefault="00E56BBC" w:rsidP="005A4FEA">
      <w:pPr>
        <w:rPr>
          <w:rFonts w:ascii="Bookman Old Style" w:eastAsia="Bookman Old Style" w:hAnsi="Bookman Old Style" w:cs="Bookman Old Style"/>
          <w:color w:val="000000"/>
          <w:sz w:val="22"/>
          <w:szCs w:val="22"/>
        </w:rPr>
      </w:pPr>
    </w:p>
    <w:p w14:paraId="4FCF2F22" w14:textId="674698B2" w:rsidR="00E56BBC" w:rsidRDefault="00E56BBC" w:rsidP="005A4FEA">
      <w:pPr>
        <w:rPr>
          <w:rFonts w:ascii="Bookman Old Style" w:eastAsia="Bookman Old Style" w:hAnsi="Bookman Old Style" w:cs="Bookman Old Style"/>
          <w:color w:val="000000"/>
          <w:sz w:val="22"/>
          <w:szCs w:val="22"/>
        </w:rPr>
      </w:pPr>
    </w:p>
    <w:p w14:paraId="1A5CD549" w14:textId="45BBEAEA" w:rsidR="00E56BBC" w:rsidRDefault="00E56BBC" w:rsidP="005A4FEA">
      <w:pPr>
        <w:rPr>
          <w:rFonts w:ascii="Bookman Old Style" w:eastAsia="Bookman Old Style" w:hAnsi="Bookman Old Style" w:cs="Bookman Old Style"/>
          <w:color w:val="000000"/>
          <w:sz w:val="22"/>
          <w:szCs w:val="22"/>
        </w:rPr>
      </w:pPr>
    </w:p>
    <w:p w14:paraId="552FE55A" w14:textId="1AE543AD" w:rsidR="00E56BBC" w:rsidRDefault="00E56BBC" w:rsidP="005A4FEA">
      <w:pPr>
        <w:rPr>
          <w:rFonts w:ascii="Bookman Old Style" w:eastAsia="Bookman Old Style" w:hAnsi="Bookman Old Style" w:cs="Bookman Old Style"/>
          <w:color w:val="000000"/>
          <w:sz w:val="22"/>
          <w:szCs w:val="22"/>
        </w:rPr>
      </w:pPr>
    </w:p>
    <w:p w14:paraId="68620E53" w14:textId="398829BB" w:rsidR="00E56BBC" w:rsidRDefault="00E56BBC" w:rsidP="005A4FEA">
      <w:pPr>
        <w:rPr>
          <w:rFonts w:ascii="Bookman Old Style" w:eastAsia="Bookman Old Style" w:hAnsi="Bookman Old Style" w:cs="Bookman Old Style"/>
          <w:color w:val="000000"/>
          <w:sz w:val="22"/>
          <w:szCs w:val="22"/>
        </w:rPr>
      </w:pPr>
    </w:p>
    <w:p w14:paraId="37B5BA22" w14:textId="3E5B1602" w:rsidR="00E56BBC" w:rsidRDefault="00E56BBC" w:rsidP="005A4FEA">
      <w:pPr>
        <w:rPr>
          <w:rFonts w:ascii="Bookman Old Style" w:eastAsia="Bookman Old Style" w:hAnsi="Bookman Old Style" w:cs="Bookman Old Style"/>
          <w:color w:val="000000"/>
          <w:sz w:val="22"/>
          <w:szCs w:val="22"/>
        </w:rPr>
      </w:pPr>
    </w:p>
    <w:p w14:paraId="476819ED" w14:textId="61094FB8" w:rsidR="00E56BBC" w:rsidRDefault="00E56BBC" w:rsidP="005A4FEA">
      <w:pPr>
        <w:rPr>
          <w:rFonts w:ascii="Bookman Old Style" w:eastAsia="Bookman Old Style" w:hAnsi="Bookman Old Style" w:cs="Bookman Old Style"/>
          <w:color w:val="000000"/>
          <w:sz w:val="22"/>
          <w:szCs w:val="22"/>
        </w:rPr>
      </w:pPr>
    </w:p>
    <w:p w14:paraId="3D443B1B" w14:textId="5AFC8346" w:rsidR="00E56BBC" w:rsidRDefault="00E56BBC" w:rsidP="005A4FEA">
      <w:pPr>
        <w:rPr>
          <w:rFonts w:ascii="Bookman Old Style" w:eastAsia="Bookman Old Style" w:hAnsi="Bookman Old Style" w:cs="Bookman Old Style"/>
          <w:color w:val="000000"/>
          <w:sz w:val="22"/>
          <w:szCs w:val="22"/>
        </w:rPr>
      </w:pPr>
    </w:p>
    <w:p w14:paraId="2444EC2C" w14:textId="4BF89373" w:rsidR="00E56BBC" w:rsidRDefault="00E56BBC" w:rsidP="005A4FEA">
      <w:pPr>
        <w:rPr>
          <w:rFonts w:ascii="Bookman Old Style" w:eastAsia="Bookman Old Style" w:hAnsi="Bookman Old Style" w:cs="Bookman Old Style"/>
          <w:color w:val="000000"/>
          <w:sz w:val="22"/>
          <w:szCs w:val="22"/>
        </w:rPr>
      </w:pPr>
    </w:p>
    <w:p w14:paraId="1A3D9053" w14:textId="1A248466" w:rsidR="00E56BBC" w:rsidRDefault="00E56BBC" w:rsidP="005A4FEA">
      <w:pPr>
        <w:rPr>
          <w:rFonts w:ascii="Bookman Old Style" w:eastAsia="Bookman Old Style" w:hAnsi="Bookman Old Style" w:cs="Bookman Old Style"/>
          <w:color w:val="000000"/>
          <w:sz w:val="22"/>
          <w:szCs w:val="22"/>
        </w:rPr>
      </w:pPr>
    </w:p>
    <w:p w14:paraId="05F80BE2" w14:textId="70E3DF4B" w:rsidR="00E56BBC" w:rsidRDefault="00E56BBC" w:rsidP="005A4FEA">
      <w:pPr>
        <w:rPr>
          <w:rFonts w:ascii="Bookman Old Style" w:eastAsia="Bookman Old Style" w:hAnsi="Bookman Old Style" w:cs="Bookman Old Style"/>
          <w:color w:val="000000"/>
          <w:sz w:val="22"/>
          <w:szCs w:val="22"/>
        </w:rPr>
      </w:pPr>
    </w:p>
    <w:p w14:paraId="70FA37E7" w14:textId="77777777" w:rsidR="00E56BBC" w:rsidRPr="00EA2C95" w:rsidRDefault="00E56BBC" w:rsidP="005A4FEA">
      <w:pPr>
        <w:rPr>
          <w:rFonts w:ascii="Bookman Old Style" w:eastAsia="Bookman Old Style" w:hAnsi="Bookman Old Style" w:cs="Bookman Old Style"/>
          <w:sz w:val="22"/>
          <w:szCs w:val="22"/>
        </w:rPr>
      </w:pPr>
    </w:p>
    <w:p w14:paraId="1F67F7E3" w14:textId="233CDB15" w:rsidR="005A4FEA" w:rsidRPr="00EA2C95" w:rsidRDefault="00E56BBC" w:rsidP="005A4FEA">
      <w:pPr>
        <w:pBdr>
          <w:top w:val="nil"/>
          <w:left w:val="nil"/>
          <w:bottom w:val="nil"/>
          <w:right w:val="nil"/>
          <w:between w:val="nil"/>
        </w:pBdr>
        <w:ind w:right="20"/>
        <w:jc w:val="center"/>
        <w:rPr>
          <w:rFonts w:ascii="Bookman Old Style" w:eastAsia="Bookman Old Style" w:hAnsi="Bookman Old Style" w:cs="Bookman Old Style"/>
          <w:b/>
          <w:color w:val="000000"/>
          <w:sz w:val="22"/>
          <w:szCs w:val="22"/>
        </w:rPr>
      </w:pPr>
      <w:r>
        <w:rPr>
          <w:rFonts w:ascii="Bookman Old Style" w:eastAsia="Bookman Old Style" w:hAnsi="Bookman Old Style" w:cs="Bookman Old Style"/>
          <w:b/>
          <w:color w:val="000000"/>
          <w:sz w:val="22"/>
          <w:szCs w:val="22"/>
        </w:rPr>
        <w:lastRenderedPageBreak/>
        <w:t>9</w:t>
      </w:r>
      <w:r w:rsidRPr="00E56BBC">
        <w:rPr>
          <w:rFonts w:ascii="Bookman Old Style" w:eastAsia="Bookman Old Style" w:hAnsi="Bookman Old Style" w:cs="Bookman Old Style"/>
          <w:b/>
          <w:color w:val="000000"/>
          <w:sz w:val="22"/>
          <w:szCs w:val="22"/>
        </w:rPr>
        <w:t>.</w:t>
      </w:r>
      <w:r w:rsidRPr="00E56BBC">
        <w:rPr>
          <w:rFonts w:ascii="Bookman Old Style" w:eastAsia="Bookman Old Style" w:hAnsi="Bookman Old Style" w:cs="Bookman Old Style"/>
          <w:b/>
          <w:color w:val="000000"/>
          <w:sz w:val="22"/>
          <w:szCs w:val="22"/>
        </w:rPr>
        <w:tab/>
        <w:t>TEXTO PROPUESTO PARA PRIMER DEBATE</w:t>
      </w:r>
      <w:r w:rsidR="00FF5D6D">
        <w:rPr>
          <w:rFonts w:ascii="Bookman Old Style" w:eastAsia="Bookman Old Style" w:hAnsi="Bookman Old Style" w:cs="Bookman Old Style"/>
          <w:b/>
          <w:color w:val="000000"/>
          <w:sz w:val="22"/>
          <w:szCs w:val="22"/>
        </w:rPr>
        <w:t xml:space="preserve"> AL</w:t>
      </w:r>
      <w:r w:rsidRPr="00E56BBC">
        <w:rPr>
          <w:rFonts w:ascii="Bookman Old Style" w:eastAsia="Bookman Old Style" w:hAnsi="Bookman Old Style" w:cs="Bookman Old Style"/>
          <w:b/>
          <w:color w:val="000000"/>
          <w:sz w:val="22"/>
          <w:szCs w:val="22"/>
        </w:rPr>
        <w:t xml:space="preserve"> </w:t>
      </w:r>
      <w:r w:rsidR="00FF5D6D">
        <w:rPr>
          <w:rFonts w:ascii="Bookman Old Style" w:eastAsia="Bookman Old Style" w:hAnsi="Bookman Old Style" w:cs="Bookman Old Style"/>
          <w:b/>
          <w:color w:val="000000"/>
          <w:sz w:val="22"/>
          <w:szCs w:val="22"/>
        </w:rPr>
        <w:t>PROYECTO DE LEY NÚMERO 007</w:t>
      </w:r>
      <w:r w:rsidR="005A4FEA" w:rsidRPr="00EA2C95">
        <w:rPr>
          <w:rFonts w:ascii="Bookman Old Style" w:eastAsia="Bookman Old Style" w:hAnsi="Bookman Old Style" w:cs="Bookman Old Style"/>
          <w:b/>
          <w:color w:val="000000"/>
          <w:sz w:val="22"/>
          <w:szCs w:val="22"/>
        </w:rPr>
        <w:t xml:space="preserve"> DE 2022 CÁMARA.</w:t>
      </w:r>
    </w:p>
    <w:p w14:paraId="1F8E3F5C" w14:textId="1E168EE2" w:rsidR="005A4FEA" w:rsidRPr="00EA2C95" w:rsidRDefault="00FF5D6D" w:rsidP="00FF5D6D">
      <w:pPr>
        <w:pBdr>
          <w:top w:val="nil"/>
          <w:left w:val="nil"/>
          <w:bottom w:val="nil"/>
          <w:right w:val="nil"/>
          <w:between w:val="nil"/>
        </w:pBdr>
        <w:jc w:val="center"/>
        <w:rPr>
          <w:rFonts w:ascii="Bookman Old Style" w:eastAsia="Bookman Old Style" w:hAnsi="Bookman Old Style" w:cs="Bookman Old Style"/>
          <w:i/>
          <w:color w:val="000000"/>
          <w:sz w:val="22"/>
          <w:szCs w:val="22"/>
        </w:rPr>
      </w:pPr>
      <w:r>
        <w:rPr>
          <w:rFonts w:ascii="Bookman Old Style" w:eastAsia="Bookman Old Style" w:hAnsi="Bookman Old Style" w:cs="Bookman Old Style"/>
          <w:i/>
          <w:color w:val="000000"/>
          <w:sz w:val="22"/>
          <w:szCs w:val="22"/>
        </w:rPr>
        <w:t xml:space="preserve"> </w:t>
      </w:r>
      <w:r w:rsidR="005A4FEA" w:rsidRPr="00EA2C95">
        <w:rPr>
          <w:rFonts w:ascii="Bookman Old Style" w:eastAsia="Bookman Old Style" w:hAnsi="Bookman Old Style" w:cs="Bookman Old Style"/>
          <w:i/>
          <w:color w:val="000000"/>
          <w:sz w:val="22"/>
          <w:szCs w:val="22"/>
        </w:rPr>
        <w:t xml:space="preserve">“Por el cual se eliminan las prácticas taurinas en el territorio nacional </w:t>
      </w:r>
    </w:p>
    <w:p w14:paraId="2F217361" w14:textId="77777777" w:rsidR="005A4FEA" w:rsidRPr="00EA2C95" w:rsidRDefault="005A4FEA" w:rsidP="005A4FEA">
      <w:pPr>
        <w:pBdr>
          <w:top w:val="nil"/>
          <w:left w:val="nil"/>
          <w:bottom w:val="nil"/>
          <w:right w:val="nil"/>
          <w:between w:val="nil"/>
        </w:pBdr>
        <w:jc w:val="center"/>
        <w:rPr>
          <w:rFonts w:ascii="Bookman Old Style" w:eastAsia="Bookman Old Style" w:hAnsi="Bookman Old Style" w:cs="Bookman Old Style"/>
          <w:i/>
          <w:color w:val="000000"/>
          <w:sz w:val="22"/>
          <w:szCs w:val="22"/>
        </w:rPr>
      </w:pPr>
      <w:r w:rsidRPr="00EA2C95">
        <w:rPr>
          <w:rFonts w:ascii="Bookman Old Style" w:eastAsia="Bookman Old Style" w:hAnsi="Bookman Old Style" w:cs="Bookman Old Style"/>
          <w:i/>
          <w:color w:val="000000"/>
          <w:sz w:val="22"/>
          <w:szCs w:val="22"/>
        </w:rPr>
        <w:t>y se dictan otras disposiciones”</w:t>
      </w:r>
    </w:p>
    <w:p w14:paraId="31542A9A" w14:textId="77777777" w:rsidR="005A4FEA" w:rsidRPr="00EA2C95" w:rsidRDefault="005A4FEA" w:rsidP="005A4FEA">
      <w:pPr>
        <w:pBdr>
          <w:top w:val="nil"/>
          <w:left w:val="nil"/>
          <w:bottom w:val="nil"/>
          <w:right w:val="nil"/>
          <w:between w:val="nil"/>
        </w:pBdr>
        <w:ind w:right="40"/>
        <w:jc w:val="center"/>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 xml:space="preserve"> </w:t>
      </w:r>
    </w:p>
    <w:p w14:paraId="04F33209" w14:textId="77777777" w:rsidR="005A4FEA" w:rsidRPr="00EA2C95" w:rsidRDefault="005A4FEA" w:rsidP="005A4FEA">
      <w:pPr>
        <w:pBdr>
          <w:top w:val="nil"/>
          <w:left w:val="nil"/>
          <w:bottom w:val="nil"/>
          <w:right w:val="nil"/>
          <w:between w:val="nil"/>
        </w:pBdr>
        <w:ind w:right="40"/>
        <w:jc w:val="center"/>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El Congreso de Colombia</w:t>
      </w:r>
    </w:p>
    <w:p w14:paraId="00D33FD1" w14:textId="77777777" w:rsidR="005A4FEA" w:rsidRPr="00EA2C95" w:rsidRDefault="005A4FEA" w:rsidP="005A4FEA">
      <w:pPr>
        <w:pBdr>
          <w:top w:val="nil"/>
          <w:left w:val="nil"/>
          <w:bottom w:val="nil"/>
          <w:right w:val="nil"/>
          <w:between w:val="nil"/>
        </w:pBdr>
        <w:ind w:right="40"/>
        <w:jc w:val="center"/>
        <w:rPr>
          <w:rFonts w:ascii="Bookman Old Style" w:eastAsia="Bookman Old Style" w:hAnsi="Bookman Old Style" w:cs="Bookman Old Style"/>
          <w:color w:val="000000"/>
          <w:sz w:val="22"/>
          <w:szCs w:val="22"/>
        </w:rPr>
      </w:pPr>
    </w:p>
    <w:p w14:paraId="4343DF69" w14:textId="77777777" w:rsidR="005A4FEA" w:rsidRPr="00EA2C95" w:rsidRDefault="005A4FEA" w:rsidP="005A4FEA">
      <w:pPr>
        <w:pBdr>
          <w:top w:val="nil"/>
          <w:left w:val="nil"/>
          <w:bottom w:val="nil"/>
          <w:right w:val="nil"/>
          <w:between w:val="nil"/>
        </w:pBdr>
        <w:ind w:right="40"/>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 xml:space="preserve"> </w:t>
      </w:r>
    </w:p>
    <w:p w14:paraId="1DDE989D" w14:textId="77777777" w:rsidR="005A4FEA" w:rsidRPr="00EA2C95" w:rsidRDefault="005A4FEA" w:rsidP="005A4FEA">
      <w:pPr>
        <w:pBdr>
          <w:top w:val="nil"/>
          <w:left w:val="nil"/>
          <w:bottom w:val="nil"/>
          <w:right w:val="nil"/>
          <w:between w:val="nil"/>
        </w:pBdr>
        <w:ind w:right="40"/>
        <w:jc w:val="center"/>
        <w:rPr>
          <w:rFonts w:ascii="Bookman Old Style" w:eastAsia="Bookman Old Style" w:hAnsi="Bookman Old Style" w:cs="Bookman Old Style"/>
          <w:b/>
          <w:color w:val="000000"/>
          <w:sz w:val="22"/>
          <w:szCs w:val="22"/>
        </w:rPr>
      </w:pPr>
      <w:r w:rsidRPr="00EA2C95">
        <w:rPr>
          <w:rFonts w:ascii="Bookman Old Style" w:eastAsia="Bookman Old Style" w:hAnsi="Bookman Old Style" w:cs="Bookman Old Style"/>
          <w:b/>
          <w:color w:val="000000"/>
          <w:sz w:val="22"/>
          <w:szCs w:val="22"/>
        </w:rPr>
        <w:t>DECRETA:</w:t>
      </w:r>
    </w:p>
    <w:p w14:paraId="7F917953" w14:textId="77777777" w:rsidR="005A4FEA" w:rsidRPr="00EA2C95" w:rsidRDefault="005A4FEA" w:rsidP="005A4FEA">
      <w:pPr>
        <w:pBdr>
          <w:top w:val="nil"/>
          <w:left w:val="nil"/>
          <w:bottom w:val="nil"/>
          <w:right w:val="nil"/>
          <w:between w:val="nil"/>
        </w:pBdr>
        <w:rPr>
          <w:rFonts w:ascii="Bookman Old Style" w:eastAsia="Bookman Old Style" w:hAnsi="Bookman Old Style" w:cs="Bookman Old Style"/>
          <w:color w:val="000000"/>
          <w:sz w:val="22"/>
          <w:szCs w:val="22"/>
        </w:rPr>
      </w:pPr>
    </w:p>
    <w:p w14:paraId="0AE8717F" w14:textId="77777777" w:rsidR="005A4FEA" w:rsidRPr="00EA2C95" w:rsidRDefault="005A4FEA" w:rsidP="005A4FEA">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b/>
          <w:color w:val="000000"/>
          <w:sz w:val="22"/>
          <w:szCs w:val="22"/>
        </w:rPr>
        <w:t>Artículo 1</w:t>
      </w:r>
      <w:r w:rsidRPr="00EA2C95">
        <w:rPr>
          <w:rFonts w:ascii="Bookman Old Style" w:eastAsia="Bookman Old Style" w:hAnsi="Bookman Old Style" w:cs="Bookman Old Style"/>
          <w:color w:val="000000"/>
          <w:sz w:val="22"/>
          <w:szCs w:val="22"/>
        </w:rPr>
        <w:t xml:space="preserve">. </w:t>
      </w:r>
      <w:r w:rsidRPr="00EA2C95">
        <w:rPr>
          <w:rFonts w:ascii="Bookman Old Style" w:eastAsia="Bookman Old Style" w:hAnsi="Bookman Old Style" w:cs="Bookman Old Style"/>
          <w:b/>
          <w:color w:val="000000"/>
          <w:sz w:val="22"/>
          <w:szCs w:val="22"/>
        </w:rPr>
        <w:t>Objeto</w:t>
      </w:r>
      <w:r w:rsidRPr="00EA2C95">
        <w:rPr>
          <w:rFonts w:ascii="Bookman Old Style" w:eastAsia="Bookman Old Style" w:hAnsi="Bookman Old Style" w:cs="Bookman Old Style"/>
          <w:color w:val="000000"/>
          <w:sz w:val="22"/>
          <w:szCs w:val="22"/>
        </w:rPr>
        <w:t>. La presente ley tiene por objeto avanzar en el reconocimiento de los animales como seres sintientes, sujetos de una protección constitucional y legal especial, a través de la prohibición de las prácticas taurinas en todo el territorio nacional, como expresiones de maltrato, crueldad y violencia.</w:t>
      </w:r>
    </w:p>
    <w:p w14:paraId="1256D0DC" w14:textId="77777777" w:rsidR="005A4FEA" w:rsidRPr="00EA2C95" w:rsidRDefault="005A4FEA" w:rsidP="005A4FEA">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2797327C" w14:textId="77777777" w:rsidR="005A4FEA" w:rsidRPr="00EA2C95" w:rsidRDefault="005A4FEA" w:rsidP="005A4FEA">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b/>
          <w:color w:val="000000"/>
          <w:sz w:val="22"/>
          <w:szCs w:val="22"/>
        </w:rPr>
        <w:t>Artículo 2º.</w:t>
      </w:r>
      <w:r w:rsidRPr="00EA2C95">
        <w:rPr>
          <w:rFonts w:ascii="Bookman Old Style" w:eastAsia="Bookman Old Style" w:hAnsi="Bookman Old Style" w:cs="Bookman Old Style"/>
          <w:color w:val="000000"/>
          <w:sz w:val="22"/>
          <w:szCs w:val="22"/>
        </w:rPr>
        <w:t xml:space="preserve"> </w:t>
      </w:r>
      <w:r w:rsidRPr="00EA2C95">
        <w:rPr>
          <w:rFonts w:ascii="Bookman Old Style" w:eastAsia="Bookman Old Style" w:hAnsi="Bookman Old Style" w:cs="Bookman Old Style"/>
          <w:b/>
          <w:color w:val="000000"/>
          <w:sz w:val="22"/>
          <w:szCs w:val="22"/>
        </w:rPr>
        <w:t>Ámbito de aplicación</w:t>
      </w:r>
      <w:r w:rsidRPr="00EA2C95">
        <w:rPr>
          <w:rFonts w:ascii="Bookman Old Style" w:eastAsia="Bookman Old Style" w:hAnsi="Bookman Old Style" w:cs="Bookman Old Style"/>
          <w:color w:val="000000"/>
          <w:sz w:val="22"/>
          <w:szCs w:val="22"/>
        </w:rPr>
        <w:t>. Las disposiciones contenidas en la presente ley serán aplicables en todo el territorio nacional.</w:t>
      </w:r>
      <w:r w:rsidRPr="00EA2C95">
        <w:rPr>
          <w:rFonts w:ascii="Bookman Old Style" w:eastAsia="Bookman Old Style" w:hAnsi="Bookman Old Style" w:cs="Bookman Old Style"/>
          <w:color w:val="000000"/>
          <w:sz w:val="22"/>
          <w:szCs w:val="22"/>
        </w:rPr>
        <w:tab/>
      </w:r>
    </w:p>
    <w:p w14:paraId="6E78791D" w14:textId="77777777" w:rsidR="005A4FEA" w:rsidRPr="00EA2C95" w:rsidRDefault="005A4FEA" w:rsidP="005A4FEA">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 xml:space="preserve"> </w:t>
      </w:r>
    </w:p>
    <w:p w14:paraId="1ECB44F9" w14:textId="77777777" w:rsidR="005A4FEA" w:rsidRPr="00EA2C95" w:rsidRDefault="005A4FEA" w:rsidP="005A4FEA">
      <w:pP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b/>
          <w:color w:val="000000"/>
          <w:sz w:val="22"/>
          <w:szCs w:val="22"/>
        </w:rPr>
        <w:t>Artículo 3º</w:t>
      </w:r>
      <w:r w:rsidRPr="00EA2C95">
        <w:rPr>
          <w:rFonts w:ascii="Bookman Old Style" w:eastAsia="Bookman Old Style" w:hAnsi="Bookman Old Style" w:cs="Bookman Old Style"/>
          <w:color w:val="000000"/>
          <w:sz w:val="22"/>
          <w:szCs w:val="22"/>
        </w:rPr>
        <w:t xml:space="preserve">. </w:t>
      </w:r>
      <w:r w:rsidRPr="00EA2C95">
        <w:rPr>
          <w:rFonts w:ascii="Bookman Old Style" w:eastAsia="Bookman Old Style" w:hAnsi="Bookman Old Style" w:cs="Bookman Old Style"/>
          <w:b/>
          <w:color w:val="000000"/>
          <w:sz w:val="22"/>
          <w:szCs w:val="22"/>
        </w:rPr>
        <w:t>Prohibición.</w:t>
      </w:r>
      <w:r w:rsidRPr="00EA2C95">
        <w:rPr>
          <w:rFonts w:ascii="Bookman Old Style" w:eastAsia="Bookman Old Style" w:hAnsi="Bookman Old Style" w:cs="Bookman Old Style"/>
          <w:color w:val="000000"/>
          <w:sz w:val="22"/>
          <w:szCs w:val="22"/>
        </w:rPr>
        <w:t xml:space="preserve"> Se prohíbe el desarrollo de las actividades de corridas de toros, rejoneo, novilladas, becerradas y tientas, encierros y suelta de vaquillas, festivales cómicos taurinos y de aficionados prácticos, así como los procedimientos utilizados en estos espectáculos, tanto en el ámbito público como en el privado.</w:t>
      </w:r>
    </w:p>
    <w:p w14:paraId="7721CC9C" w14:textId="77777777" w:rsidR="005A4FEA" w:rsidRPr="00EA2C95" w:rsidRDefault="005A4FEA" w:rsidP="005A4FEA">
      <w:pPr>
        <w:jc w:val="both"/>
        <w:rPr>
          <w:rFonts w:ascii="Bookman Old Style" w:eastAsia="Bookman Old Style" w:hAnsi="Bookman Old Style" w:cs="Bookman Old Style"/>
          <w:color w:val="000000"/>
          <w:sz w:val="22"/>
          <w:szCs w:val="22"/>
        </w:rPr>
      </w:pPr>
    </w:p>
    <w:p w14:paraId="66B379CD" w14:textId="77777777" w:rsidR="005A4FEA" w:rsidRPr="00EA2C95" w:rsidRDefault="005A4FEA" w:rsidP="005A4FEA">
      <w:pPr>
        <w:pBdr>
          <w:top w:val="nil"/>
          <w:left w:val="nil"/>
          <w:bottom w:val="nil"/>
          <w:right w:val="nil"/>
          <w:between w:val="nil"/>
        </w:pBd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b/>
          <w:color w:val="000000"/>
          <w:sz w:val="22"/>
          <w:szCs w:val="22"/>
        </w:rPr>
        <w:t xml:space="preserve">Artículo 4.  </w:t>
      </w:r>
      <w:r w:rsidRPr="00EA2C95">
        <w:rPr>
          <w:rFonts w:ascii="Bookman Old Style" w:eastAsia="Bookman Old Style" w:hAnsi="Bookman Old Style" w:cs="Bookman Old Style"/>
          <w:color w:val="000000"/>
          <w:sz w:val="22"/>
          <w:szCs w:val="22"/>
        </w:rPr>
        <w:t>El Gobierno Nacional, en el marco de sus competencias, tendrá un plazo de seis (6) meses contados a partir de la expedición de la presente ley para garantizar programas efectivos de reconversión económica para las personas que demuestren que sus ingresos y sustento económico principal, se derivan de las actividades de las que trata el artículo 3.</w:t>
      </w:r>
    </w:p>
    <w:p w14:paraId="0E549481" w14:textId="77777777" w:rsidR="005A4FEA" w:rsidRPr="00EA2C95" w:rsidRDefault="005A4FEA" w:rsidP="005A4FEA">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5DD1C2F9" w14:textId="77777777" w:rsidR="005A4FEA" w:rsidRPr="00EA2C95" w:rsidRDefault="005A4FEA" w:rsidP="005A4FEA">
      <w:pP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b/>
          <w:color w:val="000000"/>
          <w:sz w:val="22"/>
          <w:szCs w:val="22"/>
        </w:rPr>
        <w:t>Artículo 5º</w:t>
      </w:r>
      <w:r w:rsidRPr="00EA2C95">
        <w:rPr>
          <w:rFonts w:ascii="Bookman Old Style" w:eastAsia="Bookman Old Style" w:hAnsi="Bookman Old Style" w:cs="Bookman Old Style"/>
          <w:color w:val="000000"/>
          <w:sz w:val="22"/>
          <w:szCs w:val="22"/>
        </w:rPr>
        <w:t xml:space="preserve">. </w:t>
      </w:r>
      <w:r w:rsidRPr="00EA2C95">
        <w:rPr>
          <w:rFonts w:ascii="Bookman Old Style" w:eastAsia="Bookman Old Style" w:hAnsi="Bookman Old Style" w:cs="Bookman Old Style"/>
          <w:b/>
          <w:color w:val="000000"/>
          <w:sz w:val="22"/>
          <w:szCs w:val="22"/>
        </w:rPr>
        <w:t>Vigencia.</w:t>
      </w:r>
      <w:r w:rsidRPr="00EA2C95">
        <w:rPr>
          <w:rFonts w:ascii="Bookman Old Style" w:eastAsia="Bookman Old Style" w:hAnsi="Bookman Old Style" w:cs="Bookman Old Style"/>
          <w:color w:val="000000"/>
          <w:sz w:val="22"/>
          <w:szCs w:val="22"/>
        </w:rPr>
        <w:t xml:space="preserve"> La presente ley rige a partir de la fecha de su expedición y deroga la Ley 916 de 2004, Reglamento Nacional Taurino, así como las expresiones “</w:t>
      </w:r>
      <w:r w:rsidRPr="00EA2C95">
        <w:rPr>
          <w:rFonts w:ascii="Bookman Old Style" w:eastAsia="Bookman Old Style" w:hAnsi="Bookman Old Style" w:cs="Bookman Old Style"/>
          <w:i/>
          <w:color w:val="000000"/>
          <w:sz w:val="22"/>
          <w:szCs w:val="22"/>
        </w:rPr>
        <w:t xml:space="preserve">corridas de toros, rejoneo, novilladas, becerradas y tientas”, </w:t>
      </w:r>
      <w:r w:rsidRPr="00EA2C95">
        <w:rPr>
          <w:rFonts w:ascii="Bookman Old Style" w:eastAsia="Bookman Old Style" w:hAnsi="Bookman Old Style" w:cs="Bookman Old Style"/>
          <w:color w:val="000000"/>
          <w:sz w:val="22"/>
          <w:szCs w:val="22"/>
        </w:rPr>
        <w:t>contenidas en el artículo 7 de la Ley 84 de 1989.</w:t>
      </w:r>
    </w:p>
    <w:p w14:paraId="5331A771" w14:textId="77777777" w:rsidR="005A4FEA" w:rsidRPr="00EA2C95" w:rsidRDefault="005A4FEA" w:rsidP="005A4FEA">
      <w:pPr>
        <w:jc w:val="both"/>
        <w:rPr>
          <w:rFonts w:ascii="Bookman Old Style" w:eastAsia="Bookman Old Style" w:hAnsi="Bookman Old Style" w:cs="Bookman Old Style"/>
          <w:color w:val="000000"/>
          <w:sz w:val="22"/>
          <w:szCs w:val="22"/>
        </w:rPr>
      </w:pPr>
    </w:p>
    <w:p w14:paraId="32F183DA" w14:textId="77777777" w:rsidR="005A4FEA" w:rsidRPr="00EA2C95" w:rsidRDefault="005A4FEA" w:rsidP="005A4FEA">
      <w:pPr>
        <w:jc w:val="both"/>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 xml:space="preserve">Cordialmente, </w:t>
      </w:r>
    </w:p>
    <w:p w14:paraId="765C07F3" w14:textId="77777777" w:rsidR="005A4FEA" w:rsidRPr="00EA2C95" w:rsidRDefault="005A4FEA" w:rsidP="005A4FEA">
      <w:pPr>
        <w:jc w:val="both"/>
        <w:rPr>
          <w:rFonts w:ascii="Bookman Old Style" w:eastAsia="Bookman Old Style" w:hAnsi="Bookman Old Style" w:cs="Bookman Old Style"/>
          <w:color w:val="000000"/>
          <w:sz w:val="22"/>
          <w:szCs w:val="22"/>
        </w:rPr>
      </w:pPr>
    </w:p>
    <w:p w14:paraId="43A9F99A" w14:textId="77777777" w:rsidR="005A4FEA" w:rsidRPr="00EA2C95" w:rsidRDefault="005A4FEA" w:rsidP="005A4FEA">
      <w:pPr>
        <w:jc w:val="both"/>
        <w:rPr>
          <w:rFonts w:ascii="Bookman Old Style" w:eastAsia="Bookman Old Style" w:hAnsi="Bookman Old Style" w:cs="Bookman Old Style"/>
          <w:color w:val="000000"/>
          <w:sz w:val="22"/>
          <w:szCs w:val="22"/>
        </w:rPr>
      </w:pPr>
    </w:p>
    <w:p w14:paraId="6AD95A64" w14:textId="77777777" w:rsidR="005A4FEA" w:rsidRPr="00EA2C95" w:rsidRDefault="005A4FEA" w:rsidP="005A4FEA">
      <w:pPr>
        <w:jc w:val="both"/>
        <w:rPr>
          <w:rFonts w:ascii="Bookman Old Style" w:eastAsia="Bookman Old Style" w:hAnsi="Bookman Old Style" w:cs="Bookman Old Style"/>
          <w:color w:val="000000"/>
          <w:sz w:val="22"/>
          <w:szCs w:val="22"/>
        </w:rPr>
      </w:pPr>
    </w:p>
    <w:p w14:paraId="2F6D992D" w14:textId="77777777" w:rsidR="005A4FEA" w:rsidRPr="00EA2C95" w:rsidRDefault="005A4FEA" w:rsidP="005A4FEA">
      <w:pPr>
        <w:tabs>
          <w:tab w:val="right" w:pos="8838"/>
        </w:tabs>
        <w:jc w:val="center"/>
        <w:rPr>
          <w:rFonts w:ascii="Bookman Old Style" w:eastAsia="Bookman Old Style" w:hAnsi="Bookman Old Style" w:cs="Bookman Old Style"/>
          <w:b/>
          <w:sz w:val="22"/>
          <w:szCs w:val="22"/>
        </w:rPr>
      </w:pPr>
    </w:p>
    <w:p w14:paraId="1A9A2E17" w14:textId="77777777" w:rsidR="005A4FEA" w:rsidRPr="00EA2C95" w:rsidRDefault="005A4FEA" w:rsidP="005A4FEA">
      <w:pPr>
        <w:tabs>
          <w:tab w:val="right" w:pos="8838"/>
        </w:tabs>
        <w:jc w:val="center"/>
        <w:rPr>
          <w:rFonts w:ascii="Bookman Old Style" w:eastAsia="Bookman Old Style" w:hAnsi="Bookman Old Style" w:cs="Bookman Old Style"/>
          <w:b/>
          <w:color w:val="000000"/>
          <w:sz w:val="22"/>
          <w:szCs w:val="22"/>
        </w:rPr>
      </w:pPr>
      <w:r w:rsidRPr="00EA2C95">
        <w:rPr>
          <w:rFonts w:ascii="Bookman Old Style" w:eastAsia="Bookman Old Style" w:hAnsi="Bookman Old Style" w:cs="Bookman Old Style"/>
          <w:b/>
          <w:color w:val="000000"/>
          <w:sz w:val="22"/>
          <w:szCs w:val="22"/>
        </w:rPr>
        <w:t>JUAN CARLOS LOZADA VARGAS</w:t>
      </w:r>
    </w:p>
    <w:p w14:paraId="27E6DA8F" w14:textId="77777777" w:rsidR="005A4FEA" w:rsidRPr="00EA2C95" w:rsidRDefault="005A4FEA" w:rsidP="005A4FEA">
      <w:pPr>
        <w:tabs>
          <w:tab w:val="right" w:pos="8838"/>
        </w:tabs>
        <w:jc w:val="center"/>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Representante a la Cámara por Bogotá</w:t>
      </w:r>
    </w:p>
    <w:p w14:paraId="5E5B6E3F" w14:textId="726F7355" w:rsidR="005A4FEA" w:rsidRPr="00EA2C95" w:rsidRDefault="005A4FEA" w:rsidP="005A4FEA">
      <w:pPr>
        <w:jc w:val="center"/>
        <w:rPr>
          <w:rFonts w:ascii="Bookman Old Style" w:eastAsia="Bookman Old Style" w:hAnsi="Bookman Old Style" w:cs="Bookman Old Style"/>
          <w:color w:val="000000"/>
          <w:sz w:val="22"/>
          <w:szCs w:val="22"/>
        </w:rPr>
      </w:pPr>
      <w:r w:rsidRPr="00EA2C95">
        <w:rPr>
          <w:rFonts w:ascii="Bookman Old Style" w:eastAsia="Bookman Old Style" w:hAnsi="Bookman Old Style" w:cs="Bookman Old Style"/>
          <w:color w:val="000000"/>
          <w:sz w:val="22"/>
          <w:szCs w:val="22"/>
        </w:rPr>
        <w:t>Ponente</w:t>
      </w:r>
    </w:p>
    <w:p w14:paraId="74A15FF8" w14:textId="77777777" w:rsidR="005A4FEA" w:rsidRPr="00EA2C95" w:rsidRDefault="005A4FEA" w:rsidP="005A4FEA">
      <w:pPr>
        <w:jc w:val="center"/>
        <w:rPr>
          <w:rFonts w:ascii="Bookman Old Style" w:eastAsia="Bookman Old Style" w:hAnsi="Bookman Old Style" w:cs="Bookman Old Style"/>
          <w:color w:val="000000"/>
          <w:sz w:val="22"/>
          <w:szCs w:val="22"/>
        </w:rPr>
      </w:pPr>
    </w:p>
    <w:p w14:paraId="2F2BD8A8" w14:textId="77777777" w:rsidR="005A4FEA" w:rsidRPr="00EA2C95" w:rsidRDefault="005A4FEA" w:rsidP="00C32ADD">
      <w:pPr>
        <w:jc w:val="center"/>
        <w:rPr>
          <w:rFonts w:ascii="Bookman Old Style" w:eastAsia="Bookman Old Style" w:hAnsi="Bookman Old Style" w:cs="Bookman Old Style"/>
          <w:sz w:val="22"/>
          <w:szCs w:val="22"/>
        </w:rPr>
      </w:pPr>
    </w:p>
    <w:sectPr w:rsidR="005A4FEA" w:rsidRPr="00EA2C95">
      <w:headerReference w:type="default" r:id="rId14"/>
      <w:footerReference w:type="default" r:id="rId15"/>
      <w:type w:val="continuous"/>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CFDB4" w14:textId="77777777" w:rsidR="00181CB9" w:rsidRDefault="00181CB9">
      <w:r>
        <w:separator/>
      </w:r>
    </w:p>
  </w:endnote>
  <w:endnote w:type="continuationSeparator" w:id="0">
    <w:p w14:paraId="15CCB0B6" w14:textId="77777777" w:rsidR="00181CB9" w:rsidRDefault="00181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79F05" w14:textId="77777777" w:rsidR="00EA2C95" w:rsidRDefault="00EA2C95">
    <w:pPr>
      <w:pBdr>
        <w:top w:val="nil"/>
        <w:left w:val="nil"/>
        <w:bottom w:val="nil"/>
        <w:right w:val="nil"/>
        <w:between w:val="nil"/>
      </w:pBdr>
      <w:jc w:val="cente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121F0" w14:textId="77777777" w:rsidR="00EA2C95" w:rsidRDefault="00EA2C95">
    <w:pPr>
      <w:pBdr>
        <w:top w:val="nil"/>
        <w:left w:val="nil"/>
        <w:bottom w:val="nil"/>
        <w:right w:val="nil"/>
        <w:between w:val="nil"/>
      </w:pBdr>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ABB6C" w14:textId="77777777" w:rsidR="00181CB9" w:rsidRDefault="00181CB9">
      <w:r>
        <w:separator/>
      </w:r>
    </w:p>
  </w:footnote>
  <w:footnote w:type="continuationSeparator" w:id="0">
    <w:p w14:paraId="0A48347F" w14:textId="77777777" w:rsidR="00181CB9" w:rsidRDefault="00181CB9">
      <w:r>
        <w:continuationSeparator/>
      </w:r>
    </w:p>
  </w:footnote>
  <w:footnote w:id="1">
    <w:p w14:paraId="1267E696" w14:textId="77777777" w:rsidR="00EA2C95" w:rsidRDefault="00EA2C95">
      <w:pPr>
        <w:pBdr>
          <w:top w:val="nil"/>
          <w:left w:val="nil"/>
          <w:bottom w:val="nil"/>
          <w:right w:val="nil"/>
          <w:between w:val="nil"/>
        </w:pBdr>
        <w:jc w:val="both"/>
        <w:rPr>
          <w:i/>
          <w:color w:val="000000"/>
          <w:sz w:val="16"/>
          <w:szCs w:val="16"/>
        </w:rPr>
      </w:pPr>
      <w:r>
        <w:rPr>
          <w:vertAlign w:val="superscript"/>
        </w:rPr>
        <w:footnoteRef/>
      </w:r>
      <w:r>
        <w:rPr>
          <w:i/>
          <w:color w:val="000000"/>
          <w:sz w:val="16"/>
          <w:szCs w:val="16"/>
        </w:rPr>
        <w:t xml:space="preserve"> Corte Constitucional, Sentencia C-1192 de 2005.</w:t>
      </w:r>
    </w:p>
  </w:footnote>
  <w:footnote w:id="2">
    <w:p w14:paraId="3705D00D" w14:textId="77777777" w:rsidR="00EA2C95" w:rsidRDefault="00EA2C95">
      <w:pPr>
        <w:pBdr>
          <w:top w:val="nil"/>
          <w:left w:val="nil"/>
          <w:bottom w:val="nil"/>
          <w:right w:val="nil"/>
          <w:between w:val="nil"/>
        </w:pBdr>
        <w:jc w:val="both"/>
        <w:rPr>
          <w:i/>
          <w:color w:val="000000"/>
          <w:sz w:val="16"/>
          <w:szCs w:val="16"/>
        </w:rPr>
      </w:pPr>
      <w:r>
        <w:rPr>
          <w:vertAlign w:val="superscript"/>
        </w:rPr>
        <w:footnoteRef/>
      </w:r>
      <w:r>
        <w:rPr>
          <w:i/>
          <w:color w:val="000000"/>
          <w:sz w:val="16"/>
          <w:szCs w:val="16"/>
        </w:rPr>
        <w:t xml:space="preserve"> Corte Constitucional, Sentencia C-666 de 2010.</w:t>
      </w:r>
    </w:p>
  </w:footnote>
  <w:footnote w:id="3">
    <w:p w14:paraId="750B481A" w14:textId="77777777" w:rsidR="00EA2C95" w:rsidRDefault="00EA2C95">
      <w:pPr>
        <w:pBdr>
          <w:top w:val="nil"/>
          <w:left w:val="nil"/>
          <w:bottom w:val="nil"/>
          <w:right w:val="nil"/>
          <w:between w:val="nil"/>
        </w:pBdr>
        <w:jc w:val="both"/>
        <w:rPr>
          <w:i/>
          <w:color w:val="000000"/>
          <w:sz w:val="16"/>
          <w:szCs w:val="16"/>
        </w:rPr>
      </w:pPr>
      <w:r>
        <w:rPr>
          <w:vertAlign w:val="superscript"/>
        </w:rPr>
        <w:footnoteRef/>
      </w:r>
      <w:r>
        <w:rPr>
          <w:i/>
          <w:color w:val="000000"/>
          <w:sz w:val="16"/>
          <w:szCs w:val="16"/>
        </w:rPr>
        <w:t xml:space="preserve"> Ibídem.</w:t>
      </w:r>
    </w:p>
  </w:footnote>
  <w:footnote w:id="4">
    <w:p w14:paraId="4CDA154A" w14:textId="77777777" w:rsidR="00EA2C95" w:rsidRDefault="00EA2C95">
      <w:pPr>
        <w:pBdr>
          <w:top w:val="nil"/>
          <w:left w:val="nil"/>
          <w:bottom w:val="nil"/>
          <w:right w:val="nil"/>
          <w:between w:val="nil"/>
        </w:pBdr>
        <w:jc w:val="both"/>
        <w:rPr>
          <w:i/>
          <w:color w:val="000000"/>
          <w:sz w:val="16"/>
          <w:szCs w:val="16"/>
        </w:rPr>
      </w:pPr>
      <w:r>
        <w:rPr>
          <w:vertAlign w:val="superscript"/>
        </w:rPr>
        <w:footnoteRef/>
      </w:r>
      <w:r>
        <w:rPr>
          <w:i/>
          <w:color w:val="000000"/>
          <w:sz w:val="16"/>
          <w:szCs w:val="16"/>
        </w:rPr>
        <w:t xml:space="preserve"> Corte Constitucional, Sentencia C-666 de 2010.</w:t>
      </w:r>
    </w:p>
  </w:footnote>
  <w:footnote w:id="5">
    <w:p w14:paraId="656F9DDC" w14:textId="77777777" w:rsidR="00EA2C95" w:rsidRDefault="00EA2C95">
      <w:pPr>
        <w:pBdr>
          <w:top w:val="nil"/>
          <w:left w:val="nil"/>
          <w:bottom w:val="nil"/>
          <w:right w:val="nil"/>
          <w:between w:val="nil"/>
        </w:pBdr>
        <w:jc w:val="both"/>
        <w:rPr>
          <w:i/>
          <w:color w:val="000000"/>
          <w:sz w:val="16"/>
          <w:szCs w:val="16"/>
        </w:rPr>
      </w:pPr>
      <w:r>
        <w:rPr>
          <w:vertAlign w:val="superscript"/>
        </w:rPr>
        <w:footnoteRef/>
      </w:r>
      <w:r>
        <w:rPr>
          <w:i/>
          <w:color w:val="000000"/>
          <w:sz w:val="16"/>
          <w:szCs w:val="16"/>
        </w:rPr>
        <w:t xml:space="preserve"> Ibidem.</w:t>
      </w:r>
    </w:p>
  </w:footnote>
  <w:footnote w:id="6">
    <w:p w14:paraId="0607E2EF" w14:textId="77777777" w:rsidR="00EA2C95" w:rsidRDefault="00EA2C95">
      <w:pPr>
        <w:pBdr>
          <w:top w:val="nil"/>
          <w:left w:val="nil"/>
          <w:bottom w:val="nil"/>
          <w:right w:val="nil"/>
          <w:between w:val="nil"/>
        </w:pBdr>
        <w:jc w:val="both"/>
        <w:rPr>
          <w:i/>
          <w:color w:val="000000"/>
          <w:sz w:val="16"/>
          <w:szCs w:val="16"/>
        </w:rPr>
      </w:pPr>
      <w:r>
        <w:rPr>
          <w:vertAlign w:val="superscript"/>
        </w:rPr>
        <w:footnoteRef/>
      </w:r>
      <w:r>
        <w:rPr>
          <w:i/>
          <w:color w:val="000000"/>
          <w:sz w:val="16"/>
          <w:szCs w:val="16"/>
        </w:rPr>
        <w:t xml:space="preserve"> Corte Constitucional, Sentencia C-283 de 2014.</w:t>
      </w:r>
    </w:p>
  </w:footnote>
  <w:footnote w:id="7">
    <w:p w14:paraId="77998E69" w14:textId="77777777" w:rsidR="00EA2C95" w:rsidRDefault="00EA2C95">
      <w:pPr>
        <w:pBdr>
          <w:top w:val="nil"/>
          <w:left w:val="nil"/>
          <w:bottom w:val="nil"/>
          <w:right w:val="nil"/>
          <w:between w:val="nil"/>
        </w:pBdr>
        <w:jc w:val="both"/>
        <w:rPr>
          <w:i/>
          <w:color w:val="000000"/>
          <w:sz w:val="16"/>
          <w:szCs w:val="16"/>
        </w:rPr>
      </w:pPr>
      <w:r>
        <w:rPr>
          <w:vertAlign w:val="superscript"/>
        </w:rPr>
        <w:footnoteRef/>
      </w:r>
      <w:r>
        <w:rPr>
          <w:i/>
          <w:color w:val="000000"/>
          <w:sz w:val="16"/>
          <w:szCs w:val="16"/>
        </w:rPr>
        <w:t xml:space="preserve"> Corte Constitucional, Sentencia C-467 de 2016.</w:t>
      </w:r>
    </w:p>
  </w:footnote>
  <w:footnote w:id="8">
    <w:p w14:paraId="58F95D0F" w14:textId="77777777" w:rsidR="00EA2C95" w:rsidRDefault="00EA2C95">
      <w:pPr>
        <w:pBdr>
          <w:top w:val="nil"/>
          <w:left w:val="nil"/>
          <w:bottom w:val="nil"/>
          <w:right w:val="nil"/>
          <w:between w:val="nil"/>
        </w:pBdr>
        <w:jc w:val="both"/>
        <w:rPr>
          <w:i/>
          <w:color w:val="000000"/>
          <w:sz w:val="16"/>
          <w:szCs w:val="16"/>
        </w:rPr>
      </w:pPr>
      <w:r>
        <w:rPr>
          <w:vertAlign w:val="superscript"/>
        </w:rPr>
        <w:footnoteRef/>
      </w:r>
      <w:r>
        <w:rPr>
          <w:i/>
          <w:color w:val="000000"/>
          <w:sz w:val="16"/>
          <w:szCs w:val="16"/>
        </w:rPr>
        <w:t xml:space="preserve"> Ibídem.</w:t>
      </w:r>
    </w:p>
  </w:footnote>
  <w:footnote w:id="9">
    <w:p w14:paraId="7173FFA8" w14:textId="77777777" w:rsidR="00EA2C95" w:rsidRDefault="00EA2C95">
      <w:pPr>
        <w:pBdr>
          <w:top w:val="nil"/>
          <w:left w:val="nil"/>
          <w:bottom w:val="nil"/>
          <w:right w:val="nil"/>
          <w:between w:val="nil"/>
        </w:pBdr>
        <w:jc w:val="both"/>
        <w:rPr>
          <w:i/>
          <w:color w:val="000000"/>
          <w:sz w:val="16"/>
          <w:szCs w:val="16"/>
        </w:rPr>
      </w:pPr>
      <w:r>
        <w:rPr>
          <w:vertAlign w:val="superscript"/>
        </w:rPr>
        <w:footnoteRef/>
      </w:r>
      <w:r>
        <w:rPr>
          <w:i/>
          <w:color w:val="000000"/>
          <w:sz w:val="16"/>
          <w:szCs w:val="16"/>
        </w:rPr>
        <w:t xml:space="preserve"> Ibídem</w:t>
      </w:r>
    </w:p>
  </w:footnote>
  <w:footnote w:id="10">
    <w:p w14:paraId="0A23CFDD" w14:textId="77777777" w:rsidR="00EA2C95" w:rsidRDefault="00EA2C95">
      <w:pPr>
        <w:pBdr>
          <w:top w:val="nil"/>
          <w:left w:val="nil"/>
          <w:bottom w:val="nil"/>
          <w:right w:val="nil"/>
          <w:between w:val="nil"/>
        </w:pBdr>
        <w:jc w:val="both"/>
        <w:rPr>
          <w:i/>
          <w:color w:val="000000"/>
          <w:sz w:val="16"/>
          <w:szCs w:val="16"/>
        </w:rPr>
      </w:pPr>
      <w:r>
        <w:rPr>
          <w:vertAlign w:val="superscript"/>
        </w:rPr>
        <w:footnoteRef/>
      </w:r>
      <w:r>
        <w:rPr>
          <w:i/>
          <w:color w:val="000000"/>
          <w:sz w:val="16"/>
          <w:szCs w:val="16"/>
        </w:rPr>
        <w:t xml:space="preserve"> Corte Constitucional, Sentencia C-041 de 2017.</w:t>
      </w:r>
    </w:p>
  </w:footnote>
  <w:footnote w:id="11">
    <w:p w14:paraId="1AEA0045" w14:textId="77777777" w:rsidR="00EA2C95" w:rsidRDefault="00EA2C95">
      <w:pPr>
        <w:jc w:val="both"/>
        <w:rPr>
          <w:i/>
          <w:sz w:val="16"/>
          <w:szCs w:val="16"/>
        </w:rPr>
      </w:pPr>
      <w:r>
        <w:rPr>
          <w:vertAlign w:val="superscript"/>
        </w:rPr>
        <w:footnoteRef/>
      </w:r>
      <w:r>
        <w:rPr>
          <w:i/>
          <w:sz w:val="16"/>
          <w:szCs w:val="16"/>
        </w:rPr>
        <w:t xml:space="preserve"> Un Estado social debe buscar, entre otros, el bienestar animal, por ser éste un elemento connatural al desarrollo del principio de solidaridad.</w:t>
      </w:r>
    </w:p>
  </w:footnote>
  <w:footnote w:id="12">
    <w:p w14:paraId="1E190646" w14:textId="77777777" w:rsidR="00EA2C95" w:rsidRDefault="00EA2C95">
      <w:pPr>
        <w:pBdr>
          <w:top w:val="nil"/>
          <w:left w:val="nil"/>
          <w:bottom w:val="nil"/>
          <w:right w:val="nil"/>
          <w:between w:val="nil"/>
        </w:pBdr>
        <w:jc w:val="both"/>
        <w:rPr>
          <w:i/>
          <w:color w:val="000000"/>
          <w:sz w:val="16"/>
          <w:szCs w:val="16"/>
          <w:highlight w:val="white"/>
        </w:rPr>
      </w:pPr>
      <w:r>
        <w:rPr>
          <w:vertAlign w:val="superscript"/>
        </w:rPr>
        <w:footnoteRef/>
      </w:r>
      <w:r>
        <w:rPr>
          <w:i/>
          <w:color w:val="000000"/>
          <w:sz w:val="16"/>
          <w:szCs w:val="16"/>
        </w:rPr>
        <w:t xml:space="preserve"> </w:t>
      </w:r>
      <w:hyperlink r:id="rId1">
        <w:r>
          <w:rPr>
            <w:i/>
            <w:color w:val="000000"/>
            <w:sz w:val="16"/>
            <w:szCs w:val="16"/>
            <w:highlight w:val="white"/>
            <w:u w:val="single"/>
          </w:rPr>
          <w:t>http://avatma.org/2016/03/08/informe-tecnico-veterinario-sobre-los-espectaculos-taurinos-con-vacas-y-vaquillas/</w:t>
        </w:r>
      </w:hyperlink>
    </w:p>
    <w:p w14:paraId="41126F8A" w14:textId="77777777" w:rsidR="00EA2C95" w:rsidRDefault="00EA2C95">
      <w:pPr>
        <w:pBdr>
          <w:top w:val="nil"/>
          <w:left w:val="nil"/>
          <w:bottom w:val="nil"/>
          <w:right w:val="nil"/>
          <w:between w:val="nil"/>
        </w:pBdr>
        <w:tabs>
          <w:tab w:val="left" w:pos="300"/>
        </w:tabs>
        <w:ind w:left="320" w:hanging="320"/>
        <w:jc w:val="both"/>
        <w:rPr>
          <w:i/>
          <w:color w:val="000000"/>
          <w:sz w:val="16"/>
          <w:szCs w:val="16"/>
        </w:rPr>
      </w:pPr>
    </w:p>
  </w:footnote>
  <w:footnote w:id="13">
    <w:p w14:paraId="7B4DDF3D" w14:textId="77777777" w:rsidR="00EA2C95" w:rsidRDefault="00EA2C95">
      <w:pPr>
        <w:pBdr>
          <w:top w:val="nil"/>
          <w:left w:val="nil"/>
          <w:bottom w:val="nil"/>
          <w:right w:val="nil"/>
          <w:between w:val="nil"/>
        </w:pBdr>
        <w:tabs>
          <w:tab w:val="left" w:pos="300"/>
        </w:tabs>
        <w:ind w:left="320" w:hanging="320"/>
        <w:jc w:val="both"/>
        <w:rPr>
          <w:i/>
          <w:color w:val="000000"/>
          <w:sz w:val="16"/>
          <w:szCs w:val="16"/>
        </w:rPr>
      </w:pPr>
      <w:r>
        <w:rPr>
          <w:vertAlign w:val="superscript"/>
        </w:rPr>
        <w:footnoteRef/>
      </w:r>
      <w:r>
        <w:rPr>
          <w:i/>
          <w:color w:val="000000"/>
          <w:sz w:val="16"/>
          <w:szCs w:val="16"/>
        </w:rPr>
        <w:t xml:space="preserve"> http://es.scribd.com/doc/79119470/La-Crueldad-de-Las-Corridas-Incruentas</w:t>
      </w:r>
    </w:p>
  </w:footnote>
  <w:footnote w:id="14">
    <w:p w14:paraId="757A2CC1" w14:textId="77777777" w:rsidR="00EA2C95" w:rsidRPr="0047400B" w:rsidRDefault="00EA2C95">
      <w:pPr>
        <w:pBdr>
          <w:top w:val="nil"/>
          <w:left w:val="nil"/>
          <w:bottom w:val="nil"/>
          <w:right w:val="nil"/>
          <w:between w:val="nil"/>
        </w:pBdr>
        <w:tabs>
          <w:tab w:val="left" w:pos="300"/>
        </w:tabs>
        <w:ind w:left="320" w:hanging="320"/>
        <w:jc w:val="both"/>
        <w:rPr>
          <w:i/>
          <w:color w:val="000000"/>
          <w:sz w:val="16"/>
          <w:szCs w:val="16"/>
          <w:lang w:val="en-US"/>
        </w:rPr>
      </w:pPr>
      <w:r>
        <w:rPr>
          <w:vertAlign w:val="superscript"/>
        </w:rPr>
        <w:footnoteRef/>
      </w:r>
      <w:r w:rsidRPr="0047400B">
        <w:rPr>
          <w:i/>
          <w:color w:val="000000"/>
          <w:sz w:val="16"/>
          <w:szCs w:val="16"/>
          <w:lang w:val="en-US"/>
        </w:rPr>
        <w:t xml:space="preserve"> United Nations. Convention on the Rights of the Child. CRC/C/COL/CO/4-5. Committee on the Rights of the Child. Concluding observations on the combined fourth and fifth periodic reports of Colombia, adopted by the Committee at its sixty-eighth session (12-30 January 2015). </w:t>
      </w:r>
    </w:p>
  </w:footnote>
  <w:footnote w:id="15">
    <w:p w14:paraId="6B13E338" w14:textId="77777777" w:rsidR="00EA2C95" w:rsidRDefault="00EA2C95">
      <w:pPr>
        <w:pBdr>
          <w:top w:val="nil"/>
          <w:left w:val="nil"/>
          <w:bottom w:val="nil"/>
          <w:right w:val="nil"/>
          <w:between w:val="nil"/>
        </w:pBdr>
        <w:tabs>
          <w:tab w:val="left" w:pos="300"/>
        </w:tabs>
        <w:ind w:left="320" w:hanging="320"/>
        <w:jc w:val="both"/>
        <w:rPr>
          <w:i/>
          <w:color w:val="000000"/>
          <w:sz w:val="16"/>
          <w:szCs w:val="16"/>
        </w:rPr>
      </w:pPr>
      <w:r>
        <w:rPr>
          <w:vertAlign w:val="superscript"/>
        </w:rPr>
        <w:footnoteRef/>
      </w:r>
      <w:r>
        <w:rPr>
          <w:i/>
          <w:color w:val="000000"/>
          <w:sz w:val="16"/>
          <w:szCs w:val="16"/>
        </w:rPr>
        <w:t xml:space="preserve"> Crespo, C. (2017). Algunos aspectos psicológicos para explicar el desarrollo de la afición taurina. Anamnesis Revista de Bioética. Pontificia Universidad Javeriana. Número 12. julio – diciembre 2017 (p 19 – 28).</w:t>
      </w:r>
    </w:p>
  </w:footnote>
  <w:footnote w:id="16">
    <w:p w14:paraId="7500C5F7" w14:textId="77777777" w:rsidR="00EA2C95" w:rsidRDefault="00EA2C95">
      <w:pPr>
        <w:pBdr>
          <w:top w:val="nil"/>
          <w:left w:val="nil"/>
          <w:bottom w:val="nil"/>
          <w:right w:val="nil"/>
          <w:between w:val="nil"/>
        </w:pBdr>
        <w:tabs>
          <w:tab w:val="left" w:pos="300"/>
        </w:tabs>
        <w:ind w:left="320" w:hanging="320"/>
        <w:jc w:val="both"/>
        <w:rPr>
          <w:i/>
          <w:color w:val="000000"/>
          <w:sz w:val="16"/>
          <w:szCs w:val="16"/>
        </w:rPr>
      </w:pPr>
      <w:r>
        <w:rPr>
          <w:vertAlign w:val="superscript"/>
        </w:rPr>
        <w:footnoteRef/>
      </w:r>
      <w:r>
        <w:rPr>
          <w:i/>
          <w:color w:val="000000"/>
          <w:sz w:val="16"/>
          <w:szCs w:val="16"/>
        </w:rPr>
        <w:t xml:space="preserve"> Crespo, C. (2013). Abolición de la tauromaquia desde una bioética no especista. Ponencia presentada en la 7ª Cumbre de la Red Mundial por la Abolición de la Tauromaquia Bogotá (Colombia).</w:t>
      </w:r>
    </w:p>
  </w:footnote>
  <w:footnote w:id="17">
    <w:p w14:paraId="39B780DA" w14:textId="77777777" w:rsidR="00EA2C95" w:rsidRDefault="00EA2C95">
      <w:pPr>
        <w:pBdr>
          <w:top w:val="nil"/>
          <w:left w:val="nil"/>
          <w:bottom w:val="nil"/>
          <w:right w:val="nil"/>
          <w:between w:val="nil"/>
        </w:pBdr>
        <w:tabs>
          <w:tab w:val="left" w:pos="300"/>
        </w:tabs>
        <w:ind w:left="320" w:hanging="320"/>
        <w:jc w:val="both"/>
        <w:rPr>
          <w:i/>
          <w:color w:val="000000"/>
          <w:sz w:val="16"/>
          <w:szCs w:val="16"/>
        </w:rPr>
      </w:pPr>
      <w:r>
        <w:rPr>
          <w:vertAlign w:val="superscript"/>
        </w:rPr>
        <w:footnoteRef/>
      </w:r>
      <w:r>
        <w:rPr>
          <w:i/>
          <w:color w:val="000000"/>
          <w:sz w:val="16"/>
          <w:szCs w:val="16"/>
        </w:rPr>
        <w:t xml:space="preserve"> Crespo, C. (2017). La falacia del uso de argumentos sobre minorías y libertades individuales en la tauromaquia. Recuperado de: http://elturbion.com/?p=14953</w:t>
      </w:r>
    </w:p>
  </w:footnote>
  <w:footnote w:id="18">
    <w:p w14:paraId="4FD7093B" w14:textId="77777777" w:rsidR="00EA2C95" w:rsidRDefault="00EA2C95">
      <w:pPr>
        <w:pBdr>
          <w:top w:val="nil"/>
          <w:left w:val="nil"/>
          <w:bottom w:val="nil"/>
          <w:right w:val="nil"/>
          <w:between w:val="nil"/>
        </w:pBdr>
        <w:jc w:val="both"/>
        <w:rPr>
          <w:i/>
          <w:color w:val="000000"/>
          <w:sz w:val="16"/>
          <w:szCs w:val="16"/>
        </w:rPr>
      </w:pPr>
      <w:r>
        <w:rPr>
          <w:vertAlign w:val="superscript"/>
        </w:rPr>
        <w:footnoteRef/>
      </w:r>
      <w:r>
        <w:rPr>
          <w:i/>
          <w:color w:val="000000"/>
          <w:sz w:val="16"/>
          <w:szCs w:val="16"/>
        </w:rPr>
        <w:t xml:space="preserve"> Rubiano, F. (2017). Fabio Rubiano descarta la muerte como arte. Recuperado de https://www.youtube.com/watch?v=KaL10DzWyaM </w:t>
      </w:r>
    </w:p>
    <w:p w14:paraId="0789F4B4" w14:textId="77777777" w:rsidR="00EA2C95" w:rsidRDefault="00EA2C95">
      <w:pPr>
        <w:pBdr>
          <w:top w:val="nil"/>
          <w:left w:val="nil"/>
          <w:bottom w:val="nil"/>
          <w:right w:val="nil"/>
          <w:between w:val="nil"/>
        </w:pBdr>
        <w:tabs>
          <w:tab w:val="left" w:pos="300"/>
        </w:tabs>
        <w:ind w:left="320" w:hanging="320"/>
        <w:jc w:val="both"/>
        <w:rPr>
          <w:i/>
          <w:color w:val="000000"/>
          <w:sz w:val="16"/>
          <w:szCs w:val="16"/>
        </w:rPr>
      </w:pPr>
    </w:p>
  </w:footnote>
  <w:footnote w:id="19">
    <w:p w14:paraId="527D4FD1" w14:textId="77777777" w:rsidR="00EA2C95" w:rsidRDefault="00EA2C95">
      <w:pPr>
        <w:pBdr>
          <w:top w:val="nil"/>
          <w:left w:val="nil"/>
          <w:bottom w:val="nil"/>
          <w:right w:val="nil"/>
          <w:between w:val="nil"/>
        </w:pBdr>
        <w:tabs>
          <w:tab w:val="left" w:pos="300"/>
        </w:tabs>
        <w:ind w:left="320" w:hanging="320"/>
        <w:jc w:val="both"/>
        <w:rPr>
          <w:i/>
          <w:color w:val="000000"/>
          <w:sz w:val="16"/>
          <w:szCs w:val="16"/>
        </w:rPr>
      </w:pPr>
      <w:r>
        <w:rPr>
          <w:vertAlign w:val="superscript"/>
        </w:rPr>
        <w:footnoteRef/>
      </w:r>
      <w:r>
        <w:rPr>
          <w:i/>
          <w:color w:val="000000"/>
          <w:sz w:val="16"/>
          <w:szCs w:val="16"/>
        </w:rPr>
        <w:t xml:space="preserve"> Fundación Colectivo Identidad Animal (2018). Informe sobre el Impacto de la Tauromaquia en la ciudad de Manizales, Caldas. Recuperado de https://drive.google.com/file/d/0B15TnNlQqjo7T0hKV3VXUnBoanR1ZXJMa2Zqa1FjM0ZvYWlB/view?usp=drivesdk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9632B" w14:textId="0406F43B" w:rsidR="00EA2C95" w:rsidRDefault="00EA2C95">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E56BBC">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E56BBC">
      <w:rPr>
        <w:b/>
        <w:noProof/>
        <w:color w:val="000000"/>
      </w:rPr>
      <w:t>39</w:t>
    </w:r>
    <w:r>
      <w:rPr>
        <w:b/>
        <w:color w:val="000000"/>
      </w:rPr>
      <w:fldChar w:fldCharType="end"/>
    </w:r>
  </w:p>
  <w:p w14:paraId="704E1BB8" w14:textId="77777777" w:rsidR="00EA2C95" w:rsidRDefault="00EA2C95">
    <w:pPr>
      <w:pBdr>
        <w:top w:val="nil"/>
        <w:left w:val="nil"/>
        <w:bottom w:val="nil"/>
        <w:right w:val="nil"/>
        <w:between w:val="nil"/>
      </w:pBdr>
      <w:tabs>
        <w:tab w:val="center" w:pos="4419"/>
        <w:tab w:val="right" w:pos="8838"/>
      </w:tabs>
      <w:jc w:val="center"/>
      <w:rPr>
        <w:color w:val="000000"/>
      </w:rPr>
    </w:pPr>
    <w:r>
      <w:rPr>
        <w:noProof/>
        <w:color w:val="000000"/>
        <w:lang w:eastAsia="es-CO"/>
      </w:rPr>
      <w:drawing>
        <wp:inline distT="0" distB="0" distL="0" distR="0" wp14:anchorId="31DA0398" wp14:editId="13C8AA46">
          <wp:extent cx="2775232" cy="822082"/>
          <wp:effectExtent l="0" t="0" r="0" b="0"/>
          <wp:docPr id="77" name="image35.png"/>
          <wp:cNvGraphicFramePr/>
          <a:graphic xmlns:a="http://schemas.openxmlformats.org/drawingml/2006/main">
            <a:graphicData uri="http://schemas.openxmlformats.org/drawingml/2006/picture">
              <pic:pic xmlns:pic="http://schemas.openxmlformats.org/drawingml/2006/picture">
                <pic:nvPicPr>
                  <pic:cNvPr id="0" name="image35.png"/>
                  <pic:cNvPicPr preferRelativeResize="0"/>
                </pic:nvPicPr>
                <pic:blipFill>
                  <a:blip r:embed="rId1"/>
                  <a:srcRect/>
                  <a:stretch>
                    <a:fillRect/>
                  </a:stretch>
                </pic:blipFill>
                <pic:spPr>
                  <a:xfrm>
                    <a:off x="0" y="0"/>
                    <a:ext cx="2775232" cy="822082"/>
                  </a:xfrm>
                  <a:prstGeom prst="rect">
                    <a:avLst/>
                  </a:prstGeom>
                  <a:ln/>
                </pic:spPr>
              </pic:pic>
            </a:graphicData>
          </a:graphic>
        </wp:inline>
      </w:drawing>
    </w:r>
  </w:p>
  <w:p w14:paraId="7F8A5D66" w14:textId="77777777" w:rsidR="00EA2C95" w:rsidRDefault="00EA2C95">
    <w:pPr>
      <w:pBdr>
        <w:top w:val="nil"/>
        <w:left w:val="nil"/>
        <w:bottom w:val="nil"/>
        <w:right w:val="nil"/>
        <w:between w:val="nil"/>
      </w:pBdr>
      <w:tabs>
        <w:tab w:val="center" w:pos="4419"/>
        <w:tab w:val="right" w:pos="8838"/>
      </w:tabs>
      <w:rPr>
        <w:rFonts w:ascii="Bookman Old Style" w:eastAsia="Bookman Old Style" w:hAnsi="Bookman Old Style" w:cs="Bookman Old Style"/>
        <w:b/>
        <w:color w:val="000000"/>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29F95" w14:textId="29A24EEC" w:rsidR="00EA2C95" w:rsidRDefault="00EA2C95">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FF5D6D">
      <w:rPr>
        <w:b/>
        <w:noProof/>
        <w:color w:val="000000"/>
      </w:rPr>
      <w:t>36</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FF5D6D">
      <w:rPr>
        <w:b/>
        <w:noProof/>
        <w:color w:val="000000"/>
      </w:rPr>
      <w:t>38</w:t>
    </w:r>
    <w:r>
      <w:rPr>
        <w:b/>
        <w:color w:val="000000"/>
      </w:rPr>
      <w:fldChar w:fldCharType="end"/>
    </w:r>
  </w:p>
  <w:p w14:paraId="3010E761" w14:textId="77777777" w:rsidR="00EA2C95" w:rsidRDefault="00EA2C95">
    <w:pPr>
      <w:pBdr>
        <w:top w:val="nil"/>
        <w:left w:val="nil"/>
        <w:bottom w:val="nil"/>
        <w:right w:val="nil"/>
        <w:between w:val="nil"/>
      </w:pBdr>
      <w:tabs>
        <w:tab w:val="center" w:pos="4419"/>
        <w:tab w:val="right" w:pos="8838"/>
      </w:tabs>
      <w:jc w:val="center"/>
      <w:rPr>
        <w:color w:val="000000"/>
      </w:rPr>
    </w:pPr>
    <w:r>
      <w:rPr>
        <w:noProof/>
        <w:color w:val="000000"/>
        <w:lang w:eastAsia="es-CO"/>
      </w:rPr>
      <w:drawing>
        <wp:inline distT="0" distB="0" distL="0" distR="0" wp14:anchorId="143900EC" wp14:editId="69E507C4">
          <wp:extent cx="2775232" cy="822082"/>
          <wp:effectExtent l="0" t="0" r="0" b="0"/>
          <wp:docPr id="79" name="image35.png"/>
          <wp:cNvGraphicFramePr/>
          <a:graphic xmlns:a="http://schemas.openxmlformats.org/drawingml/2006/main">
            <a:graphicData uri="http://schemas.openxmlformats.org/drawingml/2006/picture">
              <pic:pic xmlns:pic="http://schemas.openxmlformats.org/drawingml/2006/picture">
                <pic:nvPicPr>
                  <pic:cNvPr id="0" name="image35.png"/>
                  <pic:cNvPicPr preferRelativeResize="0"/>
                </pic:nvPicPr>
                <pic:blipFill>
                  <a:blip r:embed="rId1"/>
                  <a:srcRect/>
                  <a:stretch>
                    <a:fillRect/>
                  </a:stretch>
                </pic:blipFill>
                <pic:spPr>
                  <a:xfrm>
                    <a:off x="0" y="0"/>
                    <a:ext cx="2775232" cy="822082"/>
                  </a:xfrm>
                  <a:prstGeom prst="rect">
                    <a:avLst/>
                  </a:prstGeom>
                  <a:ln/>
                </pic:spPr>
              </pic:pic>
            </a:graphicData>
          </a:graphic>
        </wp:inline>
      </w:drawing>
    </w:r>
  </w:p>
  <w:p w14:paraId="13893C53" w14:textId="77777777" w:rsidR="00EA2C95" w:rsidRDefault="00EA2C95">
    <w:pPr>
      <w:pBdr>
        <w:top w:val="nil"/>
        <w:left w:val="nil"/>
        <w:bottom w:val="nil"/>
        <w:right w:val="nil"/>
        <w:between w:val="nil"/>
      </w:pBdr>
      <w:tabs>
        <w:tab w:val="center" w:pos="4419"/>
        <w:tab w:val="right" w:pos="8838"/>
      </w:tabs>
      <w:jc w:val="center"/>
      <w:rPr>
        <w:color w:val="000000"/>
      </w:rPr>
    </w:pPr>
  </w:p>
  <w:p w14:paraId="12DBE597" w14:textId="77777777" w:rsidR="00EA2C95" w:rsidRDefault="00EA2C95">
    <w:pPr>
      <w:pBdr>
        <w:top w:val="nil"/>
        <w:left w:val="nil"/>
        <w:bottom w:val="nil"/>
        <w:right w:val="nil"/>
        <w:between w:val="nil"/>
      </w:pBdr>
      <w:tabs>
        <w:tab w:val="center" w:pos="4419"/>
        <w:tab w:val="right" w:pos="8838"/>
      </w:tabs>
      <w:rPr>
        <w:rFonts w:ascii="Bookman Old Style" w:eastAsia="Bookman Old Style" w:hAnsi="Bookman Old Style" w:cs="Bookman Old Style"/>
        <w:b/>
        <w:color w:val="00000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65D1E"/>
    <w:multiLevelType w:val="multilevel"/>
    <w:tmpl w:val="173A50C4"/>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53173AE"/>
    <w:multiLevelType w:val="multilevel"/>
    <w:tmpl w:val="3958499C"/>
    <w:lvl w:ilvl="0">
      <w:start w:val="1"/>
      <w:numFmt w:val="decimal"/>
      <w:lvlText w:val="%1."/>
      <w:lvlJc w:val="left"/>
      <w:pPr>
        <w:ind w:left="720" w:hanging="360"/>
      </w:pPr>
      <w:rPr>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7D23DB3"/>
    <w:multiLevelType w:val="hybridMultilevel"/>
    <w:tmpl w:val="DB3C22C4"/>
    <w:lvl w:ilvl="0" w:tplc="240A000F">
      <w:start w:val="8"/>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426900A0"/>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33263AE"/>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C073DB3"/>
    <w:multiLevelType w:val="multilevel"/>
    <w:tmpl w:val="7CE4DD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D604BCE"/>
    <w:multiLevelType w:val="multilevel"/>
    <w:tmpl w:val="B608C2C4"/>
    <w:lvl w:ilvl="0">
      <w:start w:val="1"/>
      <w:numFmt w:val="lowerLetter"/>
      <w:lvlText w:val="%1)"/>
      <w:lvlJc w:val="left"/>
      <w:pPr>
        <w:ind w:left="644" w:hanging="359"/>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 w15:restartNumberingAfterBreak="0">
    <w:nsid w:val="74E24116"/>
    <w:multiLevelType w:val="multilevel"/>
    <w:tmpl w:val="32A40E8C"/>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155221891">
    <w:abstractNumId w:val="0"/>
  </w:num>
  <w:num w:numId="2" w16cid:durableId="2078749436">
    <w:abstractNumId w:val="1"/>
  </w:num>
  <w:num w:numId="3" w16cid:durableId="2119644042">
    <w:abstractNumId w:val="6"/>
  </w:num>
  <w:num w:numId="4" w16cid:durableId="359013907">
    <w:abstractNumId w:val="7"/>
  </w:num>
  <w:num w:numId="5" w16cid:durableId="1607618802">
    <w:abstractNumId w:val="5"/>
  </w:num>
  <w:num w:numId="6" w16cid:durableId="1530293754">
    <w:abstractNumId w:val="4"/>
  </w:num>
  <w:num w:numId="7" w16cid:durableId="1213343187">
    <w:abstractNumId w:val="3"/>
  </w:num>
  <w:num w:numId="8" w16cid:durableId="12111146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FAE"/>
    <w:rsid w:val="000C63EC"/>
    <w:rsid w:val="000F56DF"/>
    <w:rsid w:val="00146F8D"/>
    <w:rsid w:val="00181CB9"/>
    <w:rsid w:val="00182710"/>
    <w:rsid w:val="001A7176"/>
    <w:rsid w:val="003213C1"/>
    <w:rsid w:val="00322414"/>
    <w:rsid w:val="003229E6"/>
    <w:rsid w:val="00346FED"/>
    <w:rsid w:val="00442B7E"/>
    <w:rsid w:val="0047400B"/>
    <w:rsid w:val="00547E52"/>
    <w:rsid w:val="005A4FEA"/>
    <w:rsid w:val="0068422A"/>
    <w:rsid w:val="006A79EB"/>
    <w:rsid w:val="00731B0F"/>
    <w:rsid w:val="00756FAE"/>
    <w:rsid w:val="007F1017"/>
    <w:rsid w:val="008C4FBD"/>
    <w:rsid w:val="00A33597"/>
    <w:rsid w:val="00A34189"/>
    <w:rsid w:val="00B02B8D"/>
    <w:rsid w:val="00B61382"/>
    <w:rsid w:val="00C0142A"/>
    <w:rsid w:val="00C05FCD"/>
    <w:rsid w:val="00C32ADD"/>
    <w:rsid w:val="00D46C49"/>
    <w:rsid w:val="00D70FD6"/>
    <w:rsid w:val="00DB451E"/>
    <w:rsid w:val="00E0325B"/>
    <w:rsid w:val="00E56BBC"/>
    <w:rsid w:val="00EA2C95"/>
    <w:rsid w:val="00EF034D"/>
    <w:rsid w:val="00F4184D"/>
    <w:rsid w:val="00FF5D6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ADD19"/>
  <w15:docId w15:val="{219AED38-34F0-2C4B-A719-96BCE7A52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414"/>
    <w:rPr>
      <w:lang w:val="es-CO"/>
    </w:rPr>
  </w:style>
  <w:style w:type="paragraph" w:styleId="Ttulo1">
    <w:name w:val="heading 1"/>
    <w:basedOn w:val="Normal"/>
    <w:next w:val="Normal"/>
    <w:uiPriority w:val="9"/>
    <w:qFormat/>
    <w:rsid w:val="003826E0"/>
    <w:pPr>
      <w:keepNext/>
      <w:keepLines/>
      <w:spacing w:before="480" w:after="120"/>
      <w:outlineLvl w:val="0"/>
    </w:pPr>
    <w:rPr>
      <w:b/>
      <w:sz w:val="48"/>
      <w:szCs w:val="48"/>
      <w:lang w:val="es-ES"/>
    </w:rPr>
  </w:style>
  <w:style w:type="paragraph" w:styleId="Ttulo2">
    <w:name w:val="heading 2"/>
    <w:basedOn w:val="Normal"/>
    <w:next w:val="Normal"/>
    <w:uiPriority w:val="9"/>
    <w:semiHidden/>
    <w:unhideWhenUsed/>
    <w:qFormat/>
    <w:rsid w:val="003826E0"/>
    <w:pPr>
      <w:keepNext/>
      <w:keepLines/>
      <w:spacing w:before="360" w:after="80"/>
      <w:outlineLvl w:val="1"/>
    </w:pPr>
    <w:rPr>
      <w:b/>
      <w:sz w:val="36"/>
      <w:szCs w:val="36"/>
      <w:lang w:val="es-ES"/>
    </w:rPr>
  </w:style>
  <w:style w:type="paragraph" w:styleId="Ttulo3">
    <w:name w:val="heading 3"/>
    <w:basedOn w:val="Normal"/>
    <w:next w:val="Normal"/>
    <w:uiPriority w:val="9"/>
    <w:semiHidden/>
    <w:unhideWhenUsed/>
    <w:qFormat/>
    <w:rsid w:val="003826E0"/>
    <w:pPr>
      <w:keepNext/>
      <w:keepLines/>
      <w:spacing w:before="280" w:after="80"/>
      <w:outlineLvl w:val="2"/>
    </w:pPr>
    <w:rPr>
      <w:b/>
      <w:sz w:val="28"/>
      <w:szCs w:val="28"/>
      <w:lang w:val="es-ES"/>
    </w:rPr>
  </w:style>
  <w:style w:type="paragraph" w:styleId="Ttulo4">
    <w:name w:val="heading 4"/>
    <w:basedOn w:val="Normal"/>
    <w:next w:val="Normal"/>
    <w:uiPriority w:val="9"/>
    <w:semiHidden/>
    <w:unhideWhenUsed/>
    <w:qFormat/>
    <w:rsid w:val="003826E0"/>
    <w:pPr>
      <w:keepNext/>
      <w:keepLines/>
      <w:spacing w:before="240" w:after="40"/>
      <w:outlineLvl w:val="3"/>
    </w:pPr>
    <w:rPr>
      <w:b/>
      <w:lang w:val="es-ES"/>
    </w:rPr>
  </w:style>
  <w:style w:type="paragraph" w:styleId="Ttulo5">
    <w:name w:val="heading 5"/>
    <w:basedOn w:val="Normal"/>
    <w:next w:val="Normal"/>
    <w:uiPriority w:val="9"/>
    <w:semiHidden/>
    <w:unhideWhenUsed/>
    <w:qFormat/>
    <w:rsid w:val="003826E0"/>
    <w:pPr>
      <w:keepNext/>
      <w:keepLines/>
      <w:spacing w:before="220" w:after="40"/>
      <w:outlineLvl w:val="4"/>
    </w:pPr>
    <w:rPr>
      <w:b/>
      <w:sz w:val="22"/>
      <w:szCs w:val="22"/>
      <w:lang w:val="es-ES"/>
    </w:rPr>
  </w:style>
  <w:style w:type="paragraph" w:styleId="Ttulo6">
    <w:name w:val="heading 6"/>
    <w:basedOn w:val="Normal"/>
    <w:next w:val="Normal"/>
    <w:uiPriority w:val="9"/>
    <w:semiHidden/>
    <w:unhideWhenUsed/>
    <w:qFormat/>
    <w:rsid w:val="003826E0"/>
    <w:pPr>
      <w:keepNext/>
      <w:keepLines/>
      <w:spacing w:before="200" w:after="40"/>
      <w:outlineLvl w:val="5"/>
    </w:pPr>
    <w:rPr>
      <w:b/>
      <w:sz w:val="20"/>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rsid w:val="003826E0"/>
    <w:pPr>
      <w:keepNext/>
      <w:keepLines/>
      <w:spacing w:before="480" w:after="120"/>
    </w:pPr>
    <w:rPr>
      <w:b/>
      <w:sz w:val="72"/>
      <w:szCs w:val="72"/>
      <w:lang w:val="es-ES"/>
    </w:rPr>
  </w:style>
  <w:style w:type="table" w:customStyle="1" w:styleId="TableNormal0">
    <w:name w:val="Table Normal"/>
    <w:rsid w:val="003826E0"/>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lang w:val="es-ES"/>
    </w:rPr>
  </w:style>
  <w:style w:type="table" w:customStyle="1" w:styleId="a">
    <w:basedOn w:val="TableNormal0"/>
    <w:rsid w:val="003826E0"/>
    <w:tblPr>
      <w:tblStyleRowBandSize w:val="1"/>
      <w:tblStyleColBandSize w:val="1"/>
      <w:tblCellMar>
        <w:left w:w="108" w:type="dxa"/>
        <w:right w:w="108" w:type="dxa"/>
      </w:tblCellMar>
    </w:tblPr>
  </w:style>
  <w:style w:type="paragraph" w:styleId="Textodeglobo">
    <w:name w:val="Balloon Text"/>
    <w:basedOn w:val="Normal"/>
    <w:link w:val="TextodegloboCar"/>
    <w:uiPriority w:val="99"/>
    <w:semiHidden/>
    <w:unhideWhenUsed/>
    <w:rsid w:val="004E32CC"/>
    <w:rPr>
      <w:sz w:val="18"/>
      <w:szCs w:val="18"/>
      <w:lang w:val="es-ES"/>
    </w:rPr>
  </w:style>
  <w:style w:type="character" w:customStyle="1" w:styleId="TextodegloboCar">
    <w:name w:val="Texto de globo Car"/>
    <w:basedOn w:val="Fuentedeprrafopredeter"/>
    <w:link w:val="Textodeglobo"/>
    <w:uiPriority w:val="99"/>
    <w:semiHidden/>
    <w:rsid w:val="004E32CC"/>
    <w:rPr>
      <w:sz w:val="18"/>
      <w:szCs w:val="18"/>
    </w:rPr>
  </w:style>
  <w:style w:type="paragraph" w:styleId="Textonotapie">
    <w:name w:val="footnote text"/>
    <w:basedOn w:val="Normal"/>
    <w:link w:val="TextonotapieCar"/>
    <w:uiPriority w:val="99"/>
    <w:semiHidden/>
    <w:unhideWhenUsed/>
    <w:rsid w:val="00F87908"/>
    <w:rPr>
      <w:sz w:val="20"/>
      <w:szCs w:val="20"/>
      <w:lang w:val="es-ES"/>
    </w:rPr>
  </w:style>
  <w:style w:type="character" w:customStyle="1" w:styleId="TextonotapieCar">
    <w:name w:val="Texto nota pie Car"/>
    <w:basedOn w:val="Fuentedeprrafopredeter"/>
    <w:link w:val="Textonotapie"/>
    <w:uiPriority w:val="99"/>
    <w:semiHidden/>
    <w:rsid w:val="00F87908"/>
    <w:rPr>
      <w:sz w:val="20"/>
      <w:szCs w:val="20"/>
    </w:rPr>
  </w:style>
  <w:style w:type="character" w:styleId="Refdenotaalpie">
    <w:name w:val="footnote reference"/>
    <w:basedOn w:val="Fuentedeprrafopredeter"/>
    <w:uiPriority w:val="99"/>
    <w:semiHidden/>
    <w:unhideWhenUsed/>
    <w:rsid w:val="00F87908"/>
    <w:rPr>
      <w:vertAlign w:val="superscript"/>
    </w:rPr>
  </w:style>
  <w:style w:type="character" w:customStyle="1" w:styleId="apple-converted-space">
    <w:name w:val="apple-converted-space"/>
    <w:basedOn w:val="Fuentedeprrafopredeter"/>
    <w:rsid w:val="00F87908"/>
  </w:style>
  <w:style w:type="paragraph" w:styleId="NormalWeb">
    <w:name w:val="Normal (Web)"/>
    <w:basedOn w:val="Normal"/>
    <w:uiPriority w:val="99"/>
    <w:unhideWhenUsed/>
    <w:rsid w:val="00BD0DE8"/>
    <w:pPr>
      <w:spacing w:before="100" w:beforeAutospacing="1" w:after="100" w:afterAutospacing="1"/>
    </w:pPr>
  </w:style>
  <w:style w:type="paragraph" w:styleId="Prrafodelista">
    <w:name w:val="List Paragraph"/>
    <w:aliases w:val="Ha,Resume Title,titulo 3,Bullet,Párrafo de lista1,Lista vistosa - Énfasis 11,HOJA,Bolita,Párrafo de lista4,BOLADEF,Párrafo de lista2,Párrafo de lista3,Párrafo de lista21,BOLA,Nivel 1 OS,Colorful List Accent 1,Colorful List - Accent 11"/>
    <w:basedOn w:val="Normal"/>
    <w:link w:val="PrrafodelistaCar"/>
    <w:uiPriority w:val="34"/>
    <w:qFormat/>
    <w:rsid w:val="00000A2F"/>
    <w:pPr>
      <w:ind w:left="720"/>
      <w:contextualSpacing/>
    </w:pPr>
    <w:rPr>
      <w:lang w:val="es-ES"/>
    </w:rPr>
  </w:style>
  <w:style w:type="paragraph" w:styleId="Revisin">
    <w:name w:val="Revision"/>
    <w:hidden/>
    <w:uiPriority w:val="99"/>
    <w:semiHidden/>
    <w:rsid w:val="00C678BE"/>
  </w:style>
  <w:style w:type="paragraph" w:styleId="Encabezado">
    <w:name w:val="header"/>
    <w:basedOn w:val="Normal"/>
    <w:link w:val="EncabezadoCar"/>
    <w:uiPriority w:val="99"/>
    <w:unhideWhenUsed/>
    <w:rsid w:val="00AF4FDB"/>
    <w:pPr>
      <w:tabs>
        <w:tab w:val="center" w:pos="4252"/>
        <w:tab w:val="right" w:pos="8504"/>
      </w:tabs>
    </w:pPr>
    <w:rPr>
      <w:lang w:val="es-ES"/>
    </w:rPr>
  </w:style>
  <w:style w:type="character" w:customStyle="1" w:styleId="EncabezadoCar">
    <w:name w:val="Encabezado Car"/>
    <w:basedOn w:val="Fuentedeprrafopredeter"/>
    <w:link w:val="Encabezado"/>
    <w:uiPriority w:val="99"/>
    <w:rsid w:val="00AF4FDB"/>
  </w:style>
  <w:style w:type="paragraph" w:styleId="Piedepgina">
    <w:name w:val="footer"/>
    <w:basedOn w:val="Normal"/>
    <w:link w:val="PiedepginaCar"/>
    <w:uiPriority w:val="99"/>
    <w:unhideWhenUsed/>
    <w:rsid w:val="00AF4FDB"/>
    <w:pPr>
      <w:tabs>
        <w:tab w:val="center" w:pos="4252"/>
        <w:tab w:val="right" w:pos="8504"/>
      </w:tabs>
    </w:pPr>
    <w:rPr>
      <w:lang w:val="es-ES"/>
    </w:rPr>
  </w:style>
  <w:style w:type="character" w:customStyle="1" w:styleId="PiedepginaCar">
    <w:name w:val="Pie de página Car"/>
    <w:basedOn w:val="Fuentedeprrafopredeter"/>
    <w:link w:val="Piedepgina"/>
    <w:uiPriority w:val="99"/>
    <w:rsid w:val="00AF4FDB"/>
  </w:style>
  <w:style w:type="table" w:styleId="Tablaconcuadrcula">
    <w:name w:val="Table Grid"/>
    <w:basedOn w:val="Tablanormal"/>
    <w:uiPriority w:val="39"/>
    <w:rsid w:val="00C166FA"/>
    <w:rPr>
      <w:rFonts w:asciiTheme="minorHAnsi" w:eastAsiaTheme="minorHAnsi" w:hAnsiTheme="minorHAnsi" w:cstheme="minorBidi"/>
      <w:sz w:val="22"/>
      <w:szCs w:val="22"/>
      <w:lang w:val="es-C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0">
    <w:basedOn w:val="TableNormal0"/>
    <w:rPr>
      <w:rFonts w:ascii="Cambria" w:eastAsia="Cambria" w:hAnsi="Cambria" w:cs="Cambria"/>
      <w:sz w:val="22"/>
      <w:szCs w:val="22"/>
    </w:rPr>
    <w:tblPr>
      <w:tblStyleRowBandSize w:val="1"/>
      <w:tblStyleColBandSize w:val="1"/>
      <w:tblCellMar>
        <w:left w:w="108" w:type="dxa"/>
        <w:right w:w="108" w:type="dxa"/>
      </w:tblCellMar>
    </w:tblPr>
  </w:style>
  <w:style w:type="table" w:customStyle="1" w:styleId="a1">
    <w:basedOn w:val="TableNormal0"/>
    <w:rPr>
      <w:rFonts w:ascii="Cambria" w:eastAsia="Cambria" w:hAnsi="Cambria" w:cs="Cambria"/>
      <w:sz w:val="22"/>
      <w:szCs w:val="22"/>
    </w:rPr>
    <w:tblPr>
      <w:tblStyleRowBandSize w:val="1"/>
      <w:tblStyleColBandSize w:val="1"/>
      <w:tblCellMar>
        <w:left w:w="108" w:type="dxa"/>
        <w:right w:w="108" w:type="dxa"/>
      </w:tblCellMar>
    </w:tblPr>
  </w:style>
  <w:style w:type="table" w:customStyle="1" w:styleId="a2">
    <w:basedOn w:val="TableNormal0"/>
    <w:rPr>
      <w:rFonts w:ascii="Cambria" w:eastAsia="Cambria" w:hAnsi="Cambria" w:cs="Cambria"/>
      <w:sz w:val="22"/>
      <w:szCs w:val="22"/>
    </w:rPr>
    <w:tblPr>
      <w:tblStyleRowBandSize w:val="1"/>
      <w:tblStyleColBandSize w:val="1"/>
      <w:tblCellMar>
        <w:left w:w="108" w:type="dxa"/>
        <w:right w:w="108" w:type="dxa"/>
      </w:tblCellMar>
    </w:tblPr>
  </w:style>
  <w:style w:type="table" w:customStyle="1" w:styleId="a3">
    <w:basedOn w:val="TableNormal0"/>
    <w:rPr>
      <w:rFonts w:ascii="Cambria" w:eastAsia="Cambria" w:hAnsi="Cambria" w:cs="Cambria"/>
      <w:sz w:val="22"/>
      <w:szCs w:val="22"/>
    </w:rPr>
    <w:tblPr>
      <w:tblStyleRowBandSize w:val="1"/>
      <w:tblStyleColBandSize w:val="1"/>
      <w:tblCellMar>
        <w:left w:w="108" w:type="dxa"/>
        <w:right w:w="108" w:type="dxa"/>
      </w:tblCellMar>
    </w:tblPr>
  </w:style>
  <w:style w:type="paragraph" w:styleId="Sinespaciado">
    <w:name w:val="No Spacing"/>
    <w:link w:val="SinespaciadoCar"/>
    <w:uiPriority w:val="1"/>
    <w:qFormat/>
    <w:rsid w:val="005A4FEA"/>
    <w:rPr>
      <w:rFonts w:asciiTheme="minorHAnsi" w:eastAsiaTheme="minorHAnsi" w:hAnsiTheme="minorHAnsi" w:cstheme="minorBidi"/>
      <w:sz w:val="22"/>
      <w:szCs w:val="22"/>
      <w:lang w:val="es-CO" w:eastAsia="en-US"/>
    </w:rPr>
  </w:style>
  <w:style w:type="character" w:customStyle="1" w:styleId="SinespaciadoCar">
    <w:name w:val="Sin espaciado Car"/>
    <w:link w:val="Sinespaciado"/>
    <w:uiPriority w:val="1"/>
    <w:locked/>
    <w:rsid w:val="005A4FEA"/>
    <w:rPr>
      <w:rFonts w:asciiTheme="minorHAnsi" w:eastAsiaTheme="minorHAnsi" w:hAnsiTheme="minorHAnsi" w:cstheme="minorBidi"/>
      <w:sz w:val="22"/>
      <w:szCs w:val="22"/>
      <w:lang w:val="es-CO" w:eastAsia="en-US"/>
    </w:rPr>
  </w:style>
  <w:style w:type="character" w:customStyle="1" w:styleId="PrrafodelistaCar">
    <w:name w:val="Párrafo de lista Car"/>
    <w:aliases w:val="Ha Car,Resume Title Car,titulo 3 Car,Bullet Car,Párrafo de lista1 Car,Lista vistosa - Énfasis 11 Car,HOJA Car,Bolita Car,Párrafo de lista4 Car,BOLADEF Car,Párrafo de lista2 Car,Párrafo de lista3 Car,Párrafo de lista21 Car,BOLA Car"/>
    <w:link w:val="Prrafodelista"/>
    <w:uiPriority w:val="34"/>
    <w:locked/>
    <w:rsid w:val="00EA2C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91291">
      <w:bodyDiv w:val="1"/>
      <w:marLeft w:val="0"/>
      <w:marRight w:val="0"/>
      <w:marTop w:val="0"/>
      <w:marBottom w:val="0"/>
      <w:divBdr>
        <w:top w:val="none" w:sz="0" w:space="0" w:color="auto"/>
        <w:left w:val="none" w:sz="0" w:space="0" w:color="auto"/>
        <w:bottom w:val="none" w:sz="0" w:space="0" w:color="auto"/>
        <w:right w:val="none" w:sz="0" w:space="0" w:color="auto"/>
      </w:divBdr>
    </w:div>
    <w:div w:id="87044900">
      <w:bodyDiv w:val="1"/>
      <w:marLeft w:val="0"/>
      <w:marRight w:val="0"/>
      <w:marTop w:val="0"/>
      <w:marBottom w:val="0"/>
      <w:divBdr>
        <w:top w:val="none" w:sz="0" w:space="0" w:color="auto"/>
        <w:left w:val="none" w:sz="0" w:space="0" w:color="auto"/>
        <w:bottom w:val="none" w:sz="0" w:space="0" w:color="auto"/>
        <w:right w:val="none" w:sz="0" w:space="0" w:color="auto"/>
      </w:divBdr>
    </w:div>
    <w:div w:id="398796505">
      <w:bodyDiv w:val="1"/>
      <w:marLeft w:val="0"/>
      <w:marRight w:val="0"/>
      <w:marTop w:val="0"/>
      <w:marBottom w:val="0"/>
      <w:divBdr>
        <w:top w:val="none" w:sz="0" w:space="0" w:color="auto"/>
        <w:left w:val="none" w:sz="0" w:space="0" w:color="auto"/>
        <w:bottom w:val="none" w:sz="0" w:space="0" w:color="auto"/>
        <w:right w:val="none" w:sz="0" w:space="0" w:color="auto"/>
      </w:divBdr>
    </w:div>
    <w:div w:id="505367233">
      <w:bodyDiv w:val="1"/>
      <w:marLeft w:val="0"/>
      <w:marRight w:val="0"/>
      <w:marTop w:val="0"/>
      <w:marBottom w:val="0"/>
      <w:divBdr>
        <w:top w:val="none" w:sz="0" w:space="0" w:color="auto"/>
        <w:left w:val="none" w:sz="0" w:space="0" w:color="auto"/>
        <w:bottom w:val="none" w:sz="0" w:space="0" w:color="auto"/>
        <w:right w:val="none" w:sz="0" w:space="0" w:color="auto"/>
      </w:divBdr>
    </w:div>
    <w:div w:id="512573700">
      <w:bodyDiv w:val="1"/>
      <w:marLeft w:val="0"/>
      <w:marRight w:val="0"/>
      <w:marTop w:val="0"/>
      <w:marBottom w:val="0"/>
      <w:divBdr>
        <w:top w:val="none" w:sz="0" w:space="0" w:color="auto"/>
        <w:left w:val="none" w:sz="0" w:space="0" w:color="auto"/>
        <w:bottom w:val="none" w:sz="0" w:space="0" w:color="auto"/>
        <w:right w:val="none" w:sz="0" w:space="0" w:color="auto"/>
      </w:divBdr>
    </w:div>
    <w:div w:id="608512208">
      <w:bodyDiv w:val="1"/>
      <w:marLeft w:val="0"/>
      <w:marRight w:val="0"/>
      <w:marTop w:val="0"/>
      <w:marBottom w:val="0"/>
      <w:divBdr>
        <w:top w:val="none" w:sz="0" w:space="0" w:color="auto"/>
        <w:left w:val="none" w:sz="0" w:space="0" w:color="auto"/>
        <w:bottom w:val="none" w:sz="0" w:space="0" w:color="auto"/>
        <w:right w:val="none" w:sz="0" w:space="0" w:color="auto"/>
      </w:divBdr>
    </w:div>
    <w:div w:id="643317627">
      <w:bodyDiv w:val="1"/>
      <w:marLeft w:val="0"/>
      <w:marRight w:val="0"/>
      <w:marTop w:val="0"/>
      <w:marBottom w:val="0"/>
      <w:divBdr>
        <w:top w:val="none" w:sz="0" w:space="0" w:color="auto"/>
        <w:left w:val="none" w:sz="0" w:space="0" w:color="auto"/>
        <w:bottom w:val="none" w:sz="0" w:space="0" w:color="auto"/>
        <w:right w:val="none" w:sz="0" w:space="0" w:color="auto"/>
      </w:divBdr>
    </w:div>
    <w:div w:id="687028462">
      <w:bodyDiv w:val="1"/>
      <w:marLeft w:val="0"/>
      <w:marRight w:val="0"/>
      <w:marTop w:val="0"/>
      <w:marBottom w:val="0"/>
      <w:divBdr>
        <w:top w:val="none" w:sz="0" w:space="0" w:color="auto"/>
        <w:left w:val="none" w:sz="0" w:space="0" w:color="auto"/>
        <w:bottom w:val="none" w:sz="0" w:space="0" w:color="auto"/>
        <w:right w:val="none" w:sz="0" w:space="0" w:color="auto"/>
      </w:divBdr>
    </w:div>
    <w:div w:id="895706666">
      <w:bodyDiv w:val="1"/>
      <w:marLeft w:val="0"/>
      <w:marRight w:val="0"/>
      <w:marTop w:val="0"/>
      <w:marBottom w:val="0"/>
      <w:divBdr>
        <w:top w:val="none" w:sz="0" w:space="0" w:color="auto"/>
        <w:left w:val="none" w:sz="0" w:space="0" w:color="auto"/>
        <w:bottom w:val="none" w:sz="0" w:space="0" w:color="auto"/>
        <w:right w:val="none" w:sz="0" w:space="0" w:color="auto"/>
      </w:divBdr>
    </w:div>
    <w:div w:id="1017541467">
      <w:bodyDiv w:val="1"/>
      <w:marLeft w:val="0"/>
      <w:marRight w:val="0"/>
      <w:marTop w:val="0"/>
      <w:marBottom w:val="0"/>
      <w:divBdr>
        <w:top w:val="none" w:sz="0" w:space="0" w:color="auto"/>
        <w:left w:val="none" w:sz="0" w:space="0" w:color="auto"/>
        <w:bottom w:val="none" w:sz="0" w:space="0" w:color="auto"/>
        <w:right w:val="none" w:sz="0" w:space="0" w:color="auto"/>
      </w:divBdr>
    </w:div>
    <w:div w:id="1046491399">
      <w:bodyDiv w:val="1"/>
      <w:marLeft w:val="0"/>
      <w:marRight w:val="0"/>
      <w:marTop w:val="0"/>
      <w:marBottom w:val="0"/>
      <w:divBdr>
        <w:top w:val="none" w:sz="0" w:space="0" w:color="auto"/>
        <w:left w:val="none" w:sz="0" w:space="0" w:color="auto"/>
        <w:bottom w:val="none" w:sz="0" w:space="0" w:color="auto"/>
        <w:right w:val="none" w:sz="0" w:space="0" w:color="auto"/>
      </w:divBdr>
    </w:div>
    <w:div w:id="1067993511">
      <w:bodyDiv w:val="1"/>
      <w:marLeft w:val="0"/>
      <w:marRight w:val="0"/>
      <w:marTop w:val="0"/>
      <w:marBottom w:val="0"/>
      <w:divBdr>
        <w:top w:val="none" w:sz="0" w:space="0" w:color="auto"/>
        <w:left w:val="none" w:sz="0" w:space="0" w:color="auto"/>
        <w:bottom w:val="none" w:sz="0" w:space="0" w:color="auto"/>
        <w:right w:val="none" w:sz="0" w:space="0" w:color="auto"/>
      </w:divBdr>
    </w:div>
    <w:div w:id="1077284504">
      <w:bodyDiv w:val="1"/>
      <w:marLeft w:val="0"/>
      <w:marRight w:val="0"/>
      <w:marTop w:val="0"/>
      <w:marBottom w:val="0"/>
      <w:divBdr>
        <w:top w:val="none" w:sz="0" w:space="0" w:color="auto"/>
        <w:left w:val="none" w:sz="0" w:space="0" w:color="auto"/>
        <w:bottom w:val="none" w:sz="0" w:space="0" w:color="auto"/>
        <w:right w:val="none" w:sz="0" w:space="0" w:color="auto"/>
      </w:divBdr>
    </w:div>
    <w:div w:id="1191408908">
      <w:bodyDiv w:val="1"/>
      <w:marLeft w:val="0"/>
      <w:marRight w:val="0"/>
      <w:marTop w:val="0"/>
      <w:marBottom w:val="0"/>
      <w:divBdr>
        <w:top w:val="none" w:sz="0" w:space="0" w:color="auto"/>
        <w:left w:val="none" w:sz="0" w:space="0" w:color="auto"/>
        <w:bottom w:val="none" w:sz="0" w:space="0" w:color="auto"/>
        <w:right w:val="none" w:sz="0" w:space="0" w:color="auto"/>
      </w:divBdr>
    </w:div>
    <w:div w:id="1594701677">
      <w:bodyDiv w:val="1"/>
      <w:marLeft w:val="0"/>
      <w:marRight w:val="0"/>
      <w:marTop w:val="0"/>
      <w:marBottom w:val="0"/>
      <w:divBdr>
        <w:top w:val="none" w:sz="0" w:space="0" w:color="auto"/>
        <w:left w:val="none" w:sz="0" w:space="0" w:color="auto"/>
        <w:bottom w:val="none" w:sz="0" w:space="0" w:color="auto"/>
        <w:right w:val="none" w:sz="0" w:space="0" w:color="auto"/>
      </w:divBdr>
    </w:div>
    <w:div w:id="1733308681">
      <w:bodyDiv w:val="1"/>
      <w:marLeft w:val="0"/>
      <w:marRight w:val="0"/>
      <w:marTop w:val="0"/>
      <w:marBottom w:val="0"/>
      <w:divBdr>
        <w:top w:val="none" w:sz="0" w:space="0" w:color="auto"/>
        <w:left w:val="none" w:sz="0" w:space="0" w:color="auto"/>
        <w:bottom w:val="none" w:sz="0" w:space="0" w:color="auto"/>
        <w:right w:val="none" w:sz="0" w:space="0" w:color="auto"/>
      </w:divBdr>
    </w:div>
    <w:div w:id="1884250373">
      <w:bodyDiv w:val="1"/>
      <w:marLeft w:val="0"/>
      <w:marRight w:val="0"/>
      <w:marTop w:val="0"/>
      <w:marBottom w:val="0"/>
      <w:divBdr>
        <w:top w:val="none" w:sz="0" w:space="0" w:color="auto"/>
        <w:left w:val="none" w:sz="0" w:space="0" w:color="auto"/>
        <w:bottom w:val="none" w:sz="0" w:space="0" w:color="auto"/>
        <w:right w:val="none" w:sz="0" w:space="0" w:color="auto"/>
      </w:divBdr>
    </w:div>
    <w:div w:id="1962495222">
      <w:bodyDiv w:val="1"/>
      <w:marLeft w:val="0"/>
      <w:marRight w:val="0"/>
      <w:marTop w:val="0"/>
      <w:marBottom w:val="0"/>
      <w:divBdr>
        <w:top w:val="none" w:sz="0" w:space="0" w:color="auto"/>
        <w:left w:val="none" w:sz="0" w:space="0" w:color="auto"/>
        <w:bottom w:val="none" w:sz="0" w:space="0" w:color="auto"/>
        <w:right w:val="none" w:sz="0" w:space="0" w:color="auto"/>
      </w:divBdr>
    </w:div>
    <w:div w:id="2039811834">
      <w:bodyDiv w:val="1"/>
      <w:marLeft w:val="0"/>
      <w:marRight w:val="0"/>
      <w:marTop w:val="0"/>
      <w:marBottom w:val="0"/>
      <w:divBdr>
        <w:top w:val="none" w:sz="0" w:space="0" w:color="auto"/>
        <w:left w:val="none" w:sz="0" w:space="0" w:color="auto"/>
        <w:bottom w:val="none" w:sz="0" w:space="0" w:color="auto"/>
        <w:right w:val="none" w:sz="0" w:space="0" w:color="auto"/>
      </w:divBdr>
    </w:div>
    <w:div w:id="21049508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corteconstitucional.gov.co/relatoria/2017/C-041-17.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rteconstitucional.gov.co/relatoria/2014/C-283-14.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rteconstitucional.gov.co/relatoria/2012/C-889-12.ht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corteconstitucional.gov.co/relatoria/2005/C-1192-05.ht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avatma.org/2016/03/08/informe-tecnico-veterinario-sobre-los-espectaculos-taurinos-con-vacas-y-vaquilla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iEjLAKmoYoAg/sHUMxaDIf8FGyA==">AMUW2mXad26jzNL1AcpVZ1n9PC1Nf20uRoDVrDzSWDrCCcNJZmCM4rJ+IiBN1ETkCAr/YGvoMJxXfZwABPTOIF8uuqW6WgdIgttMPXKGjQeUPrGgYntFrkDVe/O4r5n1nlJdAg9CdSJNSfF4UeDF1d+Ic1WsZLCx1HgqjI5SNeX6BD4GnIyFoTQ=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13455</Words>
  <Characters>74004</Characters>
  <Application>Microsoft Office Word</Application>
  <DocSecurity>0</DocSecurity>
  <Lines>616</Lines>
  <Paragraphs>174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Gabriel Riveros</dc:creator>
  <cp:lastModifiedBy>Ana Maria Hinestrosa Villa</cp:lastModifiedBy>
  <cp:revision>2</cp:revision>
  <dcterms:created xsi:type="dcterms:W3CDTF">2022-08-09T15:14:00Z</dcterms:created>
  <dcterms:modified xsi:type="dcterms:W3CDTF">2022-08-09T15:14:00Z</dcterms:modified>
</cp:coreProperties>
</file>