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ACFC" w14:textId="77B8DF9C" w:rsidR="0099281D" w:rsidRPr="00C92052" w:rsidRDefault="008F76FD" w:rsidP="0016403D">
      <w:pPr>
        <w:pStyle w:val="Ttulo1"/>
        <w:spacing w:line="240" w:lineRule="auto"/>
        <w:jc w:val="center"/>
        <w:rPr>
          <w:rFonts w:ascii="Book Antiqua" w:hAnsi="Book Antiqua"/>
          <w:b/>
          <w:color w:val="000000" w:themeColor="text1"/>
          <w:sz w:val="23"/>
          <w:szCs w:val="23"/>
        </w:rPr>
      </w:pPr>
      <w:r w:rsidRPr="00C92052">
        <w:rPr>
          <w:rFonts w:ascii="Book Antiqua" w:hAnsi="Book Antiqua"/>
          <w:b/>
          <w:color w:val="000000" w:themeColor="text1"/>
          <w:sz w:val="23"/>
          <w:szCs w:val="23"/>
        </w:rPr>
        <w:t xml:space="preserve"> </w:t>
      </w:r>
      <w:r w:rsidR="00EC5DAB" w:rsidRPr="00C92052">
        <w:rPr>
          <w:rFonts w:ascii="Book Antiqua" w:hAnsi="Book Antiqua"/>
          <w:b/>
          <w:color w:val="000000" w:themeColor="text1"/>
          <w:sz w:val="23"/>
          <w:szCs w:val="23"/>
        </w:rPr>
        <w:t>INFORME DE P</w:t>
      </w:r>
      <w:r w:rsidR="00613A71" w:rsidRPr="00C92052">
        <w:rPr>
          <w:rFonts w:ascii="Book Antiqua" w:hAnsi="Book Antiqua"/>
          <w:b/>
          <w:color w:val="000000" w:themeColor="text1"/>
          <w:sz w:val="23"/>
          <w:szCs w:val="23"/>
        </w:rPr>
        <w:t>O</w:t>
      </w:r>
      <w:r w:rsidR="00EC5DAB" w:rsidRPr="00C92052">
        <w:rPr>
          <w:rFonts w:ascii="Book Antiqua" w:hAnsi="Book Antiqua"/>
          <w:b/>
          <w:color w:val="000000" w:themeColor="text1"/>
          <w:sz w:val="23"/>
          <w:szCs w:val="23"/>
        </w:rPr>
        <w:t xml:space="preserve">NENCIA </w:t>
      </w:r>
      <w:r w:rsidR="00251621" w:rsidRPr="00C92052">
        <w:rPr>
          <w:rFonts w:ascii="Book Antiqua" w:hAnsi="Book Antiqua"/>
          <w:b/>
          <w:color w:val="000000" w:themeColor="text1"/>
          <w:sz w:val="23"/>
          <w:szCs w:val="23"/>
        </w:rPr>
        <w:t>NEGATIVA PARA PRIMER DEBATE EN PRIMERA VUELTA AL PROYECTO DE</w:t>
      </w:r>
      <w:r w:rsidR="00EC5DAB" w:rsidRPr="00C92052">
        <w:rPr>
          <w:rFonts w:ascii="Book Antiqua" w:hAnsi="Book Antiqua"/>
          <w:b/>
          <w:color w:val="000000" w:themeColor="text1"/>
          <w:sz w:val="23"/>
          <w:szCs w:val="23"/>
        </w:rPr>
        <w:t xml:space="preserve"> ACTO LEGISLATIVO No. 002 DE 2022 CAMARA</w:t>
      </w:r>
    </w:p>
    <w:p w14:paraId="700438EF" w14:textId="77777777" w:rsidR="007E6BA4" w:rsidRPr="00C92052" w:rsidRDefault="007E6BA4" w:rsidP="0016403D">
      <w:pPr>
        <w:spacing w:line="240" w:lineRule="auto"/>
        <w:jc w:val="center"/>
        <w:rPr>
          <w:rFonts w:ascii="Book Antiqua" w:hAnsi="Book Antiqua"/>
          <w:b/>
          <w:sz w:val="23"/>
          <w:szCs w:val="23"/>
        </w:rPr>
      </w:pPr>
    </w:p>
    <w:p w14:paraId="2C5B2CDE" w14:textId="1A48A590" w:rsidR="00EC5DAB" w:rsidRPr="00C92052" w:rsidRDefault="00EC5DAB" w:rsidP="0016403D">
      <w:pPr>
        <w:spacing w:line="240" w:lineRule="auto"/>
        <w:jc w:val="center"/>
        <w:rPr>
          <w:rFonts w:ascii="Book Antiqua" w:hAnsi="Book Antiqua"/>
          <w:b/>
          <w:sz w:val="23"/>
          <w:szCs w:val="23"/>
        </w:rPr>
      </w:pPr>
      <w:r w:rsidRPr="00C92052">
        <w:rPr>
          <w:rFonts w:ascii="Book Antiqua" w:hAnsi="Book Antiqua"/>
          <w:b/>
          <w:sz w:val="23"/>
          <w:szCs w:val="23"/>
        </w:rPr>
        <w:t xml:space="preserve">“Por medio del cual se modifica el artículo 49 de la Constitución Política de Colombia y se regulariza el cannabis de uso adulto” </w:t>
      </w:r>
    </w:p>
    <w:p w14:paraId="40D51B03" w14:textId="77777777" w:rsidR="00EC5DAB" w:rsidRPr="00C92052" w:rsidRDefault="00EC5DAB" w:rsidP="0016403D">
      <w:pPr>
        <w:spacing w:line="240" w:lineRule="auto"/>
        <w:jc w:val="center"/>
        <w:rPr>
          <w:rFonts w:ascii="Book Antiqua" w:hAnsi="Book Antiqua"/>
          <w:b/>
          <w:sz w:val="23"/>
          <w:szCs w:val="23"/>
        </w:rPr>
      </w:pPr>
    </w:p>
    <w:p w14:paraId="4A7A1E2D" w14:textId="0D7078B4" w:rsidR="00EC5DAB" w:rsidRPr="00C92052" w:rsidRDefault="00EC5DAB" w:rsidP="0016403D">
      <w:pPr>
        <w:spacing w:line="240" w:lineRule="auto"/>
        <w:jc w:val="both"/>
        <w:rPr>
          <w:rFonts w:ascii="Book Antiqua" w:hAnsi="Book Antiqua"/>
          <w:b/>
          <w:sz w:val="23"/>
          <w:szCs w:val="23"/>
        </w:rPr>
      </w:pPr>
      <w:r w:rsidRPr="00C92052">
        <w:rPr>
          <w:rFonts w:ascii="Book Antiqua" w:hAnsi="Book Antiqua"/>
          <w:b/>
          <w:sz w:val="23"/>
          <w:szCs w:val="23"/>
        </w:rPr>
        <w:t>Bogotá, D.C</w:t>
      </w:r>
      <w:r w:rsidR="00BE1702" w:rsidRPr="00C92052">
        <w:rPr>
          <w:rFonts w:ascii="Book Antiqua" w:hAnsi="Book Antiqua"/>
          <w:b/>
          <w:sz w:val="23"/>
          <w:szCs w:val="23"/>
        </w:rPr>
        <w:t>. 1</w:t>
      </w:r>
      <w:r w:rsidR="00613A71" w:rsidRPr="00C92052">
        <w:rPr>
          <w:rFonts w:ascii="Book Antiqua" w:hAnsi="Book Antiqua"/>
          <w:b/>
          <w:sz w:val="23"/>
          <w:szCs w:val="23"/>
        </w:rPr>
        <w:t>9</w:t>
      </w:r>
      <w:r w:rsidRPr="00C92052">
        <w:rPr>
          <w:rFonts w:ascii="Book Antiqua" w:hAnsi="Book Antiqua"/>
          <w:b/>
          <w:sz w:val="23"/>
          <w:szCs w:val="23"/>
        </w:rPr>
        <w:t xml:space="preserve"> de agosto de 2022 </w:t>
      </w:r>
    </w:p>
    <w:p w14:paraId="49E48741" w14:textId="77777777" w:rsidR="00EC5DAB" w:rsidRPr="00C92052" w:rsidRDefault="00EC5DAB" w:rsidP="0016403D">
      <w:pPr>
        <w:spacing w:line="240" w:lineRule="auto"/>
        <w:jc w:val="both"/>
        <w:rPr>
          <w:rFonts w:ascii="Book Antiqua" w:hAnsi="Book Antiqua"/>
          <w:b/>
          <w:sz w:val="23"/>
          <w:szCs w:val="23"/>
        </w:rPr>
      </w:pPr>
    </w:p>
    <w:p w14:paraId="5F259976" w14:textId="77777777" w:rsidR="00EC5DAB" w:rsidRPr="00C92052" w:rsidRDefault="00EC5DAB" w:rsidP="0016403D">
      <w:pPr>
        <w:pStyle w:val="Sinespaciado"/>
        <w:rPr>
          <w:rFonts w:ascii="Book Antiqua" w:hAnsi="Book Antiqua"/>
          <w:b/>
          <w:sz w:val="23"/>
          <w:szCs w:val="23"/>
        </w:rPr>
      </w:pPr>
      <w:r w:rsidRPr="00C92052">
        <w:rPr>
          <w:rFonts w:ascii="Book Antiqua" w:hAnsi="Book Antiqua"/>
          <w:b/>
          <w:sz w:val="23"/>
          <w:szCs w:val="23"/>
        </w:rPr>
        <w:t xml:space="preserve">Honorable Representante </w:t>
      </w:r>
    </w:p>
    <w:p w14:paraId="407D1D55" w14:textId="77777777" w:rsidR="00EC5DAB" w:rsidRPr="00C92052" w:rsidRDefault="00EC5DAB" w:rsidP="0016403D">
      <w:pPr>
        <w:pStyle w:val="Sinespaciado"/>
        <w:rPr>
          <w:rFonts w:ascii="Book Antiqua" w:hAnsi="Book Antiqua"/>
          <w:b/>
          <w:sz w:val="23"/>
          <w:szCs w:val="23"/>
        </w:rPr>
      </w:pPr>
      <w:r w:rsidRPr="00C92052">
        <w:rPr>
          <w:rFonts w:ascii="Book Antiqua" w:hAnsi="Book Antiqua"/>
          <w:b/>
          <w:sz w:val="23"/>
          <w:szCs w:val="23"/>
        </w:rPr>
        <w:t>JUAN CARLOS WILLS OSPINA</w:t>
      </w:r>
    </w:p>
    <w:p w14:paraId="1ADB1B13" w14:textId="77777777" w:rsidR="00EC5DAB" w:rsidRPr="00C92052" w:rsidRDefault="00EC5DAB" w:rsidP="0016403D">
      <w:pPr>
        <w:pStyle w:val="Sinespaciado"/>
        <w:rPr>
          <w:rFonts w:ascii="Book Antiqua" w:hAnsi="Book Antiqua"/>
          <w:b/>
          <w:sz w:val="23"/>
          <w:szCs w:val="23"/>
        </w:rPr>
      </w:pPr>
      <w:r w:rsidRPr="00C92052">
        <w:rPr>
          <w:rFonts w:ascii="Book Antiqua" w:hAnsi="Book Antiqua"/>
          <w:b/>
          <w:sz w:val="23"/>
          <w:szCs w:val="23"/>
        </w:rPr>
        <w:t xml:space="preserve">Presidente </w:t>
      </w:r>
    </w:p>
    <w:p w14:paraId="62AA6F88" w14:textId="77777777" w:rsidR="00EC5DAB" w:rsidRPr="00C92052" w:rsidRDefault="00EC5DAB" w:rsidP="0016403D">
      <w:pPr>
        <w:pStyle w:val="Sinespaciado"/>
        <w:rPr>
          <w:rFonts w:ascii="Book Antiqua" w:hAnsi="Book Antiqua"/>
          <w:b/>
          <w:sz w:val="23"/>
          <w:szCs w:val="23"/>
        </w:rPr>
      </w:pPr>
      <w:r w:rsidRPr="00C92052">
        <w:rPr>
          <w:rFonts w:ascii="Book Antiqua" w:hAnsi="Book Antiqua"/>
          <w:b/>
          <w:sz w:val="23"/>
          <w:szCs w:val="23"/>
        </w:rPr>
        <w:t>Comisión Primera Constitucional</w:t>
      </w:r>
    </w:p>
    <w:p w14:paraId="3F85A71F" w14:textId="77777777" w:rsidR="00EC5DAB" w:rsidRPr="00C92052" w:rsidRDefault="00EC5DAB" w:rsidP="0016403D">
      <w:pPr>
        <w:pStyle w:val="Sinespaciado"/>
        <w:rPr>
          <w:rFonts w:ascii="Book Antiqua" w:hAnsi="Book Antiqua"/>
          <w:b/>
          <w:sz w:val="23"/>
          <w:szCs w:val="23"/>
        </w:rPr>
      </w:pPr>
      <w:r w:rsidRPr="00C92052">
        <w:rPr>
          <w:rFonts w:ascii="Book Antiqua" w:hAnsi="Book Antiqua"/>
          <w:b/>
          <w:sz w:val="23"/>
          <w:szCs w:val="23"/>
        </w:rPr>
        <w:t>Cámara de Representantes</w:t>
      </w:r>
    </w:p>
    <w:p w14:paraId="05692DA0" w14:textId="77777777" w:rsidR="0099281D" w:rsidRPr="00C92052" w:rsidRDefault="0099281D" w:rsidP="0016403D">
      <w:pPr>
        <w:spacing w:line="240" w:lineRule="auto"/>
        <w:jc w:val="both"/>
        <w:rPr>
          <w:rFonts w:ascii="Book Antiqua" w:hAnsi="Book Antiqua"/>
          <w:b/>
          <w:sz w:val="23"/>
          <w:szCs w:val="23"/>
        </w:rPr>
      </w:pPr>
    </w:p>
    <w:p w14:paraId="2F08130A" w14:textId="37E063BF" w:rsidR="00EC5DAB" w:rsidRPr="00C92052" w:rsidRDefault="00EC5DAB" w:rsidP="0016403D">
      <w:pPr>
        <w:spacing w:line="240" w:lineRule="auto"/>
        <w:jc w:val="both"/>
        <w:rPr>
          <w:rFonts w:ascii="Book Antiqua" w:hAnsi="Book Antiqua"/>
          <w:b/>
          <w:sz w:val="23"/>
          <w:szCs w:val="23"/>
        </w:rPr>
      </w:pPr>
      <w:r w:rsidRPr="00C92052">
        <w:rPr>
          <w:rFonts w:ascii="Book Antiqua" w:hAnsi="Book Antiqua"/>
          <w:b/>
          <w:sz w:val="23"/>
          <w:szCs w:val="23"/>
        </w:rPr>
        <w:t>Referencia: Informe de Ponencia</w:t>
      </w:r>
      <w:r w:rsidR="00251621" w:rsidRPr="00C92052">
        <w:rPr>
          <w:rFonts w:ascii="Book Antiqua" w:hAnsi="Book Antiqua"/>
          <w:b/>
          <w:sz w:val="23"/>
          <w:szCs w:val="23"/>
        </w:rPr>
        <w:t xml:space="preserve"> negativa para primer</w:t>
      </w:r>
      <w:r w:rsidRPr="00C92052">
        <w:rPr>
          <w:rFonts w:ascii="Book Antiqua" w:hAnsi="Book Antiqua"/>
          <w:b/>
          <w:sz w:val="23"/>
          <w:szCs w:val="23"/>
        </w:rPr>
        <w:t xml:space="preserve"> debate en primera vuelta al Proyecto de Acto Legislativo No. 002 de 2022 Cámara</w:t>
      </w:r>
    </w:p>
    <w:p w14:paraId="63CF3E26" w14:textId="77777777" w:rsidR="00EC5DAB" w:rsidRPr="00C92052" w:rsidRDefault="00EC5DAB" w:rsidP="0016403D">
      <w:pPr>
        <w:spacing w:line="240" w:lineRule="auto"/>
        <w:jc w:val="both"/>
        <w:rPr>
          <w:rFonts w:ascii="Book Antiqua" w:hAnsi="Book Antiqua"/>
          <w:b/>
          <w:sz w:val="23"/>
          <w:szCs w:val="23"/>
        </w:rPr>
      </w:pPr>
    </w:p>
    <w:p w14:paraId="209017A4" w14:textId="77777777" w:rsidR="00EC5DAB" w:rsidRPr="00C92052" w:rsidRDefault="00EC5DAB" w:rsidP="0016403D">
      <w:pPr>
        <w:spacing w:line="240" w:lineRule="auto"/>
        <w:jc w:val="both"/>
        <w:rPr>
          <w:rFonts w:ascii="Book Antiqua" w:hAnsi="Book Antiqua"/>
          <w:sz w:val="23"/>
          <w:szCs w:val="23"/>
        </w:rPr>
      </w:pPr>
      <w:r w:rsidRPr="00C92052">
        <w:rPr>
          <w:rFonts w:ascii="Book Antiqua" w:hAnsi="Book Antiqua"/>
          <w:sz w:val="23"/>
          <w:szCs w:val="23"/>
        </w:rPr>
        <w:t xml:space="preserve">Honorables Representantes: </w:t>
      </w:r>
    </w:p>
    <w:p w14:paraId="52E7AE44" w14:textId="6F268A53" w:rsidR="00EC5DAB" w:rsidRPr="00C92052" w:rsidRDefault="00EC5DAB" w:rsidP="0016403D">
      <w:pPr>
        <w:spacing w:line="240" w:lineRule="auto"/>
        <w:jc w:val="both"/>
        <w:rPr>
          <w:rFonts w:ascii="Book Antiqua" w:hAnsi="Book Antiqua"/>
          <w:color w:val="000000" w:themeColor="text1"/>
          <w:sz w:val="23"/>
          <w:szCs w:val="23"/>
        </w:rPr>
      </w:pPr>
      <w:r w:rsidRPr="00C92052">
        <w:rPr>
          <w:rFonts w:ascii="Book Antiqua" w:hAnsi="Book Antiqua"/>
          <w:sz w:val="23"/>
          <w:szCs w:val="23"/>
        </w:rPr>
        <w:t>En cumplimiento del encarg</w:t>
      </w:r>
      <w:r w:rsidR="00A11699" w:rsidRPr="00C92052">
        <w:rPr>
          <w:rFonts w:ascii="Book Antiqua" w:hAnsi="Book Antiqua"/>
          <w:sz w:val="23"/>
          <w:szCs w:val="23"/>
        </w:rPr>
        <w:t>o</w:t>
      </w:r>
      <w:r w:rsidRPr="00C92052">
        <w:rPr>
          <w:rFonts w:ascii="Book Antiqua" w:hAnsi="Book Antiqua"/>
          <w:sz w:val="23"/>
          <w:szCs w:val="23"/>
        </w:rPr>
        <w:t xml:space="preserve"> hecho por la Honorable Mesa Directiva de la Comisión Primera Constitucional de la Cámara de Representantes del Congreso de la Rep</w:t>
      </w:r>
      <w:r w:rsidR="00A11699" w:rsidRPr="00C92052">
        <w:rPr>
          <w:rFonts w:ascii="Book Antiqua" w:hAnsi="Book Antiqua"/>
          <w:sz w:val="23"/>
          <w:szCs w:val="23"/>
        </w:rPr>
        <w:t>ú</w:t>
      </w:r>
      <w:r w:rsidRPr="00C92052">
        <w:rPr>
          <w:rFonts w:ascii="Book Antiqua" w:hAnsi="Book Antiqua"/>
          <w:sz w:val="23"/>
          <w:szCs w:val="23"/>
        </w:rPr>
        <w:t>blica y de conformidad con lo establecido en el artículo 156 de la ley 5ª de 1992, nos permiti</w:t>
      </w:r>
      <w:r w:rsidR="001F11AA" w:rsidRPr="00C92052">
        <w:rPr>
          <w:rFonts w:ascii="Book Antiqua" w:hAnsi="Book Antiqua"/>
          <w:sz w:val="23"/>
          <w:szCs w:val="23"/>
        </w:rPr>
        <w:t>m</w:t>
      </w:r>
      <w:r w:rsidRPr="00C92052">
        <w:rPr>
          <w:rFonts w:ascii="Book Antiqua" w:hAnsi="Book Antiqua"/>
          <w:sz w:val="23"/>
          <w:szCs w:val="23"/>
        </w:rPr>
        <w:t>os rendir informe de Ponencia NEGATIVA</w:t>
      </w:r>
      <w:r w:rsidR="00251621" w:rsidRPr="00C92052">
        <w:rPr>
          <w:rFonts w:ascii="Book Antiqua" w:hAnsi="Book Antiqua"/>
          <w:sz w:val="23"/>
          <w:szCs w:val="23"/>
        </w:rPr>
        <w:t xml:space="preserve"> para primer debate en primera vuelta </w:t>
      </w:r>
      <w:r w:rsidRPr="00C92052">
        <w:rPr>
          <w:rFonts w:ascii="Book Antiqua" w:hAnsi="Book Antiqua"/>
          <w:sz w:val="23"/>
          <w:szCs w:val="23"/>
        </w:rPr>
        <w:t>al Proyecto de Acto Legislativo No. 002 de 2022 Cámara, “</w:t>
      </w:r>
      <w:r w:rsidRPr="00C92052">
        <w:rPr>
          <w:rFonts w:ascii="Book Antiqua" w:hAnsi="Book Antiqua"/>
          <w:i/>
          <w:sz w:val="23"/>
          <w:szCs w:val="23"/>
        </w:rPr>
        <w:t xml:space="preserve">Por medio del cual se modifica el artículo 49 de la Constitución Política de </w:t>
      </w:r>
      <w:r w:rsidRPr="00C92052">
        <w:rPr>
          <w:rFonts w:ascii="Book Antiqua" w:hAnsi="Book Antiqua"/>
          <w:i/>
          <w:color w:val="000000" w:themeColor="text1"/>
          <w:sz w:val="23"/>
          <w:szCs w:val="23"/>
        </w:rPr>
        <w:t>Colombia y se regulariza el cannabis de uso adulto</w:t>
      </w:r>
      <w:r w:rsidRPr="00C92052">
        <w:rPr>
          <w:rFonts w:ascii="Book Antiqua" w:hAnsi="Book Antiqua"/>
          <w:color w:val="000000" w:themeColor="text1"/>
          <w:sz w:val="23"/>
          <w:szCs w:val="23"/>
        </w:rPr>
        <w:t xml:space="preserve">” , de acuerdo a los siguientes argumentos: </w:t>
      </w:r>
    </w:p>
    <w:p w14:paraId="2581E55C" w14:textId="77777777" w:rsidR="00B8298D" w:rsidRPr="00C92052" w:rsidRDefault="00B8298D" w:rsidP="0016403D">
      <w:pPr>
        <w:pStyle w:val="Ttulo2"/>
        <w:keepNext w:val="0"/>
        <w:keepLines w:val="0"/>
        <w:widowControl w:val="0"/>
        <w:spacing w:before="0" w:line="240" w:lineRule="auto"/>
        <w:rPr>
          <w:rFonts w:ascii="Book Antiqua" w:eastAsia="Calibri" w:hAnsi="Book Antiqua" w:cs="Calibri"/>
          <w:color w:val="000000" w:themeColor="text1"/>
          <w:sz w:val="23"/>
          <w:szCs w:val="23"/>
        </w:rPr>
      </w:pPr>
    </w:p>
    <w:p w14:paraId="039C5D77" w14:textId="0F1242C6" w:rsidR="00B8298D" w:rsidRPr="00C92052" w:rsidRDefault="00B8298D" w:rsidP="0016403D">
      <w:pPr>
        <w:pStyle w:val="Ttulo2"/>
        <w:keepNext w:val="0"/>
        <w:keepLines w:val="0"/>
        <w:widowControl w:val="0"/>
        <w:numPr>
          <w:ilvl w:val="0"/>
          <w:numId w:val="8"/>
        </w:numPr>
        <w:spacing w:before="0" w:line="240" w:lineRule="auto"/>
        <w:rPr>
          <w:rFonts w:ascii="Book Antiqua" w:eastAsia="Calibri" w:hAnsi="Book Antiqua" w:cs="Calibri"/>
          <w:b/>
          <w:color w:val="000000" w:themeColor="text1"/>
          <w:sz w:val="23"/>
          <w:szCs w:val="23"/>
        </w:rPr>
      </w:pPr>
      <w:r w:rsidRPr="00C92052">
        <w:rPr>
          <w:rFonts w:ascii="Book Antiqua" w:eastAsia="Calibri" w:hAnsi="Book Antiqua" w:cs="Calibri"/>
          <w:b/>
          <w:color w:val="000000" w:themeColor="text1"/>
          <w:sz w:val="23"/>
          <w:szCs w:val="23"/>
        </w:rPr>
        <w:t>TRÁMITE DE LA INICIATIVA.</w:t>
      </w:r>
    </w:p>
    <w:p w14:paraId="4A984DA5" w14:textId="77777777" w:rsidR="00B8298D" w:rsidRPr="00C92052" w:rsidRDefault="00B8298D" w:rsidP="0016403D">
      <w:pPr>
        <w:spacing w:line="240" w:lineRule="auto"/>
        <w:rPr>
          <w:rFonts w:ascii="Book Antiqua" w:hAnsi="Book Antiqua"/>
          <w:sz w:val="23"/>
          <w:szCs w:val="23"/>
        </w:rPr>
      </w:pPr>
    </w:p>
    <w:p w14:paraId="21204D2F" w14:textId="48032EF6" w:rsidR="00B8298D" w:rsidRPr="00C92052" w:rsidRDefault="00B8298D" w:rsidP="0016403D">
      <w:pPr>
        <w:pStyle w:val="Ttulo2"/>
        <w:keepNext w:val="0"/>
        <w:keepLines w:val="0"/>
        <w:widowControl w:val="0"/>
        <w:spacing w:before="0" w:line="240" w:lineRule="auto"/>
        <w:jc w:val="both"/>
        <w:rPr>
          <w:rFonts w:ascii="Book Antiqua" w:eastAsia="Calibri" w:hAnsi="Book Antiqua" w:cs="Calibri"/>
          <w:b/>
          <w:bCs/>
          <w:color w:val="000000" w:themeColor="text1"/>
          <w:sz w:val="23"/>
          <w:szCs w:val="23"/>
        </w:rPr>
      </w:pPr>
      <w:r w:rsidRPr="00C92052">
        <w:rPr>
          <w:rFonts w:ascii="Book Antiqua" w:eastAsia="Calibri" w:hAnsi="Book Antiqua" w:cs="Calibri"/>
          <w:bCs/>
          <w:color w:val="000000" w:themeColor="text1"/>
          <w:sz w:val="23"/>
          <w:szCs w:val="23"/>
        </w:rPr>
        <w:t xml:space="preserve">El Proyecto de Acto Legislativo número 002 de 2022 Cámara fue radicado el día 21 de julio de 2022 por los H.R. Juan Carlos Lozada Vargas, H.R. Julián David López Tenorio, H.R. Jaime Rodríguez Contreras, H.R. Jorge Eliécer Tamayo Marulanda, H.R. Andrés David Calle Aguas, H.R. María del Mar Pizarro García, H.R. Jennifer </w:t>
      </w:r>
      <w:proofErr w:type="spellStart"/>
      <w:r w:rsidRPr="00C92052">
        <w:rPr>
          <w:rFonts w:ascii="Book Antiqua" w:eastAsia="Calibri" w:hAnsi="Book Antiqua" w:cs="Calibri"/>
          <w:bCs/>
          <w:color w:val="000000" w:themeColor="text1"/>
          <w:sz w:val="23"/>
          <w:szCs w:val="23"/>
        </w:rPr>
        <w:t>Dalley</w:t>
      </w:r>
      <w:proofErr w:type="spellEnd"/>
      <w:r w:rsidRPr="00C92052">
        <w:rPr>
          <w:rFonts w:ascii="Book Antiqua" w:eastAsia="Calibri" w:hAnsi="Book Antiqua" w:cs="Calibri"/>
          <w:bCs/>
          <w:color w:val="000000" w:themeColor="text1"/>
          <w:sz w:val="23"/>
          <w:szCs w:val="23"/>
        </w:rPr>
        <w:t xml:space="preserve"> Pedraza Sandoval, H.R. María Fernanda Carrascal Rojas, H.R. Gabriel Becerra </w:t>
      </w:r>
      <w:proofErr w:type="spellStart"/>
      <w:r w:rsidRPr="00C92052">
        <w:rPr>
          <w:rFonts w:ascii="Book Antiqua" w:eastAsia="Calibri" w:hAnsi="Book Antiqua" w:cs="Calibri"/>
          <w:bCs/>
          <w:color w:val="000000" w:themeColor="text1"/>
          <w:sz w:val="23"/>
          <w:szCs w:val="23"/>
        </w:rPr>
        <w:t>Yañez</w:t>
      </w:r>
      <w:proofErr w:type="spellEnd"/>
      <w:r w:rsidRPr="00C92052">
        <w:rPr>
          <w:rFonts w:ascii="Book Antiqua" w:eastAsia="Calibri" w:hAnsi="Book Antiqua" w:cs="Calibri"/>
          <w:bCs/>
          <w:color w:val="000000" w:themeColor="text1"/>
          <w:sz w:val="23"/>
          <w:szCs w:val="23"/>
        </w:rPr>
        <w:t xml:space="preserve">, H.R. Luis Alberto Albán Urbano, H.R. David Ricardo Racero </w:t>
      </w:r>
      <w:proofErr w:type="spellStart"/>
      <w:r w:rsidRPr="00C92052">
        <w:rPr>
          <w:rFonts w:ascii="Book Antiqua" w:eastAsia="Calibri" w:hAnsi="Book Antiqua" w:cs="Calibri"/>
          <w:bCs/>
          <w:color w:val="000000" w:themeColor="text1"/>
          <w:sz w:val="23"/>
          <w:szCs w:val="23"/>
        </w:rPr>
        <w:t>Mayorca</w:t>
      </w:r>
      <w:proofErr w:type="spellEnd"/>
      <w:r w:rsidRPr="00C92052">
        <w:rPr>
          <w:rFonts w:ascii="Book Antiqua" w:eastAsia="Calibri" w:hAnsi="Book Antiqua" w:cs="Calibri"/>
          <w:bCs/>
          <w:color w:val="000000" w:themeColor="text1"/>
          <w:sz w:val="23"/>
          <w:szCs w:val="23"/>
        </w:rPr>
        <w:t xml:space="preserve">, H.R. Alfredo Mondragón Garzón, H.R. Carlos Alberto Carreño </w:t>
      </w:r>
      <w:proofErr w:type="spellStart"/>
      <w:r w:rsidRPr="00C92052">
        <w:rPr>
          <w:rFonts w:ascii="Book Antiqua" w:eastAsia="Calibri" w:hAnsi="Book Antiqua" w:cs="Calibri"/>
          <w:bCs/>
          <w:color w:val="000000" w:themeColor="text1"/>
          <w:sz w:val="23"/>
          <w:szCs w:val="23"/>
        </w:rPr>
        <w:t>Marin</w:t>
      </w:r>
      <w:proofErr w:type="spellEnd"/>
      <w:r w:rsidRPr="00C92052">
        <w:rPr>
          <w:rFonts w:ascii="Book Antiqua" w:eastAsia="Calibri" w:hAnsi="Book Antiqua" w:cs="Calibri"/>
          <w:bCs/>
          <w:color w:val="000000" w:themeColor="text1"/>
          <w:sz w:val="23"/>
          <w:szCs w:val="23"/>
        </w:rPr>
        <w:t xml:space="preserve">, H.R. Santiago Osorio Marín, H.R. Martha Lisbeth Alfonso Jurado, H.R. </w:t>
      </w:r>
      <w:proofErr w:type="spellStart"/>
      <w:r w:rsidRPr="00C92052">
        <w:rPr>
          <w:rFonts w:ascii="Book Antiqua" w:eastAsia="Calibri" w:hAnsi="Book Antiqua" w:cs="Calibri"/>
          <w:bCs/>
          <w:color w:val="000000" w:themeColor="text1"/>
          <w:sz w:val="23"/>
          <w:szCs w:val="23"/>
        </w:rPr>
        <w:t>Jezmi</w:t>
      </w:r>
      <w:proofErr w:type="spellEnd"/>
      <w:r w:rsidRPr="00C92052">
        <w:rPr>
          <w:rFonts w:ascii="Book Antiqua" w:eastAsia="Calibri" w:hAnsi="Book Antiqua" w:cs="Calibri"/>
          <w:bCs/>
          <w:color w:val="000000" w:themeColor="text1"/>
          <w:sz w:val="23"/>
          <w:szCs w:val="23"/>
        </w:rPr>
        <w:t xml:space="preserve"> </w:t>
      </w:r>
      <w:proofErr w:type="spellStart"/>
      <w:r w:rsidRPr="00C92052">
        <w:rPr>
          <w:rFonts w:ascii="Book Antiqua" w:eastAsia="Calibri" w:hAnsi="Book Antiqua" w:cs="Calibri"/>
          <w:bCs/>
          <w:color w:val="000000" w:themeColor="text1"/>
          <w:sz w:val="23"/>
          <w:szCs w:val="23"/>
        </w:rPr>
        <w:t>Lizeth</w:t>
      </w:r>
      <w:proofErr w:type="spellEnd"/>
      <w:r w:rsidRPr="00C92052">
        <w:rPr>
          <w:rFonts w:ascii="Book Antiqua" w:eastAsia="Calibri" w:hAnsi="Book Antiqua" w:cs="Calibri"/>
          <w:bCs/>
          <w:color w:val="000000" w:themeColor="text1"/>
          <w:sz w:val="23"/>
          <w:szCs w:val="23"/>
        </w:rPr>
        <w:t xml:space="preserve"> Barraza </w:t>
      </w:r>
      <w:proofErr w:type="spellStart"/>
      <w:r w:rsidRPr="00C92052">
        <w:rPr>
          <w:rFonts w:ascii="Book Antiqua" w:eastAsia="Calibri" w:hAnsi="Book Antiqua" w:cs="Calibri"/>
          <w:bCs/>
          <w:color w:val="000000" w:themeColor="text1"/>
          <w:sz w:val="23"/>
          <w:szCs w:val="23"/>
        </w:rPr>
        <w:t>Arraut</w:t>
      </w:r>
      <w:proofErr w:type="spellEnd"/>
      <w:r w:rsidRPr="00C92052">
        <w:rPr>
          <w:rFonts w:ascii="Book Antiqua" w:eastAsia="Calibri" w:hAnsi="Book Antiqua" w:cs="Calibri"/>
          <w:bCs/>
          <w:color w:val="000000" w:themeColor="text1"/>
          <w:sz w:val="23"/>
          <w:szCs w:val="23"/>
        </w:rPr>
        <w:t xml:space="preserve">, H.R. </w:t>
      </w:r>
      <w:proofErr w:type="spellStart"/>
      <w:r w:rsidRPr="00C92052">
        <w:rPr>
          <w:rFonts w:ascii="Book Antiqua" w:eastAsia="Calibri" w:hAnsi="Book Antiqua" w:cs="Calibri"/>
          <w:bCs/>
          <w:color w:val="000000" w:themeColor="text1"/>
          <w:sz w:val="23"/>
          <w:szCs w:val="23"/>
        </w:rPr>
        <w:t>Luvi</w:t>
      </w:r>
      <w:proofErr w:type="spellEnd"/>
      <w:r w:rsidRPr="00C92052">
        <w:rPr>
          <w:rFonts w:ascii="Book Antiqua" w:eastAsia="Calibri" w:hAnsi="Book Antiqua" w:cs="Calibri"/>
          <w:bCs/>
          <w:color w:val="000000" w:themeColor="text1"/>
          <w:sz w:val="23"/>
          <w:szCs w:val="23"/>
        </w:rPr>
        <w:t xml:space="preserve"> Katherine Miranda Peña, H.R. </w:t>
      </w:r>
      <w:proofErr w:type="spellStart"/>
      <w:r w:rsidRPr="00C92052">
        <w:rPr>
          <w:rFonts w:ascii="Book Antiqua" w:eastAsia="Calibri" w:hAnsi="Book Antiqua" w:cs="Calibri"/>
          <w:bCs/>
          <w:color w:val="000000" w:themeColor="text1"/>
          <w:sz w:val="23"/>
          <w:szCs w:val="23"/>
        </w:rPr>
        <w:t>Dolcey</w:t>
      </w:r>
      <w:proofErr w:type="spellEnd"/>
      <w:r w:rsidRPr="00C92052">
        <w:rPr>
          <w:rFonts w:ascii="Book Antiqua" w:eastAsia="Calibri" w:hAnsi="Book Antiqua" w:cs="Calibri"/>
          <w:bCs/>
          <w:color w:val="000000" w:themeColor="text1"/>
          <w:sz w:val="23"/>
          <w:szCs w:val="23"/>
        </w:rPr>
        <w:t xml:space="preserve"> Oscar Torres Romero, H.R. Catherine </w:t>
      </w:r>
      <w:proofErr w:type="spellStart"/>
      <w:r w:rsidRPr="00C92052">
        <w:rPr>
          <w:rFonts w:ascii="Book Antiqua" w:eastAsia="Calibri" w:hAnsi="Book Antiqua" w:cs="Calibri"/>
          <w:bCs/>
          <w:color w:val="000000" w:themeColor="text1"/>
          <w:sz w:val="23"/>
          <w:szCs w:val="23"/>
        </w:rPr>
        <w:t>Juvinao</w:t>
      </w:r>
      <w:proofErr w:type="spellEnd"/>
      <w:r w:rsidRPr="00C92052">
        <w:rPr>
          <w:rFonts w:ascii="Book Antiqua" w:eastAsia="Calibri" w:hAnsi="Book Antiqua" w:cs="Calibri"/>
          <w:bCs/>
          <w:color w:val="000000" w:themeColor="text1"/>
          <w:sz w:val="23"/>
          <w:szCs w:val="23"/>
        </w:rPr>
        <w:t xml:space="preserve"> Clavijo, H.R. Daniel Carvalho Mejía, H.R. Germán Rogelio Rozo Anís, H.R. Gilma Díaz Arias, H.R. Mónica Karina Bocanegra Pantoja, así como por los H.S. Alejandro Alberto Vega Pérez, H.S. </w:t>
      </w:r>
      <w:r w:rsidRPr="00C92052">
        <w:rPr>
          <w:rFonts w:ascii="Book Antiqua" w:eastAsia="Calibri" w:hAnsi="Book Antiqua" w:cs="Calibri"/>
          <w:bCs/>
          <w:color w:val="000000" w:themeColor="text1"/>
          <w:sz w:val="23"/>
          <w:szCs w:val="23"/>
        </w:rPr>
        <w:lastRenderedPageBreak/>
        <w:t xml:space="preserve">Alejandro Carlos Chacón Camargo, H.S. María José Pizarro Rodríguez, H.S. Inti Raúl Asprilla Reyes, H.S. </w:t>
      </w:r>
      <w:proofErr w:type="spellStart"/>
      <w:r w:rsidRPr="00C92052">
        <w:rPr>
          <w:rFonts w:ascii="Book Antiqua" w:eastAsia="Calibri" w:hAnsi="Book Antiqua" w:cs="Calibri"/>
          <w:bCs/>
          <w:color w:val="000000" w:themeColor="text1"/>
          <w:sz w:val="23"/>
          <w:szCs w:val="23"/>
        </w:rPr>
        <w:t>Alexánder</w:t>
      </w:r>
      <w:proofErr w:type="spellEnd"/>
      <w:r w:rsidRPr="00C92052">
        <w:rPr>
          <w:rFonts w:ascii="Book Antiqua" w:eastAsia="Calibri" w:hAnsi="Book Antiqua" w:cs="Calibri"/>
          <w:bCs/>
          <w:color w:val="000000" w:themeColor="text1"/>
          <w:sz w:val="23"/>
          <w:szCs w:val="23"/>
        </w:rPr>
        <w:t xml:space="preserve"> López Maya, H.S. Omar de Jesús Restrepo Correa, H.S. Wilson Arias Castillo, H.S. Roy Leonardo Barreras Montealegre, H.S. Iván Cepeda Castro, H.S. </w:t>
      </w:r>
      <w:proofErr w:type="spellStart"/>
      <w:r w:rsidRPr="00C92052">
        <w:rPr>
          <w:rFonts w:ascii="Book Antiqua" w:eastAsia="Calibri" w:hAnsi="Book Antiqua" w:cs="Calibri"/>
          <w:bCs/>
          <w:color w:val="000000" w:themeColor="text1"/>
          <w:sz w:val="23"/>
          <w:szCs w:val="23"/>
        </w:rPr>
        <w:t>Yuly</w:t>
      </w:r>
      <w:proofErr w:type="spellEnd"/>
      <w:r w:rsidRPr="00C92052">
        <w:rPr>
          <w:rFonts w:ascii="Book Antiqua" w:eastAsia="Calibri" w:hAnsi="Book Antiqua" w:cs="Calibri"/>
          <w:bCs/>
          <w:color w:val="000000" w:themeColor="text1"/>
          <w:sz w:val="23"/>
          <w:szCs w:val="23"/>
        </w:rPr>
        <w:t xml:space="preserve"> Esmeralda Hernández Silva.</w:t>
      </w:r>
    </w:p>
    <w:p w14:paraId="6F3DD465" w14:textId="77777777" w:rsidR="00B8298D" w:rsidRPr="00C92052" w:rsidRDefault="00B8298D" w:rsidP="0016403D">
      <w:pPr>
        <w:pStyle w:val="Ttulo2"/>
        <w:spacing w:line="240" w:lineRule="auto"/>
        <w:jc w:val="both"/>
        <w:rPr>
          <w:rFonts w:ascii="Book Antiqua" w:eastAsia="Calibri" w:hAnsi="Book Antiqua" w:cs="Calibri"/>
          <w:b/>
          <w:bCs/>
          <w:color w:val="000000" w:themeColor="text1"/>
          <w:sz w:val="23"/>
          <w:szCs w:val="23"/>
        </w:rPr>
      </w:pPr>
    </w:p>
    <w:p w14:paraId="320A1C1B" w14:textId="2740132F" w:rsidR="00B8298D" w:rsidRPr="00C92052" w:rsidRDefault="00B8298D" w:rsidP="0016403D">
      <w:pPr>
        <w:pStyle w:val="Ttulo2"/>
        <w:spacing w:line="240" w:lineRule="auto"/>
        <w:jc w:val="both"/>
        <w:rPr>
          <w:rFonts w:ascii="Book Antiqua" w:eastAsia="Calibri" w:hAnsi="Book Antiqua" w:cs="Calibri"/>
          <w:b/>
          <w:bCs/>
          <w:color w:val="000000" w:themeColor="text1"/>
          <w:sz w:val="23"/>
          <w:szCs w:val="23"/>
        </w:rPr>
      </w:pPr>
      <w:r w:rsidRPr="00C92052">
        <w:rPr>
          <w:rFonts w:ascii="Book Antiqua" w:eastAsia="Calibri" w:hAnsi="Book Antiqua" w:cs="Calibri"/>
          <w:bCs/>
          <w:color w:val="000000" w:themeColor="text1"/>
          <w:sz w:val="23"/>
          <w:szCs w:val="23"/>
        </w:rPr>
        <w:t xml:space="preserve">El día 05 de agosto de 2022 se designó como ponentes a los H.R. Juan Carlos Lozada Vargas, Jorge Alejandro Ocampo Giraldo, </w:t>
      </w:r>
      <w:proofErr w:type="spellStart"/>
      <w:r w:rsidRPr="00C92052">
        <w:rPr>
          <w:rFonts w:ascii="Book Antiqua" w:eastAsia="Calibri" w:hAnsi="Book Antiqua" w:cs="Calibri"/>
          <w:bCs/>
          <w:color w:val="000000" w:themeColor="text1"/>
          <w:sz w:val="23"/>
          <w:szCs w:val="23"/>
        </w:rPr>
        <w:t>Marelen</w:t>
      </w:r>
      <w:proofErr w:type="spellEnd"/>
      <w:r w:rsidRPr="00C92052">
        <w:rPr>
          <w:rFonts w:ascii="Book Antiqua" w:eastAsia="Calibri" w:hAnsi="Book Antiqua" w:cs="Calibri"/>
          <w:bCs/>
          <w:color w:val="000000" w:themeColor="text1"/>
          <w:sz w:val="23"/>
          <w:szCs w:val="23"/>
        </w:rPr>
        <w:t xml:space="preserve"> Castillo Torres, Luis Alberto Albán Urbano, Catherine </w:t>
      </w:r>
      <w:proofErr w:type="spellStart"/>
      <w:r w:rsidRPr="00C92052">
        <w:rPr>
          <w:rFonts w:ascii="Book Antiqua" w:eastAsia="Calibri" w:hAnsi="Book Antiqua" w:cs="Calibri"/>
          <w:bCs/>
          <w:color w:val="000000" w:themeColor="text1"/>
          <w:sz w:val="23"/>
          <w:szCs w:val="23"/>
        </w:rPr>
        <w:t>Juvinao</w:t>
      </w:r>
      <w:proofErr w:type="spellEnd"/>
      <w:r w:rsidRPr="00C92052">
        <w:rPr>
          <w:rFonts w:ascii="Book Antiqua" w:eastAsia="Calibri" w:hAnsi="Book Antiqua" w:cs="Calibri"/>
          <w:bCs/>
          <w:color w:val="000000" w:themeColor="text1"/>
          <w:sz w:val="23"/>
          <w:szCs w:val="23"/>
        </w:rPr>
        <w:t xml:space="preserve"> Clavijo, Hernán Darío Cadavid Márquez, Julio Cesar Triana Quintero, Jorge Eliecer Tamayo Marulanda, </w:t>
      </w:r>
      <w:proofErr w:type="spellStart"/>
      <w:r w:rsidRPr="00C92052">
        <w:rPr>
          <w:rFonts w:ascii="Book Antiqua" w:eastAsia="Calibri" w:hAnsi="Book Antiqua" w:cs="Calibri"/>
          <w:bCs/>
          <w:color w:val="000000" w:themeColor="text1"/>
          <w:sz w:val="23"/>
          <w:szCs w:val="23"/>
        </w:rPr>
        <w:t>Diogenes</w:t>
      </w:r>
      <w:proofErr w:type="spellEnd"/>
      <w:r w:rsidRPr="00C92052">
        <w:rPr>
          <w:rFonts w:ascii="Book Antiqua" w:eastAsia="Calibri" w:hAnsi="Book Antiqua" w:cs="Calibri"/>
          <w:bCs/>
          <w:color w:val="000000" w:themeColor="text1"/>
          <w:sz w:val="23"/>
          <w:szCs w:val="23"/>
        </w:rPr>
        <w:t xml:space="preserve"> Quintero Amaya y Juan Daniel Peñuela Calvache.</w:t>
      </w:r>
    </w:p>
    <w:p w14:paraId="1BEA31D7" w14:textId="77777777" w:rsidR="00B8298D" w:rsidRPr="00C92052" w:rsidRDefault="00B8298D" w:rsidP="0016403D">
      <w:pPr>
        <w:pStyle w:val="Ttulo2"/>
        <w:keepNext w:val="0"/>
        <w:keepLines w:val="0"/>
        <w:widowControl w:val="0"/>
        <w:spacing w:before="0" w:line="240" w:lineRule="auto"/>
        <w:rPr>
          <w:rFonts w:ascii="Book Antiqua" w:eastAsia="Calibri" w:hAnsi="Book Antiqua" w:cstheme="minorBidi"/>
          <w:b/>
          <w:color w:val="000000" w:themeColor="text1"/>
          <w:sz w:val="23"/>
          <w:szCs w:val="23"/>
        </w:rPr>
      </w:pPr>
    </w:p>
    <w:p w14:paraId="559E8C0B" w14:textId="082A79CD" w:rsidR="00EC5DAB" w:rsidRPr="00C92052" w:rsidRDefault="00B953FE" w:rsidP="0016403D">
      <w:pPr>
        <w:pStyle w:val="Prrafodelista"/>
        <w:numPr>
          <w:ilvl w:val="0"/>
          <w:numId w:val="8"/>
        </w:numPr>
        <w:spacing w:line="240" w:lineRule="auto"/>
        <w:jc w:val="both"/>
        <w:rPr>
          <w:rFonts w:ascii="Book Antiqua" w:hAnsi="Book Antiqua"/>
          <w:b/>
          <w:sz w:val="23"/>
          <w:szCs w:val="23"/>
        </w:rPr>
      </w:pPr>
      <w:r w:rsidRPr="00C92052">
        <w:rPr>
          <w:rFonts w:ascii="Book Antiqua" w:hAnsi="Book Antiqua"/>
          <w:b/>
          <w:sz w:val="23"/>
          <w:szCs w:val="23"/>
        </w:rPr>
        <w:t xml:space="preserve">CONTEXTUALIZACIÓN </w:t>
      </w:r>
    </w:p>
    <w:p w14:paraId="3E6F66ED" w14:textId="77777777" w:rsidR="00B953FE" w:rsidRPr="00C92052" w:rsidRDefault="00381C83" w:rsidP="0016403D">
      <w:pPr>
        <w:spacing w:line="240" w:lineRule="auto"/>
        <w:jc w:val="both"/>
        <w:rPr>
          <w:rFonts w:ascii="Book Antiqua" w:hAnsi="Book Antiqua"/>
          <w:sz w:val="23"/>
          <w:szCs w:val="23"/>
        </w:rPr>
      </w:pPr>
      <w:r w:rsidRPr="00C92052">
        <w:rPr>
          <w:rFonts w:ascii="Book Antiqua" w:hAnsi="Book Antiqua"/>
          <w:sz w:val="23"/>
          <w:szCs w:val="23"/>
        </w:rPr>
        <w:t xml:space="preserve">La Constitución Política de 1991 establecía en el artículo 49 inicialmente el siguiente apartado: </w:t>
      </w:r>
    </w:p>
    <w:p w14:paraId="52CC5F46" w14:textId="77777777" w:rsidR="00381C83" w:rsidRPr="00C92052" w:rsidRDefault="00381C83" w:rsidP="0016403D">
      <w:pPr>
        <w:spacing w:line="240" w:lineRule="auto"/>
        <w:ind w:left="708"/>
        <w:jc w:val="both"/>
        <w:rPr>
          <w:rFonts w:ascii="Book Antiqua" w:hAnsi="Book Antiqua"/>
          <w:i/>
          <w:sz w:val="23"/>
          <w:szCs w:val="23"/>
        </w:rPr>
      </w:pPr>
      <w:r w:rsidRPr="00C92052">
        <w:rPr>
          <w:rFonts w:ascii="Book Antiqua" w:hAnsi="Book Antiqua"/>
          <w:i/>
          <w:sz w:val="23"/>
          <w:szCs w:val="23"/>
        </w:rPr>
        <w:t>“ARTÍCULO 49. La atención de la salud y el saneamiento ambiental son servicios públicos a cargo del Estado. Se garantiza a todas las personas el acceso a los servicios de promoción, protección y recuperación de la salud.</w:t>
      </w:r>
    </w:p>
    <w:p w14:paraId="056FDDB8" w14:textId="77777777" w:rsidR="00381C83" w:rsidRPr="00C92052" w:rsidRDefault="00381C83" w:rsidP="0016403D">
      <w:pPr>
        <w:spacing w:line="240" w:lineRule="auto"/>
        <w:ind w:left="708"/>
        <w:jc w:val="both"/>
        <w:rPr>
          <w:rFonts w:ascii="Book Antiqua" w:hAnsi="Book Antiqua"/>
          <w:i/>
          <w:sz w:val="23"/>
          <w:szCs w:val="23"/>
        </w:rPr>
      </w:pPr>
      <w:r w:rsidRPr="00C92052">
        <w:rPr>
          <w:rFonts w:ascii="Book Antiqua" w:hAnsi="Book Antiqua"/>
          <w:i/>
          <w:sz w:val="23"/>
          <w:szCs w:val="23"/>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F9994CA" w14:textId="77777777" w:rsidR="00381C83" w:rsidRPr="00C92052" w:rsidRDefault="00381C83" w:rsidP="0016403D">
      <w:pPr>
        <w:spacing w:line="240" w:lineRule="auto"/>
        <w:ind w:left="708"/>
        <w:jc w:val="both"/>
        <w:rPr>
          <w:rFonts w:ascii="Book Antiqua" w:hAnsi="Book Antiqua"/>
          <w:i/>
          <w:sz w:val="23"/>
          <w:szCs w:val="23"/>
        </w:rPr>
      </w:pPr>
      <w:r w:rsidRPr="00C92052">
        <w:rPr>
          <w:rFonts w:ascii="Book Antiqua" w:hAnsi="Book Antiqua"/>
          <w:i/>
          <w:sz w:val="23"/>
          <w:szCs w:val="23"/>
        </w:rPr>
        <w:t>Los servicios de salud se organizarán en forma descentralizada, por niveles de atención y con participación de la comunidad.</w:t>
      </w:r>
    </w:p>
    <w:p w14:paraId="31EDE505" w14:textId="77777777" w:rsidR="00381C83" w:rsidRPr="00C92052" w:rsidRDefault="00381C83" w:rsidP="0016403D">
      <w:pPr>
        <w:spacing w:line="240" w:lineRule="auto"/>
        <w:ind w:left="708"/>
        <w:jc w:val="both"/>
        <w:rPr>
          <w:rFonts w:ascii="Book Antiqua" w:hAnsi="Book Antiqua"/>
          <w:i/>
          <w:sz w:val="23"/>
          <w:szCs w:val="23"/>
        </w:rPr>
      </w:pPr>
      <w:r w:rsidRPr="00C92052">
        <w:rPr>
          <w:rFonts w:ascii="Book Antiqua" w:hAnsi="Book Antiqua"/>
          <w:i/>
          <w:sz w:val="23"/>
          <w:szCs w:val="23"/>
        </w:rPr>
        <w:t>La ley señalará los términos en los cuales la atención básica para todos los habitantes será gratuita y obligatoria.</w:t>
      </w:r>
    </w:p>
    <w:p w14:paraId="0E77D047" w14:textId="77777777" w:rsidR="00381C83" w:rsidRPr="00C92052" w:rsidRDefault="00381C83" w:rsidP="0016403D">
      <w:pPr>
        <w:spacing w:line="240" w:lineRule="auto"/>
        <w:ind w:left="708"/>
        <w:jc w:val="both"/>
        <w:rPr>
          <w:rFonts w:ascii="Book Antiqua" w:hAnsi="Book Antiqua"/>
          <w:i/>
          <w:sz w:val="23"/>
          <w:szCs w:val="23"/>
        </w:rPr>
      </w:pPr>
      <w:r w:rsidRPr="00C92052">
        <w:rPr>
          <w:rFonts w:ascii="Book Antiqua" w:hAnsi="Book Antiqua"/>
          <w:i/>
          <w:sz w:val="23"/>
          <w:szCs w:val="23"/>
        </w:rPr>
        <w:t xml:space="preserve">Toda persona tiene el deber de procurar el cuidado integral de su salud y la de su comunidad” </w:t>
      </w:r>
    </w:p>
    <w:p w14:paraId="257DF701" w14:textId="54568B94" w:rsidR="00381C83" w:rsidRPr="00C92052" w:rsidRDefault="00381C83" w:rsidP="0016403D">
      <w:pPr>
        <w:spacing w:line="240" w:lineRule="auto"/>
        <w:jc w:val="both"/>
        <w:rPr>
          <w:rFonts w:ascii="Book Antiqua" w:hAnsi="Book Antiqua"/>
          <w:sz w:val="23"/>
          <w:szCs w:val="23"/>
        </w:rPr>
      </w:pPr>
      <w:r w:rsidRPr="00C92052">
        <w:rPr>
          <w:rFonts w:ascii="Book Antiqua" w:hAnsi="Book Antiqua"/>
          <w:sz w:val="23"/>
          <w:szCs w:val="23"/>
        </w:rPr>
        <w:t xml:space="preserve">De la lectura del </w:t>
      </w:r>
      <w:r w:rsidR="00E46E0E" w:rsidRPr="00C92052">
        <w:rPr>
          <w:rFonts w:ascii="Book Antiqua" w:hAnsi="Book Antiqua"/>
          <w:sz w:val="23"/>
          <w:szCs w:val="23"/>
        </w:rPr>
        <w:t>anterior artículo, la Asamblea Constituyente estableció que el derecho a la salud se reconoce como un servicio público a cargo del Estado</w:t>
      </w:r>
      <w:r w:rsidR="00613A71" w:rsidRPr="00C92052">
        <w:rPr>
          <w:rFonts w:ascii="Book Antiqua" w:hAnsi="Book Antiqua"/>
          <w:sz w:val="23"/>
          <w:szCs w:val="23"/>
        </w:rPr>
        <w:t>,</w:t>
      </w:r>
      <w:r w:rsidR="00E46E0E" w:rsidRPr="00C92052">
        <w:rPr>
          <w:rFonts w:ascii="Book Antiqua" w:hAnsi="Book Antiqua"/>
          <w:sz w:val="23"/>
          <w:szCs w:val="23"/>
        </w:rPr>
        <w:t xml:space="preserve"> en virtud del cual se garantiza a todas las personas el acceso a los servicios de promoción, protección y recuperación de la salud bajo los principios de eficiencia, universalidad y solidaridad. </w:t>
      </w:r>
    </w:p>
    <w:p w14:paraId="6C79B894" w14:textId="17358628" w:rsidR="00E46E0E" w:rsidRPr="00C92052" w:rsidRDefault="00E46E0E" w:rsidP="0016403D">
      <w:pPr>
        <w:spacing w:line="240" w:lineRule="auto"/>
        <w:jc w:val="both"/>
        <w:rPr>
          <w:rFonts w:ascii="Book Antiqua" w:hAnsi="Book Antiqua"/>
          <w:sz w:val="23"/>
          <w:szCs w:val="23"/>
        </w:rPr>
      </w:pPr>
      <w:r w:rsidRPr="00C92052">
        <w:rPr>
          <w:rFonts w:ascii="Book Antiqua" w:hAnsi="Book Antiqua"/>
          <w:sz w:val="23"/>
          <w:szCs w:val="23"/>
        </w:rPr>
        <w:t>El prin</w:t>
      </w:r>
      <w:r w:rsidR="00F20D27" w:rsidRPr="00C92052">
        <w:rPr>
          <w:rFonts w:ascii="Book Antiqua" w:hAnsi="Book Antiqua"/>
          <w:sz w:val="23"/>
          <w:szCs w:val="23"/>
        </w:rPr>
        <w:t>cipio de eficiencia</w:t>
      </w:r>
      <w:r w:rsidR="00613A71" w:rsidRPr="00C92052">
        <w:rPr>
          <w:rFonts w:ascii="Book Antiqua" w:hAnsi="Book Antiqua"/>
          <w:sz w:val="23"/>
          <w:szCs w:val="23"/>
        </w:rPr>
        <w:t>,</w:t>
      </w:r>
      <w:r w:rsidR="00F20D27" w:rsidRPr="00C92052">
        <w:rPr>
          <w:rFonts w:ascii="Book Antiqua" w:hAnsi="Book Antiqua"/>
          <w:sz w:val="23"/>
          <w:szCs w:val="23"/>
        </w:rPr>
        <w:t xml:space="preserve"> tiene como destinatarios a los organismos responsables de la </w:t>
      </w:r>
      <w:r w:rsidR="00DA1CCE" w:rsidRPr="00C92052">
        <w:rPr>
          <w:rFonts w:ascii="Book Antiqua" w:hAnsi="Book Antiqua"/>
          <w:sz w:val="23"/>
          <w:szCs w:val="23"/>
        </w:rPr>
        <w:t>prestación del servicio público</w:t>
      </w:r>
      <w:r w:rsidR="00F20D27" w:rsidRPr="00C92052">
        <w:rPr>
          <w:rFonts w:ascii="Book Antiqua" w:hAnsi="Book Antiqua"/>
          <w:sz w:val="23"/>
          <w:szCs w:val="23"/>
        </w:rPr>
        <w:t xml:space="preserve"> e implica la realización del control de los resultados del servicio</w:t>
      </w:r>
      <w:r w:rsidR="00F20D27" w:rsidRPr="00C92052">
        <w:rPr>
          <w:rStyle w:val="Refdenotaalpie"/>
          <w:rFonts w:ascii="Book Antiqua" w:hAnsi="Book Antiqua"/>
          <w:sz w:val="23"/>
          <w:szCs w:val="23"/>
        </w:rPr>
        <w:footnoteReference w:id="1"/>
      </w:r>
      <w:r w:rsidR="00F20D27" w:rsidRPr="00C92052">
        <w:rPr>
          <w:rFonts w:ascii="Book Antiqua" w:hAnsi="Book Antiqua"/>
          <w:sz w:val="23"/>
          <w:szCs w:val="23"/>
        </w:rPr>
        <w:t xml:space="preserve">. El principio de universalidad, se refiere a la cobertura que debe comprender a </w:t>
      </w:r>
      <w:r w:rsidR="00F20D27" w:rsidRPr="00C92052">
        <w:rPr>
          <w:rFonts w:ascii="Book Antiqua" w:hAnsi="Book Antiqua"/>
          <w:sz w:val="23"/>
          <w:szCs w:val="23"/>
        </w:rPr>
        <w:lastRenderedPageBreak/>
        <w:t>todas las personas</w:t>
      </w:r>
      <w:r w:rsidR="00F20D27" w:rsidRPr="00C92052">
        <w:rPr>
          <w:rStyle w:val="Refdenotaalpie"/>
          <w:rFonts w:ascii="Book Antiqua" w:hAnsi="Book Antiqua"/>
          <w:sz w:val="23"/>
          <w:szCs w:val="23"/>
        </w:rPr>
        <w:footnoteReference w:id="2"/>
      </w:r>
      <w:r w:rsidR="00F20D27" w:rsidRPr="00C92052">
        <w:rPr>
          <w:rFonts w:ascii="Book Antiqua" w:hAnsi="Book Antiqua"/>
          <w:sz w:val="23"/>
          <w:szCs w:val="23"/>
        </w:rPr>
        <w:t>. Finalmente, el principio de solidaridad, aspira al valor de justicia y la dignidad humana</w:t>
      </w:r>
      <w:r w:rsidR="00F20D27" w:rsidRPr="00C92052">
        <w:rPr>
          <w:rStyle w:val="Refdenotaalpie"/>
          <w:rFonts w:ascii="Book Antiqua" w:hAnsi="Book Antiqua"/>
          <w:sz w:val="23"/>
          <w:szCs w:val="23"/>
        </w:rPr>
        <w:footnoteReference w:id="3"/>
      </w:r>
      <w:r w:rsidR="00F20D27" w:rsidRPr="00C92052">
        <w:rPr>
          <w:rFonts w:ascii="Book Antiqua" w:hAnsi="Book Antiqua"/>
          <w:sz w:val="23"/>
          <w:szCs w:val="23"/>
        </w:rPr>
        <w:t xml:space="preserve">. </w:t>
      </w:r>
    </w:p>
    <w:p w14:paraId="14AAF018" w14:textId="6FF346E5" w:rsidR="00E46E0E" w:rsidRPr="00C92052" w:rsidRDefault="00DA1CCE" w:rsidP="0016403D">
      <w:pPr>
        <w:spacing w:line="240" w:lineRule="auto"/>
        <w:jc w:val="both"/>
        <w:rPr>
          <w:rFonts w:ascii="Book Antiqua" w:hAnsi="Book Antiqua"/>
          <w:sz w:val="23"/>
          <w:szCs w:val="23"/>
        </w:rPr>
      </w:pPr>
      <w:r w:rsidRPr="00C92052">
        <w:rPr>
          <w:rFonts w:ascii="Book Antiqua" w:hAnsi="Book Antiqua"/>
          <w:sz w:val="23"/>
          <w:szCs w:val="23"/>
        </w:rPr>
        <w:t>De acuerdo a lo anterior, toda persona tiene derecho a la salud y la prestación de servicios de atención médica, teniendo como pilar orientador a la dignidad humana. Adicionalmente, el art</w:t>
      </w:r>
      <w:r w:rsidR="004D3D00" w:rsidRPr="00C92052">
        <w:rPr>
          <w:rFonts w:ascii="Book Antiqua" w:hAnsi="Book Antiqua"/>
          <w:sz w:val="23"/>
          <w:szCs w:val="23"/>
        </w:rPr>
        <w:t>ículo</w:t>
      </w:r>
      <w:r w:rsidRPr="00C92052">
        <w:rPr>
          <w:rFonts w:ascii="Book Antiqua" w:hAnsi="Book Antiqua"/>
          <w:sz w:val="23"/>
          <w:szCs w:val="23"/>
        </w:rPr>
        <w:t xml:space="preserve"> 49 constitucional expres</w:t>
      </w:r>
      <w:r w:rsidR="004D3D00" w:rsidRPr="00C92052">
        <w:rPr>
          <w:rFonts w:ascii="Book Antiqua" w:hAnsi="Book Antiqua"/>
          <w:sz w:val="23"/>
          <w:szCs w:val="23"/>
        </w:rPr>
        <w:t xml:space="preserve">a, </w:t>
      </w:r>
      <w:r w:rsidRPr="00C92052">
        <w:rPr>
          <w:rFonts w:ascii="Book Antiqua" w:hAnsi="Book Antiqua"/>
          <w:i/>
          <w:sz w:val="23"/>
          <w:szCs w:val="23"/>
        </w:rPr>
        <w:t>“</w:t>
      </w:r>
      <w:r w:rsidR="004D3D00" w:rsidRPr="00C92052">
        <w:rPr>
          <w:rFonts w:ascii="Book Antiqua" w:hAnsi="Book Antiqua"/>
          <w:i/>
          <w:sz w:val="23"/>
          <w:szCs w:val="23"/>
        </w:rPr>
        <w:t>(…) T</w:t>
      </w:r>
      <w:r w:rsidRPr="00C92052">
        <w:rPr>
          <w:rFonts w:ascii="Book Antiqua" w:hAnsi="Book Antiqua"/>
          <w:i/>
          <w:sz w:val="23"/>
          <w:szCs w:val="23"/>
        </w:rPr>
        <w:t>oda persona tiene el deber de procurar el cuidado integral de su salud y de la comunidad”</w:t>
      </w:r>
      <w:r w:rsidRPr="00C92052">
        <w:rPr>
          <w:rFonts w:ascii="Book Antiqua" w:hAnsi="Book Antiqua"/>
          <w:sz w:val="23"/>
          <w:szCs w:val="23"/>
        </w:rPr>
        <w:t xml:space="preserve">, expresando que en virtud de la autonomía de cada </w:t>
      </w:r>
      <w:r w:rsidRPr="00C92052">
        <w:rPr>
          <w:rFonts w:ascii="Book Antiqua" w:hAnsi="Book Antiqua"/>
          <w:color w:val="000000" w:themeColor="text1"/>
          <w:sz w:val="23"/>
          <w:szCs w:val="23"/>
        </w:rPr>
        <w:t xml:space="preserve">individuo y propendiendo por el interés general, </w:t>
      </w:r>
      <w:r w:rsidR="00745CE6" w:rsidRPr="00C92052">
        <w:rPr>
          <w:rFonts w:ascii="Book Antiqua" w:hAnsi="Book Antiqua"/>
          <w:color w:val="000000" w:themeColor="text1"/>
          <w:sz w:val="23"/>
          <w:szCs w:val="23"/>
        </w:rPr>
        <w:t xml:space="preserve">debía procurar por el cuidado integral de la salud de la comunidad. </w:t>
      </w:r>
    </w:p>
    <w:p w14:paraId="7CC9729A" w14:textId="62F3B8CC" w:rsidR="00E46E0E" w:rsidRPr="00C92052" w:rsidRDefault="00DA1CCE" w:rsidP="0016403D">
      <w:pPr>
        <w:spacing w:line="240" w:lineRule="auto"/>
        <w:jc w:val="both"/>
        <w:rPr>
          <w:rFonts w:ascii="Book Antiqua" w:hAnsi="Book Antiqua"/>
          <w:sz w:val="23"/>
          <w:szCs w:val="23"/>
        </w:rPr>
      </w:pPr>
      <w:r w:rsidRPr="00C92052">
        <w:rPr>
          <w:rFonts w:ascii="Book Antiqua" w:hAnsi="Book Antiqua"/>
          <w:sz w:val="23"/>
          <w:szCs w:val="23"/>
        </w:rPr>
        <w:t>Luego de la anterior normativa y la interpretación de la Corte Constitucional</w:t>
      </w:r>
      <w:r w:rsidR="00E46E0E" w:rsidRPr="00C92052">
        <w:rPr>
          <w:rFonts w:ascii="Book Antiqua" w:hAnsi="Book Antiqua"/>
          <w:sz w:val="23"/>
          <w:szCs w:val="23"/>
        </w:rPr>
        <w:t>, debe tenerse en cuenta que mediante el Acto Legislativo 02 de 2009 se modificó el art</w:t>
      </w:r>
      <w:r w:rsidR="00723AFC" w:rsidRPr="00C92052">
        <w:rPr>
          <w:rFonts w:ascii="Book Antiqua" w:hAnsi="Book Antiqua"/>
          <w:sz w:val="23"/>
          <w:szCs w:val="23"/>
        </w:rPr>
        <w:t>ículo</w:t>
      </w:r>
      <w:r w:rsidR="00E46E0E" w:rsidRPr="00C92052">
        <w:rPr>
          <w:rFonts w:ascii="Book Antiqua" w:hAnsi="Book Antiqua"/>
          <w:sz w:val="23"/>
          <w:szCs w:val="23"/>
        </w:rPr>
        <w:t xml:space="preserve"> 49 constitucional </w:t>
      </w:r>
      <w:r w:rsidRPr="00C92052">
        <w:rPr>
          <w:rFonts w:ascii="Book Antiqua" w:hAnsi="Book Antiqua"/>
          <w:sz w:val="23"/>
          <w:szCs w:val="23"/>
        </w:rPr>
        <w:t xml:space="preserve">de la siguiente manera: </w:t>
      </w:r>
    </w:p>
    <w:p w14:paraId="573E6C63" w14:textId="77777777"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“ARTICULO 49. La atención de la salud y el saneamiento ambiental son servicios públicos a cargo del Estado. Se garantiza a todas las personas el acceso a los servicios de promoción, protección y recuperación de la salud.</w:t>
      </w:r>
    </w:p>
    <w:p w14:paraId="10D10848" w14:textId="77777777"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w:t>
      </w:r>
      <w:r w:rsidR="00BF7DE5" w:rsidRPr="00C92052">
        <w:rPr>
          <w:rFonts w:ascii="Book Antiqua" w:hAnsi="Book Antiqua"/>
          <w:i/>
          <w:sz w:val="23"/>
          <w:szCs w:val="23"/>
        </w:rPr>
        <w:t>ondiciones señalados en la ley.</w:t>
      </w:r>
    </w:p>
    <w:p w14:paraId="3E375E5D" w14:textId="77777777"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Los servicios de salud se organizarán en forma descentralizada, por niveles de atención y con participación de la comunidad.</w:t>
      </w:r>
    </w:p>
    <w:p w14:paraId="6D2BF611" w14:textId="77777777"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La ley señalará los términos en los cuales la atención básica para todos los habitantes será gratuita y obligatoria.</w:t>
      </w:r>
    </w:p>
    <w:p w14:paraId="4A8BD3AD" w14:textId="77777777"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Toda persona tiene el deber de procurar el cuidado integral de su salud y de su comunidad.</w:t>
      </w:r>
    </w:p>
    <w:p w14:paraId="71446418" w14:textId="77777777" w:rsidR="00DA1CCE" w:rsidRPr="00C92052" w:rsidRDefault="00DA1CCE" w:rsidP="0016403D">
      <w:pPr>
        <w:spacing w:line="240" w:lineRule="auto"/>
        <w:ind w:left="708"/>
        <w:jc w:val="both"/>
        <w:rPr>
          <w:rFonts w:ascii="Book Antiqua" w:hAnsi="Book Antiqua"/>
          <w:b/>
          <w:i/>
          <w:sz w:val="23"/>
          <w:szCs w:val="23"/>
          <w:u w:val="single"/>
        </w:rPr>
      </w:pPr>
      <w:r w:rsidRPr="00C92052">
        <w:rPr>
          <w:rFonts w:ascii="Book Antiqua" w:hAnsi="Book Antiqua"/>
          <w:b/>
          <w:i/>
          <w:sz w:val="23"/>
          <w:szCs w:val="23"/>
          <w:u w:val="single"/>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67C0DB29" w14:textId="0E731E58" w:rsidR="00DA1CCE" w:rsidRPr="00C92052" w:rsidRDefault="00DA1CCE" w:rsidP="0016403D">
      <w:pPr>
        <w:spacing w:line="240" w:lineRule="auto"/>
        <w:ind w:left="708"/>
        <w:jc w:val="both"/>
        <w:rPr>
          <w:rFonts w:ascii="Book Antiqua" w:hAnsi="Book Antiqua"/>
          <w:i/>
          <w:sz w:val="23"/>
          <w:szCs w:val="23"/>
        </w:rPr>
      </w:pPr>
      <w:r w:rsidRPr="00C92052">
        <w:rPr>
          <w:rFonts w:ascii="Book Antiqua" w:hAnsi="Book Antiqua"/>
          <w:i/>
          <w:sz w:val="23"/>
          <w:szCs w:val="23"/>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r w:rsidR="004D3D00" w:rsidRPr="00C92052">
        <w:rPr>
          <w:rFonts w:ascii="Book Antiqua" w:hAnsi="Book Antiqua"/>
          <w:i/>
          <w:sz w:val="23"/>
          <w:szCs w:val="23"/>
        </w:rPr>
        <w:t xml:space="preserve"> </w:t>
      </w:r>
      <w:r w:rsidR="004D3D00" w:rsidRPr="00C92052">
        <w:rPr>
          <w:rFonts w:ascii="Book Antiqua" w:hAnsi="Book Antiqua"/>
          <w:sz w:val="23"/>
          <w:szCs w:val="23"/>
        </w:rPr>
        <w:t>(negrilla y subrayado fuera de texto original).</w:t>
      </w:r>
      <w:r w:rsidR="004D3D00" w:rsidRPr="00C92052">
        <w:rPr>
          <w:rFonts w:ascii="Book Antiqua" w:hAnsi="Book Antiqua"/>
          <w:i/>
          <w:sz w:val="23"/>
          <w:szCs w:val="23"/>
        </w:rPr>
        <w:t xml:space="preserve"> </w:t>
      </w:r>
    </w:p>
    <w:p w14:paraId="6CA4AA34" w14:textId="77777777" w:rsidR="00E46E0E" w:rsidRPr="00C92052" w:rsidRDefault="00745CE6" w:rsidP="0016403D">
      <w:pPr>
        <w:spacing w:line="240" w:lineRule="auto"/>
        <w:jc w:val="both"/>
        <w:rPr>
          <w:rFonts w:ascii="Book Antiqua" w:hAnsi="Book Antiqua"/>
          <w:sz w:val="23"/>
          <w:szCs w:val="23"/>
        </w:rPr>
      </w:pPr>
      <w:r w:rsidRPr="00C92052">
        <w:rPr>
          <w:rFonts w:ascii="Book Antiqua" w:hAnsi="Book Antiqua"/>
          <w:sz w:val="23"/>
          <w:szCs w:val="23"/>
        </w:rPr>
        <w:lastRenderedPageBreak/>
        <w:t xml:space="preserve">La anterior modificación, tuvo como antecedentes </w:t>
      </w:r>
      <w:r w:rsidR="00651530" w:rsidRPr="00C92052">
        <w:rPr>
          <w:rFonts w:ascii="Book Antiqua" w:hAnsi="Book Antiqua"/>
          <w:sz w:val="23"/>
          <w:szCs w:val="23"/>
        </w:rPr>
        <w:t xml:space="preserve">opiniones de varios órganos del Gobierno Nacional, que no se tuvieron en cuenta en el Acto Legislativo 02 de 2009, tal como lo señala su propia exposición de motivos: </w:t>
      </w:r>
    </w:p>
    <w:p w14:paraId="042285D4" w14:textId="2B5BE55D" w:rsidR="00651530" w:rsidRPr="00C92052" w:rsidRDefault="00651530" w:rsidP="0016403D">
      <w:pPr>
        <w:spacing w:line="240" w:lineRule="auto"/>
        <w:ind w:left="360"/>
        <w:jc w:val="both"/>
        <w:rPr>
          <w:rFonts w:ascii="Book Antiqua" w:hAnsi="Book Antiqua"/>
          <w:i/>
          <w:sz w:val="23"/>
          <w:szCs w:val="23"/>
        </w:rPr>
      </w:pPr>
      <w:r w:rsidRPr="00C92052">
        <w:rPr>
          <w:rFonts w:ascii="Book Antiqua" w:hAnsi="Book Antiqua"/>
          <w:i/>
          <w:sz w:val="23"/>
          <w:szCs w:val="23"/>
        </w:rPr>
        <w:t xml:space="preserve">“Para el Gobierno Nacional, no son suficientes las campañas educativas y preventivas para enfrentar el consumo de drogas ilícitas particularmente en la población joven, sino que </w:t>
      </w:r>
      <w:r w:rsidRPr="00C92052">
        <w:rPr>
          <w:rFonts w:ascii="Book Antiqua" w:hAnsi="Book Antiqua"/>
          <w:b/>
          <w:i/>
          <w:sz w:val="23"/>
          <w:szCs w:val="23"/>
          <w:u w:val="single"/>
        </w:rPr>
        <w:t>es imprescindible sumar a ellas medidas especiales, siempre dentro de una filosofía preventiva y rehabilitadora</w:t>
      </w:r>
      <w:r w:rsidRPr="00C92052">
        <w:rPr>
          <w:rFonts w:ascii="Book Antiqua" w:hAnsi="Book Antiqua"/>
          <w:i/>
          <w:sz w:val="23"/>
          <w:szCs w:val="23"/>
        </w:rPr>
        <w:t xml:space="preserve"> como aquella que inspira la creación de los Tribunales de Tratamiento siguiendo el modelo que se viene implementando en más de 12 países del mundo, en los cuales funcionarios de la rama judicial (fiscales y jueces) en un trabajo conjunto con profesionales del sector de la salud (médicos, psicólogos, toxicólogos y terapeutas), puedan acompañar integralmente al consumidor de drogas ilícitas, ayudándole a tomar conciencia de los efectos de su consumo y de la necesidad de un tratamiento terapéutico”</w:t>
      </w:r>
      <w:r w:rsidRPr="00C92052">
        <w:rPr>
          <w:rStyle w:val="Refdenotaalpie"/>
          <w:rFonts w:ascii="Book Antiqua" w:hAnsi="Book Antiqua"/>
          <w:i/>
          <w:sz w:val="23"/>
          <w:szCs w:val="23"/>
        </w:rPr>
        <w:footnoteReference w:id="4"/>
      </w:r>
      <w:r w:rsidR="00C0679E" w:rsidRPr="00C92052">
        <w:rPr>
          <w:rFonts w:ascii="Book Antiqua" w:hAnsi="Book Antiqua"/>
          <w:i/>
          <w:sz w:val="23"/>
          <w:szCs w:val="23"/>
        </w:rPr>
        <w:t xml:space="preserve"> </w:t>
      </w:r>
      <w:r w:rsidR="00C0679E" w:rsidRPr="00C92052">
        <w:rPr>
          <w:rFonts w:ascii="Book Antiqua" w:hAnsi="Book Antiqua"/>
          <w:sz w:val="23"/>
          <w:szCs w:val="23"/>
        </w:rPr>
        <w:t>(negrilla y subrayado fuera de texto original).</w:t>
      </w:r>
    </w:p>
    <w:p w14:paraId="3B74D016" w14:textId="4E777AE3" w:rsidR="00E46E0E" w:rsidRPr="00C92052" w:rsidRDefault="00651530" w:rsidP="0016403D">
      <w:pPr>
        <w:spacing w:line="240" w:lineRule="auto"/>
        <w:jc w:val="both"/>
        <w:rPr>
          <w:rFonts w:ascii="Book Antiqua" w:hAnsi="Book Antiqua"/>
          <w:sz w:val="23"/>
          <w:szCs w:val="23"/>
        </w:rPr>
      </w:pPr>
      <w:r w:rsidRPr="00C92052">
        <w:rPr>
          <w:rFonts w:ascii="Book Antiqua" w:hAnsi="Book Antiqua"/>
          <w:sz w:val="23"/>
          <w:szCs w:val="23"/>
        </w:rPr>
        <w:t>De acuerdo a lo anterior, de la misma exposición de motivos del Acto Legislativo No.</w:t>
      </w:r>
      <w:r w:rsidR="00243B86" w:rsidRPr="00C92052">
        <w:rPr>
          <w:rFonts w:ascii="Book Antiqua" w:hAnsi="Book Antiqua"/>
          <w:sz w:val="23"/>
          <w:szCs w:val="23"/>
        </w:rPr>
        <w:t xml:space="preserve"> 02 de 2009, deviene que deben adoptarse </w:t>
      </w:r>
      <w:r w:rsidRPr="00C92052">
        <w:rPr>
          <w:rFonts w:ascii="Book Antiqua" w:hAnsi="Book Antiqua"/>
          <w:sz w:val="23"/>
          <w:szCs w:val="23"/>
        </w:rPr>
        <w:t xml:space="preserve">medidas especiales, dentro de un marco de filosofía preventiva y rehabilitadora. </w:t>
      </w:r>
      <w:r w:rsidR="00D50D07" w:rsidRPr="00C92052">
        <w:rPr>
          <w:rFonts w:ascii="Book Antiqua" w:hAnsi="Book Antiqua"/>
          <w:sz w:val="23"/>
          <w:szCs w:val="23"/>
        </w:rPr>
        <w:t>D</w:t>
      </w:r>
      <w:r w:rsidR="00F61F8F" w:rsidRPr="00C92052">
        <w:rPr>
          <w:rFonts w:ascii="Book Antiqua" w:hAnsi="Book Antiqua"/>
          <w:sz w:val="23"/>
          <w:szCs w:val="23"/>
        </w:rPr>
        <w:t xml:space="preserve">entro de estas premisas, </w:t>
      </w:r>
      <w:r w:rsidR="00243B86" w:rsidRPr="00C92052">
        <w:rPr>
          <w:rFonts w:ascii="Book Antiqua" w:hAnsi="Book Antiqua"/>
          <w:sz w:val="23"/>
          <w:szCs w:val="23"/>
        </w:rPr>
        <w:t xml:space="preserve">no </w:t>
      </w:r>
      <w:r w:rsidR="00C0679E" w:rsidRPr="00C92052">
        <w:rPr>
          <w:rFonts w:ascii="Book Antiqua" w:hAnsi="Book Antiqua"/>
          <w:sz w:val="23"/>
          <w:szCs w:val="23"/>
        </w:rPr>
        <w:t>es conveniente</w:t>
      </w:r>
      <w:r w:rsidR="001842F0" w:rsidRPr="00C92052">
        <w:rPr>
          <w:rFonts w:ascii="Book Antiqua" w:hAnsi="Book Antiqua"/>
          <w:sz w:val="23"/>
          <w:szCs w:val="23"/>
        </w:rPr>
        <w:t xml:space="preserve"> que </w:t>
      </w:r>
      <w:r w:rsidR="00F61F8F" w:rsidRPr="00C92052">
        <w:rPr>
          <w:rFonts w:ascii="Book Antiqua" w:hAnsi="Book Antiqua"/>
          <w:sz w:val="23"/>
          <w:szCs w:val="23"/>
        </w:rPr>
        <w:t xml:space="preserve">deba aprobarse </w:t>
      </w:r>
      <w:r w:rsidR="009F159B" w:rsidRPr="00C92052">
        <w:rPr>
          <w:rFonts w:ascii="Book Antiqua" w:hAnsi="Book Antiqua"/>
          <w:sz w:val="23"/>
          <w:szCs w:val="23"/>
        </w:rPr>
        <w:t xml:space="preserve">el consumo del cannabis de forma recreativa, por cuanto ello </w:t>
      </w:r>
      <w:r w:rsidR="00C0679E" w:rsidRPr="00C92052">
        <w:rPr>
          <w:rFonts w:ascii="Book Antiqua" w:hAnsi="Book Antiqua"/>
          <w:sz w:val="23"/>
          <w:szCs w:val="23"/>
        </w:rPr>
        <w:t>no</w:t>
      </w:r>
      <w:r w:rsidR="00243B86" w:rsidRPr="00C92052">
        <w:rPr>
          <w:rFonts w:ascii="Book Antiqua" w:hAnsi="Book Antiqua"/>
          <w:sz w:val="23"/>
          <w:szCs w:val="23"/>
        </w:rPr>
        <w:t xml:space="preserve"> </w:t>
      </w:r>
      <w:r w:rsidR="009F159B" w:rsidRPr="00C92052">
        <w:rPr>
          <w:rFonts w:ascii="Book Antiqua" w:hAnsi="Book Antiqua"/>
          <w:sz w:val="23"/>
          <w:szCs w:val="23"/>
        </w:rPr>
        <w:t xml:space="preserve">contribuye al espíritu que tuvo en su momento el Acto Legislativo 02 de 2009, </w:t>
      </w:r>
      <w:r w:rsidR="00C0679E" w:rsidRPr="00C92052">
        <w:rPr>
          <w:rFonts w:ascii="Book Antiqua" w:hAnsi="Book Antiqua"/>
          <w:sz w:val="23"/>
          <w:szCs w:val="23"/>
        </w:rPr>
        <w:t xml:space="preserve"> </w:t>
      </w:r>
      <w:r w:rsidR="00DC35F1" w:rsidRPr="00C92052">
        <w:rPr>
          <w:rFonts w:ascii="Book Antiqua" w:hAnsi="Book Antiqua"/>
          <w:sz w:val="23"/>
          <w:szCs w:val="23"/>
        </w:rPr>
        <w:t>en tanto</w:t>
      </w:r>
      <w:r w:rsidR="00C0679E" w:rsidRPr="00C92052">
        <w:rPr>
          <w:rFonts w:ascii="Book Antiqua" w:hAnsi="Book Antiqua"/>
          <w:sz w:val="23"/>
          <w:szCs w:val="23"/>
        </w:rPr>
        <w:t xml:space="preserve">, </w:t>
      </w:r>
      <w:r w:rsidR="00243B86" w:rsidRPr="00C92052">
        <w:rPr>
          <w:rFonts w:ascii="Book Antiqua" w:hAnsi="Book Antiqua"/>
          <w:sz w:val="23"/>
          <w:szCs w:val="23"/>
        </w:rPr>
        <w:t>el uso recreativo del cannabis no contribuye a la rehabilitación y prevención del consumo de estas sustancias, por el contrario, brinda libertad en su consumo sin una medida especial que contribuya con el tratamiento terapéutico, preventivo y de rehabilitación de los consumidores, siendo obligación del Estado propender por su protección y adopción de la</w:t>
      </w:r>
      <w:r w:rsidR="00D50D07" w:rsidRPr="00C92052">
        <w:rPr>
          <w:rFonts w:ascii="Book Antiqua" w:hAnsi="Book Antiqua"/>
          <w:sz w:val="23"/>
          <w:szCs w:val="23"/>
        </w:rPr>
        <w:t>s</w:t>
      </w:r>
      <w:r w:rsidR="00243B86" w:rsidRPr="00C92052">
        <w:rPr>
          <w:rFonts w:ascii="Book Antiqua" w:hAnsi="Book Antiqua"/>
          <w:sz w:val="23"/>
          <w:szCs w:val="23"/>
        </w:rPr>
        <w:t xml:space="preserve"> medidas necesarias para alcanzar este fin, sobreponiéndose sobre la adopción del uso recreativo del cannabis y sus derivados, </w:t>
      </w:r>
      <w:r w:rsidR="00DC35F1" w:rsidRPr="00C92052">
        <w:rPr>
          <w:rFonts w:ascii="Book Antiqua" w:hAnsi="Book Antiqua"/>
          <w:sz w:val="23"/>
          <w:szCs w:val="23"/>
        </w:rPr>
        <w:t>lo cual</w:t>
      </w:r>
      <w:r w:rsidR="00243B86" w:rsidRPr="00C92052">
        <w:rPr>
          <w:rFonts w:ascii="Book Antiqua" w:hAnsi="Book Antiqua"/>
          <w:sz w:val="23"/>
          <w:szCs w:val="23"/>
        </w:rPr>
        <w:t xml:space="preserve"> genera una mayor afectación a esta población de consumidores </w:t>
      </w:r>
      <w:r w:rsidR="00D50D07" w:rsidRPr="00C92052">
        <w:rPr>
          <w:rFonts w:ascii="Book Antiqua" w:hAnsi="Book Antiqua"/>
          <w:sz w:val="23"/>
          <w:szCs w:val="23"/>
        </w:rPr>
        <w:t xml:space="preserve">e indirectamente </w:t>
      </w:r>
      <w:r w:rsidR="00243B86" w:rsidRPr="00C92052">
        <w:rPr>
          <w:rFonts w:ascii="Book Antiqua" w:hAnsi="Book Antiqua"/>
          <w:sz w:val="23"/>
          <w:szCs w:val="23"/>
        </w:rPr>
        <w:t xml:space="preserve"> a terceros. </w:t>
      </w:r>
    </w:p>
    <w:p w14:paraId="0B5FAD11" w14:textId="3D305A9D" w:rsidR="00936ABE" w:rsidRPr="00C92052" w:rsidRDefault="006A49F2" w:rsidP="0016403D">
      <w:pPr>
        <w:spacing w:line="240" w:lineRule="auto"/>
        <w:jc w:val="both"/>
        <w:rPr>
          <w:rFonts w:ascii="Book Antiqua" w:hAnsi="Book Antiqua"/>
          <w:sz w:val="23"/>
          <w:szCs w:val="23"/>
        </w:rPr>
      </w:pPr>
      <w:r w:rsidRPr="00C92052">
        <w:rPr>
          <w:rFonts w:ascii="Book Antiqua" w:hAnsi="Book Antiqua"/>
          <w:sz w:val="23"/>
          <w:szCs w:val="23"/>
        </w:rPr>
        <w:t xml:space="preserve">En ese sentido, </w:t>
      </w:r>
      <w:r w:rsidR="007E6BA4" w:rsidRPr="00C92052">
        <w:rPr>
          <w:rFonts w:ascii="Book Antiqua" w:hAnsi="Book Antiqua"/>
          <w:sz w:val="23"/>
          <w:szCs w:val="23"/>
        </w:rPr>
        <w:t>mediante el proyecto de Acto Legislativo,</w:t>
      </w:r>
      <w:r w:rsidRPr="00C92052">
        <w:rPr>
          <w:rFonts w:ascii="Book Antiqua" w:hAnsi="Book Antiqua"/>
          <w:sz w:val="23"/>
          <w:szCs w:val="23"/>
        </w:rPr>
        <w:t xml:space="preserve"> se pretende discriminar a </w:t>
      </w:r>
      <w:r w:rsidR="00DC35F1" w:rsidRPr="00C92052">
        <w:rPr>
          <w:rFonts w:ascii="Book Antiqua" w:hAnsi="Book Antiqua"/>
          <w:sz w:val="23"/>
          <w:szCs w:val="23"/>
        </w:rPr>
        <w:t xml:space="preserve">la </w:t>
      </w:r>
      <w:r w:rsidRPr="00C92052">
        <w:rPr>
          <w:rFonts w:ascii="Book Antiqua" w:hAnsi="Book Antiqua"/>
          <w:sz w:val="23"/>
          <w:szCs w:val="23"/>
        </w:rPr>
        <w:t xml:space="preserve">población de consumidores de cannabis y sus derivados, adoptando una medida que es más gravosa para su salud y la salud pública, adicionalmente, </w:t>
      </w:r>
      <w:r w:rsidR="00DC35F1" w:rsidRPr="00C92052">
        <w:rPr>
          <w:rFonts w:ascii="Book Antiqua" w:hAnsi="Book Antiqua"/>
          <w:sz w:val="23"/>
          <w:szCs w:val="23"/>
        </w:rPr>
        <w:t xml:space="preserve">desconociendo la </w:t>
      </w:r>
      <w:r w:rsidRPr="00C92052">
        <w:rPr>
          <w:rFonts w:ascii="Book Antiqua" w:hAnsi="Book Antiqua"/>
          <w:sz w:val="23"/>
          <w:szCs w:val="23"/>
        </w:rPr>
        <w:t>garantía de sus derechos de rehabilitación y prevención, en donde un Estado Social de Derecho debe reconocerlos como población marginada de especial protección</w:t>
      </w:r>
      <w:r w:rsidR="001B74B9" w:rsidRPr="00C92052">
        <w:rPr>
          <w:rFonts w:ascii="Book Antiqua" w:hAnsi="Book Antiqua"/>
          <w:sz w:val="23"/>
          <w:szCs w:val="23"/>
        </w:rPr>
        <w:t>. Lo anterior</w:t>
      </w:r>
      <w:r w:rsidRPr="00C92052">
        <w:rPr>
          <w:rFonts w:ascii="Book Antiqua" w:hAnsi="Book Antiqua"/>
          <w:sz w:val="23"/>
          <w:szCs w:val="23"/>
        </w:rPr>
        <w:t xml:space="preserve"> puesto que por su condición de consumidores deben ser acompañados de tratamientos médicos que logren superar su adicción, no siendo una carga meramente individual sino estatal. </w:t>
      </w:r>
    </w:p>
    <w:p w14:paraId="707F2D2E" w14:textId="6795C552" w:rsidR="00851611" w:rsidRPr="00C92052" w:rsidRDefault="00851611" w:rsidP="0016403D">
      <w:pPr>
        <w:spacing w:line="240" w:lineRule="auto"/>
        <w:jc w:val="both"/>
        <w:rPr>
          <w:rFonts w:ascii="Book Antiqua" w:hAnsi="Book Antiqua"/>
          <w:sz w:val="23"/>
          <w:szCs w:val="23"/>
        </w:rPr>
      </w:pPr>
      <w:r w:rsidRPr="00C92052">
        <w:rPr>
          <w:rFonts w:ascii="Book Antiqua" w:hAnsi="Book Antiqua"/>
          <w:sz w:val="23"/>
          <w:szCs w:val="23"/>
        </w:rPr>
        <w:t>Adicionalmente, debe tenerse en cuenta que la obligación estatal de protección y garantía de derechos en materia de salud</w:t>
      </w:r>
      <w:r w:rsidR="008D210F" w:rsidRPr="00C92052">
        <w:rPr>
          <w:rFonts w:ascii="Book Antiqua" w:hAnsi="Book Antiqua"/>
          <w:sz w:val="23"/>
          <w:szCs w:val="23"/>
        </w:rPr>
        <w:t>,</w:t>
      </w:r>
      <w:r w:rsidRPr="00C92052">
        <w:rPr>
          <w:rFonts w:ascii="Book Antiqua" w:hAnsi="Book Antiqua"/>
          <w:sz w:val="23"/>
          <w:szCs w:val="23"/>
        </w:rPr>
        <w:t xml:space="preserve"> tiene aún más fuerza vinculante cuando expresamente en el art</w:t>
      </w:r>
      <w:r w:rsidR="008D210F" w:rsidRPr="00C92052">
        <w:rPr>
          <w:rFonts w:ascii="Book Antiqua" w:hAnsi="Book Antiqua"/>
          <w:sz w:val="23"/>
          <w:szCs w:val="23"/>
        </w:rPr>
        <w:t>ículo</w:t>
      </w:r>
      <w:r w:rsidRPr="00C92052">
        <w:rPr>
          <w:rFonts w:ascii="Book Antiqua" w:hAnsi="Book Antiqua"/>
          <w:sz w:val="23"/>
          <w:szCs w:val="23"/>
        </w:rPr>
        <w:t xml:space="preserve"> 366 constitucional</w:t>
      </w:r>
      <w:r w:rsidR="008D210F" w:rsidRPr="00C92052">
        <w:rPr>
          <w:rFonts w:ascii="Book Antiqua" w:hAnsi="Book Antiqua"/>
          <w:sz w:val="23"/>
          <w:szCs w:val="23"/>
        </w:rPr>
        <w:t xml:space="preserve">, </w:t>
      </w:r>
      <w:r w:rsidRPr="00C92052">
        <w:rPr>
          <w:rFonts w:ascii="Book Antiqua" w:hAnsi="Book Antiqua"/>
          <w:sz w:val="23"/>
          <w:szCs w:val="23"/>
        </w:rPr>
        <w:t xml:space="preserve">establece la obligación </w:t>
      </w:r>
      <w:r w:rsidR="008D210F" w:rsidRPr="00C92052">
        <w:rPr>
          <w:rFonts w:ascii="Book Antiqua" w:hAnsi="Book Antiqua"/>
          <w:sz w:val="23"/>
          <w:szCs w:val="23"/>
        </w:rPr>
        <w:t xml:space="preserve">al </w:t>
      </w:r>
      <w:r w:rsidRPr="00C92052">
        <w:rPr>
          <w:rFonts w:ascii="Book Antiqua" w:hAnsi="Book Antiqua"/>
          <w:sz w:val="23"/>
          <w:szCs w:val="23"/>
        </w:rPr>
        <w:t xml:space="preserve">Estado de garantizar la solución de las necesidades en salud, señalando que el bienestar general y el mejoramiento de la calidad de vida de la población son finalidades sociales del Estado. Por tanto, es objetivo fundamental de su actividad, la solución de las necesidades insatisfechas de salud sin discriminación alguna, entre otros, mediante la asignación de rubros para esos gastos sociales públicos dentro de los cuales se encuentra </w:t>
      </w:r>
      <w:r w:rsidRPr="00C92052">
        <w:rPr>
          <w:rFonts w:ascii="Book Antiqua" w:hAnsi="Book Antiqua"/>
          <w:sz w:val="23"/>
          <w:szCs w:val="23"/>
        </w:rPr>
        <w:lastRenderedPageBreak/>
        <w:t xml:space="preserve">prever apoyo en distintas dimensiones en salud a las personas consumidoras de cannabis y sus derivados en atención a su condición de consumidores. </w:t>
      </w:r>
    </w:p>
    <w:p w14:paraId="59F52CE7" w14:textId="0790BCFF" w:rsidR="00C83FA0" w:rsidRPr="00C92052" w:rsidRDefault="00C83FA0" w:rsidP="0016403D">
      <w:pPr>
        <w:spacing w:line="240" w:lineRule="auto"/>
        <w:jc w:val="both"/>
        <w:rPr>
          <w:rFonts w:ascii="Book Antiqua" w:hAnsi="Book Antiqua"/>
          <w:sz w:val="23"/>
          <w:szCs w:val="23"/>
        </w:rPr>
      </w:pPr>
      <w:r w:rsidRPr="00C92052">
        <w:rPr>
          <w:rFonts w:ascii="Book Antiqua" w:hAnsi="Book Antiqua"/>
          <w:sz w:val="23"/>
          <w:szCs w:val="23"/>
        </w:rPr>
        <w:t>Finalmente, es importante resaltar que la misma Sentencia C 221 de 1</w:t>
      </w:r>
      <w:r w:rsidR="005A7F5B" w:rsidRPr="00C92052">
        <w:rPr>
          <w:rFonts w:ascii="Book Antiqua" w:hAnsi="Book Antiqua"/>
          <w:sz w:val="23"/>
          <w:szCs w:val="23"/>
        </w:rPr>
        <w:t>9</w:t>
      </w:r>
      <w:r w:rsidRPr="00C92052">
        <w:rPr>
          <w:rFonts w:ascii="Book Antiqua" w:hAnsi="Book Antiqua"/>
          <w:sz w:val="23"/>
          <w:szCs w:val="23"/>
        </w:rPr>
        <w:t>94</w:t>
      </w:r>
      <w:r w:rsidR="005A7F5B" w:rsidRPr="00C92052">
        <w:rPr>
          <w:rFonts w:ascii="Book Antiqua" w:hAnsi="Book Antiqua"/>
          <w:sz w:val="23"/>
          <w:szCs w:val="23"/>
        </w:rPr>
        <w:t xml:space="preserve">, </w:t>
      </w:r>
      <w:r w:rsidR="00E33563" w:rsidRPr="00C92052">
        <w:rPr>
          <w:rFonts w:ascii="Book Antiqua" w:hAnsi="Book Antiqua"/>
          <w:sz w:val="23"/>
          <w:szCs w:val="23"/>
        </w:rPr>
        <w:t>despenaliz</w:t>
      </w:r>
      <w:r w:rsidR="00851611" w:rsidRPr="00C92052">
        <w:rPr>
          <w:rFonts w:ascii="Book Antiqua" w:hAnsi="Book Antiqua"/>
          <w:sz w:val="23"/>
          <w:szCs w:val="23"/>
        </w:rPr>
        <w:t>ó</w:t>
      </w:r>
      <w:r w:rsidR="00E33563" w:rsidRPr="00C92052">
        <w:rPr>
          <w:rFonts w:ascii="Book Antiqua" w:hAnsi="Book Antiqua"/>
          <w:sz w:val="23"/>
          <w:szCs w:val="23"/>
        </w:rPr>
        <w:t xml:space="preserve"> la dosis personal por considerar que el comportamiento que no trasciende de la órbita del consumidor</w:t>
      </w:r>
      <w:r w:rsidR="005A7F5B" w:rsidRPr="00C92052">
        <w:rPr>
          <w:rFonts w:ascii="Book Antiqua" w:hAnsi="Book Antiqua"/>
          <w:sz w:val="23"/>
          <w:szCs w:val="23"/>
        </w:rPr>
        <w:t>,</w:t>
      </w:r>
      <w:r w:rsidR="00E33563" w:rsidRPr="00C92052">
        <w:rPr>
          <w:rFonts w:ascii="Book Antiqua" w:hAnsi="Book Antiqua"/>
          <w:sz w:val="23"/>
          <w:szCs w:val="23"/>
        </w:rPr>
        <w:t xml:space="preserve"> está vedado para el ordenamiento jurídico porque hace parte de la libre determinación, dignidad y autonomía de la persona, y precisó que sí puede ser reprochable el consumo cuando se afecten la libertad y los derechos ajenos, lo cual a través de estudios se ha comprobado que efectivamente el consumo de cannabis y sus derivados si han afectado la libertad y derechos ajenos, tal como se sustenta más adelante. </w:t>
      </w:r>
    </w:p>
    <w:p w14:paraId="2DC8890A" w14:textId="77777777" w:rsidR="00A576BD" w:rsidRPr="00C92052" w:rsidRDefault="00E33563" w:rsidP="0016403D">
      <w:pPr>
        <w:spacing w:line="240" w:lineRule="auto"/>
        <w:jc w:val="both"/>
        <w:rPr>
          <w:rFonts w:ascii="Book Antiqua" w:hAnsi="Book Antiqua"/>
          <w:sz w:val="23"/>
          <w:szCs w:val="23"/>
        </w:rPr>
      </w:pPr>
      <w:r w:rsidRPr="00C92052">
        <w:rPr>
          <w:rFonts w:ascii="Book Antiqua" w:hAnsi="Book Antiqua"/>
          <w:sz w:val="23"/>
          <w:szCs w:val="23"/>
        </w:rPr>
        <w:t>De acuerdo a lo anterior, es notorio que tanto la normativa como la jurisprudencia han establecido unos parámetros respecto a la obligación del Estado en la garantía de los derechos de las personas consumidoras</w:t>
      </w:r>
      <w:r w:rsidR="005C2EAF" w:rsidRPr="00C92052">
        <w:rPr>
          <w:rFonts w:ascii="Book Antiqua" w:hAnsi="Book Antiqua"/>
          <w:sz w:val="23"/>
          <w:szCs w:val="23"/>
        </w:rPr>
        <w:t xml:space="preserve"> de cannabis y derivados</w:t>
      </w:r>
      <w:r w:rsidRPr="00C92052">
        <w:rPr>
          <w:rFonts w:ascii="Book Antiqua" w:hAnsi="Book Antiqua"/>
          <w:sz w:val="23"/>
          <w:szCs w:val="23"/>
        </w:rPr>
        <w:t xml:space="preserve">, la órbita del libre desarrollo de la personalidad y la autonomía del individuo, derecho a la salud y salud pública, sujetos de especial protección constitucional y discriminación de grupos marginados, entre otros, los cuales deben ser tenidos en cuenta para no apoyar el Proyecto de Acto Legislativo 002 de 2022. </w:t>
      </w:r>
    </w:p>
    <w:p w14:paraId="0B3CD658" w14:textId="77777777" w:rsidR="00F271F2" w:rsidRPr="00C92052" w:rsidRDefault="00F271F2" w:rsidP="0016403D">
      <w:pPr>
        <w:spacing w:line="240" w:lineRule="auto"/>
        <w:jc w:val="both"/>
        <w:rPr>
          <w:rFonts w:ascii="Book Antiqua" w:hAnsi="Book Antiqua"/>
          <w:sz w:val="23"/>
          <w:szCs w:val="23"/>
        </w:rPr>
      </w:pPr>
    </w:p>
    <w:p w14:paraId="37F79D40" w14:textId="77777777" w:rsidR="00B953FE" w:rsidRPr="00C92052" w:rsidRDefault="00B953FE" w:rsidP="0016403D">
      <w:pPr>
        <w:pStyle w:val="Prrafodelista"/>
        <w:numPr>
          <w:ilvl w:val="0"/>
          <w:numId w:val="8"/>
        </w:numPr>
        <w:spacing w:line="240" w:lineRule="auto"/>
        <w:jc w:val="both"/>
        <w:rPr>
          <w:rFonts w:ascii="Book Antiqua" w:hAnsi="Book Antiqua"/>
          <w:b/>
          <w:sz w:val="23"/>
          <w:szCs w:val="23"/>
        </w:rPr>
      </w:pPr>
      <w:r w:rsidRPr="00C92052">
        <w:rPr>
          <w:rFonts w:ascii="Book Antiqua" w:hAnsi="Book Antiqua"/>
          <w:b/>
          <w:sz w:val="23"/>
          <w:szCs w:val="23"/>
        </w:rPr>
        <w:t xml:space="preserve">VULNERACIÓN DE DERECHOS FUNDAMENTALES CONSTITUCIONALES </w:t>
      </w:r>
    </w:p>
    <w:p w14:paraId="31586B54" w14:textId="77777777" w:rsidR="00E46E0E" w:rsidRPr="00C92052" w:rsidRDefault="00E46E0E" w:rsidP="0016403D">
      <w:pPr>
        <w:pStyle w:val="Prrafodelista"/>
        <w:spacing w:line="240" w:lineRule="auto"/>
        <w:jc w:val="both"/>
        <w:rPr>
          <w:rFonts w:ascii="Book Antiqua" w:hAnsi="Book Antiqua"/>
          <w:b/>
          <w:sz w:val="23"/>
          <w:szCs w:val="23"/>
        </w:rPr>
      </w:pPr>
    </w:p>
    <w:p w14:paraId="281A4F82" w14:textId="77777777" w:rsidR="00165C46" w:rsidRPr="00C92052" w:rsidRDefault="00165C46" w:rsidP="0016403D">
      <w:pPr>
        <w:pStyle w:val="Prrafodelista"/>
        <w:numPr>
          <w:ilvl w:val="1"/>
          <w:numId w:val="8"/>
        </w:numPr>
        <w:spacing w:line="240" w:lineRule="auto"/>
        <w:jc w:val="both"/>
        <w:rPr>
          <w:rFonts w:ascii="Book Antiqua" w:hAnsi="Book Antiqua"/>
          <w:b/>
          <w:iCs/>
          <w:color w:val="000000" w:themeColor="text1"/>
          <w:sz w:val="23"/>
          <w:szCs w:val="23"/>
        </w:rPr>
      </w:pPr>
      <w:r w:rsidRPr="00C92052">
        <w:rPr>
          <w:rFonts w:ascii="Book Antiqua" w:hAnsi="Book Antiqua"/>
          <w:b/>
          <w:iCs/>
          <w:color w:val="000000" w:themeColor="text1"/>
          <w:sz w:val="23"/>
          <w:szCs w:val="23"/>
        </w:rPr>
        <w:t xml:space="preserve">Derecho fundamental a la dignidad humana </w:t>
      </w:r>
    </w:p>
    <w:p w14:paraId="1468E77A" w14:textId="56AF4459" w:rsidR="000E0325" w:rsidRPr="00C92052" w:rsidRDefault="0068736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Colombia es un estado social de derecho que de conformidad con el art</w:t>
      </w:r>
      <w:r w:rsidR="005A7F5B" w:rsidRPr="00C92052">
        <w:rPr>
          <w:rFonts w:ascii="Book Antiqua" w:hAnsi="Book Antiqua"/>
          <w:iCs/>
          <w:color w:val="000000" w:themeColor="text1"/>
          <w:sz w:val="23"/>
          <w:szCs w:val="23"/>
        </w:rPr>
        <w:t>ículo</w:t>
      </w:r>
      <w:r w:rsidRPr="00C92052">
        <w:rPr>
          <w:rFonts w:ascii="Book Antiqua" w:hAnsi="Book Antiqua"/>
          <w:iCs/>
          <w:color w:val="000000" w:themeColor="text1"/>
          <w:sz w:val="23"/>
          <w:szCs w:val="23"/>
        </w:rPr>
        <w:t xml:space="preserve"> 1 de la Constitución Política, se encuentra fundada en el respeto de la dignidad humana y la prevalencia del interés general. </w:t>
      </w:r>
    </w:p>
    <w:p w14:paraId="1784DE1B" w14:textId="1CDDEFA3" w:rsidR="005C5648" w:rsidRPr="00C92052" w:rsidRDefault="0068736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Adicionalmente, </w:t>
      </w:r>
      <w:r w:rsidR="000E0325" w:rsidRPr="00C92052">
        <w:rPr>
          <w:rFonts w:ascii="Book Antiqua" w:hAnsi="Book Antiqua"/>
          <w:iCs/>
          <w:color w:val="000000" w:themeColor="text1"/>
          <w:sz w:val="23"/>
          <w:szCs w:val="23"/>
        </w:rPr>
        <w:t>en su art</w:t>
      </w:r>
      <w:r w:rsidR="005A7F5B" w:rsidRPr="00C92052">
        <w:rPr>
          <w:rFonts w:ascii="Book Antiqua" w:hAnsi="Book Antiqua"/>
          <w:iCs/>
          <w:color w:val="000000" w:themeColor="text1"/>
          <w:sz w:val="23"/>
          <w:szCs w:val="23"/>
        </w:rPr>
        <w:t>ículo</w:t>
      </w:r>
      <w:r w:rsidR="000E0325" w:rsidRPr="00C92052">
        <w:rPr>
          <w:rFonts w:ascii="Book Antiqua" w:hAnsi="Book Antiqua"/>
          <w:iCs/>
          <w:color w:val="000000" w:themeColor="text1"/>
          <w:sz w:val="23"/>
          <w:szCs w:val="23"/>
        </w:rPr>
        <w:t xml:space="preserve"> 2 </w:t>
      </w:r>
      <w:r w:rsidRPr="00C92052">
        <w:rPr>
          <w:rFonts w:ascii="Book Antiqua" w:hAnsi="Book Antiqua"/>
          <w:iCs/>
          <w:color w:val="000000" w:themeColor="text1"/>
          <w:sz w:val="23"/>
          <w:szCs w:val="23"/>
        </w:rPr>
        <w:t>establece que s</w:t>
      </w:r>
      <w:r w:rsidR="00DF339E" w:rsidRPr="00C92052">
        <w:rPr>
          <w:rFonts w:ascii="Book Antiqua" w:hAnsi="Book Antiqua"/>
          <w:iCs/>
          <w:color w:val="000000" w:themeColor="text1"/>
          <w:sz w:val="23"/>
          <w:szCs w:val="23"/>
        </w:rPr>
        <w:t xml:space="preserve">on fines esenciales del Estado el </w:t>
      </w:r>
      <w:r w:rsidRPr="00C92052">
        <w:rPr>
          <w:rFonts w:ascii="Book Antiqua" w:hAnsi="Book Antiqua"/>
          <w:iCs/>
          <w:color w:val="000000" w:themeColor="text1"/>
          <w:sz w:val="23"/>
          <w:szCs w:val="23"/>
        </w:rPr>
        <w:t xml:space="preserve">garantizar la efectividad de los principios, derecho y deberes </w:t>
      </w:r>
      <w:r w:rsidR="00DF339E" w:rsidRPr="00C92052">
        <w:rPr>
          <w:rFonts w:ascii="Book Antiqua" w:hAnsi="Book Antiqua"/>
          <w:iCs/>
          <w:color w:val="000000" w:themeColor="text1"/>
          <w:sz w:val="23"/>
          <w:szCs w:val="23"/>
        </w:rPr>
        <w:t xml:space="preserve">consagrados en la Constitución, como también asegurar la convivencia pacífica </w:t>
      </w:r>
      <w:r w:rsidR="000E0325" w:rsidRPr="00C92052">
        <w:rPr>
          <w:rFonts w:ascii="Book Antiqua" w:hAnsi="Book Antiqua"/>
          <w:iCs/>
          <w:color w:val="000000" w:themeColor="text1"/>
          <w:sz w:val="23"/>
          <w:szCs w:val="23"/>
        </w:rPr>
        <w:t xml:space="preserve">y la vigencia de un orden justo. </w:t>
      </w:r>
    </w:p>
    <w:p w14:paraId="5F4980C8" w14:textId="00DE2ABF" w:rsidR="00E344ED" w:rsidRPr="00C92052" w:rsidRDefault="000E032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La jurisprudencia de la Corte Constitucional</w:t>
      </w:r>
      <w:r w:rsidR="005A7F5B"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ha considerado </w:t>
      </w:r>
      <w:r w:rsidR="00E344ED" w:rsidRPr="00C92052">
        <w:rPr>
          <w:rFonts w:ascii="Book Antiqua" w:hAnsi="Book Antiqua"/>
          <w:iCs/>
          <w:color w:val="000000" w:themeColor="text1"/>
          <w:sz w:val="23"/>
          <w:szCs w:val="23"/>
        </w:rPr>
        <w:t xml:space="preserve">la dignidad humana principalmente como </w:t>
      </w:r>
      <w:r w:rsidR="00B63A64" w:rsidRPr="00C92052">
        <w:rPr>
          <w:rFonts w:ascii="Book Antiqua" w:hAnsi="Book Antiqua"/>
          <w:iCs/>
          <w:color w:val="000000" w:themeColor="text1"/>
          <w:sz w:val="23"/>
          <w:szCs w:val="23"/>
        </w:rPr>
        <w:t>derecho fundamental autónomo, principio constitucional</w:t>
      </w:r>
      <w:r w:rsidR="00E344ED" w:rsidRPr="00C92052">
        <w:rPr>
          <w:rFonts w:ascii="Book Antiqua" w:hAnsi="Book Antiqua"/>
          <w:iCs/>
          <w:color w:val="000000" w:themeColor="text1"/>
          <w:sz w:val="23"/>
          <w:szCs w:val="23"/>
        </w:rPr>
        <w:t xml:space="preserve"> </w:t>
      </w:r>
      <w:r w:rsidR="00B63A64" w:rsidRPr="00C92052">
        <w:rPr>
          <w:rFonts w:ascii="Book Antiqua" w:hAnsi="Book Antiqua"/>
          <w:iCs/>
          <w:color w:val="000000" w:themeColor="text1"/>
          <w:sz w:val="23"/>
          <w:szCs w:val="23"/>
        </w:rPr>
        <w:t xml:space="preserve">y valor </w:t>
      </w:r>
      <w:r w:rsidR="00E344ED" w:rsidRPr="00C92052">
        <w:rPr>
          <w:rFonts w:ascii="Book Antiqua" w:hAnsi="Book Antiqua"/>
          <w:iCs/>
          <w:color w:val="000000" w:themeColor="text1"/>
          <w:sz w:val="23"/>
          <w:szCs w:val="23"/>
        </w:rPr>
        <w:t>constitucional</w:t>
      </w:r>
      <w:r w:rsidR="00B63A64" w:rsidRPr="00C92052">
        <w:rPr>
          <w:rStyle w:val="Refdenotaalpie"/>
          <w:rFonts w:ascii="Book Antiqua" w:hAnsi="Book Antiqua"/>
          <w:iCs/>
          <w:color w:val="000000" w:themeColor="text1"/>
          <w:sz w:val="23"/>
          <w:szCs w:val="23"/>
        </w:rPr>
        <w:footnoteReference w:id="5"/>
      </w:r>
      <w:r w:rsidR="00E344ED" w:rsidRPr="00C92052">
        <w:rPr>
          <w:rFonts w:ascii="Book Antiqua" w:hAnsi="Book Antiqua"/>
          <w:iCs/>
          <w:color w:val="000000" w:themeColor="text1"/>
          <w:sz w:val="23"/>
          <w:szCs w:val="23"/>
        </w:rPr>
        <w:t xml:space="preserve">. </w:t>
      </w:r>
    </w:p>
    <w:p w14:paraId="21DE63BB" w14:textId="0E07C749" w:rsidR="0035503B" w:rsidRPr="00C92052" w:rsidRDefault="00E344ED"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Por su parte, el principio a la dignidad humana,</w:t>
      </w:r>
      <w:r w:rsidR="0035503B" w:rsidRPr="00C92052">
        <w:rPr>
          <w:rFonts w:ascii="Book Antiqua" w:hAnsi="Book Antiqua"/>
          <w:iCs/>
          <w:color w:val="000000" w:themeColor="text1"/>
          <w:sz w:val="23"/>
          <w:szCs w:val="23"/>
        </w:rPr>
        <w:t xml:space="preserve"> la Corte Constitucional </w:t>
      </w:r>
      <w:r w:rsidR="00AC5323" w:rsidRPr="00C92052">
        <w:rPr>
          <w:rFonts w:ascii="Book Antiqua" w:hAnsi="Book Antiqua"/>
          <w:iCs/>
          <w:color w:val="000000" w:themeColor="text1"/>
          <w:sz w:val="23"/>
          <w:szCs w:val="23"/>
        </w:rPr>
        <w:t>ha</w:t>
      </w:r>
      <w:r w:rsidR="00B63A64" w:rsidRPr="00C92052">
        <w:rPr>
          <w:rFonts w:ascii="Book Antiqua" w:hAnsi="Book Antiqua"/>
          <w:iCs/>
          <w:color w:val="000000" w:themeColor="text1"/>
          <w:sz w:val="23"/>
          <w:szCs w:val="23"/>
        </w:rPr>
        <w:t xml:space="preserve"> considerado tres lineamientos, de la siguiente forma: entendida como autonomía o posibilidad de diseñar un plan vital y determinarse según sus características (vivir como quiera); ciertas condiciones materiales concretas de existencia (vivir bien) y; intangibilidad de los bienes no patrimoniales, integridad física e integridad moral (vivir sin humillaciones) </w:t>
      </w:r>
      <w:r w:rsidR="00B63A64" w:rsidRPr="00C92052">
        <w:rPr>
          <w:rStyle w:val="Refdenotaalpie"/>
          <w:rFonts w:ascii="Book Antiqua" w:hAnsi="Book Antiqua"/>
          <w:iCs/>
          <w:color w:val="000000" w:themeColor="text1"/>
          <w:sz w:val="23"/>
          <w:szCs w:val="23"/>
        </w:rPr>
        <w:footnoteReference w:id="6"/>
      </w:r>
      <w:r w:rsidR="00B63A64" w:rsidRPr="00C92052">
        <w:rPr>
          <w:rFonts w:ascii="Book Antiqua" w:hAnsi="Book Antiqua"/>
          <w:iCs/>
          <w:color w:val="000000" w:themeColor="text1"/>
          <w:sz w:val="23"/>
          <w:szCs w:val="23"/>
        </w:rPr>
        <w:t>.</w:t>
      </w:r>
    </w:p>
    <w:p w14:paraId="2B4F3871" w14:textId="59A4FF7B" w:rsidR="00B63A64" w:rsidRPr="00C92052" w:rsidRDefault="0035503B"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lastRenderedPageBreak/>
        <w:t>En ese sentido, la dignidad humana, se refiere a un derecho fundamental autónomo equivalente al merecimiento de un trato especial que tiene toda persona por el hecho de serlo y la facultad que tiene toda persona de exigir de los demás un trato acorde con su condición humana, siendo de eficacia directa</w:t>
      </w:r>
      <w:r w:rsidRPr="00C92052">
        <w:rPr>
          <w:rStyle w:val="Refdenotaalpie"/>
          <w:rFonts w:ascii="Book Antiqua" w:hAnsi="Book Antiqua"/>
          <w:iCs/>
          <w:color w:val="000000" w:themeColor="text1"/>
          <w:sz w:val="23"/>
          <w:szCs w:val="23"/>
        </w:rPr>
        <w:footnoteReference w:id="7"/>
      </w:r>
      <w:r w:rsidRPr="00C92052">
        <w:rPr>
          <w:rFonts w:ascii="Book Antiqua" w:hAnsi="Book Antiqua"/>
          <w:iCs/>
          <w:color w:val="000000" w:themeColor="text1"/>
          <w:sz w:val="23"/>
          <w:szCs w:val="23"/>
        </w:rPr>
        <w:t>.</w:t>
      </w:r>
      <w:r w:rsidR="005A7F5B" w:rsidRPr="00C92052">
        <w:rPr>
          <w:rFonts w:ascii="Book Antiqua" w:hAnsi="Book Antiqua"/>
          <w:iCs/>
          <w:color w:val="000000" w:themeColor="text1"/>
          <w:sz w:val="23"/>
          <w:szCs w:val="23"/>
        </w:rPr>
        <w:t xml:space="preserve"> </w:t>
      </w:r>
      <w:r w:rsidR="00596EF0" w:rsidRPr="00C92052">
        <w:rPr>
          <w:rFonts w:ascii="Book Antiqua" w:hAnsi="Book Antiqua"/>
          <w:iCs/>
          <w:color w:val="000000" w:themeColor="text1"/>
          <w:sz w:val="23"/>
          <w:szCs w:val="23"/>
        </w:rPr>
        <w:t xml:space="preserve">Finalmente, como valor constitucional se considera un </w:t>
      </w:r>
      <w:r w:rsidR="00B63A64" w:rsidRPr="00C92052">
        <w:rPr>
          <w:rFonts w:ascii="Book Antiqua" w:hAnsi="Book Antiqua"/>
          <w:iCs/>
          <w:color w:val="000000" w:themeColor="text1"/>
          <w:sz w:val="23"/>
          <w:szCs w:val="23"/>
        </w:rPr>
        <w:t>principio fundante del ordenamiento jurídico</w:t>
      </w:r>
      <w:r w:rsidR="00596EF0" w:rsidRPr="00C92052">
        <w:rPr>
          <w:rStyle w:val="Refdenotaalpie"/>
          <w:rFonts w:ascii="Book Antiqua" w:hAnsi="Book Antiqua"/>
          <w:iCs/>
          <w:color w:val="000000" w:themeColor="text1"/>
          <w:sz w:val="23"/>
          <w:szCs w:val="23"/>
        </w:rPr>
        <w:footnoteReference w:id="8"/>
      </w:r>
      <w:r w:rsidR="00596EF0" w:rsidRPr="00C92052">
        <w:rPr>
          <w:rFonts w:ascii="Book Antiqua" w:hAnsi="Book Antiqua"/>
          <w:iCs/>
          <w:color w:val="000000" w:themeColor="text1"/>
          <w:sz w:val="23"/>
          <w:szCs w:val="23"/>
        </w:rPr>
        <w:t xml:space="preserve">. </w:t>
      </w:r>
    </w:p>
    <w:p w14:paraId="19351ECB" w14:textId="5B74F25E" w:rsidR="002B59B2" w:rsidRPr="00C92052" w:rsidRDefault="002B59B2"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Teniendo en cuenta el desarrollo constitucional del derecho y principio de la dignidad</w:t>
      </w:r>
      <w:r w:rsidR="0046159B" w:rsidRPr="00C92052">
        <w:rPr>
          <w:rFonts w:ascii="Book Antiqua" w:hAnsi="Book Antiqua"/>
          <w:iCs/>
          <w:color w:val="000000" w:themeColor="text1"/>
          <w:sz w:val="23"/>
          <w:szCs w:val="23"/>
        </w:rPr>
        <w:t xml:space="preserve"> humana, en donde se garantiza mediante la autonomía de escoger vivir como desee, se debe hacer hincapié en que efectivamente ello conlleva a una libertad de escogencia para determinar la forma en que determinada persona escoja vivir y considere ser de manera digna</w:t>
      </w:r>
      <w:r w:rsidR="00504D77" w:rsidRPr="00C92052">
        <w:rPr>
          <w:rFonts w:ascii="Book Antiqua" w:hAnsi="Book Antiqua"/>
          <w:iCs/>
          <w:color w:val="000000" w:themeColor="text1"/>
          <w:sz w:val="23"/>
          <w:szCs w:val="23"/>
        </w:rPr>
        <w:t>;</w:t>
      </w:r>
      <w:r w:rsidR="0046159B" w:rsidRPr="00C92052">
        <w:rPr>
          <w:rFonts w:ascii="Book Antiqua" w:hAnsi="Book Antiqua"/>
          <w:iCs/>
          <w:color w:val="000000" w:themeColor="text1"/>
          <w:sz w:val="23"/>
          <w:szCs w:val="23"/>
        </w:rPr>
        <w:t xml:space="preserve"> sin embargo, ello no significa que esa libertad de escoger vivir como quiera</w:t>
      </w:r>
      <w:r w:rsidR="003E7554" w:rsidRPr="00C92052">
        <w:rPr>
          <w:rFonts w:ascii="Book Antiqua" w:hAnsi="Book Antiqua"/>
          <w:iCs/>
          <w:color w:val="000000" w:themeColor="text1"/>
          <w:sz w:val="23"/>
          <w:szCs w:val="23"/>
        </w:rPr>
        <w:t xml:space="preserve"> (autónomamente)</w:t>
      </w:r>
      <w:r w:rsidR="0046159B" w:rsidRPr="00C92052">
        <w:rPr>
          <w:rFonts w:ascii="Book Antiqua" w:hAnsi="Book Antiqua"/>
          <w:iCs/>
          <w:color w:val="000000" w:themeColor="text1"/>
          <w:sz w:val="23"/>
          <w:szCs w:val="23"/>
        </w:rPr>
        <w:t xml:space="preserve">, pueda transgredir derechos de terceras personas, </w:t>
      </w:r>
      <w:r w:rsidR="00CD5D68" w:rsidRPr="00C92052">
        <w:rPr>
          <w:rFonts w:ascii="Book Antiqua" w:hAnsi="Book Antiqua"/>
          <w:iCs/>
          <w:color w:val="000000" w:themeColor="text1"/>
          <w:sz w:val="23"/>
          <w:szCs w:val="23"/>
        </w:rPr>
        <w:t>lo cual significa que el derecho a la dignidad en este caso en concreto, debe tener en cuenta que hay una sociedad no consumidora de cannabis y sus derivados</w:t>
      </w:r>
      <w:r w:rsidR="007326D4" w:rsidRPr="00C92052">
        <w:rPr>
          <w:rFonts w:ascii="Book Antiqua" w:hAnsi="Book Antiqua"/>
          <w:iCs/>
          <w:color w:val="000000" w:themeColor="text1"/>
          <w:sz w:val="23"/>
          <w:szCs w:val="23"/>
        </w:rPr>
        <w:t xml:space="preserve">, </w:t>
      </w:r>
      <w:r w:rsidR="00CD5D68" w:rsidRPr="00C92052">
        <w:rPr>
          <w:rFonts w:ascii="Book Antiqua" w:hAnsi="Book Antiqua"/>
          <w:iCs/>
          <w:color w:val="000000" w:themeColor="text1"/>
          <w:sz w:val="23"/>
          <w:szCs w:val="23"/>
        </w:rPr>
        <w:t xml:space="preserve"> que se ven afectados por aquellos que si la consumen, transgrediendo sus derechos fundamentales que en casos como de los niños/as y adolescentes tienen una especial protección constitucional y son de mayor protección por parte del Estado. </w:t>
      </w:r>
    </w:p>
    <w:p w14:paraId="25EB201F" w14:textId="77777777" w:rsidR="00E344ED" w:rsidRPr="00C92052" w:rsidRDefault="00A83D37"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ese sentido, el Proyecto de Acto Legislativo no puede argumentar </w:t>
      </w:r>
      <w:proofErr w:type="gramStart"/>
      <w:r w:rsidRPr="00C92052">
        <w:rPr>
          <w:rFonts w:ascii="Book Antiqua" w:hAnsi="Book Antiqua"/>
          <w:iCs/>
          <w:color w:val="000000" w:themeColor="text1"/>
          <w:sz w:val="23"/>
          <w:szCs w:val="23"/>
        </w:rPr>
        <w:t>que</w:t>
      </w:r>
      <w:proofErr w:type="gramEnd"/>
      <w:r w:rsidRPr="00C92052">
        <w:rPr>
          <w:rFonts w:ascii="Book Antiqua" w:hAnsi="Book Antiqua"/>
          <w:iCs/>
          <w:color w:val="000000" w:themeColor="text1"/>
          <w:sz w:val="23"/>
          <w:szCs w:val="23"/>
        </w:rPr>
        <w:t xml:space="preserve"> bajo el principio y derecho a la dignidad humana, en donde se debe respetar la manera en que se escoja vivir de manera libre y autónoma, </w:t>
      </w:r>
      <w:r w:rsidR="00BF2600" w:rsidRPr="00C92052">
        <w:rPr>
          <w:rFonts w:ascii="Book Antiqua" w:hAnsi="Book Antiqua"/>
          <w:iCs/>
          <w:color w:val="000000" w:themeColor="text1"/>
          <w:sz w:val="23"/>
          <w:szCs w:val="23"/>
        </w:rPr>
        <w:t xml:space="preserve">pueda vulnerar derechos de terceros y más sobre una población que internacionalmente son sujetos de especial protección constitucional. </w:t>
      </w:r>
    </w:p>
    <w:p w14:paraId="483C1EF3" w14:textId="77777777" w:rsidR="00BF2600" w:rsidRPr="00C92052" w:rsidRDefault="00BF2600"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De esta manera, a parte de las dimensiones y lineamientos constitucionales señalados anteriormente, debe tenerse en cuenta que los seres humanos son objeto de respeto de su dignidad humana, siempre y cuando se exija de manera razonable y proporcional, y dentro de un orden justo y convivencia pacífica, que no transgredan derechos de terceros, tratando de armonizarse en la medida de lo posible. </w:t>
      </w:r>
    </w:p>
    <w:p w14:paraId="457C3A60" w14:textId="77777777" w:rsidR="00D57C75" w:rsidRPr="00C92052" w:rsidRDefault="00D57C7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Adicionalmente, debe tenerse en cuenta que no solo hay que garantizarle el</w:t>
      </w:r>
      <w:r w:rsidR="001346B6" w:rsidRPr="00C92052">
        <w:rPr>
          <w:rFonts w:ascii="Book Antiqua" w:hAnsi="Book Antiqua"/>
          <w:iCs/>
          <w:color w:val="000000" w:themeColor="text1"/>
          <w:sz w:val="23"/>
          <w:szCs w:val="23"/>
        </w:rPr>
        <w:t xml:space="preserve"> derecho a la dignidad humana a</w:t>
      </w:r>
      <w:r w:rsidRPr="00C92052">
        <w:rPr>
          <w:rFonts w:ascii="Book Antiqua" w:hAnsi="Book Antiqua"/>
          <w:iCs/>
          <w:color w:val="000000" w:themeColor="text1"/>
          <w:sz w:val="23"/>
          <w:szCs w:val="23"/>
        </w:rPr>
        <w:t xml:space="preserve"> los consumidores de cannabis y sus derivados, sino que también debe ser un derecho que se le garantice a las personas que se vean afectadas por su consumo tales como: niños/as y adolescentes, familia, entre otros, que por la no rehabilitación ni acompañamiento de medidas preventivas por parte del Estado genera que el consumidor no viva de manera digna ni la de su círculo social y familiar. </w:t>
      </w:r>
    </w:p>
    <w:p w14:paraId="49D85682" w14:textId="29EA0214" w:rsidR="00D57C75" w:rsidRPr="00C92052" w:rsidRDefault="00D57C7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 es un derecho fundamental constitucional que el Proyecto de Acto Legislativo está pretendiendo garantizar solo a los consumidores de cannabis y sus derivados, sin tener en cuenta que dentro del art</w:t>
      </w:r>
      <w:r w:rsidR="00574E7C" w:rsidRPr="00C92052">
        <w:rPr>
          <w:rFonts w:ascii="Book Antiqua" w:hAnsi="Book Antiqua"/>
          <w:iCs/>
          <w:color w:val="000000" w:themeColor="text1"/>
          <w:sz w:val="23"/>
          <w:szCs w:val="23"/>
        </w:rPr>
        <w:t>ículo</w:t>
      </w:r>
      <w:r w:rsidRPr="00C92052">
        <w:rPr>
          <w:rFonts w:ascii="Book Antiqua" w:hAnsi="Book Antiqua"/>
          <w:iCs/>
          <w:color w:val="000000" w:themeColor="text1"/>
          <w:sz w:val="23"/>
          <w:szCs w:val="23"/>
        </w:rPr>
        <w:t xml:space="preserve"> 1 constitucional, Colombia como Estado Social de Derecho respeta la dignidad humana y propende por la prevalencia del interés general. </w:t>
      </w:r>
    </w:p>
    <w:p w14:paraId="0B7B86B5" w14:textId="77777777" w:rsidR="00165C46" w:rsidRPr="00C92052" w:rsidRDefault="00165C46" w:rsidP="0016403D">
      <w:pPr>
        <w:pStyle w:val="Prrafodelista"/>
        <w:spacing w:line="240" w:lineRule="auto"/>
        <w:ind w:left="735"/>
        <w:jc w:val="both"/>
        <w:rPr>
          <w:rFonts w:ascii="Book Antiqua" w:hAnsi="Book Antiqua"/>
          <w:b/>
          <w:iCs/>
          <w:color w:val="000000" w:themeColor="text1"/>
          <w:sz w:val="23"/>
          <w:szCs w:val="23"/>
        </w:rPr>
      </w:pPr>
    </w:p>
    <w:p w14:paraId="1CEB7A30" w14:textId="77777777" w:rsidR="00C83FA0" w:rsidRPr="00C92052" w:rsidRDefault="002C0EA9" w:rsidP="0016403D">
      <w:pPr>
        <w:pStyle w:val="Prrafodelista"/>
        <w:numPr>
          <w:ilvl w:val="1"/>
          <w:numId w:val="8"/>
        </w:numPr>
        <w:spacing w:line="240" w:lineRule="auto"/>
        <w:jc w:val="both"/>
        <w:rPr>
          <w:rFonts w:ascii="Book Antiqua" w:hAnsi="Book Antiqua"/>
          <w:b/>
          <w:iCs/>
          <w:color w:val="000000" w:themeColor="text1"/>
          <w:sz w:val="23"/>
          <w:szCs w:val="23"/>
        </w:rPr>
      </w:pPr>
      <w:r w:rsidRPr="00C92052">
        <w:rPr>
          <w:rFonts w:ascii="Book Antiqua" w:hAnsi="Book Antiqua"/>
          <w:b/>
          <w:iCs/>
          <w:color w:val="000000" w:themeColor="text1"/>
          <w:sz w:val="23"/>
          <w:szCs w:val="23"/>
        </w:rPr>
        <w:t xml:space="preserve">Derecho fundamental al libre desarrollo de la personalidad </w:t>
      </w:r>
      <w:r w:rsidR="0033725B" w:rsidRPr="00C92052">
        <w:rPr>
          <w:rFonts w:ascii="Book Antiqua" w:hAnsi="Book Antiqua"/>
          <w:b/>
          <w:iCs/>
          <w:color w:val="000000" w:themeColor="text1"/>
          <w:sz w:val="23"/>
          <w:szCs w:val="23"/>
        </w:rPr>
        <w:t>V</w:t>
      </w:r>
      <w:r w:rsidR="004E16BC" w:rsidRPr="00C92052">
        <w:rPr>
          <w:rFonts w:ascii="Book Antiqua" w:hAnsi="Book Antiqua"/>
          <w:b/>
          <w:iCs/>
          <w:color w:val="000000" w:themeColor="text1"/>
          <w:sz w:val="23"/>
          <w:szCs w:val="23"/>
        </w:rPr>
        <w:t xml:space="preserve">s </w:t>
      </w:r>
      <w:r w:rsidR="0033725B" w:rsidRPr="00C92052">
        <w:rPr>
          <w:rFonts w:ascii="Book Antiqua" w:hAnsi="Book Antiqua"/>
          <w:b/>
          <w:iCs/>
          <w:color w:val="000000" w:themeColor="text1"/>
          <w:sz w:val="23"/>
          <w:szCs w:val="23"/>
        </w:rPr>
        <w:t xml:space="preserve">derechos y protección de los niños/as y adolescentes </w:t>
      </w:r>
    </w:p>
    <w:p w14:paraId="10BB5244" w14:textId="115E7E6D" w:rsidR="002C0EA9" w:rsidRPr="00C92052" w:rsidRDefault="003A7C38"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El derecho fundamental al libre desarrollo de la personalidad se encuentra en el art</w:t>
      </w:r>
      <w:r w:rsidR="00574E7C" w:rsidRPr="00C92052">
        <w:rPr>
          <w:rFonts w:ascii="Book Antiqua" w:hAnsi="Book Antiqua"/>
          <w:iCs/>
          <w:color w:val="000000" w:themeColor="text1"/>
          <w:sz w:val="23"/>
          <w:szCs w:val="23"/>
        </w:rPr>
        <w:t>ículo</w:t>
      </w:r>
      <w:r w:rsidRPr="00C92052">
        <w:rPr>
          <w:rFonts w:ascii="Book Antiqua" w:hAnsi="Book Antiqua"/>
          <w:iCs/>
          <w:color w:val="000000" w:themeColor="text1"/>
          <w:sz w:val="23"/>
          <w:szCs w:val="23"/>
        </w:rPr>
        <w:t xml:space="preserve"> 16 de la Constitución </w:t>
      </w:r>
      <w:r w:rsidR="00193A00" w:rsidRPr="00C92052">
        <w:rPr>
          <w:rFonts w:ascii="Book Antiqua" w:hAnsi="Book Antiqua"/>
          <w:iCs/>
          <w:color w:val="000000" w:themeColor="text1"/>
          <w:sz w:val="23"/>
          <w:szCs w:val="23"/>
        </w:rPr>
        <w:t>Política,</w:t>
      </w:r>
      <w:r w:rsidRPr="00C92052">
        <w:rPr>
          <w:rFonts w:ascii="Book Antiqua" w:hAnsi="Book Antiqua"/>
          <w:iCs/>
          <w:color w:val="000000" w:themeColor="text1"/>
          <w:sz w:val="23"/>
          <w:szCs w:val="23"/>
        </w:rPr>
        <w:t xml:space="preserve"> el cual señala que </w:t>
      </w:r>
      <w:r w:rsidR="00193A00" w:rsidRPr="00C92052">
        <w:rPr>
          <w:rFonts w:ascii="Book Antiqua" w:hAnsi="Book Antiqua"/>
          <w:iCs/>
          <w:color w:val="000000" w:themeColor="text1"/>
          <w:sz w:val="23"/>
          <w:szCs w:val="23"/>
        </w:rPr>
        <w:t>“</w:t>
      </w:r>
      <w:r w:rsidR="00193A00" w:rsidRPr="00C92052">
        <w:rPr>
          <w:rFonts w:ascii="Book Antiqua" w:hAnsi="Book Antiqua"/>
          <w:i/>
          <w:iCs/>
          <w:color w:val="000000" w:themeColor="text1"/>
          <w:sz w:val="23"/>
          <w:szCs w:val="23"/>
        </w:rPr>
        <w:t>todas las personas tienen derecho al libre desarrollo de su personalidad sin más limitaciones que las que imponen los derechos de los demás y el orden jurídico</w:t>
      </w:r>
      <w:r w:rsidR="00193A00" w:rsidRPr="00C92052">
        <w:rPr>
          <w:rFonts w:ascii="Book Antiqua" w:hAnsi="Book Antiqua"/>
          <w:iCs/>
          <w:color w:val="000000" w:themeColor="text1"/>
          <w:sz w:val="23"/>
          <w:szCs w:val="23"/>
        </w:rPr>
        <w:t xml:space="preserve">”. </w:t>
      </w:r>
    </w:p>
    <w:p w14:paraId="7D4FB179" w14:textId="77777777" w:rsidR="00193A00" w:rsidRPr="00C92052" w:rsidRDefault="00193A00"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El núcleo esencial de este derecho lo ha considerado la Corte Constitucional como consecuencia lógica del respeto de la dignidad de la persona, es decir, es un derecho que se encuentra ligado al derecho a la dignidad humana, teniendo como núcleo esencial el proteger la libertad general de acción y las distintas manifestaciones de la personalidad que merecen protección</w:t>
      </w:r>
      <w:r w:rsidR="002A2EBA" w:rsidRPr="00C92052">
        <w:rPr>
          <w:rStyle w:val="Refdenotaalpie"/>
          <w:rFonts w:ascii="Book Antiqua" w:hAnsi="Book Antiqua"/>
          <w:iCs/>
          <w:color w:val="000000" w:themeColor="text1"/>
          <w:sz w:val="23"/>
          <w:szCs w:val="23"/>
        </w:rPr>
        <w:footnoteReference w:id="9"/>
      </w:r>
      <w:r w:rsidR="002A2EBA" w:rsidRPr="00C92052">
        <w:rPr>
          <w:rFonts w:ascii="Book Antiqua" w:hAnsi="Book Antiqua"/>
          <w:iCs/>
          <w:color w:val="000000" w:themeColor="text1"/>
          <w:sz w:val="23"/>
          <w:szCs w:val="23"/>
        </w:rPr>
        <w:t>.</w:t>
      </w:r>
    </w:p>
    <w:p w14:paraId="755866B1" w14:textId="320CD0DC" w:rsidR="00115A30" w:rsidRPr="00C92052" w:rsidRDefault="00CE48EF" w:rsidP="0016403D">
      <w:pPr>
        <w:spacing w:line="240" w:lineRule="auto"/>
        <w:ind w:left="360"/>
        <w:jc w:val="both"/>
        <w:rPr>
          <w:rFonts w:ascii="Book Antiqua" w:hAnsi="Book Antiqua"/>
          <w:i/>
          <w:iCs/>
          <w:color w:val="000000" w:themeColor="text1"/>
          <w:sz w:val="23"/>
          <w:szCs w:val="23"/>
        </w:rPr>
      </w:pPr>
      <w:r w:rsidRPr="00C92052">
        <w:rPr>
          <w:rFonts w:ascii="Book Antiqua" w:hAnsi="Book Antiqua"/>
          <w:iCs/>
          <w:color w:val="000000" w:themeColor="text1"/>
          <w:sz w:val="23"/>
          <w:szCs w:val="23"/>
        </w:rPr>
        <w:t xml:space="preserve">El derecho al libre </w:t>
      </w:r>
      <w:r w:rsidR="00574E7C" w:rsidRPr="00C92052">
        <w:rPr>
          <w:rFonts w:ascii="Book Antiqua" w:hAnsi="Book Antiqua"/>
          <w:iCs/>
          <w:color w:val="000000" w:themeColor="text1"/>
          <w:sz w:val="23"/>
          <w:szCs w:val="23"/>
        </w:rPr>
        <w:t xml:space="preserve">desarrollo </w:t>
      </w:r>
      <w:r w:rsidRPr="00C92052">
        <w:rPr>
          <w:rFonts w:ascii="Book Antiqua" w:hAnsi="Book Antiqua"/>
          <w:iCs/>
          <w:color w:val="000000" w:themeColor="text1"/>
          <w:sz w:val="23"/>
          <w:szCs w:val="23"/>
        </w:rPr>
        <w:t>de la personalidad</w:t>
      </w:r>
      <w:r w:rsidR="00574E7C"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también es reconocido como el derecho a la autonomía </w:t>
      </w:r>
      <w:r w:rsidR="00115A30" w:rsidRPr="00C92052">
        <w:rPr>
          <w:rFonts w:ascii="Book Antiqua" w:hAnsi="Book Antiqua"/>
          <w:iCs/>
          <w:color w:val="000000" w:themeColor="text1"/>
          <w:sz w:val="23"/>
          <w:szCs w:val="23"/>
        </w:rPr>
        <w:t>e identidad personal el cual “</w:t>
      </w:r>
      <w:r w:rsidR="00115A30" w:rsidRPr="00C92052">
        <w:rPr>
          <w:rFonts w:ascii="Book Antiqua" w:hAnsi="Book Antiqua"/>
          <w:i/>
          <w:iCs/>
          <w:color w:val="000000" w:themeColor="text1"/>
          <w:sz w:val="23"/>
          <w:szCs w:val="23"/>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006D6BD1" w:rsidRPr="00C92052">
        <w:rPr>
          <w:rStyle w:val="Refdenotaalpie"/>
          <w:rFonts w:ascii="Book Antiqua" w:hAnsi="Book Antiqua"/>
          <w:i/>
          <w:iCs/>
          <w:color w:val="000000" w:themeColor="text1"/>
          <w:sz w:val="23"/>
          <w:szCs w:val="23"/>
        </w:rPr>
        <w:footnoteReference w:id="10"/>
      </w:r>
      <w:r w:rsidR="00115A30" w:rsidRPr="00C92052">
        <w:rPr>
          <w:rFonts w:ascii="Book Antiqua" w:hAnsi="Book Antiqua"/>
          <w:i/>
          <w:iCs/>
          <w:color w:val="000000" w:themeColor="text1"/>
          <w:sz w:val="23"/>
          <w:szCs w:val="23"/>
        </w:rPr>
        <w:t>.</w:t>
      </w:r>
    </w:p>
    <w:p w14:paraId="5B687854" w14:textId="7124E82C" w:rsidR="003A4639" w:rsidRPr="00C92052" w:rsidRDefault="00D83532"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 garantizar el libre desarrollo de la personalidad</w:t>
      </w:r>
      <w:r w:rsidR="00574E7C"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significa permitir que se ejerza de manera libre e independiente por parte de la persona</w:t>
      </w:r>
      <w:r w:rsidR="003A4639" w:rsidRPr="00C92052">
        <w:rPr>
          <w:rFonts w:ascii="Book Antiqua" w:hAnsi="Book Antiqua"/>
          <w:iCs/>
          <w:color w:val="000000" w:themeColor="text1"/>
          <w:sz w:val="23"/>
          <w:szCs w:val="23"/>
        </w:rPr>
        <w:t>, teniendo como único límite el no causar un perjuicio social</w:t>
      </w:r>
      <w:r w:rsidR="003A4639" w:rsidRPr="00C92052">
        <w:rPr>
          <w:rStyle w:val="Refdenotaalpie"/>
          <w:rFonts w:ascii="Book Antiqua" w:hAnsi="Book Antiqua"/>
          <w:iCs/>
          <w:color w:val="000000" w:themeColor="text1"/>
          <w:sz w:val="23"/>
          <w:szCs w:val="23"/>
        </w:rPr>
        <w:footnoteReference w:id="11"/>
      </w:r>
      <w:r w:rsidR="003A4639" w:rsidRPr="00C92052">
        <w:rPr>
          <w:rFonts w:ascii="Book Antiqua" w:hAnsi="Book Antiqua"/>
          <w:iCs/>
          <w:color w:val="000000" w:themeColor="text1"/>
          <w:sz w:val="23"/>
          <w:szCs w:val="23"/>
        </w:rPr>
        <w:t>. Para que el l</w:t>
      </w:r>
      <w:r w:rsidR="00574E7C" w:rsidRPr="00C92052">
        <w:rPr>
          <w:rFonts w:ascii="Book Antiqua" w:hAnsi="Book Antiqua"/>
          <w:iCs/>
          <w:color w:val="000000" w:themeColor="text1"/>
          <w:sz w:val="23"/>
          <w:szCs w:val="23"/>
        </w:rPr>
        <w:t>í</w:t>
      </w:r>
      <w:r w:rsidR="003A4639" w:rsidRPr="00C92052">
        <w:rPr>
          <w:rFonts w:ascii="Book Antiqua" w:hAnsi="Book Antiqua"/>
          <w:iCs/>
          <w:color w:val="000000" w:themeColor="text1"/>
          <w:sz w:val="23"/>
          <w:szCs w:val="23"/>
        </w:rPr>
        <w:t>mite al libre desarrollo de la personalidad sea legítimo y no arbitrario, debe gozar de un fundamento jurídico constitucional</w:t>
      </w:r>
      <w:r w:rsidR="003A4639" w:rsidRPr="00C92052">
        <w:rPr>
          <w:rStyle w:val="Refdenotaalpie"/>
          <w:rFonts w:ascii="Book Antiqua" w:hAnsi="Book Antiqua"/>
          <w:iCs/>
          <w:color w:val="000000" w:themeColor="text1"/>
          <w:sz w:val="23"/>
          <w:szCs w:val="23"/>
        </w:rPr>
        <w:footnoteReference w:id="12"/>
      </w:r>
      <w:r w:rsidR="003A4639" w:rsidRPr="00C92052">
        <w:rPr>
          <w:rFonts w:ascii="Book Antiqua" w:hAnsi="Book Antiqua"/>
          <w:iCs/>
          <w:color w:val="000000" w:themeColor="text1"/>
          <w:sz w:val="23"/>
          <w:szCs w:val="23"/>
        </w:rPr>
        <w:t xml:space="preserve">. </w:t>
      </w:r>
    </w:p>
    <w:p w14:paraId="51DD1B3C" w14:textId="591D3943" w:rsidR="00913DC1" w:rsidRPr="00C92052" w:rsidRDefault="00913DC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De acuerdo a lo anterior, solo las conductas que interfieran con la órbita de la libertad y los interese</w:t>
      </w:r>
      <w:r w:rsidR="00574E7C" w:rsidRPr="00C92052">
        <w:rPr>
          <w:rFonts w:ascii="Book Antiqua" w:hAnsi="Book Antiqua"/>
          <w:iCs/>
          <w:color w:val="000000" w:themeColor="text1"/>
          <w:sz w:val="23"/>
          <w:szCs w:val="23"/>
        </w:rPr>
        <w:t>s</w:t>
      </w:r>
      <w:r w:rsidRPr="00C92052">
        <w:rPr>
          <w:rFonts w:ascii="Book Antiqua" w:hAnsi="Book Antiqua"/>
          <w:iCs/>
          <w:color w:val="000000" w:themeColor="text1"/>
          <w:sz w:val="23"/>
          <w:szCs w:val="23"/>
        </w:rPr>
        <w:t xml:space="preserve"> ajenos, pueden ser jurídicamente exigibles en contraposición al derecho al libre desarrollo de la personalidad, por tanto, este derecho se encuentra limitado por los derechos de los demás y el orden jurídico objetivo. </w:t>
      </w:r>
    </w:p>
    <w:p w14:paraId="2A6ABC24" w14:textId="512AA744" w:rsidR="00E01490" w:rsidRPr="00C92052" w:rsidRDefault="00B30C67"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Por tanto, en este escenario en donde se quiere permitir el uso recreativo del cannabis y sus derivados, deben ponderarse no solo el derecho al libre desarrollo de la personalidad en conexidad con el derecho a la dignidad humana</w:t>
      </w:r>
      <w:r w:rsidR="00574E7C"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sino también los derechos que se vulneran de los demás por la práctica de esta actividad de consumo. </w:t>
      </w:r>
    </w:p>
    <w:p w14:paraId="5BC087C5" w14:textId="6E9C358E" w:rsidR="003A4639" w:rsidRPr="00C92052" w:rsidRDefault="00B30C67"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ese sentido, </w:t>
      </w:r>
      <w:r w:rsidR="00E01490" w:rsidRPr="00C92052">
        <w:rPr>
          <w:rFonts w:ascii="Book Antiqua" w:hAnsi="Book Antiqua"/>
          <w:iCs/>
          <w:color w:val="000000" w:themeColor="text1"/>
          <w:sz w:val="23"/>
          <w:szCs w:val="23"/>
        </w:rPr>
        <w:t xml:space="preserve">de manera objetiva basados en estudios y con fundamento en el ordenamiento jurídico constitucional, se ha demostrado que el consumo de cannabis y sus derivados transgreden la órbita de los derechos de otras personas, en el entendido en que </w:t>
      </w:r>
      <w:r w:rsidR="002122FE" w:rsidRPr="00C92052">
        <w:rPr>
          <w:rFonts w:ascii="Book Antiqua" w:hAnsi="Book Antiqua"/>
          <w:iCs/>
          <w:color w:val="000000" w:themeColor="text1"/>
          <w:sz w:val="23"/>
          <w:szCs w:val="23"/>
        </w:rPr>
        <w:t xml:space="preserve">influye en el aumento de consumo de estas sustancias en menores de edad y que históricamente se ha considerado como una población vulnerable y de especial protección constitucional, en donde al ponderar estos derechos, </w:t>
      </w:r>
      <w:r w:rsidR="002122FE" w:rsidRPr="00C92052">
        <w:rPr>
          <w:rFonts w:ascii="Book Antiqua" w:hAnsi="Book Antiqua"/>
          <w:iCs/>
          <w:color w:val="000000" w:themeColor="text1"/>
          <w:sz w:val="23"/>
          <w:szCs w:val="23"/>
        </w:rPr>
        <w:lastRenderedPageBreak/>
        <w:t>prevalecen los derechos de los niños/as y adolescentes, que además, según estudio del Ministerio de Justicia es una población focal para extend</w:t>
      </w:r>
      <w:r w:rsidR="00644F17" w:rsidRPr="00C92052">
        <w:rPr>
          <w:rFonts w:ascii="Book Antiqua" w:hAnsi="Book Antiqua"/>
          <w:iCs/>
          <w:color w:val="000000" w:themeColor="text1"/>
          <w:sz w:val="23"/>
          <w:szCs w:val="23"/>
        </w:rPr>
        <w:t>er su expendio por parte de band</w:t>
      </w:r>
      <w:r w:rsidR="002122FE" w:rsidRPr="00C92052">
        <w:rPr>
          <w:rFonts w:ascii="Book Antiqua" w:hAnsi="Book Antiqua"/>
          <w:iCs/>
          <w:color w:val="000000" w:themeColor="text1"/>
          <w:sz w:val="23"/>
          <w:szCs w:val="23"/>
        </w:rPr>
        <w:t xml:space="preserve">as criminales precisamente por su condición de vulnerabilidad y fácil manejo. </w:t>
      </w:r>
    </w:p>
    <w:p w14:paraId="0425707B" w14:textId="04EDBB3E" w:rsidR="00115A30" w:rsidRPr="00C92052" w:rsidRDefault="002122FE"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Lo anterior lo sustenta el “</w:t>
      </w:r>
      <w:r w:rsidRPr="00C92052">
        <w:rPr>
          <w:rFonts w:ascii="Book Antiqua" w:hAnsi="Book Antiqua"/>
          <w:i/>
          <w:iCs/>
          <w:color w:val="000000" w:themeColor="text1"/>
          <w:sz w:val="23"/>
          <w:szCs w:val="23"/>
        </w:rPr>
        <w:t>Estudio Nacional de Consumo de Sustancias Psicoactivas en población escolar en Colombia-2016</w:t>
      </w:r>
      <w:r w:rsidRPr="00C92052">
        <w:rPr>
          <w:rFonts w:ascii="Book Antiqua" w:hAnsi="Book Antiqua"/>
          <w:iCs/>
          <w:color w:val="000000" w:themeColor="text1"/>
          <w:sz w:val="23"/>
          <w:szCs w:val="23"/>
        </w:rPr>
        <w:t>”</w:t>
      </w:r>
      <w:r w:rsidR="001B14E7" w:rsidRPr="00C92052">
        <w:rPr>
          <w:rStyle w:val="Refdenotaalpie"/>
          <w:rFonts w:ascii="Book Antiqua" w:hAnsi="Book Antiqua"/>
          <w:iCs/>
          <w:color w:val="000000" w:themeColor="text1"/>
          <w:sz w:val="23"/>
          <w:szCs w:val="23"/>
        </w:rPr>
        <w:footnoteReference w:id="13"/>
      </w:r>
      <w:r w:rsidRPr="00C92052">
        <w:rPr>
          <w:rFonts w:ascii="Book Antiqua" w:hAnsi="Book Antiqua"/>
          <w:iCs/>
          <w:color w:val="000000" w:themeColor="text1"/>
          <w:sz w:val="23"/>
          <w:szCs w:val="23"/>
        </w:rPr>
        <w:t xml:space="preserve"> realizado por el Observatorio de Drogas de Colombia, el Ministerio de Justicia y del Derecho, el Ministerio de Educación Nacional y el Ministerio de Salud y Protección Social, con el apoyo de la Comisión Interamericana para el Control del Abuso de Drogas (CICAD) de la Organización de los Estados Americanos (OEA), en donde se concluyó como resultado del estudio de caso en 80.018</w:t>
      </w:r>
      <w:r w:rsidR="00574E7C" w:rsidRPr="00C92052">
        <w:rPr>
          <w:rFonts w:ascii="Book Antiqua" w:hAnsi="Book Antiqua"/>
          <w:iCs/>
          <w:color w:val="000000" w:themeColor="text1"/>
          <w:sz w:val="23"/>
          <w:szCs w:val="23"/>
        </w:rPr>
        <w:t xml:space="preserve"> personas </w:t>
      </w:r>
      <w:r w:rsidR="001B14E7" w:rsidRPr="00C92052">
        <w:rPr>
          <w:rFonts w:ascii="Book Antiqua" w:hAnsi="Book Antiqua"/>
          <w:iCs/>
          <w:color w:val="000000" w:themeColor="text1"/>
          <w:sz w:val="23"/>
          <w:szCs w:val="23"/>
        </w:rPr>
        <w:t xml:space="preserve">que, un 11,7% de los escolares de Colombia declararon haber usado marihuana alguna vez en la vida y un 27,7% de los escolares del país percibe un gran riesgo frente al uso ocasional de la marihuana, señalando además que la marihuana es la sustancia que los escolares manifiestan como la que les resultaría de más fácil acceso. </w:t>
      </w:r>
    </w:p>
    <w:p w14:paraId="2B58BEFB" w14:textId="77777777" w:rsidR="002A2EBA" w:rsidRPr="00C92052" w:rsidRDefault="00E12E12"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ese sentido, </w:t>
      </w:r>
      <w:r w:rsidR="004E16BC" w:rsidRPr="00C92052">
        <w:rPr>
          <w:rFonts w:ascii="Book Antiqua" w:hAnsi="Book Antiqua"/>
          <w:iCs/>
          <w:color w:val="000000" w:themeColor="text1"/>
          <w:sz w:val="23"/>
          <w:szCs w:val="23"/>
        </w:rPr>
        <w:t xml:space="preserve">consultando centros de investigación que se </w:t>
      </w:r>
      <w:r w:rsidR="004A705C" w:rsidRPr="00C92052">
        <w:rPr>
          <w:rFonts w:ascii="Book Antiqua" w:hAnsi="Book Antiqua"/>
          <w:iCs/>
          <w:color w:val="000000" w:themeColor="text1"/>
          <w:sz w:val="23"/>
          <w:szCs w:val="23"/>
        </w:rPr>
        <w:t>han dedicado al estudio en el control y prevención de enfermedades, han determinado que la marihuana trae efectos negativos sobre el cerebro de los adolescentes, tales como: dificultad para pensar y resolver problemas, problemas de memoria y aprendizaje, coordinación</w:t>
      </w:r>
      <w:r w:rsidR="007677CC" w:rsidRPr="00C92052">
        <w:rPr>
          <w:rFonts w:ascii="Book Antiqua" w:hAnsi="Book Antiqua"/>
          <w:iCs/>
          <w:color w:val="000000" w:themeColor="text1"/>
          <w:sz w:val="23"/>
          <w:szCs w:val="23"/>
        </w:rPr>
        <w:t xml:space="preserve"> reducida, problemas con la vida social </w:t>
      </w:r>
      <w:r w:rsidR="004A705C" w:rsidRPr="00C92052">
        <w:rPr>
          <w:rFonts w:ascii="Book Antiqua" w:hAnsi="Book Antiqua"/>
          <w:iCs/>
          <w:color w:val="000000" w:themeColor="text1"/>
          <w:sz w:val="23"/>
          <w:szCs w:val="23"/>
        </w:rPr>
        <w:t>y dificultad para mantener la atención</w:t>
      </w:r>
      <w:r w:rsidR="007677CC" w:rsidRPr="00C92052">
        <w:rPr>
          <w:rStyle w:val="Refdenotaalpie"/>
          <w:rFonts w:ascii="Book Antiqua" w:hAnsi="Book Antiqua"/>
          <w:iCs/>
          <w:color w:val="000000" w:themeColor="text1"/>
          <w:sz w:val="23"/>
          <w:szCs w:val="23"/>
        </w:rPr>
        <w:footnoteReference w:id="14"/>
      </w:r>
      <w:r w:rsidR="004A705C" w:rsidRPr="00C92052">
        <w:rPr>
          <w:rFonts w:ascii="Book Antiqua" w:hAnsi="Book Antiqua"/>
          <w:iCs/>
          <w:color w:val="000000" w:themeColor="text1"/>
          <w:sz w:val="23"/>
          <w:szCs w:val="23"/>
        </w:rPr>
        <w:t xml:space="preserve">. </w:t>
      </w:r>
    </w:p>
    <w:p w14:paraId="06A361AD" w14:textId="2F34F2C5" w:rsidR="001066C2" w:rsidRPr="00C92052" w:rsidRDefault="00D40170"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 el permitir el uso recreacional del cannabis y sus derivados, aumentar</w:t>
      </w:r>
      <w:r w:rsidR="00574E7C" w:rsidRPr="00C92052">
        <w:rPr>
          <w:rFonts w:ascii="Book Antiqua" w:hAnsi="Book Antiqua"/>
          <w:iCs/>
          <w:color w:val="000000" w:themeColor="text1"/>
          <w:sz w:val="23"/>
          <w:szCs w:val="23"/>
        </w:rPr>
        <w:t>á</w:t>
      </w:r>
      <w:r w:rsidRPr="00C92052">
        <w:rPr>
          <w:rFonts w:ascii="Book Antiqua" w:hAnsi="Book Antiqua"/>
          <w:iCs/>
          <w:color w:val="000000" w:themeColor="text1"/>
          <w:sz w:val="23"/>
          <w:szCs w:val="23"/>
        </w:rPr>
        <w:t xml:space="preserve"> el acceso a estas sustancias en menores de edad, generándoles graves afectaciones en el desarrollo de su infancia y adolescencia, por lo cual, se evidencia que si hay una transgresión a la órbita de los derechos de los demás, como lo son los niños/as y adolescentes, que además, son de especial protección constitucional y que prevalecen sus derechos sobre los demás</w:t>
      </w:r>
      <w:r w:rsidR="008F6DD4" w:rsidRPr="00C92052">
        <w:rPr>
          <w:rFonts w:ascii="Book Antiqua" w:hAnsi="Book Antiqua"/>
          <w:iCs/>
          <w:color w:val="000000" w:themeColor="text1"/>
          <w:sz w:val="23"/>
          <w:szCs w:val="23"/>
        </w:rPr>
        <w:t xml:space="preserve">, por cuanto si antes de su aprobación de uso recreacional ya es considerado como de fácil </w:t>
      </w:r>
      <w:r w:rsidR="00574E7C" w:rsidRPr="00C92052">
        <w:rPr>
          <w:rFonts w:ascii="Book Antiqua" w:hAnsi="Book Antiqua"/>
          <w:iCs/>
          <w:color w:val="000000" w:themeColor="text1"/>
          <w:sz w:val="23"/>
          <w:szCs w:val="23"/>
        </w:rPr>
        <w:t xml:space="preserve">acceso </w:t>
      </w:r>
      <w:r w:rsidR="003519ED" w:rsidRPr="00C92052">
        <w:rPr>
          <w:rFonts w:ascii="Book Antiqua" w:hAnsi="Book Antiqua"/>
          <w:iCs/>
          <w:color w:val="000000" w:themeColor="text1"/>
          <w:sz w:val="23"/>
          <w:szCs w:val="23"/>
        </w:rPr>
        <w:t xml:space="preserve">a esta </w:t>
      </w:r>
      <w:r w:rsidR="008F6DD4" w:rsidRPr="00C92052">
        <w:rPr>
          <w:rFonts w:ascii="Book Antiqua" w:hAnsi="Book Antiqua"/>
          <w:iCs/>
          <w:color w:val="000000" w:themeColor="text1"/>
          <w:sz w:val="23"/>
          <w:szCs w:val="23"/>
        </w:rPr>
        <w:t xml:space="preserve">población </w:t>
      </w:r>
      <w:r w:rsidR="003519ED" w:rsidRPr="00C92052">
        <w:rPr>
          <w:rFonts w:ascii="Book Antiqua" w:hAnsi="Book Antiqua"/>
          <w:iCs/>
          <w:color w:val="000000" w:themeColor="text1"/>
          <w:sz w:val="23"/>
          <w:szCs w:val="23"/>
        </w:rPr>
        <w:t>que es</w:t>
      </w:r>
      <w:r w:rsidR="008F6DD4" w:rsidRPr="00C92052">
        <w:rPr>
          <w:rFonts w:ascii="Book Antiqua" w:hAnsi="Book Antiqua"/>
          <w:iCs/>
          <w:color w:val="000000" w:themeColor="text1"/>
          <w:sz w:val="23"/>
          <w:szCs w:val="23"/>
        </w:rPr>
        <w:t xml:space="preserve"> focal para las bandas criminales, después de que se apruebe su uso recreacional </w:t>
      </w:r>
      <w:r w:rsidR="003519ED" w:rsidRPr="00C92052">
        <w:rPr>
          <w:rFonts w:ascii="Book Antiqua" w:hAnsi="Book Antiqua"/>
          <w:iCs/>
          <w:color w:val="000000" w:themeColor="text1"/>
          <w:sz w:val="23"/>
          <w:szCs w:val="23"/>
        </w:rPr>
        <w:t>aumentará</w:t>
      </w:r>
      <w:r w:rsidR="008F6DD4" w:rsidRPr="00C92052">
        <w:rPr>
          <w:rFonts w:ascii="Book Antiqua" w:hAnsi="Book Antiqua"/>
          <w:iCs/>
          <w:color w:val="000000" w:themeColor="text1"/>
          <w:sz w:val="23"/>
          <w:szCs w:val="23"/>
        </w:rPr>
        <w:t xml:space="preserve"> el consumo de esta población. </w:t>
      </w:r>
    </w:p>
    <w:p w14:paraId="44E6F00E" w14:textId="77777777" w:rsidR="000E7275" w:rsidRPr="00C92052" w:rsidRDefault="008F6DD4"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Los efectos anteriores en los niños/as y adolescentes por la legalización para uso recreacional, se sustenta en un estudio </w:t>
      </w:r>
      <w:r w:rsidR="0025493B" w:rsidRPr="00C92052">
        <w:rPr>
          <w:rFonts w:ascii="Book Antiqua" w:hAnsi="Book Antiqua"/>
          <w:iCs/>
          <w:color w:val="000000" w:themeColor="text1"/>
          <w:sz w:val="23"/>
          <w:szCs w:val="23"/>
        </w:rPr>
        <w:t>publicado por la revista estadounidense Addiction</w:t>
      </w:r>
      <w:r w:rsidR="003519ED" w:rsidRPr="00C92052">
        <w:rPr>
          <w:rFonts w:ascii="Book Antiqua" w:hAnsi="Book Antiqua"/>
          <w:iCs/>
          <w:color w:val="000000" w:themeColor="text1"/>
          <w:sz w:val="23"/>
          <w:szCs w:val="23"/>
        </w:rPr>
        <w:t>,</w:t>
      </w:r>
      <w:r w:rsidR="0025493B" w:rsidRPr="00C92052">
        <w:rPr>
          <w:rFonts w:ascii="Book Antiqua" w:hAnsi="Book Antiqua"/>
          <w:iCs/>
          <w:color w:val="000000" w:themeColor="text1"/>
          <w:sz w:val="23"/>
          <w:szCs w:val="23"/>
        </w:rPr>
        <w:t xml:space="preserve"> elaborado por la Universidad de California, liderado por el investigador Yuyan Shi (analista de políticas de salud y economista), señalando que </w:t>
      </w:r>
      <w:r w:rsidR="0025493B" w:rsidRPr="00C92052">
        <w:rPr>
          <w:rFonts w:ascii="Book Antiqua" w:hAnsi="Book Antiqua"/>
          <w:i/>
          <w:iCs/>
          <w:color w:val="000000" w:themeColor="text1"/>
          <w:sz w:val="23"/>
          <w:szCs w:val="23"/>
        </w:rPr>
        <w:t>“las personas de edade</w:t>
      </w:r>
      <w:r w:rsidR="003519ED" w:rsidRPr="00C92052">
        <w:rPr>
          <w:rFonts w:ascii="Book Antiqua" w:hAnsi="Book Antiqua"/>
          <w:i/>
          <w:iCs/>
          <w:color w:val="000000" w:themeColor="text1"/>
          <w:sz w:val="23"/>
          <w:szCs w:val="23"/>
        </w:rPr>
        <w:t>s comprendidas entre los 12 y</w:t>
      </w:r>
      <w:r w:rsidR="0025493B" w:rsidRPr="00C92052">
        <w:rPr>
          <w:rFonts w:ascii="Book Antiqua" w:hAnsi="Book Antiqua"/>
          <w:i/>
          <w:iCs/>
          <w:color w:val="000000" w:themeColor="text1"/>
          <w:sz w:val="23"/>
          <w:szCs w:val="23"/>
        </w:rPr>
        <w:t xml:space="preserve"> 20 años que viven en estados donde es legal consumir </w:t>
      </w:r>
      <w:r w:rsidR="0025493B" w:rsidRPr="00C92052">
        <w:rPr>
          <w:rFonts w:ascii="Book Antiqua" w:hAnsi="Book Antiqua"/>
          <w:i/>
          <w:iCs/>
          <w:color w:val="000000" w:themeColor="text1"/>
          <w:sz w:val="23"/>
          <w:szCs w:val="23"/>
        </w:rPr>
        <w:lastRenderedPageBreak/>
        <w:t>marihuana recreativa, como California, Washington DC y Nueva York, tienen más probabilidades de hacerlo que los que viven en estados donde no lo es</w:t>
      </w:r>
      <w:r w:rsidR="0025493B" w:rsidRPr="00C92052">
        <w:rPr>
          <w:rFonts w:ascii="Book Antiqua" w:hAnsi="Book Antiqua"/>
          <w:iCs/>
          <w:color w:val="000000" w:themeColor="text1"/>
          <w:sz w:val="23"/>
          <w:szCs w:val="23"/>
        </w:rPr>
        <w:t>”</w:t>
      </w:r>
      <w:r w:rsidR="00AC3879" w:rsidRPr="00C92052">
        <w:rPr>
          <w:rStyle w:val="Refdenotaalpie"/>
          <w:rFonts w:ascii="Book Antiqua" w:hAnsi="Book Antiqua"/>
          <w:iCs/>
          <w:color w:val="000000" w:themeColor="text1"/>
          <w:sz w:val="23"/>
          <w:szCs w:val="23"/>
        </w:rPr>
        <w:footnoteReference w:id="15"/>
      </w:r>
      <w:r w:rsidR="0025493B" w:rsidRPr="00C92052">
        <w:rPr>
          <w:rFonts w:ascii="Book Antiqua" w:hAnsi="Book Antiqua"/>
          <w:iCs/>
          <w:color w:val="000000" w:themeColor="text1"/>
          <w:sz w:val="23"/>
          <w:szCs w:val="23"/>
        </w:rPr>
        <w:t xml:space="preserve">. </w:t>
      </w:r>
    </w:p>
    <w:p w14:paraId="6A942A7E" w14:textId="3ECF3C04" w:rsidR="000E7275" w:rsidRPr="00C92052" w:rsidRDefault="000E727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Adicionalmente, otros estudios han señalado que producto de la legalización del cannabis, en </w:t>
      </w:r>
      <w:r w:rsidR="00644F17" w:rsidRPr="00C92052">
        <w:rPr>
          <w:rFonts w:ascii="Book Antiqua" w:hAnsi="Book Antiqua"/>
          <w:iCs/>
          <w:color w:val="000000" w:themeColor="text1"/>
          <w:sz w:val="23"/>
          <w:szCs w:val="23"/>
        </w:rPr>
        <w:t>los hospitales</w:t>
      </w:r>
      <w:r w:rsidRPr="00C92052">
        <w:rPr>
          <w:rFonts w:ascii="Book Antiqua" w:hAnsi="Book Antiqua"/>
          <w:iCs/>
          <w:color w:val="000000" w:themeColor="text1"/>
          <w:sz w:val="23"/>
          <w:szCs w:val="23"/>
        </w:rPr>
        <w:t xml:space="preserve"> de adultos y niños, han aumentado problemas de salud física y mental relacionados con el consumo del cannabis (angustia psicológica, síndromes de vómitos e intoxicaciones accidentales en niños)</w:t>
      </w:r>
      <w:r w:rsidRPr="00C92052">
        <w:rPr>
          <w:rStyle w:val="Refdenotaalpie"/>
          <w:rFonts w:ascii="Book Antiqua" w:hAnsi="Book Antiqua"/>
          <w:iCs/>
          <w:color w:val="000000" w:themeColor="text1"/>
          <w:sz w:val="23"/>
          <w:szCs w:val="23"/>
        </w:rPr>
        <w:footnoteReference w:id="16"/>
      </w:r>
      <w:r w:rsidR="003519ED" w:rsidRPr="00C92052">
        <w:rPr>
          <w:rFonts w:ascii="Book Antiqua" w:hAnsi="Book Antiqua"/>
          <w:iCs/>
          <w:color w:val="000000" w:themeColor="text1"/>
          <w:sz w:val="23"/>
          <w:szCs w:val="23"/>
        </w:rPr>
        <w:t>.</w:t>
      </w:r>
    </w:p>
    <w:p w14:paraId="512F02B5" w14:textId="77777777" w:rsidR="003519ED" w:rsidRPr="00C92052" w:rsidRDefault="003519ED"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ese sentido, aprobar el uso recreacional del cannabis y sus derivados según los estudios anteriormente citados, generaran gran afectación a los niños/as y adolescentes, lo cual implica la no garantía de su desarrollo armónico, integral y el ejercicio pleno de sus derechos. </w:t>
      </w:r>
    </w:p>
    <w:p w14:paraId="1387B8EA" w14:textId="1D5240B7" w:rsidR="003519ED" w:rsidRPr="00C92052" w:rsidRDefault="003519ED"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La Corte Constitucional en virtud del artículo 44 constitucional, ha considerado que los derechos </w:t>
      </w:r>
      <w:r w:rsidR="00DA04B1" w:rsidRPr="00C92052">
        <w:rPr>
          <w:rFonts w:ascii="Book Antiqua" w:hAnsi="Book Antiqua"/>
          <w:iCs/>
          <w:color w:val="000000" w:themeColor="text1"/>
          <w:sz w:val="23"/>
          <w:szCs w:val="23"/>
        </w:rPr>
        <w:t xml:space="preserve">de los </w:t>
      </w:r>
      <w:r w:rsidRPr="00C92052">
        <w:rPr>
          <w:rFonts w:ascii="Book Antiqua" w:hAnsi="Book Antiqua"/>
          <w:iCs/>
          <w:color w:val="000000" w:themeColor="text1"/>
          <w:sz w:val="23"/>
          <w:szCs w:val="23"/>
        </w:rPr>
        <w:t>niños</w:t>
      </w:r>
      <w:r w:rsidR="00CA225C" w:rsidRPr="00C92052">
        <w:rPr>
          <w:rFonts w:ascii="Book Antiqua" w:hAnsi="Book Antiqua"/>
          <w:iCs/>
          <w:color w:val="000000" w:themeColor="text1"/>
          <w:sz w:val="23"/>
          <w:szCs w:val="23"/>
        </w:rPr>
        <w:t>/as y adolescentes</w:t>
      </w:r>
      <w:r w:rsidR="00DA04B1"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tiene</w:t>
      </w:r>
      <w:r w:rsidR="00CA225C" w:rsidRPr="00C92052">
        <w:rPr>
          <w:rFonts w:ascii="Book Antiqua" w:hAnsi="Book Antiqua"/>
          <w:iCs/>
          <w:color w:val="000000" w:themeColor="text1"/>
          <w:sz w:val="23"/>
          <w:szCs w:val="23"/>
        </w:rPr>
        <w:t>n</w:t>
      </w:r>
      <w:r w:rsidRPr="00C92052">
        <w:rPr>
          <w:rFonts w:ascii="Book Antiqua" w:hAnsi="Book Antiqua"/>
          <w:iCs/>
          <w:color w:val="000000" w:themeColor="text1"/>
          <w:sz w:val="23"/>
          <w:szCs w:val="23"/>
        </w:rPr>
        <w:t xml:space="preserve"> prevalencia de interés superior como sujetos de </w:t>
      </w:r>
      <w:r w:rsidR="00CA225C" w:rsidRPr="00C92052">
        <w:rPr>
          <w:rFonts w:ascii="Book Antiqua" w:hAnsi="Book Antiqua"/>
          <w:iCs/>
          <w:color w:val="000000" w:themeColor="text1"/>
          <w:sz w:val="23"/>
          <w:szCs w:val="23"/>
        </w:rPr>
        <w:t>especial protección constitucional, dada su particular vulnerabilidad al ser sujetos que empiezan la vida</w:t>
      </w:r>
      <w:r w:rsidR="00DA04B1" w:rsidRPr="00C92052">
        <w:rPr>
          <w:rFonts w:ascii="Book Antiqua" w:hAnsi="Book Antiqua"/>
          <w:iCs/>
          <w:color w:val="000000" w:themeColor="text1"/>
          <w:sz w:val="23"/>
          <w:szCs w:val="23"/>
        </w:rPr>
        <w:t xml:space="preserve"> y </w:t>
      </w:r>
      <w:r w:rsidR="00CA225C" w:rsidRPr="00C92052">
        <w:rPr>
          <w:rFonts w:ascii="Book Antiqua" w:hAnsi="Book Antiqua"/>
          <w:iCs/>
          <w:color w:val="000000" w:themeColor="text1"/>
          <w:sz w:val="23"/>
          <w:szCs w:val="23"/>
        </w:rPr>
        <w:t>se encuentran en una situación de indefensión y requieren de especial atención por parte de la familia, la sociedad y el Estado</w:t>
      </w:r>
      <w:r w:rsidR="00CA225C" w:rsidRPr="00C92052">
        <w:rPr>
          <w:rStyle w:val="Refdenotaalpie"/>
          <w:rFonts w:ascii="Book Antiqua" w:hAnsi="Book Antiqua"/>
          <w:iCs/>
          <w:color w:val="000000" w:themeColor="text1"/>
          <w:sz w:val="23"/>
          <w:szCs w:val="23"/>
        </w:rPr>
        <w:footnoteReference w:id="17"/>
      </w:r>
      <w:r w:rsidR="006F020D" w:rsidRPr="00C92052">
        <w:rPr>
          <w:rFonts w:ascii="Book Antiqua" w:hAnsi="Book Antiqua"/>
          <w:iCs/>
          <w:color w:val="000000" w:themeColor="text1"/>
          <w:sz w:val="23"/>
          <w:szCs w:val="23"/>
        </w:rPr>
        <w:t xml:space="preserve">. </w:t>
      </w:r>
    </w:p>
    <w:p w14:paraId="58CDB6B5" w14:textId="3218C75B" w:rsidR="006F020D" w:rsidRPr="00C92052" w:rsidRDefault="00106A0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w:t>
      </w:r>
      <w:r w:rsidR="00DA04B1"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su protección y sus derechos prevalecen sobre los derechos de los demás</w:t>
      </w:r>
      <w:r w:rsidRPr="00C92052">
        <w:rPr>
          <w:rStyle w:val="Refdenotaalpie"/>
          <w:rFonts w:ascii="Book Antiqua" w:hAnsi="Book Antiqua"/>
          <w:iCs/>
          <w:color w:val="000000" w:themeColor="text1"/>
          <w:sz w:val="23"/>
          <w:szCs w:val="23"/>
        </w:rPr>
        <w:footnoteReference w:id="18"/>
      </w:r>
      <w:r w:rsidRPr="00C92052">
        <w:rPr>
          <w:rFonts w:ascii="Book Antiqua" w:hAnsi="Book Antiqua"/>
          <w:iCs/>
          <w:color w:val="000000" w:themeColor="text1"/>
          <w:sz w:val="23"/>
          <w:szCs w:val="23"/>
        </w:rPr>
        <w:t>. Por tanto, la Corte Constitucional ha señalado que deben tenerse en cuenta dos par</w:t>
      </w:r>
      <w:r w:rsidR="00DA04B1" w:rsidRPr="00C92052">
        <w:rPr>
          <w:rFonts w:ascii="Book Antiqua" w:hAnsi="Book Antiqua"/>
          <w:iCs/>
          <w:color w:val="000000" w:themeColor="text1"/>
          <w:sz w:val="23"/>
          <w:szCs w:val="23"/>
        </w:rPr>
        <w:t>á</w:t>
      </w:r>
      <w:r w:rsidRPr="00C92052">
        <w:rPr>
          <w:rFonts w:ascii="Book Antiqua" w:hAnsi="Book Antiqua"/>
          <w:iCs/>
          <w:color w:val="000000" w:themeColor="text1"/>
          <w:sz w:val="23"/>
          <w:szCs w:val="23"/>
        </w:rPr>
        <w:t>ment</w:t>
      </w:r>
      <w:r w:rsidR="00DA04B1" w:rsidRPr="00C92052">
        <w:rPr>
          <w:rFonts w:ascii="Book Antiqua" w:hAnsi="Book Antiqua"/>
          <w:iCs/>
          <w:color w:val="000000" w:themeColor="text1"/>
          <w:sz w:val="23"/>
          <w:szCs w:val="23"/>
        </w:rPr>
        <w:t>r</w:t>
      </w:r>
      <w:r w:rsidRPr="00C92052">
        <w:rPr>
          <w:rFonts w:ascii="Book Antiqua" w:hAnsi="Book Antiqua"/>
          <w:iCs/>
          <w:color w:val="000000" w:themeColor="text1"/>
          <w:sz w:val="23"/>
          <w:szCs w:val="23"/>
        </w:rPr>
        <w:t xml:space="preserve">os cuando se encuentran amenazados los derechos de esta población, estos son: condiciones jurídicas y condiciones fácticas. Las primeras, referentes a material el principio </w:t>
      </w:r>
      <w:r w:rsidRPr="00C92052">
        <w:rPr>
          <w:rFonts w:ascii="Book Antiqua" w:hAnsi="Book Antiqua"/>
          <w:i/>
          <w:iCs/>
          <w:color w:val="000000" w:themeColor="text1"/>
          <w:sz w:val="23"/>
          <w:szCs w:val="23"/>
        </w:rPr>
        <w:t>pro infans</w:t>
      </w:r>
      <w:r w:rsidRPr="00C92052">
        <w:rPr>
          <w:rFonts w:ascii="Book Antiqua" w:hAnsi="Book Antiqua"/>
          <w:iCs/>
          <w:color w:val="000000" w:themeColor="text1"/>
          <w:sz w:val="23"/>
          <w:szCs w:val="23"/>
        </w:rPr>
        <w:t xml:space="preserve"> (garantizar </w:t>
      </w:r>
      <w:r w:rsidR="00644F17" w:rsidRPr="00C92052">
        <w:rPr>
          <w:rFonts w:ascii="Book Antiqua" w:hAnsi="Book Antiqua"/>
          <w:iCs/>
          <w:color w:val="000000" w:themeColor="text1"/>
          <w:sz w:val="23"/>
          <w:szCs w:val="23"/>
        </w:rPr>
        <w:t>el desarrollo integral del menor</w:t>
      </w:r>
      <w:r w:rsidRPr="00C92052">
        <w:rPr>
          <w:rFonts w:ascii="Book Antiqua" w:hAnsi="Book Antiqua"/>
          <w:iCs/>
          <w:color w:val="000000" w:themeColor="text1"/>
          <w:sz w:val="23"/>
          <w:szCs w:val="23"/>
        </w:rPr>
        <w:t>, condiciones para el pleno ejercicio de sus derechos fundamentales, protección ante los riesgos prohibidos, provisión de un ambiente familiar apto para el desarro</w:t>
      </w:r>
      <w:r w:rsidR="00644F17" w:rsidRPr="00C92052">
        <w:rPr>
          <w:rFonts w:ascii="Book Antiqua" w:hAnsi="Book Antiqua"/>
          <w:iCs/>
          <w:color w:val="000000" w:themeColor="text1"/>
          <w:sz w:val="23"/>
          <w:szCs w:val="23"/>
        </w:rPr>
        <w:t>llo del menor</w:t>
      </w:r>
      <w:r w:rsidRPr="00C92052">
        <w:rPr>
          <w:rFonts w:ascii="Book Antiqua" w:hAnsi="Book Antiqua"/>
          <w:iCs/>
          <w:color w:val="000000" w:themeColor="text1"/>
          <w:sz w:val="23"/>
          <w:szCs w:val="23"/>
        </w:rPr>
        <w:t>, entre otros)</w:t>
      </w:r>
      <w:r w:rsidR="00693FA6" w:rsidRPr="00C92052">
        <w:rPr>
          <w:rStyle w:val="Refdenotaalpie"/>
          <w:rFonts w:ascii="Book Antiqua" w:hAnsi="Book Antiqua"/>
          <w:iCs/>
          <w:color w:val="000000" w:themeColor="text1"/>
          <w:sz w:val="23"/>
          <w:szCs w:val="23"/>
        </w:rPr>
        <w:footnoteReference w:id="19"/>
      </w:r>
      <w:r w:rsidRPr="00C92052">
        <w:rPr>
          <w:rFonts w:ascii="Book Antiqua" w:hAnsi="Book Antiqua"/>
          <w:iCs/>
          <w:color w:val="000000" w:themeColor="text1"/>
          <w:sz w:val="23"/>
          <w:szCs w:val="23"/>
        </w:rPr>
        <w:t xml:space="preserve"> y; las segundas, </w:t>
      </w:r>
      <w:r w:rsidR="007E3C14" w:rsidRPr="00C92052">
        <w:rPr>
          <w:rFonts w:ascii="Book Antiqua" w:hAnsi="Book Antiqua"/>
          <w:iCs/>
          <w:color w:val="000000" w:themeColor="text1"/>
          <w:sz w:val="23"/>
          <w:szCs w:val="23"/>
        </w:rPr>
        <w:t>son aquellos elementos materiales de las relación de cada menor de 18 años con su entorno y que deben valorarse con el objeto de dar prevalencia a sus derechos</w:t>
      </w:r>
      <w:r w:rsidR="007E3C14" w:rsidRPr="00C92052">
        <w:rPr>
          <w:rStyle w:val="Refdenotaalpie"/>
          <w:rFonts w:ascii="Book Antiqua" w:hAnsi="Book Antiqua"/>
          <w:iCs/>
          <w:color w:val="000000" w:themeColor="text1"/>
          <w:sz w:val="23"/>
          <w:szCs w:val="23"/>
        </w:rPr>
        <w:footnoteReference w:id="20"/>
      </w:r>
      <w:r w:rsidR="00693FA6" w:rsidRPr="00C92052">
        <w:rPr>
          <w:rFonts w:ascii="Book Antiqua" w:hAnsi="Book Antiqua"/>
          <w:iCs/>
          <w:color w:val="000000" w:themeColor="text1"/>
          <w:sz w:val="23"/>
          <w:szCs w:val="23"/>
        </w:rPr>
        <w:t xml:space="preserve">. </w:t>
      </w:r>
    </w:p>
    <w:p w14:paraId="66E72574" w14:textId="77777777" w:rsidR="008F5E6B" w:rsidRPr="00C92052" w:rsidRDefault="008F5E6B"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consecuencia, el proyecto de Acto Legislativo no puede superponerse sobre las condiciones jurídicas y fácticas que contiene la prevalencia de los derechos de los niños/as y adolescentes al ser casi que un mandato de optimización que prevalece sobre los demás derechos, por cuanto es una población que requiere una atención especial por parte de la sociedad y el Estado para el ejercicio pleno de sus derechos fundamentales, en ese sentido al haber ya estudios que demuestran que el uso recreativo del cannabis y sus derivados aumentan el consumo en menores de edad </w:t>
      </w:r>
      <w:r w:rsidRPr="00C92052">
        <w:rPr>
          <w:rFonts w:ascii="Book Antiqua" w:hAnsi="Book Antiqua"/>
          <w:iCs/>
          <w:color w:val="000000" w:themeColor="text1"/>
          <w:sz w:val="23"/>
          <w:szCs w:val="23"/>
        </w:rPr>
        <w:lastRenderedPageBreak/>
        <w:t>y además, el consumo de estas sustancias les acarrea consecuencias en su salud y desarrollo integral, no tiene fundamento constitucional ni estudios que sustenten la modificación al artículo 49 constitucional que se está debatiendo.</w:t>
      </w:r>
    </w:p>
    <w:p w14:paraId="4C94BBF7" w14:textId="77777777" w:rsidR="002C0EA9" w:rsidRPr="00C92052" w:rsidRDefault="004B4C6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De esta manera, en aras de proteger los derechos fundamentales </w:t>
      </w:r>
      <w:r w:rsidR="00C14471" w:rsidRPr="00C92052">
        <w:rPr>
          <w:rFonts w:ascii="Book Antiqua" w:hAnsi="Book Antiqua"/>
          <w:iCs/>
          <w:color w:val="000000" w:themeColor="text1"/>
          <w:sz w:val="23"/>
          <w:szCs w:val="23"/>
        </w:rPr>
        <w:t xml:space="preserve">de los niños/as y adolescentes y que estos son de interés superior, con fundamento en las condiciones jurídicas y fácticas que buscan un desarrollo integral y la garantía de los derechos del menor, </w:t>
      </w:r>
      <w:r w:rsidR="00A64940" w:rsidRPr="00C92052">
        <w:rPr>
          <w:rFonts w:ascii="Book Antiqua" w:hAnsi="Book Antiqua"/>
          <w:iCs/>
          <w:color w:val="000000" w:themeColor="text1"/>
          <w:sz w:val="23"/>
          <w:szCs w:val="23"/>
        </w:rPr>
        <w:t xml:space="preserve">significa que contiene un mayor peso en la ponderación, en este caso, frente al libre desarrollo de la personalidad que tiene como límite constitucional, la no afectación de derechos de otras personas. </w:t>
      </w:r>
    </w:p>
    <w:p w14:paraId="00FBD0FF" w14:textId="77777777" w:rsidR="003F0B7C" w:rsidRPr="00C92052" w:rsidRDefault="002C0EA9" w:rsidP="0016403D">
      <w:pPr>
        <w:pStyle w:val="Prrafodelista"/>
        <w:numPr>
          <w:ilvl w:val="1"/>
          <w:numId w:val="8"/>
        </w:numPr>
        <w:spacing w:line="240" w:lineRule="auto"/>
        <w:jc w:val="both"/>
        <w:rPr>
          <w:rFonts w:ascii="Book Antiqua" w:hAnsi="Book Antiqua"/>
          <w:b/>
          <w:iCs/>
          <w:color w:val="000000" w:themeColor="text1"/>
          <w:sz w:val="23"/>
          <w:szCs w:val="23"/>
        </w:rPr>
      </w:pPr>
      <w:r w:rsidRPr="00C92052">
        <w:rPr>
          <w:rFonts w:ascii="Book Antiqua" w:hAnsi="Book Antiqua"/>
          <w:b/>
          <w:iCs/>
          <w:color w:val="000000" w:themeColor="text1"/>
          <w:sz w:val="23"/>
          <w:szCs w:val="23"/>
        </w:rPr>
        <w:t xml:space="preserve">Derecho a la salud y a la salud publica </w:t>
      </w:r>
    </w:p>
    <w:p w14:paraId="578D6714" w14:textId="77777777" w:rsidR="003F0B7C" w:rsidRPr="00C92052" w:rsidRDefault="003F0B7C" w:rsidP="0016403D">
      <w:pPr>
        <w:pStyle w:val="Prrafodelista"/>
        <w:spacing w:line="240" w:lineRule="auto"/>
        <w:ind w:left="735"/>
        <w:jc w:val="both"/>
        <w:rPr>
          <w:rFonts w:ascii="Book Antiqua" w:hAnsi="Book Antiqua"/>
          <w:b/>
          <w:iCs/>
          <w:color w:val="000000" w:themeColor="text1"/>
          <w:sz w:val="23"/>
          <w:szCs w:val="23"/>
        </w:rPr>
      </w:pPr>
    </w:p>
    <w:p w14:paraId="66B85D0E" w14:textId="7051FC36" w:rsidR="00A179CA" w:rsidRPr="00C92052" w:rsidRDefault="003F0B7C"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El derecho a la salud se encuentra consagrado en el art</w:t>
      </w:r>
      <w:r w:rsidR="00DA04B1" w:rsidRPr="00C92052">
        <w:rPr>
          <w:rFonts w:ascii="Book Antiqua" w:hAnsi="Book Antiqua"/>
          <w:iCs/>
          <w:color w:val="000000" w:themeColor="text1"/>
          <w:sz w:val="23"/>
          <w:szCs w:val="23"/>
        </w:rPr>
        <w:t>ículo</w:t>
      </w:r>
      <w:r w:rsidRPr="00C92052">
        <w:rPr>
          <w:rFonts w:ascii="Book Antiqua" w:hAnsi="Book Antiqua"/>
          <w:iCs/>
          <w:color w:val="000000" w:themeColor="text1"/>
          <w:sz w:val="23"/>
          <w:szCs w:val="23"/>
        </w:rPr>
        <w:t xml:space="preserve"> 49 </w:t>
      </w:r>
      <w:r w:rsidR="00A179CA" w:rsidRPr="00C92052">
        <w:rPr>
          <w:rFonts w:ascii="Book Antiqua" w:hAnsi="Book Antiqua"/>
          <w:iCs/>
          <w:color w:val="000000" w:themeColor="text1"/>
          <w:sz w:val="23"/>
          <w:szCs w:val="23"/>
        </w:rPr>
        <w:t>de la Constitución Política como un derecho fundamental y como un servicio público a cargo del Estado.</w:t>
      </w:r>
    </w:p>
    <w:p w14:paraId="49D6D1E1" w14:textId="77777777" w:rsidR="00A179CA" w:rsidRPr="00C92052" w:rsidRDefault="00A179CA" w:rsidP="0016403D">
      <w:pPr>
        <w:pStyle w:val="Prrafodelista"/>
        <w:spacing w:line="240" w:lineRule="auto"/>
        <w:ind w:left="360"/>
        <w:jc w:val="both"/>
        <w:rPr>
          <w:rFonts w:ascii="Book Antiqua" w:hAnsi="Book Antiqua"/>
          <w:iCs/>
          <w:color w:val="000000" w:themeColor="text1"/>
          <w:sz w:val="23"/>
          <w:szCs w:val="23"/>
        </w:rPr>
      </w:pPr>
    </w:p>
    <w:p w14:paraId="513E7EE0" w14:textId="14459330" w:rsidR="00A179CA" w:rsidRPr="00C92052" w:rsidRDefault="00A179CA"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Por su parte, el derecho fundamental de la salud</w:t>
      </w:r>
      <w:r w:rsidR="00DA04B1"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xml:space="preserve"> la Corte Constitucional ha señalado que se considera como un derecho autónomo, determinándolo como la facultad que tiene todo ser humano para mantener la normalidad orgánica funcional, tanto física como en el plano de la operatividad mental, y de restablecerse cuando se presenten una perturbación en la estabilidad orgánica y funcional de su ser y garantizándolo bajo condiciones de oportunidad, continuidad, eficiencia y calidad, de acuerdo con el principio de integralidad, en conexidad con el derecho a la dignidad humana por ser el derecho a la salud, un derecho indispensable para el ejercicio de las demás garantías fundamentales</w:t>
      </w:r>
      <w:r w:rsidRPr="00C92052">
        <w:rPr>
          <w:rStyle w:val="Refdenotaalpie"/>
          <w:rFonts w:ascii="Book Antiqua" w:hAnsi="Book Antiqua"/>
          <w:iCs/>
          <w:color w:val="000000" w:themeColor="text1"/>
          <w:sz w:val="23"/>
          <w:szCs w:val="23"/>
        </w:rPr>
        <w:footnoteReference w:id="21"/>
      </w:r>
      <w:r w:rsidRPr="00C92052">
        <w:rPr>
          <w:rFonts w:ascii="Book Antiqua" w:hAnsi="Book Antiqua"/>
          <w:iCs/>
          <w:color w:val="000000" w:themeColor="text1"/>
          <w:sz w:val="23"/>
          <w:szCs w:val="23"/>
        </w:rPr>
        <w:t xml:space="preserve">. </w:t>
      </w:r>
    </w:p>
    <w:p w14:paraId="659644EB" w14:textId="77777777" w:rsidR="00A179CA" w:rsidRPr="00C92052" w:rsidRDefault="00A179CA" w:rsidP="0016403D">
      <w:pPr>
        <w:pStyle w:val="Prrafodelista"/>
        <w:spacing w:line="240" w:lineRule="auto"/>
        <w:ind w:left="360"/>
        <w:jc w:val="both"/>
        <w:rPr>
          <w:rFonts w:ascii="Book Antiqua" w:hAnsi="Book Antiqua"/>
          <w:iCs/>
          <w:color w:val="000000" w:themeColor="text1"/>
          <w:sz w:val="23"/>
          <w:szCs w:val="23"/>
        </w:rPr>
      </w:pPr>
    </w:p>
    <w:p w14:paraId="50DEDAA4" w14:textId="4C2C5DBF" w:rsidR="00A179CA" w:rsidRPr="00C92052" w:rsidRDefault="00CD7275"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Por otra parte, la salud como servicio público es considerado como </w:t>
      </w:r>
      <w:r w:rsidR="00984334" w:rsidRPr="00C92052">
        <w:rPr>
          <w:rFonts w:ascii="Book Antiqua" w:hAnsi="Book Antiqua"/>
          <w:iCs/>
          <w:color w:val="000000" w:themeColor="text1"/>
          <w:sz w:val="23"/>
          <w:szCs w:val="23"/>
        </w:rPr>
        <w:t>la garantía de la salud de los ciudadanos e implica obligaciones que tiene el Estado de garantizar las condiciones mínimas que permitan el desarrollo de la vida en comunidad</w:t>
      </w:r>
      <w:r w:rsidR="00984334" w:rsidRPr="00C92052">
        <w:rPr>
          <w:rStyle w:val="Refdenotaalpie"/>
          <w:rFonts w:ascii="Book Antiqua" w:hAnsi="Book Antiqua"/>
          <w:iCs/>
          <w:color w:val="000000" w:themeColor="text1"/>
          <w:sz w:val="23"/>
          <w:szCs w:val="23"/>
        </w:rPr>
        <w:footnoteReference w:id="22"/>
      </w:r>
      <w:r w:rsidR="00984334" w:rsidRPr="00C92052">
        <w:rPr>
          <w:rFonts w:ascii="Book Antiqua" w:hAnsi="Book Antiqua"/>
          <w:iCs/>
          <w:color w:val="000000" w:themeColor="text1"/>
          <w:sz w:val="23"/>
          <w:szCs w:val="23"/>
        </w:rPr>
        <w:t xml:space="preserve">. </w:t>
      </w:r>
      <w:r w:rsidR="009935AF" w:rsidRPr="00C92052">
        <w:rPr>
          <w:rFonts w:ascii="Book Antiqua" w:hAnsi="Book Antiqua"/>
          <w:iCs/>
          <w:color w:val="000000" w:themeColor="text1"/>
          <w:sz w:val="23"/>
          <w:szCs w:val="23"/>
        </w:rPr>
        <w:t>En ese sentido, es un desarrollo directo del art</w:t>
      </w:r>
      <w:r w:rsidR="00DA04B1" w:rsidRPr="00C92052">
        <w:rPr>
          <w:rFonts w:ascii="Book Antiqua" w:hAnsi="Book Antiqua"/>
          <w:iCs/>
          <w:color w:val="000000" w:themeColor="text1"/>
          <w:sz w:val="23"/>
          <w:szCs w:val="23"/>
        </w:rPr>
        <w:t xml:space="preserve">ículo </w:t>
      </w:r>
      <w:r w:rsidR="009935AF" w:rsidRPr="00C92052">
        <w:rPr>
          <w:rFonts w:ascii="Book Antiqua" w:hAnsi="Book Antiqua"/>
          <w:iCs/>
          <w:color w:val="000000" w:themeColor="text1"/>
          <w:sz w:val="23"/>
          <w:szCs w:val="23"/>
        </w:rPr>
        <w:t>49 constitucional del derecho a la salud, encaminado a proteger la salud de los integrantes de la sociedad desde una perspectiva integral que asume los desafíos que presenta la necesidad de garantizar la salud colectiva como medio para garantizar la salud individual de las personas</w:t>
      </w:r>
      <w:r w:rsidR="009935AF" w:rsidRPr="00C92052">
        <w:rPr>
          <w:rStyle w:val="Refdenotaalpie"/>
          <w:rFonts w:ascii="Book Antiqua" w:hAnsi="Book Antiqua"/>
          <w:iCs/>
          <w:color w:val="000000" w:themeColor="text1"/>
          <w:sz w:val="23"/>
          <w:szCs w:val="23"/>
        </w:rPr>
        <w:footnoteReference w:id="23"/>
      </w:r>
      <w:r w:rsidR="009935AF" w:rsidRPr="00C92052">
        <w:rPr>
          <w:rFonts w:ascii="Book Antiqua" w:hAnsi="Book Antiqua"/>
          <w:iCs/>
          <w:color w:val="000000" w:themeColor="text1"/>
          <w:sz w:val="23"/>
          <w:szCs w:val="23"/>
        </w:rPr>
        <w:t xml:space="preserve">. </w:t>
      </w:r>
    </w:p>
    <w:p w14:paraId="1076954E" w14:textId="77777777" w:rsidR="00C276AB" w:rsidRPr="00C92052" w:rsidRDefault="00C276AB" w:rsidP="0016403D">
      <w:pPr>
        <w:pStyle w:val="Prrafodelista"/>
        <w:spacing w:line="240" w:lineRule="auto"/>
        <w:ind w:left="360"/>
        <w:jc w:val="both"/>
        <w:rPr>
          <w:rFonts w:ascii="Book Antiqua" w:hAnsi="Book Antiqua"/>
          <w:iCs/>
          <w:color w:val="000000" w:themeColor="text1"/>
          <w:sz w:val="23"/>
          <w:szCs w:val="23"/>
        </w:rPr>
      </w:pPr>
    </w:p>
    <w:p w14:paraId="304A8F01" w14:textId="092A176F" w:rsidR="00C276AB" w:rsidRPr="00C92052" w:rsidRDefault="00C82412"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Adicionalmente, debe resaltarse</w:t>
      </w:r>
      <w:r w:rsidR="00C276AB" w:rsidRPr="00C92052">
        <w:rPr>
          <w:rFonts w:ascii="Book Antiqua" w:hAnsi="Book Antiqua"/>
          <w:iCs/>
          <w:color w:val="000000" w:themeColor="text1"/>
          <w:sz w:val="23"/>
          <w:szCs w:val="23"/>
        </w:rPr>
        <w:t xml:space="preserve"> que </w:t>
      </w:r>
      <w:r w:rsidR="00B61CF0" w:rsidRPr="00C92052">
        <w:rPr>
          <w:rFonts w:ascii="Book Antiqua" w:hAnsi="Book Antiqua"/>
          <w:iCs/>
          <w:color w:val="000000" w:themeColor="text1"/>
          <w:sz w:val="23"/>
          <w:szCs w:val="23"/>
        </w:rPr>
        <w:t>el art</w:t>
      </w:r>
      <w:r w:rsidR="00DA04B1" w:rsidRPr="00C92052">
        <w:rPr>
          <w:rFonts w:ascii="Book Antiqua" w:hAnsi="Book Antiqua"/>
          <w:iCs/>
          <w:color w:val="000000" w:themeColor="text1"/>
          <w:sz w:val="23"/>
          <w:szCs w:val="23"/>
        </w:rPr>
        <w:t xml:space="preserve">ículo </w:t>
      </w:r>
      <w:r w:rsidR="00B61CF0" w:rsidRPr="00C92052">
        <w:rPr>
          <w:rFonts w:ascii="Book Antiqua" w:hAnsi="Book Antiqua"/>
          <w:iCs/>
          <w:color w:val="000000" w:themeColor="text1"/>
          <w:sz w:val="23"/>
          <w:szCs w:val="23"/>
        </w:rPr>
        <w:t>49 de la Constitución Polí</w:t>
      </w:r>
      <w:r w:rsidRPr="00C92052">
        <w:rPr>
          <w:rFonts w:ascii="Book Antiqua" w:hAnsi="Book Antiqua"/>
          <w:iCs/>
          <w:color w:val="000000" w:themeColor="text1"/>
          <w:sz w:val="23"/>
          <w:szCs w:val="23"/>
        </w:rPr>
        <w:t>tica establece expresamente una obligación del Estado de establecer medidas y tratamiento administrativos de orden pedagógico, profiláctico o terapéutico para las personas que consuma</w:t>
      </w:r>
      <w:r w:rsidR="00DA04B1" w:rsidRPr="00C92052">
        <w:rPr>
          <w:rFonts w:ascii="Book Antiqua" w:hAnsi="Book Antiqua"/>
          <w:iCs/>
          <w:color w:val="000000" w:themeColor="text1"/>
          <w:sz w:val="23"/>
          <w:szCs w:val="23"/>
        </w:rPr>
        <w:t>n</w:t>
      </w:r>
      <w:r w:rsidRPr="00C92052">
        <w:rPr>
          <w:rFonts w:ascii="Book Antiqua" w:hAnsi="Book Antiqua"/>
          <w:iCs/>
          <w:color w:val="000000" w:themeColor="text1"/>
          <w:sz w:val="23"/>
          <w:szCs w:val="23"/>
        </w:rPr>
        <w:t xml:space="preserve"> sustancias estupefacientes o psicotrópicas, en ese sentido deberá prestarse especial atención al enfermo dependiente o adicto y a su familia que contribuyan a prevenir comportamientos que afecten el cuidado integral de la salud de la personas y a la comunidad. </w:t>
      </w:r>
    </w:p>
    <w:p w14:paraId="375CDFA6" w14:textId="77777777" w:rsidR="00C82412" w:rsidRPr="00C92052" w:rsidRDefault="00C82412" w:rsidP="0016403D">
      <w:pPr>
        <w:pStyle w:val="Prrafodelista"/>
        <w:spacing w:line="240" w:lineRule="auto"/>
        <w:ind w:left="360"/>
        <w:jc w:val="both"/>
        <w:rPr>
          <w:rFonts w:ascii="Book Antiqua" w:hAnsi="Book Antiqua"/>
          <w:iCs/>
          <w:color w:val="000000" w:themeColor="text1"/>
          <w:sz w:val="23"/>
          <w:szCs w:val="23"/>
        </w:rPr>
      </w:pPr>
    </w:p>
    <w:p w14:paraId="00FCA552" w14:textId="61AD9C01" w:rsidR="00C82412" w:rsidRPr="00C92052" w:rsidRDefault="00874A77"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lastRenderedPageBreak/>
        <w:t>C</w:t>
      </w:r>
      <w:r w:rsidR="00C82412" w:rsidRPr="00C92052">
        <w:rPr>
          <w:rFonts w:ascii="Book Antiqua" w:hAnsi="Book Antiqua"/>
          <w:iCs/>
          <w:color w:val="000000" w:themeColor="text1"/>
          <w:sz w:val="23"/>
          <w:szCs w:val="23"/>
        </w:rPr>
        <w:t>on la aprobación del proyecto de Acto Legislativo</w:t>
      </w:r>
      <w:r w:rsidR="00DA04B1" w:rsidRPr="00C92052">
        <w:rPr>
          <w:rFonts w:ascii="Book Antiqua" w:hAnsi="Book Antiqua"/>
          <w:iCs/>
          <w:color w:val="000000" w:themeColor="text1"/>
          <w:sz w:val="23"/>
          <w:szCs w:val="23"/>
        </w:rPr>
        <w:t>,</w:t>
      </w:r>
      <w:r w:rsidR="00C82412" w:rsidRPr="00C92052">
        <w:rPr>
          <w:rFonts w:ascii="Book Antiqua" w:hAnsi="Book Antiqua"/>
          <w:iCs/>
          <w:color w:val="000000" w:themeColor="text1"/>
          <w:sz w:val="23"/>
          <w:szCs w:val="23"/>
        </w:rPr>
        <w:t xml:space="preserve"> se atenta contra el derecho fundamental a la salud de los menores de edad y </w:t>
      </w:r>
      <w:proofErr w:type="gramStart"/>
      <w:r w:rsidR="00C82412" w:rsidRPr="00C92052">
        <w:rPr>
          <w:rFonts w:ascii="Book Antiqua" w:hAnsi="Book Antiqua"/>
          <w:iCs/>
          <w:color w:val="000000" w:themeColor="text1"/>
          <w:sz w:val="23"/>
          <w:szCs w:val="23"/>
        </w:rPr>
        <w:t>que</w:t>
      </w:r>
      <w:proofErr w:type="gramEnd"/>
      <w:r w:rsidR="00C82412" w:rsidRPr="00C92052">
        <w:rPr>
          <w:rFonts w:ascii="Book Antiqua" w:hAnsi="Book Antiqua"/>
          <w:iCs/>
          <w:color w:val="000000" w:themeColor="text1"/>
          <w:sz w:val="23"/>
          <w:szCs w:val="23"/>
        </w:rPr>
        <w:t xml:space="preserve"> por </w:t>
      </w:r>
      <w:r w:rsidR="001D0072" w:rsidRPr="00C92052">
        <w:rPr>
          <w:rFonts w:ascii="Book Antiqua" w:hAnsi="Book Antiqua"/>
          <w:iCs/>
          <w:color w:val="000000" w:themeColor="text1"/>
          <w:sz w:val="23"/>
          <w:szCs w:val="23"/>
        </w:rPr>
        <w:t>otro lado, se afecta la salud pú</w:t>
      </w:r>
      <w:r w:rsidR="00C82412" w:rsidRPr="00C92052">
        <w:rPr>
          <w:rFonts w:ascii="Book Antiqua" w:hAnsi="Book Antiqua"/>
          <w:iCs/>
          <w:color w:val="000000" w:themeColor="text1"/>
          <w:sz w:val="23"/>
          <w:szCs w:val="23"/>
        </w:rPr>
        <w:t xml:space="preserve">blica teniendo en cuenta la obligación del Estado para garantizar medidas preventivas y rehabilitadoras para las personas consumidoras y adicionalmente, se está atentando contra la salud pública de la comunidad, en especial la de los menores de edad. </w:t>
      </w:r>
    </w:p>
    <w:p w14:paraId="775EEF3C" w14:textId="77777777" w:rsidR="00A843ED" w:rsidRPr="00C92052" w:rsidRDefault="00A843ED" w:rsidP="0016403D">
      <w:pPr>
        <w:pStyle w:val="Prrafodelista"/>
        <w:spacing w:line="240" w:lineRule="auto"/>
        <w:ind w:left="360"/>
        <w:jc w:val="both"/>
        <w:rPr>
          <w:rFonts w:ascii="Book Antiqua" w:hAnsi="Book Antiqua"/>
          <w:iCs/>
          <w:color w:val="000000" w:themeColor="text1"/>
          <w:sz w:val="23"/>
          <w:szCs w:val="23"/>
        </w:rPr>
      </w:pPr>
    </w:p>
    <w:p w14:paraId="100CD6B3" w14:textId="57E1392D" w:rsidR="00A843ED" w:rsidRPr="00C92052" w:rsidRDefault="00A843ED"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Debe resaltarse que, en acciones de tutela del 2014</w:t>
      </w:r>
      <w:r w:rsidRPr="00C92052">
        <w:rPr>
          <w:rStyle w:val="Refdenotaalpie"/>
          <w:rFonts w:ascii="Book Antiqua" w:hAnsi="Book Antiqua"/>
          <w:iCs/>
          <w:color w:val="000000" w:themeColor="text1"/>
          <w:sz w:val="23"/>
          <w:szCs w:val="23"/>
        </w:rPr>
        <w:footnoteReference w:id="24"/>
      </w:r>
      <w:r w:rsidRPr="00C92052">
        <w:rPr>
          <w:rFonts w:ascii="Book Antiqua" w:hAnsi="Book Antiqua"/>
          <w:iCs/>
          <w:color w:val="000000" w:themeColor="text1"/>
          <w:sz w:val="23"/>
          <w:szCs w:val="23"/>
        </w:rPr>
        <w:t>, donde se ha solicitado que se tutel</w:t>
      </w:r>
      <w:r w:rsidR="00205CEB" w:rsidRPr="00C92052">
        <w:rPr>
          <w:rFonts w:ascii="Book Antiqua" w:hAnsi="Book Antiqua"/>
          <w:iCs/>
          <w:color w:val="000000" w:themeColor="text1"/>
          <w:sz w:val="23"/>
          <w:szCs w:val="23"/>
        </w:rPr>
        <w:t>e</w:t>
      </w:r>
      <w:r w:rsidRPr="00C92052">
        <w:rPr>
          <w:rFonts w:ascii="Book Antiqua" w:hAnsi="Book Antiqua"/>
          <w:iCs/>
          <w:color w:val="000000" w:themeColor="text1"/>
          <w:sz w:val="23"/>
          <w:szCs w:val="23"/>
        </w:rPr>
        <w:t xml:space="preserve"> el derecho a la salud para acceder a atención psiquiátrica para superar la adicción a marihuana</w:t>
      </w:r>
      <w:r w:rsidR="00CB58FA" w:rsidRPr="00C92052">
        <w:rPr>
          <w:rFonts w:ascii="Book Antiqua" w:hAnsi="Book Antiqua"/>
          <w:iCs/>
          <w:color w:val="000000" w:themeColor="text1"/>
          <w:sz w:val="23"/>
          <w:szCs w:val="23"/>
        </w:rPr>
        <w:t xml:space="preserve">, en donde la Corte Constitucional ha resuelto ordenar a </w:t>
      </w:r>
      <w:r w:rsidR="00644F17" w:rsidRPr="00C92052">
        <w:rPr>
          <w:rFonts w:ascii="Book Antiqua" w:hAnsi="Book Antiqua"/>
          <w:iCs/>
          <w:color w:val="000000" w:themeColor="text1"/>
          <w:sz w:val="23"/>
          <w:szCs w:val="23"/>
        </w:rPr>
        <w:t xml:space="preserve">las </w:t>
      </w:r>
      <w:proofErr w:type="spellStart"/>
      <w:r w:rsidR="00CB58FA" w:rsidRPr="00C92052">
        <w:rPr>
          <w:rFonts w:ascii="Book Antiqua" w:hAnsi="Book Antiqua"/>
          <w:iCs/>
          <w:color w:val="000000" w:themeColor="text1"/>
          <w:sz w:val="23"/>
          <w:szCs w:val="23"/>
        </w:rPr>
        <w:t>EPS´s</w:t>
      </w:r>
      <w:proofErr w:type="spellEnd"/>
      <w:r w:rsidR="00CB58FA" w:rsidRPr="00C92052">
        <w:rPr>
          <w:rFonts w:ascii="Book Antiqua" w:hAnsi="Book Antiqua"/>
          <w:iCs/>
          <w:color w:val="000000" w:themeColor="text1"/>
          <w:sz w:val="23"/>
          <w:szCs w:val="23"/>
        </w:rPr>
        <w:t xml:space="preserve"> que siempre que el titular de los derechos acceda, que por medio de especialistas médicos y psiquiatras se realice valoraciones emitiendo diagnóstico respecto a la adicción a estas sustancias psicoactivas para contrarrestar su adicción. Lo cual significa que</w:t>
      </w:r>
      <w:r w:rsidR="001D0072" w:rsidRPr="00C92052">
        <w:rPr>
          <w:rFonts w:ascii="Book Antiqua" w:hAnsi="Book Antiqua"/>
          <w:iCs/>
          <w:color w:val="000000" w:themeColor="text1"/>
          <w:sz w:val="23"/>
          <w:szCs w:val="23"/>
        </w:rPr>
        <w:t>,</w:t>
      </w:r>
      <w:r w:rsidR="00CB58FA" w:rsidRPr="00C92052">
        <w:rPr>
          <w:rFonts w:ascii="Book Antiqua" w:hAnsi="Book Antiqua"/>
          <w:iCs/>
          <w:color w:val="000000" w:themeColor="text1"/>
          <w:sz w:val="23"/>
          <w:szCs w:val="23"/>
        </w:rPr>
        <w:t xml:space="preserve"> la jurisprudencia constitucional en virtud del art</w:t>
      </w:r>
      <w:r w:rsidR="00DA04B1" w:rsidRPr="00C92052">
        <w:rPr>
          <w:rFonts w:ascii="Book Antiqua" w:hAnsi="Book Antiqua"/>
          <w:iCs/>
          <w:color w:val="000000" w:themeColor="text1"/>
          <w:sz w:val="23"/>
          <w:szCs w:val="23"/>
        </w:rPr>
        <w:t>ículo</w:t>
      </w:r>
      <w:r w:rsidR="00CB58FA" w:rsidRPr="00C92052">
        <w:rPr>
          <w:rFonts w:ascii="Book Antiqua" w:hAnsi="Book Antiqua"/>
          <w:iCs/>
          <w:color w:val="000000" w:themeColor="text1"/>
          <w:sz w:val="23"/>
          <w:szCs w:val="23"/>
        </w:rPr>
        <w:t xml:space="preserve"> 49 de la Constitución Política si ha considerado la marihuana</w:t>
      </w:r>
      <w:r w:rsidR="001D0072" w:rsidRPr="00C92052">
        <w:rPr>
          <w:rFonts w:ascii="Book Antiqua" w:hAnsi="Book Antiqua"/>
          <w:iCs/>
          <w:color w:val="000000" w:themeColor="text1"/>
          <w:sz w:val="23"/>
          <w:szCs w:val="23"/>
        </w:rPr>
        <w:t xml:space="preserve"> como</w:t>
      </w:r>
      <w:r w:rsidR="00CB58FA" w:rsidRPr="00C92052">
        <w:rPr>
          <w:rFonts w:ascii="Book Antiqua" w:hAnsi="Book Antiqua"/>
          <w:iCs/>
          <w:color w:val="000000" w:themeColor="text1"/>
          <w:sz w:val="23"/>
          <w:szCs w:val="23"/>
        </w:rPr>
        <w:t xml:space="preserve"> sustancia que deviene adicción y que las personas consumidoras deben ser sujetos de protección </w:t>
      </w:r>
      <w:r w:rsidR="001D0072" w:rsidRPr="00C92052">
        <w:rPr>
          <w:rFonts w:ascii="Book Antiqua" w:hAnsi="Book Antiqua"/>
          <w:iCs/>
          <w:color w:val="000000" w:themeColor="text1"/>
          <w:sz w:val="23"/>
          <w:szCs w:val="23"/>
        </w:rPr>
        <w:t>constitucional,</w:t>
      </w:r>
      <w:r w:rsidR="00CB58FA" w:rsidRPr="00C92052">
        <w:rPr>
          <w:rFonts w:ascii="Book Antiqua" w:hAnsi="Book Antiqua"/>
          <w:iCs/>
          <w:color w:val="000000" w:themeColor="text1"/>
          <w:sz w:val="23"/>
          <w:szCs w:val="23"/>
        </w:rPr>
        <w:t xml:space="preserve"> que se les debe garantizar su derecho a la salud mediante el acompañamiento de medidas médicas y psiquiátricas. </w:t>
      </w:r>
    </w:p>
    <w:p w14:paraId="57954075" w14:textId="77777777" w:rsidR="00A179CA" w:rsidRPr="00C92052" w:rsidRDefault="00A179CA" w:rsidP="0016403D">
      <w:pPr>
        <w:pStyle w:val="Prrafodelista"/>
        <w:spacing w:line="240" w:lineRule="auto"/>
        <w:ind w:left="360"/>
        <w:jc w:val="both"/>
        <w:rPr>
          <w:rFonts w:ascii="Book Antiqua" w:hAnsi="Book Antiqua"/>
          <w:iCs/>
          <w:color w:val="000000" w:themeColor="text1"/>
          <w:sz w:val="23"/>
          <w:szCs w:val="23"/>
        </w:rPr>
      </w:pPr>
    </w:p>
    <w:p w14:paraId="13D6A186" w14:textId="7DEB82D1" w:rsidR="004A1AFB" w:rsidRPr="00C92052" w:rsidRDefault="00CB58FA"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w:t>
      </w:r>
      <w:r w:rsidR="004A1AFB" w:rsidRPr="00C92052">
        <w:rPr>
          <w:rFonts w:ascii="Book Antiqua" w:hAnsi="Book Antiqua"/>
          <w:iCs/>
          <w:color w:val="000000" w:themeColor="text1"/>
          <w:sz w:val="23"/>
          <w:szCs w:val="23"/>
        </w:rPr>
        <w:t>, debe considerarse el concepto de “adicto”, que el diccionario de la Real Academia Española establece que es aquella persona que “</w:t>
      </w:r>
      <w:r w:rsidR="004A1AFB" w:rsidRPr="00C92052">
        <w:rPr>
          <w:rFonts w:ascii="Book Antiqua" w:hAnsi="Book Antiqua"/>
          <w:i/>
          <w:iCs/>
          <w:color w:val="000000" w:themeColor="text1"/>
          <w:sz w:val="23"/>
          <w:szCs w:val="23"/>
        </w:rPr>
        <w:t>dependiente del consumo de alguna sustancia o de la práctica de una actividad</w:t>
      </w:r>
      <w:r w:rsidR="004A1AFB" w:rsidRPr="00C92052">
        <w:rPr>
          <w:rFonts w:ascii="Book Antiqua" w:hAnsi="Book Antiqua"/>
          <w:iCs/>
          <w:color w:val="000000" w:themeColor="text1"/>
          <w:sz w:val="23"/>
          <w:szCs w:val="23"/>
        </w:rPr>
        <w:t>”</w:t>
      </w:r>
      <w:r w:rsidR="004A1AFB" w:rsidRPr="00C92052">
        <w:rPr>
          <w:rStyle w:val="Refdenotaalpie"/>
          <w:rFonts w:ascii="Book Antiqua" w:hAnsi="Book Antiqua"/>
          <w:iCs/>
          <w:color w:val="000000" w:themeColor="text1"/>
          <w:sz w:val="23"/>
          <w:szCs w:val="23"/>
        </w:rPr>
        <w:footnoteReference w:id="25"/>
      </w:r>
      <w:r w:rsidR="004A1AFB" w:rsidRPr="00C92052">
        <w:rPr>
          <w:rFonts w:ascii="Book Antiqua" w:hAnsi="Book Antiqua"/>
          <w:iCs/>
          <w:color w:val="000000" w:themeColor="text1"/>
          <w:sz w:val="23"/>
          <w:szCs w:val="23"/>
        </w:rPr>
        <w:t>. En el caso de la adicción a las drogas se habla de farmacodependencia o drogadicción. En esta materia la jurisprudencia constitucional ha establecido que, la adicción a sustancias psicoactivas es una enfermedad que afecta la salud mental de las personas</w:t>
      </w:r>
      <w:r w:rsidR="001D0072" w:rsidRPr="00C92052">
        <w:rPr>
          <w:rFonts w:ascii="Book Antiqua" w:hAnsi="Book Antiqua"/>
          <w:iCs/>
          <w:color w:val="000000" w:themeColor="text1"/>
          <w:sz w:val="23"/>
          <w:szCs w:val="23"/>
        </w:rPr>
        <w:t xml:space="preserve"> (como se </w:t>
      </w:r>
      <w:r w:rsidR="009E775C" w:rsidRPr="00C92052">
        <w:rPr>
          <w:rFonts w:ascii="Book Antiqua" w:hAnsi="Book Antiqua"/>
          <w:iCs/>
          <w:color w:val="000000" w:themeColor="text1"/>
          <w:sz w:val="23"/>
          <w:szCs w:val="23"/>
        </w:rPr>
        <w:t>demostró</w:t>
      </w:r>
      <w:r w:rsidR="001D0072" w:rsidRPr="00C92052">
        <w:rPr>
          <w:rFonts w:ascii="Book Antiqua" w:hAnsi="Book Antiqua"/>
          <w:iCs/>
          <w:color w:val="000000" w:themeColor="text1"/>
          <w:sz w:val="23"/>
          <w:szCs w:val="23"/>
        </w:rPr>
        <w:t xml:space="preserve"> en estudios anteriores)</w:t>
      </w:r>
      <w:r w:rsidR="004A1AFB" w:rsidRPr="00C92052">
        <w:rPr>
          <w:rFonts w:ascii="Book Antiqua" w:hAnsi="Book Antiqua"/>
          <w:iCs/>
          <w:color w:val="000000" w:themeColor="text1"/>
          <w:sz w:val="23"/>
          <w:szCs w:val="23"/>
        </w:rPr>
        <w:t>, la Constitución Política y la jurisprudencia constitucional han reconocido que dentro del ámbito de protección del derecho a la salud, se debe incluir la garantía de acceso a tratamientos integrales para los sujetos que padecen afectaciones psicológicas, e incluso físicas, derivadas del consumo de este tipo de sustancias</w:t>
      </w:r>
      <w:r w:rsidR="004A1AFB" w:rsidRPr="00C92052">
        <w:rPr>
          <w:rStyle w:val="Refdenotaalpie"/>
          <w:rFonts w:ascii="Book Antiqua" w:hAnsi="Book Antiqua"/>
          <w:iCs/>
          <w:color w:val="000000" w:themeColor="text1"/>
          <w:sz w:val="23"/>
          <w:szCs w:val="23"/>
        </w:rPr>
        <w:footnoteReference w:id="26"/>
      </w:r>
      <w:r w:rsidR="004A1AFB" w:rsidRPr="00C92052">
        <w:rPr>
          <w:rFonts w:ascii="Book Antiqua" w:hAnsi="Book Antiqua"/>
          <w:iCs/>
          <w:color w:val="000000" w:themeColor="text1"/>
          <w:sz w:val="23"/>
          <w:szCs w:val="23"/>
        </w:rPr>
        <w:t xml:space="preserve">. </w:t>
      </w:r>
    </w:p>
    <w:p w14:paraId="2BFF3D11" w14:textId="77777777" w:rsidR="004A1AFB" w:rsidRPr="00C92052" w:rsidRDefault="004A1AFB" w:rsidP="0016403D">
      <w:pPr>
        <w:pStyle w:val="Prrafodelista"/>
        <w:spacing w:line="240" w:lineRule="auto"/>
        <w:ind w:left="360"/>
        <w:jc w:val="both"/>
        <w:rPr>
          <w:rFonts w:ascii="Book Antiqua" w:hAnsi="Book Antiqua"/>
          <w:iCs/>
          <w:color w:val="000000" w:themeColor="text1"/>
          <w:sz w:val="23"/>
          <w:szCs w:val="23"/>
        </w:rPr>
      </w:pPr>
    </w:p>
    <w:p w14:paraId="79D66F2B" w14:textId="77777777" w:rsidR="00A179CA" w:rsidRPr="00C92052" w:rsidRDefault="004A1AFB"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Adicionalmente, </w:t>
      </w:r>
      <w:r w:rsidR="00690635" w:rsidRPr="00C92052">
        <w:rPr>
          <w:rFonts w:ascii="Book Antiqua" w:hAnsi="Book Antiqua"/>
          <w:iCs/>
          <w:color w:val="000000" w:themeColor="text1"/>
          <w:sz w:val="23"/>
          <w:szCs w:val="23"/>
        </w:rPr>
        <w:t xml:space="preserve"> mediante la </w:t>
      </w:r>
      <w:r w:rsidRPr="00C92052">
        <w:rPr>
          <w:rFonts w:ascii="Book Antiqua" w:hAnsi="Book Antiqua"/>
          <w:iCs/>
          <w:color w:val="000000" w:themeColor="text1"/>
          <w:sz w:val="23"/>
          <w:szCs w:val="23"/>
        </w:rPr>
        <w:t>Ley 1566</w:t>
      </w:r>
      <w:r w:rsidR="00690635" w:rsidRPr="00C92052">
        <w:rPr>
          <w:rFonts w:ascii="Book Antiqua" w:hAnsi="Book Antiqua"/>
          <w:iCs/>
          <w:color w:val="000000" w:themeColor="text1"/>
          <w:sz w:val="23"/>
          <w:szCs w:val="23"/>
        </w:rPr>
        <w:t xml:space="preserve"> de 2012 “</w:t>
      </w:r>
      <w:r w:rsidR="00690635" w:rsidRPr="00C92052">
        <w:rPr>
          <w:rFonts w:ascii="Book Antiqua" w:hAnsi="Book Antiqua"/>
          <w:i/>
          <w:iCs/>
          <w:color w:val="000000" w:themeColor="text1"/>
          <w:sz w:val="23"/>
          <w:szCs w:val="23"/>
        </w:rPr>
        <w:t>Por la cual se dictan normas para garantizar la atención integral a personas que consumen sustancias psicoactivas y se crea el premio nacional “entidad comprometida con la prevención del consumo, abuso y adicción a sustancias</w:t>
      </w:r>
      <w:r w:rsidR="00690635" w:rsidRPr="00C92052">
        <w:rPr>
          <w:rFonts w:ascii="Book Antiqua" w:hAnsi="Book Antiqua"/>
          <w:iCs/>
          <w:color w:val="000000" w:themeColor="text1"/>
          <w:sz w:val="23"/>
          <w:szCs w:val="23"/>
        </w:rPr>
        <w:t>”</w:t>
      </w:r>
      <w:r w:rsidRPr="00C92052">
        <w:rPr>
          <w:rFonts w:ascii="Book Antiqua" w:hAnsi="Book Antiqua"/>
          <w:iCs/>
          <w:color w:val="000000" w:themeColor="text1"/>
          <w:sz w:val="23"/>
          <w:szCs w:val="23"/>
        </w:rPr>
        <w:t>, reconoció que el consumo, abuso y adicción de</w:t>
      </w:r>
      <w:r w:rsidR="00F558A2" w:rsidRPr="00C92052">
        <w:rPr>
          <w:rFonts w:ascii="Book Antiqua" w:hAnsi="Book Antiqua"/>
          <w:iCs/>
          <w:color w:val="000000" w:themeColor="text1"/>
          <w:sz w:val="23"/>
          <w:szCs w:val="23"/>
        </w:rPr>
        <w:t xml:space="preserve"> estas sustancias </w:t>
      </w:r>
      <w:r w:rsidRPr="00C92052">
        <w:rPr>
          <w:rFonts w:ascii="Book Antiqua" w:hAnsi="Book Antiqua"/>
          <w:iCs/>
          <w:color w:val="000000" w:themeColor="text1"/>
          <w:sz w:val="23"/>
          <w:szCs w:val="23"/>
        </w:rPr>
        <w:t>es un asunto de salud pública y bienestar de la familia, la comunidad y los individuos y por lo tanto, el abuso y la adicción deberán ser tratados como una enfermedad que requiere atención integral por parte del Estado</w:t>
      </w:r>
      <w:r w:rsidR="00F558A2" w:rsidRPr="00C92052">
        <w:rPr>
          <w:rStyle w:val="Refdenotaalpie"/>
          <w:rFonts w:ascii="Book Antiqua" w:hAnsi="Book Antiqua"/>
          <w:iCs/>
          <w:color w:val="000000" w:themeColor="text1"/>
          <w:sz w:val="23"/>
          <w:szCs w:val="23"/>
        </w:rPr>
        <w:footnoteReference w:id="27"/>
      </w:r>
      <w:r w:rsidRPr="00C92052">
        <w:rPr>
          <w:rFonts w:ascii="Book Antiqua" w:hAnsi="Book Antiqua"/>
          <w:iCs/>
          <w:color w:val="000000" w:themeColor="text1"/>
          <w:sz w:val="23"/>
          <w:szCs w:val="23"/>
        </w:rPr>
        <w:t xml:space="preserve">. Es claro entonces que los individuos que padecen de farmacodependencia tienen un sistema de protección especial que se ve reforzado por su condición de manifiesta debilidad psíquica, que </w:t>
      </w:r>
      <w:r w:rsidRPr="00C92052">
        <w:rPr>
          <w:rFonts w:ascii="Book Antiqua" w:hAnsi="Book Antiqua"/>
          <w:iCs/>
          <w:color w:val="000000" w:themeColor="text1"/>
          <w:sz w:val="23"/>
          <w:szCs w:val="23"/>
        </w:rPr>
        <w:lastRenderedPageBreak/>
        <w:t>obliga al Estado y a sus entidades a garantizar una protección y un tratamiento integral para superar dicha patología</w:t>
      </w:r>
      <w:r w:rsidR="00F558A2" w:rsidRPr="00C92052">
        <w:rPr>
          <w:rStyle w:val="Refdenotaalpie"/>
          <w:rFonts w:ascii="Book Antiqua" w:hAnsi="Book Antiqua"/>
          <w:iCs/>
          <w:color w:val="000000" w:themeColor="text1"/>
          <w:sz w:val="23"/>
          <w:szCs w:val="23"/>
        </w:rPr>
        <w:footnoteReference w:id="28"/>
      </w:r>
      <w:r w:rsidRPr="00C92052">
        <w:rPr>
          <w:rFonts w:ascii="Book Antiqua" w:hAnsi="Book Antiqua"/>
          <w:iCs/>
          <w:color w:val="000000" w:themeColor="text1"/>
          <w:sz w:val="23"/>
          <w:szCs w:val="23"/>
        </w:rPr>
        <w:t>.</w:t>
      </w:r>
    </w:p>
    <w:p w14:paraId="3273B517" w14:textId="77777777" w:rsidR="00A179CA" w:rsidRPr="00C92052" w:rsidRDefault="00A179CA" w:rsidP="0016403D">
      <w:pPr>
        <w:pStyle w:val="Prrafodelista"/>
        <w:spacing w:line="240" w:lineRule="auto"/>
        <w:ind w:left="360"/>
        <w:jc w:val="both"/>
        <w:rPr>
          <w:rFonts w:ascii="Book Antiqua" w:hAnsi="Book Antiqua"/>
          <w:iCs/>
          <w:color w:val="000000" w:themeColor="text1"/>
          <w:sz w:val="23"/>
          <w:szCs w:val="23"/>
        </w:rPr>
      </w:pPr>
    </w:p>
    <w:p w14:paraId="1BF6FF8F" w14:textId="77777777" w:rsidR="00A179CA" w:rsidRPr="00C92052" w:rsidRDefault="007038CB" w:rsidP="0016403D">
      <w:pPr>
        <w:pStyle w:val="Prrafodelista"/>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Los anteriores argumentos constitucionales, tienen fundamento adicionalmente en los siguientes estudios encontrados: </w:t>
      </w:r>
    </w:p>
    <w:p w14:paraId="6DB6E05F" w14:textId="77777777" w:rsidR="007F75F8" w:rsidRPr="00C92052" w:rsidRDefault="007F75F8" w:rsidP="0016403D">
      <w:pPr>
        <w:spacing w:before="280" w:after="280" w:line="240" w:lineRule="auto"/>
        <w:ind w:left="360"/>
        <w:jc w:val="both"/>
        <w:rPr>
          <w:rFonts w:ascii="Book Antiqua" w:eastAsia="Arial" w:hAnsi="Book Antiqua" w:cs="Arial"/>
          <w:i/>
          <w:sz w:val="23"/>
          <w:szCs w:val="23"/>
          <w:highlight w:val="white"/>
        </w:rPr>
      </w:pPr>
      <w:r w:rsidRPr="00C92052">
        <w:rPr>
          <w:rFonts w:ascii="Book Antiqua" w:eastAsia="Arial" w:hAnsi="Book Antiqua" w:cs="Arial"/>
          <w:sz w:val="23"/>
          <w:szCs w:val="23"/>
        </w:rPr>
        <w:t>Según investigaciones sobre la composición química del cannabis es compleja puesto que contiene más de 400 químicos</w:t>
      </w:r>
      <w:r w:rsidRPr="00C92052">
        <w:rPr>
          <w:rStyle w:val="Refdenotaalpie"/>
          <w:rFonts w:ascii="Book Antiqua" w:eastAsia="Arial" w:hAnsi="Book Antiqua" w:cs="Arial"/>
          <w:sz w:val="23"/>
          <w:szCs w:val="23"/>
        </w:rPr>
        <w:footnoteReference w:id="29"/>
      </w:r>
      <w:r w:rsidRPr="00C92052">
        <w:rPr>
          <w:rFonts w:ascii="Book Antiqua" w:eastAsia="Arial" w:hAnsi="Book Antiqua" w:cs="Arial"/>
          <w:sz w:val="23"/>
          <w:szCs w:val="23"/>
        </w:rPr>
        <w:t xml:space="preserve"> . Uno de sus componentes químicos más abundante y poderoso es el </w:t>
      </w:r>
      <w:r w:rsidRPr="00C92052">
        <w:rPr>
          <w:rFonts w:ascii="Book Antiqua" w:eastAsia="Arial" w:hAnsi="Book Antiqua" w:cs="Arial"/>
          <w:sz w:val="23"/>
          <w:szCs w:val="23"/>
          <w:highlight w:val="white"/>
        </w:rPr>
        <w:t>Δ9-thc “</w:t>
      </w:r>
      <w:r w:rsidRPr="00C92052">
        <w:rPr>
          <w:rFonts w:ascii="Book Antiqua" w:eastAsia="Arial" w:hAnsi="Book Antiqua" w:cs="Arial"/>
          <w:i/>
          <w:sz w:val="23"/>
          <w:szCs w:val="23"/>
          <w:highlight w:val="white"/>
        </w:rPr>
        <w:t xml:space="preserve">responsable del establecimiento de la dependencia.  La concentración de Δ9-thc varía ampliamente entre plantas de distinto origen. La cannabis silvestre contiene Δ9-thc en una concentración </w:t>
      </w:r>
      <w:proofErr w:type="gramStart"/>
      <w:r w:rsidRPr="00C92052">
        <w:rPr>
          <w:rFonts w:ascii="Book Antiqua" w:eastAsia="Arial" w:hAnsi="Book Antiqua" w:cs="Arial"/>
          <w:i/>
          <w:sz w:val="23"/>
          <w:szCs w:val="23"/>
          <w:highlight w:val="white"/>
        </w:rPr>
        <w:t>del  0</w:t>
      </w:r>
      <w:proofErr w:type="gramEnd"/>
      <w:r w:rsidRPr="00C92052">
        <w:rPr>
          <w:rFonts w:ascii="Book Antiqua" w:eastAsia="Arial" w:hAnsi="Book Antiqua" w:cs="Arial"/>
          <w:i/>
          <w:sz w:val="23"/>
          <w:szCs w:val="23"/>
          <w:highlight w:val="white"/>
        </w:rPr>
        <w:t>,5% al 5,0% mientras las  nuevas marihuanas cultivadas  hidropónicamente, manipuladas genéticamente –cripi en Colombia o shunt en Inglaterra, han aumentado la concentración de Δ9-thc 15% a 30% (150 a 300 mg de Δ9-thc), lo que aumenta los riesgos en salud. Por esto  debe revisarse la evidencia científica obtenida en estudios en marihuanas con menor concentración de Δ9 thc.”</w:t>
      </w:r>
      <w:r w:rsidRPr="00C92052">
        <w:rPr>
          <w:rStyle w:val="Refdenotaalpie"/>
          <w:rFonts w:ascii="Book Antiqua" w:eastAsia="Arial" w:hAnsi="Book Antiqua" w:cs="Arial"/>
          <w:i/>
          <w:sz w:val="23"/>
          <w:szCs w:val="23"/>
          <w:highlight w:val="white"/>
        </w:rPr>
        <w:footnoteReference w:id="30"/>
      </w:r>
      <w:r w:rsidRPr="00C92052">
        <w:rPr>
          <w:rFonts w:ascii="Book Antiqua" w:eastAsia="Arial" w:hAnsi="Book Antiqua" w:cs="Arial"/>
          <w:i/>
          <w:sz w:val="23"/>
          <w:szCs w:val="23"/>
          <w:highlight w:val="white"/>
        </w:rPr>
        <w:t xml:space="preserve"> . </w:t>
      </w:r>
    </w:p>
    <w:p w14:paraId="1BCA8B09" w14:textId="0CE84409" w:rsidR="007F75F8" w:rsidRPr="00C92052" w:rsidRDefault="007F75F8" w:rsidP="0016403D">
      <w:pPr>
        <w:spacing w:line="240" w:lineRule="auto"/>
        <w:ind w:left="360"/>
        <w:jc w:val="both"/>
        <w:rPr>
          <w:rFonts w:ascii="Book Antiqua" w:eastAsia="Arial" w:hAnsi="Book Antiqua" w:cs="Arial"/>
          <w:sz w:val="23"/>
          <w:szCs w:val="23"/>
          <w:highlight w:val="white"/>
        </w:rPr>
      </w:pPr>
      <w:r w:rsidRPr="00C92052">
        <w:rPr>
          <w:rFonts w:ascii="Book Antiqua" w:eastAsia="Arial" w:hAnsi="Book Antiqua" w:cs="Arial"/>
          <w:sz w:val="23"/>
          <w:szCs w:val="23"/>
          <w:highlight w:val="white"/>
        </w:rPr>
        <w:t xml:space="preserve">En otras palabras, podemos indicar de las investigaciones consultadas que no todos los componentes del Cannabis se han investigado a fondo, desconociendo sus efectos sobre la salud de las personas, y aún peor, uno de sus componentes más abundantes representa una concentración tan alta que </w:t>
      </w:r>
      <w:r w:rsidR="009E775C" w:rsidRPr="00C92052">
        <w:rPr>
          <w:rFonts w:ascii="Book Antiqua" w:eastAsia="Arial" w:hAnsi="Book Antiqua" w:cs="Arial"/>
          <w:sz w:val="23"/>
          <w:szCs w:val="23"/>
          <w:highlight w:val="white"/>
        </w:rPr>
        <w:t>pone en riesgo la</w:t>
      </w:r>
      <w:r w:rsidRPr="00C92052">
        <w:rPr>
          <w:rFonts w:ascii="Book Antiqua" w:eastAsia="Arial" w:hAnsi="Book Antiqua" w:cs="Arial"/>
          <w:sz w:val="23"/>
          <w:szCs w:val="23"/>
          <w:highlight w:val="white"/>
        </w:rPr>
        <w:t xml:space="preserve"> salud y favorece la dependencia en los consumidores. </w:t>
      </w:r>
    </w:p>
    <w:p w14:paraId="444488C0" w14:textId="687EC7C6" w:rsidR="007F75F8" w:rsidRPr="00C92052" w:rsidRDefault="007F75F8" w:rsidP="0016403D">
      <w:pPr>
        <w:pBdr>
          <w:top w:val="nil"/>
          <w:left w:val="nil"/>
          <w:bottom w:val="nil"/>
          <w:right w:val="nil"/>
          <w:between w:val="nil"/>
        </w:pBdr>
        <w:spacing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Por otro lado, se reitera que nuestro país presenta altas cifras de consumo en me</w:t>
      </w:r>
      <w:r w:rsidR="009E775C" w:rsidRPr="00C92052">
        <w:rPr>
          <w:rFonts w:ascii="Book Antiqua" w:eastAsia="Arial" w:hAnsi="Book Antiqua" w:cs="Arial"/>
          <w:sz w:val="23"/>
          <w:szCs w:val="23"/>
        </w:rPr>
        <w:t xml:space="preserve">nores de edad, para lo cual la </w:t>
      </w:r>
      <w:r w:rsidRPr="00C92052">
        <w:rPr>
          <w:rFonts w:ascii="Book Antiqua" w:eastAsia="Arial" w:hAnsi="Book Antiqua" w:cs="Arial"/>
          <w:sz w:val="23"/>
          <w:szCs w:val="23"/>
        </w:rPr>
        <w:t xml:space="preserve">iniciativa representa un factor de agravamiento, pues elimina las barreras de acceso que hoy existen contra sustancias psicoactivas, y aún se desconoce cómo se va a garantizar que no lleguen a menores de edad. </w:t>
      </w:r>
      <w:r w:rsidR="009E775C" w:rsidRPr="00C92052">
        <w:rPr>
          <w:rFonts w:ascii="Book Antiqua" w:eastAsia="Arial" w:hAnsi="Book Antiqua" w:cs="Arial"/>
          <w:color w:val="000000"/>
          <w:sz w:val="23"/>
          <w:szCs w:val="23"/>
        </w:rPr>
        <w:t>El DANE (2019)</w:t>
      </w:r>
      <w:r w:rsidRPr="00C92052">
        <w:rPr>
          <w:rFonts w:ascii="Book Antiqua" w:eastAsia="Arial" w:hAnsi="Book Antiqua" w:cs="Arial"/>
          <w:color w:val="000000"/>
          <w:sz w:val="23"/>
          <w:szCs w:val="23"/>
        </w:rPr>
        <w:t xml:space="preserve"> en la </w:t>
      </w:r>
      <w:r w:rsidRPr="00C92052">
        <w:rPr>
          <w:rFonts w:ascii="Book Antiqua" w:eastAsia="Arial" w:hAnsi="Book Antiqua" w:cs="Arial"/>
          <w:sz w:val="23"/>
          <w:szCs w:val="23"/>
        </w:rPr>
        <w:t>“</w:t>
      </w:r>
      <w:r w:rsidRPr="00C92052">
        <w:rPr>
          <w:rFonts w:ascii="Book Antiqua" w:eastAsia="Arial" w:hAnsi="Book Antiqua" w:cs="Arial"/>
          <w:i/>
          <w:sz w:val="23"/>
          <w:szCs w:val="23"/>
        </w:rPr>
        <w:t>Encuesta nacional de consumo de sustancias psicoactivas (ENCSPA)”</w:t>
      </w:r>
      <w:r w:rsidRPr="00C92052">
        <w:rPr>
          <w:rFonts w:ascii="Book Antiqua" w:eastAsia="Arial" w:hAnsi="Book Antiqua" w:cs="Arial"/>
          <w:i/>
          <w:sz w:val="23"/>
          <w:szCs w:val="23"/>
          <w:vertAlign w:val="superscript"/>
        </w:rPr>
        <w:footnoteReference w:id="31"/>
      </w:r>
      <w:r w:rsidRPr="00C92052">
        <w:rPr>
          <w:rFonts w:ascii="Book Antiqua" w:eastAsia="Arial" w:hAnsi="Book Antiqua" w:cs="Arial"/>
          <w:sz w:val="23"/>
          <w:szCs w:val="23"/>
        </w:rPr>
        <w:t xml:space="preserve"> indicó que </w:t>
      </w:r>
      <w:r w:rsidR="00577222" w:rsidRPr="00C92052">
        <w:rPr>
          <w:rFonts w:ascii="Book Antiqua" w:eastAsia="Arial" w:hAnsi="Book Antiqua" w:cs="Arial"/>
          <w:sz w:val="23"/>
          <w:szCs w:val="23"/>
        </w:rPr>
        <w:t xml:space="preserve">el 4,3%  de los menores de edad entre los 12-17 años inicia su consumo a esta edad: </w:t>
      </w:r>
    </w:p>
    <w:p w14:paraId="143EF53C" w14:textId="77777777" w:rsidR="007F75F8" w:rsidRPr="00C92052" w:rsidRDefault="007F75F8" w:rsidP="0016403D">
      <w:pPr>
        <w:spacing w:before="240" w:after="240" w:line="240" w:lineRule="auto"/>
        <w:ind w:left="360"/>
        <w:jc w:val="center"/>
        <w:rPr>
          <w:rFonts w:ascii="Book Antiqua" w:eastAsia="Arial" w:hAnsi="Book Antiqua" w:cs="Arial"/>
          <w:sz w:val="23"/>
          <w:szCs w:val="23"/>
        </w:rPr>
      </w:pPr>
      <w:r w:rsidRPr="00C92052">
        <w:rPr>
          <w:rFonts w:ascii="Book Antiqua" w:eastAsia="Arial" w:hAnsi="Book Antiqua" w:cs="Arial"/>
          <w:noProof/>
          <w:sz w:val="23"/>
          <w:szCs w:val="23"/>
          <w:lang w:eastAsia="es-CO"/>
        </w:rPr>
        <w:lastRenderedPageBreak/>
        <w:drawing>
          <wp:inline distT="114300" distB="114300" distL="114300" distR="114300" wp14:anchorId="74DCFB67" wp14:editId="5CA583F2">
            <wp:extent cx="3976954" cy="2179929"/>
            <wp:effectExtent l="0" t="0" r="508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01262" cy="2248067"/>
                    </a:xfrm>
                    <a:prstGeom prst="rect">
                      <a:avLst/>
                    </a:prstGeom>
                    <a:ln/>
                  </pic:spPr>
                </pic:pic>
              </a:graphicData>
            </a:graphic>
          </wp:inline>
        </w:drawing>
      </w:r>
    </w:p>
    <w:p w14:paraId="4E52BD36"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Distintos informes muestran que el consumo es habitual en la adolescencia lo que podría generar consecuencias negativas para la salud y la calidad de vida de las personas a corto y largo plazo, el inicio temprano del consumo de cannabis altera la trayectoria del desarrollo cerebral normal, generando una serie de déficits cognitivos como afectación de la atención, el aprendizaje y la memoria. La Unidad de Tratamiento del Abuso de Sustancias del Departamento de Salud Mental y Abuso de Sustancias de la Organización Mundial de la Salud señaló:</w:t>
      </w:r>
    </w:p>
    <w:p w14:paraId="5731A638" w14:textId="77777777" w:rsidR="007F75F8" w:rsidRPr="00C92052" w:rsidRDefault="007F75F8" w:rsidP="0016403D">
      <w:pPr>
        <w:spacing w:before="240" w:after="240" w:line="240" w:lineRule="auto"/>
        <w:ind w:left="708"/>
        <w:jc w:val="both"/>
        <w:rPr>
          <w:rFonts w:ascii="Book Antiqua" w:eastAsia="Arial" w:hAnsi="Book Antiqua" w:cs="Arial"/>
          <w:sz w:val="23"/>
          <w:szCs w:val="23"/>
        </w:rPr>
      </w:pPr>
      <w:r w:rsidRPr="00C92052">
        <w:rPr>
          <w:rFonts w:ascii="Book Antiqua" w:eastAsia="Arial" w:hAnsi="Book Antiqua" w:cs="Arial"/>
          <w:i/>
          <w:sz w:val="23"/>
          <w:szCs w:val="23"/>
        </w:rPr>
        <w:t>“El consumo diario de cannabis durante años y decenios parece producir alteraciones persistentes de la memoria y la cognición, sobre todo cuando este consumo comienza en la adolescencia (Meier et al., 2012; Volkow et al., 2014a). La neurobiología del sistema cannabinoide indica que estos efectos pueden surgir porque el consumo crónico de THC reduce el número de receptores CB1 (es decir, los “regula a la baja”) en regiones cerebrales que intervienen en la memoria y la cognición (Iversen, 2012).”</w:t>
      </w:r>
      <w:r w:rsidRPr="00C92052">
        <w:rPr>
          <w:rFonts w:ascii="Book Antiqua" w:eastAsia="Arial" w:hAnsi="Book Antiqua" w:cs="Arial"/>
          <w:i/>
          <w:sz w:val="23"/>
          <w:szCs w:val="23"/>
          <w:vertAlign w:val="superscript"/>
        </w:rPr>
        <w:footnoteReference w:id="32"/>
      </w:r>
    </w:p>
    <w:p w14:paraId="26C297E0" w14:textId="77777777" w:rsidR="004757FB"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De igual forma, se demostró que el consumo habitual en menores de edad genera patrones atípicos en el desarrollo cerebral. Estas anomalías pueden reflejarse en una insuficiente capacidad de toma de decisiones y un aumento de la impulsividad</w:t>
      </w:r>
      <w:r w:rsidRPr="00C92052">
        <w:rPr>
          <w:rFonts w:ascii="Book Antiqua" w:eastAsia="Arial" w:hAnsi="Book Antiqua" w:cs="Arial"/>
          <w:sz w:val="23"/>
          <w:szCs w:val="23"/>
          <w:vertAlign w:val="superscript"/>
        </w:rPr>
        <w:footnoteReference w:id="33"/>
      </w:r>
      <w:r w:rsidRPr="00C92052">
        <w:rPr>
          <w:rFonts w:ascii="Book Antiqua" w:eastAsia="Arial" w:hAnsi="Book Antiqua" w:cs="Arial"/>
          <w:sz w:val="23"/>
          <w:szCs w:val="23"/>
        </w:rPr>
        <w:t>. También</w:t>
      </w:r>
      <w:r w:rsidR="004757FB" w:rsidRPr="00C92052">
        <w:rPr>
          <w:rFonts w:ascii="Book Antiqua" w:eastAsia="Arial" w:hAnsi="Book Antiqua" w:cs="Arial"/>
          <w:sz w:val="23"/>
          <w:szCs w:val="23"/>
        </w:rPr>
        <w:t>,</w:t>
      </w:r>
      <w:r w:rsidRPr="00C92052">
        <w:rPr>
          <w:rFonts w:ascii="Book Antiqua" w:eastAsia="Arial" w:hAnsi="Book Antiqua" w:cs="Arial"/>
          <w:sz w:val="23"/>
          <w:szCs w:val="23"/>
        </w:rPr>
        <w:t xml:space="preserve"> se ha demostrado que el consumo crónico de cannabis reduce la capacidad del cerebro de sintetizar o liberar dopamina</w:t>
      </w:r>
      <w:r w:rsidRPr="00C92052">
        <w:rPr>
          <w:rFonts w:ascii="Book Antiqua" w:eastAsia="Arial" w:hAnsi="Book Antiqua" w:cs="Arial"/>
          <w:sz w:val="23"/>
          <w:szCs w:val="23"/>
          <w:vertAlign w:val="superscript"/>
        </w:rPr>
        <w:footnoteReference w:id="34"/>
      </w:r>
      <w:r w:rsidR="004757FB" w:rsidRPr="00C92052">
        <w:rPr>
          <w:rFonts w:ascii="Book Antiqua" w:eastAsia="Arial" w:hAnsi="Book Antiqua" w:cs="Arial"/>
          <w:sz w:val="23"/>
          <w:szCs w:val="23"/>
        </w:rPr>
        <w:t xml:space="preserve">, </w:t>
      </w:r>
      <w:r w:rsidRPr="00C92052">
        <w:rPr>
          <w:rFonts w:ascii="Book Antiqua" w:eastAsia="Arial" w:hAnsi="Book Antiqua" w:cs="Arial"/>
          <w:sz w:val="23"/>
          <w:szCs w:val="23"/>
        </w:rPr>
        <w:t>lo que puede explicar por qué los consumidores de cannabis tienen mayores puntuaciones en la evaluación de la emocionalidad negativa</w:t>
      </w:r>
      <w:r w:rsidRPr="00C92052">
        <w:rPr>
          <w:rFonts w:ascii="Book Antiqua" w:eastAsia="Arial" w:hAnsi="Book Antiqua" w:cs="Arial"/>
          <w:i/>
          <w:sz w:val="23"/>
          <w:szCs w:val="23"/>
          <w:vertAlign w:val="superscript"/>
        </w:rPr>
        <w:footnoteReference w:id="35"/>
      </w:r>
      <w:r w:rsidR="004757FB" w:rsidRPr="00C92052">
        <w:rPr>
          <w:rFonts w:ascii="Book Antiqua" w:eastAsia="Arial" w:hAnsi="Book Antiqua" w:cs="Arial"/>
          <w:sz w:val="23"/>
          <w:szCs w:val="23"/>
        </w:rPr>
        <w:t xml:space="preserve"> .</w:t>
      </w:r>
      <w:r w:rsidRPr="00C92052">
        <w:rPr>
          <w:rFonts w:ascii="Book Antiqua" w:eastAsia="Arial" w:hAnsi="Book Antiqua" w:cs="Arial"/>
          <w:sz w:val="23"/>
          <w:szCs w:val="23"/>
        </w:rPr>
        <w:t xml:space="preserve"> </w:t>
      </w:r>
    </w:p>
    <w:p w14:paraId="12492493"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lastRenderedPageBreak/>
        <w:t xml:space="preserve">El cannabis es una droga que en los últimos años viene siendo aceptada socialmente, a la par del cigarrillo y el alcohol. En Colombia se legalizó de manera medicinal para su producción, comercialización y consumo en el 2016 al igual que en otros países del mundo. Sin embargo, su uso recreativo todavía genera muchas dudas debido a los efectos nocivos para la salud, se calcula que </w:t>
      </w:r>
      <w:r w:rsidRPr="00C92052">
        <w:rPr>
          <w:rFonts w:ascii="Book Antiqua" w:eastAsia="Arial" w:hAnsi="Book Antiqua" w:cs="Arial"/>
          <w:color w:val="191919"/>
          <w:sz w:val="23"/>
          <w:szCs w:val="23"/>
          <w:highlight w:val="white"/>
        </w:rPr>
        <w:t>Alrededor de 147 millones de personas en el mundo, el 2,5% de la población mundial, consumen cannabis, según los datos de prevalencia de los que dispone la OMS</w:t>
      </w:r>
      <w:r w:rsidR="004757FB" w:rsidRPr="00C92052">
        <w:rPr>
          <w:rStyle w:val="Refdenotaalpie"/>
          <w:rFonts w:ascii="Book Antiqua" w:eastAsia="Arial" w:hAnsi="Book Antiqua" w:cs="Arial"/>
          <w:color w:val="191919"/>
          <w:sz w:val="23"/>
          <w:szCs w:val="23"/>
          <w:highlight w:val="white"/>
        </w:rPr>
        <w:footnoteReference w:id="36"/>
      </w:r>
      <w:r w:rsidRPr="00C92052">
        <w:rPr>
          <w:rFonts w:ascii="Book Antiqua" w:eastAsia="Arial" w:hAnsi="Book Antiqua" w:cs="Arial"/>
          <w:color w:val="191919"/>
          <w:sz w:val="23"/>
          <w:szCs w:val="23"/>
          <w:highlight w:val="white"/>
        </w:rPr>
        <w:t xml:space="preserve">que no conocen a fondo los factores de riesgo que genera el consumo de cannabis a pesar de ser legal. </w:t>
      </w:r>
    </w:p>
    <w:p w14:paraId="1B0CD7B9" w14:textId="77777777" w:rsidR="007F75F8" w:rsidRPr="00C92052" w:rsidRDefault="007F75F8" w:rsidP="0016403D">
      <w:pPr>
        <w:spacing w:before="240" w:after="240" w:line="240" w:lineRule="auto"/>
        <w:ind w:left="360"/>
        <w:jc w:val="center"/>
        <w:rPr>
          <w:rFonts w:ascii="Book Antiqua" w:eastAsia="Arial" w:hAnsi="Book Antiqua" w:cs="Arial"/>
          <w:sz w:val="23"/>
          <w:szCs w:val="23"/>
        </w:rPr>
      </w:pPr>
      <w:r w:rsidRPr="00C92052">
        <w:rPr>
          <w:rFonts w:ascii="Book Antiqua" w:eastAsia="Arial" w:hAnsi="Book Antiqua" w:cs="Arial"/>
          <w:noProof/>
          <w:sz w:val="23"/>
          <w:szCs w:val="23"/>
          <w:lang w:eastAsia="es-CO"/>
        </w:rPr>
        <w:drawing>
          <wp:inline distT="114300" distB="114300" distL="114300" distR="114300" wp14:anchorId="54C3B98C" wp14:editId="017A0CDD">
            <wp:extent cx="2838450" cy="3324225"/>
            <wp:effectExtent l="0" t="0" r="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119462" cy="3653330"/>
                    </a:xfrm>
                    <a:prstGeom prst="rect">
                      <a:avLst/>
                    </a:prstGeom>
                    <a:ln/>
                  </pic:spPr>
                </pic:pic>
              </a:graphicData>
            </a:graphic>
          </wp:inline>
        </w:drawing>
      </w:r>
    </w:p>
    <w:p w14:paraId="56BC9026"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 xml:space="preserve">A corto plazo, los efectos no suelen ser graves ni preocupantes, sin </w:t>
      </w:r>
      <w:r w:rsidR="004757FB" w:rsidRPr="00C92052">
        <w:rPr>
          <w:rFonts w:ascii="Book Antiqua" w:eastAsia="Arial" w:hAnsi="Book Antiqua" w:cs="Arial"/>
          <w:sz w:val="23"/>
          <w:szCs w:val="23"/>
        </w:rPr>
        <w:t>embargo,</w:t>
      </w:r>
      <w:r w:rsidRPr="00C92052">
        <w:rPr>
          <w:rFonts w:ascii="Book Antiqua" w:eastAsia="Arial" w:hAnsi="Book Antiqua" w:cs="Arial"/>
          <w:sz w:val="23"/>
          <w:szCs w:val="23"/>
        </w:rPr>
        <w:t xml:space="preserve"> hay que tener en cuenta que esto depende de la dosis y la manera en la que fue consumida. El efecto a corto plazo más obvio del cannabis sobre la salud es la intoxicación, caracterizada por trastornos del nivel de conciencia, la cognición, la percepción, el afecto o el comportamiento, y otras funciones y respuestas psicofisiológicas. La magnitud de estos efectos dependerá de la dosis utilizada, la vía de administración, el entorno y la actitud del usuario</w:t>
      </w:r>
      <w:r w:rsidRPr="00C92052">
        <w:rPr>
          <w:rFonts w:ascii="Book Antiqua" w:eastAsia="Arial" w:hAnsi="Book Antiqua" w:cs="Arial"/>
          <w:sz w:val="23"/>
          <w:szCs w:val="23"/>
          <w:vertAlign w:val="superscript"/>
        </w:rPr>
        <w:footnoteReference w:id="37"/>
      </w:r>
      <w:r w:rsidRPr="00C92052">
        <w:rPr>
          <w:rFonts w:ascii="Book Antiqua" w:eastAsia="Arial" w:hAnsi="Book Antiqua" w:cs="Arial"/>
          <w:sz w:val="23"/>
          <w:szCs w:val="23"/>
        </w:rPr>
        <w:t xml:space="preserve">. </w:t>
      </w:r>
    </w:p>
    <w:p w14:paraId="1AF2E7A3"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 xml:space="preserve">Por el contrario, frente a los efectos nocivos a largo plazo por el consumo habitual del cannabis, distintas investigaciones han señalado que las personas desarrollan una alta tolerancia al THC, uno de los compuestos del mismo, incrementando el </w:t>
      </w:r>
      <w:r w:rsidRPr="00C92052">
        <w:rPr>
          <w:rFonts w:ascii="Book Antiqua" w:eastAsia="Arial" w:hAnsi="Book Antiqua" w:cs="Arial"/>
          <w:sz w:val="23"/>
          <w:szCs w:val="23"/>
        </w:rPr>
        <w:lastRenderedPageBreak/>
        <w:t xml:space="preserve">riesgo a padecimientos como ansiedad, insomnio, alteración del apetito e incluso la depresión. </w:t>
      </w:r>
    </w:p>
    <w:p w14:paraId="73AD05EB"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 xml:space="preserve">Los expertos coinciden en que uno de los riesgos del consumo habitual, es la generación de dependencia al cannabis. Al respecto, la OMS construyó un diagnóstico para identificar una posible dependencia al consumo de cannabis: </w:t>
      </w:r>
    </w:p>
    <w:p w14:paraId="4FC900EE" w14:textId="77777777" w:rsidR="007F75F8" w:rsidRPr="00C92052" w:rsidRDefault="007F75F8" w:rsidP="0016403D">
      <w:pPr>
        <w:numPr>
          <w:ilvl w:val="0"/>
          <w:numId w:val="5"/>
        </w:numPr>
        <w:spacing w:before="240" w:after="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 xml:space="preserve">Un deseo intenso o sensación de compulsión a consumir la sustancia; </w:t>
      </w:r>
    </w:p>
    <w:p w14:paraId="6D358E57" w14:textId="77777777" w:rsidR="007F75F8" w:rsidRPr="00C92052" w:rsidRDefault="007F75F8" w:rsidP="0016403D">
      <w:pPr>
        <w:numPr>
          <w:ilvl w:val="0"/>
          <w:numId w:val="5"/>
        </w:numPr>
        <w:spacing w:after="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 xml:space="preserve">Dificultades para controlar el comportamiento de consumo de la sustancia en lo que se refiere al inicio del consumo, su conclusión o las cantidades consumidas; </w:t>
      </w:r>
    </w:p>
    <w:p w14:paraId="3AA27E51" w14:textId="77777777" w:rsidR="007F75F8" w:rsidRPr="00C92052" w:rsidRDefault="007F75F8" w:rsidP="0016403D">
      <w:pPr>
        <w:numPr>
          <w:ilvl w:val="0"/>
          <w:numId w:val="5"/>
        </w:numPr>
        <w:spacing w:after="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 xml:space="preserve">Un cuadro fisiológico de abstinencia [...] y F1x.4 [síndrome de abstinencia con delírium]) cuando se interrumpe o reduce el consumo de la sustancia, que se evidencia por: el síndrome de abstinencia característico de la sustancia o por el consumo de la misma sustancia (u otra parecida) con la intención de aliviar o evitar los síntomas de abstinencia; </w:t>
      </w:r>
    </w:p>
    <w:p w14:paraId="06D4B3AF" w14:textId="77777777" w:rsidR="007F75F8" w:rsidRPr="00C92052" w:rsidRDefault="007F75F8" w:rsidP="0016403D">
      <w:pPr>
        <w:numPr>
          <w:ilvl w:val="0"/>
          <w:numId w:val="5"/>
        </w:numPr>
        <w:spacing w:after="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 xml:space="preserve">Pruebas de tolerancia, como la necesidad de aumentar las dosis de las sustancias psicoactivas para lograr efectos que originalmente se obtenían con dosis menores (ejemplos claros de esto se encuentran en personas dependientes del alcohol o de opiáceos que pueden tomar dosis diarias suficientes para incapacitar o provocar la muerte de consumidores sin tolerancia); </w:t>
      </w:r>
    </w:p>
    <w:p w14:paraId="28FDF447" w14:textId="77777777" w:rsidR="007F75F8" w:rsidRPr="00C92052" w:rsidRDefault="007F75F8" w:rsidP="0016403D">
      <w:pPr>
        <w:numPr>
          <w:ilvl w:val="0"/>
          <w:numId w:val="5"/>
        </w:numPr>
        <w:spacing w:after="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 xml:space="preserve">Abandono progresivo de placeres o intereses alternativos debido al consumo de la sustancia psicoactiva, aumento de la cantidad de tiempo necesario para obtener o consumir la sustancia o para recuperarse de sus efectos; </w:t>
      </w:r>
    </w:p>
    <w:p w14:paraId="31910802" w14:textId="77777777" w:rsidR="007F75F8" w:rsidRPr="00C92052" w:rsidRDefault="007F75F8" w:rsidP="0016403D">
      <w:pPr>
        <w:numPr>
          <w:ilvl w:val="0"/>
          <w:numId w:val="5"/>
        </w:numPr>
        <w:spacing w:after="240" w:line="240" w:lineRule="auto"/>
        <w:ind w:left="1080"/>
        <w:jc w:val="both"/>
        <w:rPr>
          <w:rFonts w:ascii="Book Antiqua" w:eastAsia="Arial" w:hAnsi="Book Antiqua" w:cs="Arial"/>
          <w:i/>
          <w:sz w:val="23"/>
          <w:szCs w:val="23"/>
        </w:rPr>
      </w:pPr>
      <w:r w:rsidRPr="00C92052">
        <w:rPr>
          <w:rFonts w:ascii="Book Antiqua" w:eastAsia="Arial" w:hAnsi="Book Antiqua" w:cs="Arial"/>
          <w:i/>
          <w:sz w:val="23"/>
          <w:szCs w:val="23"/>
        </w:rPr>
        <w:t>Consumo persistente de la sustancia a pesar de las pruebas claras de sus consecuencias perjudiciales, como el daño hepático debido al consumo excesivo de bebidas alcohólicas, los estados de ánimos depresivos como consecuencia de los períodos de consumo importante de sustancias psicoactivas, o la alteración de la función cognitiva relacionada con la droga; se deben adoptar medidas para averiguar si el consumidor tiene conocimiento, o puede suponerse que lo tiene, de la naturaleza y amplitud del daño.</w:t>
      </w:r>
      <w:r w:rsidRPr="00C92052">
        <w:rPr>
          <w:rFonts w:ascii="Book Antiqua" w:eastAsia="Arial" w:hAnsi="Book Antiqua" w:cs="Arial"/>
          <w:i/>
          <w:sz w:val="23"/>
          <w:szCs w:val="23"/>
          <w:vertAlign w:val="superscript"/>
        </w:rPr>
        <w:footnoteReference w:id="38"/>
      </w:r>
      <w:r w:rsidRPr="00C92052">
        <w:rPr>
          <w:rFonts w:ascii="Book Antiqua" w:eastAsia="Arial" w:hAnsi="Book Antiqua" w:cs="Arial"/>
          <w:sz w:val="23"/>
          <w:szCs w:val="23"/>
        </w:rPr>
        <w:t xml:space="preserve"> </w:t>
      </w:r>
    </w:p>
    <w:p w14:paraId="23ED01C1" w14:textId="77777777" w:rsidR="007F75F8" w:rsidRPr="00C92052" w:rsidRDefault="007F75F8" w:rsidP="0016403D">
      <w:pPr>
        <w:spacing w:before="240" w:after="240" w:line="240" w:lineRule="auto"/>
        <w:ind w:left="360"/>
        <w:jc w:val="both"/>
        <w:rPr>
          <w:rFonts w:ascii="Book Antiqua" w:eastAsia="Arial" w:hAnsi="Book Antiqua" w:cs="Arial"/>
          <w:sz w:val="23"/>
          <w:szCs w:val="23"/>
        </w:rPr>
      </w:pPr>
      <w:r w:rsidRPr="00C92052">
        <w:rPr>
          <w:rFonts w:ascii="Book Antiqua" w:eastAsia="Arial" w:hAnsi="Book Antiqua" w:cs="Arial"/>
          <w:sz w:val="23"/>
          <w:szCs w:val="23"/>
        </w:rPr>
        <w:t xml:space="preserve">En caso tal de que se cumplan con tres o más de estos criterios, se considera a la persona como un consumidor dependiente del cannabis. </w:t>
      </w:r>
    </w:p>
    <w:p w14:paraId="56691876" w14:textId="77777777" w:rsidR="007F75F8" w:rsidRPr="00C92052" w:rsidRDefault="007F75F8" w:rsidP="0016403D">
      <w:pPr>
        <w:spacing w:before="240" w:after="240" w:line="240" w:lineRule="auto"/>
        <w:ind w:left="360"/>
        <w:jc w:val="both"/>
        <w:rPr>
          <w:rFonts w:ascii="Book Antiqua" w:eastAsia="Arial" w:hAnsi="Book Antiqua" w:cs="Arial"/>
          <w:sz w:val="23"/>
          <w:szCs w:val="23"/>
          <w:shd w:val="clear" w:color="auto" w:fill="F4CCCC"/>
        </w:rPr>
      </w:pPr>
      <w:r w:rsidRPr="00C92052">
        <w:rPr>
          <w:rFonts w:ascii="Book Antiqua" w:eastAsia="Arial" w:hAnsi="Book Antiqua" w:cs="Arial"/>
          <w:sz w:val="23"/>
          <w:szCs w:val="23"/>
        </w:rPr>
        <w:t xml:space="preserve">Ahora bien, en el momento en que una persona es considerara consumidor dependiente, puede incrementar el riesgo a largo plazo de padecimientos como cognición, ansiedad, síntomas psicóticos, cardiovasculares, sistema respiratorio o cáncer de vías respiratorios, digestivas. </w:t>
      </w:r>
    </w:p>
    <w:p w14:paraId="18DC4E6C" w14:textId="77777777" w:rsidR="008C4078" w:rsidRPr="00C92052" w:rsidRDefault="007F75F8" w:rsidP="0016403D">
      <w:pPr>
        <w:spacing w:line="240" w:lineRule="auto"/>
        <w:ind w:left="360"/>
        <w:jc w:val="both"/>
        <w:rPr>
          <w:rFonts w:ascii="Book Antiqua" w:eastAsia="Arial" w:hAnsi="Book Antiqua" w:cs="Arial"/>
          <w:sz w:val="23"/>
          <w:szCs w:val="23"/>
          <w:shd w:val="clear" w:color="auto" w:fill="F4CCCC"/>
        </w:rPr>
      </w:pPr>
      <w:r w:rsidRPr="00C92052">
        <w:rPr>
          <w:rFonts w:ascii="Book Antiqua" w:eastAsia="Arial" w:hAnsi="Book Antiqua" w:cs="Arial"/>
          <w:sz w:val="23"/>
          <w:szCs w:val="23"/>
        </w:rPr>
        <w:t xml:space="preserve">Dicho todo lo anterior, el Proyecto de Acto Legislativo Núm. 002 de 2022 (Cámara) es inconveniente frente a los riesgos que conlleva el consumo del cannabis para la salud, teniendo en cuenta que el país no cuenta con las herramientas suficientes para </w:t>
      </w:r>
      <w:r w:rsidRPr="00C92052">
        <w:rPr>
          <w:rFonts w:ascii="Book Antiqua" w:eastAsia="Arial" w:hAnsi="Book Antiqua" w:cs="Arial"/>
          <w:sz w:val="23"/>
          <w:szCs w:val="23"/>
        </w:rPr>
        <w:lastRenderedPageBreak/>
        <w:t>evitar que dicho consumo empiece a temprana edad, aumentarían los riesgos a futuro de tener una población que sufra de los padecimientos anteriormente dichos.</w:t>
      </w:r>
    </w:p>
    <w:p w14:paraId="56B939C2" w14:textId="77777777" w:rsidR="002C0EA9" w:rsidRPr="00C92052" w:rsidRDefault="002C0EA9" w:rsidP="0016403D">
      <w:pPr>
        <w:pStyle w:val="Prrafodelista"/>
        <w:numPr>
          <w:ilvl w:val="1"/>
          <w:numId w:val="8"/>
        </w:numPr>
        <w:spacing w:line="240" w:lineRule="auto"/>
        <w:jc w:val="both"/>
        <w:rPr>
          <w:rFonts w:ascii="Book Antiqua" w:hAnsi="Book Antiqua"/>
          <w:b/>
          <w:iCs/>
          <w:color w:val="000000" w:themeColor="text1"/>
          <w:sz w:val="23"/>
          <w:szCs w:val="23"/>
        </w:rPr>
      </w:pPr>
      <w:r w:rsidRPr="00C92052">
        <w:rPr>
          <w:rFonts w:ascii="Book Antiqua" w:hAnsi="Book Antiqua"/>
          <w:b/>
          <w:iCs/>
          <w:color w:val="000000" w:themeColor="text1"/>
          <w:sz w:val="23"/>
          <w:szCs w:val="23"/>
        </w:rPr>
        <w:t xml:space="preserve">Derecho a la no discriminación </w:t>
      </w:r>
    </w:p>
    <w:p w14:paraId="1AE9ADFB" w14:textId="2515DA70" w:rsidR="002A6A6E" w:rsidRPr="00C92052" w:rsidRDefault="00D718EE"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El art</w:t>
      </w:r>
      <w:r w:rsidR="003237C3" w:rsidRPr="00C92052">
        <w:rPr>
          <w:rFonts w:ascii="Book Antiqua" w:hAnsi="Book Antiqua"/>
          <w:iCs/>
          <w:color w:val="000000" w:themeColor="text1"/>
          <w:sz w:val="23"/>
          <w:szCs w:val="23"/>
        </w:rPr>
        <w:t>ículo</w:t>
      </w:r>
      <w:r w:rsidRPr="00C92052">
        <w:rPr>
          <w:rFonts w:ascii="Book Antiqua" w:hAnsi="Book Antiqua"/>
          <w:iCs/>
          <w:color w:val="000000" w:themeColor="text1"/>
          <w:sz w:val="23"/>
          <w:szCs w:val="23"/>
        </w:rPr>
        <w:t xml:space="preserve"> 13 de la Constitución Política establece que </w:t>
      </w:r>
      <w:r w:rsidR="002A6A6E" w:rsidRPr="00C92052">
        <w:rPr>
          <w:rFonts w:ascii="Book Antiqua" w:hAnsi="Book Antiqua"/>
          <w:iCs/>
          <w:color w:val="000000" w:themeColor="text1"/>
          <w:sz w:val="23"/>
          <w:szCs w:val="23"/>
        </w:rPr>
        <w:t xml:space="preserve">todas las personas nacen libres e iguales ante la ley, recibirán el mismo trato y gozarán de los mismos derechos, libertades y oportunidades sin ninguna discriminación. En ese sentido, el Estado promoverá las condiciones para que la igualdad sea real y efectiva y adoptará medidas en favor de grupos discriminados y marginados y adicionalmente, protegerá especialmente a aquellas personas </w:t>
      </w:r>
      <w:proofErr w:type="gramStart"/>
      <w:r w:rsidR="002A6A6E" w:rsidRPr="00C92052">
        <w:rPr>
          <w:rFonts w:ascii="Book Antiqua" w:hAnsi="Book Antiqua"/>
          <w:iCs/>
          <w:color w:val="000000" w:themeColor="text1"/>
          <w:sz w:val="23"/>
          <w:szCs w:val="23"/>
        </w:rPr>
        <w:t>que</w:t>
      </w:r>
      <w:proofErr w:type="gramEnd"/>
      <w:r w:rsidR="002A6A6E" w:rsidRPr="00C92052">
        <w:rPr>
          <w:rFonts w:ascii="Book Antiqua" w:hAnsi="Book Antiqua"/>
          <w:iCs/>
          <w:color w:val="000000" w:themeColor="text1"/>
          <w:sz w:val="23"/>
          <w:szCs w:val="23"/>
        </w:rPr>
        <w:t xml:space="preserve"> por su </w:t>
      </w:r>
      <w:r w:rsidR="00401E25" w:rsidRPr="00C92052">
        <w:rPr>
          <w:rFonts w:ascii="Book Antiqua" w:hAnsi="Book Antiqua"/>
          <w:iCs/>
          <w:color w:val="000000" w:themeColor="text1"/>
          <w:sz w:val="23"/>
          <w:szCs w:val="23"/>
        </w:rPr>
        <w:t xml:space="preserve">condición económica, física o mental, se encuentren en circunstancias de debilidad manifiesta. </w:t>
      </w:r>
    </w:p>
    <w:p w14:paraId="11C43C3F" w14:textId="5269BCD9" w:rsidR="00F543A9" w:rsidRPr="00C92052" w:rsidRDefault="00401E2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En ese sentido, es importante señalar que los que sufren de farmacodependencia son sujetos de especial protección constitucional</w:t>
      </w:r>
      <w:r w:rsidRPr="00C92052">
        <w:rPr>
          <w:rStyle w:val="Refdenotaalpie"/>
          <w:rFonts w:ascii="Book Antiqua" w:hAnsi="Book Antiqua"/>
          <w:iCs/>
          <w:color w:val="000000" w:themeColor="text1"/>
          <w:sz w:val="23"/>
          <w:szCs w:val="23"/>
        </w:rPr>
        <w:footnoteReference w:id="39"/>
      </w:r>
      <w:r w:rsidRPr="00C92052">
        <w:rPr>
          <w:rFonts w:ascii="Book Antiqua" w:hAnsi="Book Antiqua"/>
          <w:iCs/>
          <w:color w:val="000000" w:themeColor="text1"/>
          <w:sz w:val="23"/>
          <w:szCs w:val="23"/>
        </w:rPr>
        <w:t xml:space="preserve"> que no pueden ser discriminados por el Estado colombiano, por el contrario , </w:t>
      </w:r>
      <w:r w:rsidR="00360905" w:rsidRPr="00C92052">
        <w:rPr>
          <w:rFonts w:ascii="Book Antiqua" w:hAnsi="Book Antiqua"/>
          <w:iCs/>
          <w:color w:val="000000" w:themeColor="text1"/>
          <w:sz w:val="23"/>
          <w:szCs w:val="23"/>
        </w:rPr>
        <w:t>el Estado debe propender por protegerlos y adoptar medidas a su favor.  Por lo tanto, en atención al art</w:t>
      </w:r>
      <w:r w:rsidR="003237C3" w:rsidRPr="00C92052">
        <w:rPr>
          <w:rFonts w:ascii="Book Antiqua" w:hAnsi="Book Antiqua"/>
          <w:iCs/>
          <w:color w:val="000000" w:themeColor="text1"/>
          <w:sz w:val="23"/>
          <w:szCs w:val="23"/>
        </w:rPr>
        <w:t>ículo</w:t>
      </w:r>
      <w:r w:rsidR="00360905" w:rsidRPr="00C92052">
        <w:rPr>
          <w:rFonts w:ascii="Book Antiqua" w:hAnsi="Book Antiqua"/>
          <w:iCs/>
          <w:color w:val="000000" w:themeColor="text1"/>
          <w:sz w:val="23"/>
          <w:szCs w:val="23"/>
        </w:rPr>
        <w:t xml:space="preserve"> 49 constitucional, a los consumidores de cannabis y sus derivados no se les puede dar un trato discriminatorio, desconociendo su situación de vulnerabilidad, por lo cual, ponderar la aprobación del uso recreativo del cannabis y sus derivados frente a los derechos de estos sujetos de especial protección constitucional, con un riesgo de afectación a la salud pública, debe prevalecer en aras de proteger sus derechos fundamentales constitucionales y el del interés general. </w:t>
      </w:r>
    </w:p>
    <w:p w14:paraId="51E89C73" w14:textId="49D928BD" w:rsidR="00F543A9" w:rsidRPr="00C92052" w:rsidRDefault="00360905" w:rsidP="00C92052">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Por tanto, el Estado no puede tomar medidas regresivas, desconociendo la situación de los consumidores y generando medidas que aumenten su discriminación y olvido por parte del Estado, por cuanto la aprobación del proyecto de acto legislativo en vez de tener el fin de proteger a esta población, está fomentando mayor facilidad de acceso a estas sustancias. </w:t>
      </w:r>
    </w:p>
    <w:p w14:paraId="63C6C62F" w14:textId="77777777" w:rsidR="002C0EA9" w:rsidRPr="00C92052" w:rsidRDefault="00F543A9" w:rsidP="0016403D">
      <w:pPr>
        <w:pStyle w:val="Prrafodelista"/>
        <w:numPr>
          <w:ilvl w:val="1"/>
          <w:numId w:val="8"/>
        </w:numPr>
        <w:spacing w:line="240" w:lineRule="auto"/>
        <w:jc w:val="both"/>
        <w:rPr>
          <w:rFonts w:ascii="Book Antiqua" w:hAnsi="Book Antiqua"/>
          <w:b/>
          <w:iCs/>
          <w:color w:val="000000" w:themeColor="text1"/>
          <w:sz w:val="23"/>
          <w:szCs w:val="23"/>
        </w:rPr>
      </w:pPr>
      <w:r w:rsidRPr="00C92052">
        <w:rPr>
          <w:rFonts w:ascii="Book Antiqua" w:hAnsi="Book Antiqua"/>
          <w:b/>
          <w:iCs/>
          <w:color w:val="000000" w:themeColor="text1"/>
          <w:sz w:val="23"/>
          <w:szCs w:val="23"/>
        </w:rPr>
        <w:t xml:space="preserve">Derecho a la tranquilidad </w:t>
      </w:r>
    </w:p>
    <w:p w14:paraId="5BADF42E" w14:textId="77777777" w:rsidR="00360905" w:rsidRPr="00C92052" w:rsidRDefault="0036090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El derecho a la tranquilidad se encuentra ligado al derecho a la dignidad humana, </w:t>
      </w:r>
      <w:r w:rsidR="00F271BC" w:rsidRPr="00C92052">
        <w:rPr>
          <w:rFonts w:ascii="Book Antiqua" w:hAnsi="Book Antiqua"/>
          <w:iCs/>
          <w:color w:val="000000" w:themeColor="text1"/>
          <w:sz w:val="23"/>
          <w:szCs w:val="23"/>
        </w:rPr>
        <w:t>permitiéndole al individuo desarrollar una vida digna , conllevando a la paz individual la cual es necesaria para vivir adecuadamente</w:t>
      </w:r>
      <w:r w:rsidR="00F271BC" w:rsidRPr="00C92052">
        <w:rPr>
          <w:rStyle w:val="Refdenotaalpie"/>
          <w:rFonts w:ascii="Book Antiqua" w:hAnsi="Book Antiqua"/>
          <w:iCs/>
          <w:color w:val="000000" w:themeColor="text1"/>
          <w:sz w:val="23"/>
          <w:szCs w:val="23"/>
        </w:rPr>
        <w:footnoteReference w:id="40"/>
      </w:r>
      <w:r w:rsidR="00F271BC" w:rsidRPr="00C92052">
        <w:rPr>
          <w:rFonts w:ascii="Book Antiqua" w:hAnsi="Book Antiqua"/>
          <w:iCs/>
          <w:color w:val="000000" w:themeColor="text1"/>
          <w:sz w:val="23"/>
          <w:szCs w:val="23"/>
        </w:rPr>
        <w:t xml:space="preserve">. </w:t>
      </w:r>
    </w:p>
    <w:p w14:paraId="3B7D7342" w14:textId="77777777" w:rsidR="006F4AB1" w:rsidRPr="00C92052" w:rsidRDefault="006F4AB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Es un derecho fundamental que debe ser protegido por el Estado de tal forma que permita un ambiente propicio para la convivencia humana, de manera que los individuos pueda realizar sus actividades en un ambiente sano y exento de cualquier molestia que tienda a vulnerar la paz y el sosiego</w:t>
      </w:r>
      <w:r w:rsidRPr="00C92052">
        <w:rPr>
          <w:rStyle w:val="Refdenotaalpie"/>
          <w:rFonts w:ascii="Book Antiqua" w:hAnsi="Book Antiqua"/>
          <w:iCs/>
          <w:color w:val="000000" w:themeColor="text1"/>
          <w:sz w:val="23"/>
          <w:szCs w:val="23"/>
        </w:rPr>
        <w:footnoteReference w:id="41"/>
      </w:r>
      <w:r w:rsidRPr="00C92052">
        <w:rPr>
          <w:rFonts w:ascii="Book Antiqua" w:hAnsi="Book Antiqua"/>
          <w:iCs/>
          <w:color w:val="000000" w:themeColor="text1"/>
          <w:sz w:val="23"/>
          <w:szCs w:val="23"/>
        </w:rPr>
        <w:t xml:space="preserve">. </w:t>
      </w:r>
    </w:p>
    <w:p w14:paraId="56BB900E" w14:textId="77777777" w:rsidR="00B35A31" w:rsidRPr="00C92052" w:rsidRDefault="00DD107B"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De acuerdo a lo anterior, la aprobación del proyecto de Acto Legislativo evidentemente transgrede el derecho fundamental a la </w:t>
      </w:r>
      <w:r w:rsidR="00F718E5" w:rsidRPr="00C92052">
        <w:rPr>
          <w:rFonts w:ascii="Book Antiqua" w:hAnsi="Book Antiqua"/>
          <w:iCs/>
          <w:color w:val="000000" w:themeColor="text1"/>
          <w:sz w:val="23"/>
          <w:szCs w:val="23"/>
        </w:rPr>
        <w:t xml:space="preserve">tranquilidad tanto de los menores de edad como de la comunidad no consumidora del cannabis y sus derivados, por cuanto, la alteración que genera estas sustancias en los consumidores </w:t>
      </w:r>
      <w:r w:rsidR="00F718E5" w:rsidRPr="00C92052">
        <w:rPr>
          <w:rFonts w:ascii="Book Antiqua" w:hAnsi="Book Antiqua"/>
          <w:iCs/>
          <w:color w:val="000000" w:themeColor="text1"/>
          <w:sz w:val="23"/>
          <w:szCs w:val="23"/>
        </w:rPr>
        <w:lastRenderedPageBreak/>
        <w:t xml:space="preserve">interviene en la convivencia humana, generando molestia en su </w:t>
      </w:r>
      <w:r w:rsidR="00B35A31" w:rsidRPr="00C92052">
        <w:rPr>
          <w:rFonts w:ascii="Book Antiqua" w:hAnsi="Book Antiqua"/>
          <w:iCs/>
          <w:color w:val="000000" w:themeColor="text1"/>
          <w:sz w:val="23"/>
          <w:szCs w:val="23"/>
        </w:rPr>
        <w:t>paz individual y el sosiego.</w:t>
      </w:r>
    </w:p>
    <w:p w14:paraId="74924432" w14:textId="77777777" w:rsidR="002C0EA9" w:rsidRPr="00C92052" w:rsidRDefault="00B35A31"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Lo anterior, tiene fundamento en que </w:t>
      </w:r>
      <w:r w:rsidR="005F41AA" w:rsidRPr="00C92052">
        <w:rPr>
          <w:rFonts w:ascii="Book Antiqua" w:hAnsi="Book Antiqua"/>
          <w:iCs/>
          <w:color w:val="000000" w:themeColor="text1"/>
          <w:sz w:val="23"/>
          <w:szCs w:val="23"/>
        </w:rPr>
        <w:t xml:space="preserve">según un estudio realizado por el Ministerio de salud y protección social con colaboración del ICBF, </w:t>
      </w:r>
      <w:r w:rsidR="00293B95" w:rsidRPr="00C92052">
        <w:rPr>
          <w:rFonts w:ascii="Book Antiqua" w:hAnsi="Book Antiqua"/>
          <w:iCs/>
          <w:color w:val="000000" w:themeColor="text1"/>
          <w:sz w:val="23"/>
          <w:szCs w:val="23"/>
        </w:rPr>
        <w:t>publicado en febrero de 2022 con una muestra poblacional del 2021</w:t>
      </w:r>
      <w:r w:rsidRPr="00C92052">
        <w:rPr>
          <w:rFonts w:ascii="Book Antiqua" w:hAnsi="Book Antiqua"/>
          <w:iCs/>
          <w:color w:val="000000" w:themeColor="text1"/>
          <w:sz w:val="23"/>
          <w:szCs w:val="23"/>
        </w:rPr>
        <w:t>,</w:t>
      </w:r>
      <w:r w:rsidR="00F26A25" w:rsidRPr="00C92052">
        <w:rPr>
          <w:rFonts w:ascii="Book Antiqua" w:hAnsi="Book Antiqua"/>
          <w:iCs/>
          <w:color w:val="000000" w:themeColor="text1"/>
          <w:sz w:val="23"/>
          <w:szCs w:val="23"/>
        </w:rPr>
        <w:t xml:space="preserve"> donde los delitos preponderantes eran hurto, trafico, fabricación o porte de estupefacientes y violencia intrafamiliar</w:t>
      </w:r>
      <w:r w:rsidRPr="00C92052">
        <w:rPr>
          <w:rFonts w:ascii="Book Antiqua" w:hAnsi="Book Antiqua"/>
          <w:iCs/>
          <w:color w:val="000000" w:themeColor="text1"/>
          <w:sz w:val="23"/>
          <w:szCs w:val="23"/>
        </w:rPr>
        <w:t xml:space="preserve"> se “</w:t>
      </w:r>
      <w:r w:rsidRPr="00C92052">
        <w:rPr>
          <w:rFonts w:ascii="Book Antiqua" w:hAnsi="Book Antiqua"/>
          <w:i/>
          <w:iCs/>
          <w:color w:val="000000" w:themeColor="text1"/>
          <w:sz w:val="23"/>
          <w:szCs w:val="23"/>
        </w:rPr>
        <w:t>estimó que el 41% de los adolescentes que había incurrido en infracciones a la ley penal, lo hicieron bajo los efectos de la marihuana</w:t>
      </w:r>
      <w:r w:rsidR="00EC3872" w:rsidRPr="00C92052">
        <w:rPr>
          <w:rFonts w:ascii="Book Antiqua" w:hAnsi="Book Antiqua"/>
          <w:i/>
          <w:iCs/>
          <w:color w:val="000000" w:themeColor="text1"/>
          <w:sz w:val="23"/>
          <w:szCs w:val="23"/>
        </w:rPr>
        <w:t>. Respecto al consumo de sustancias psicoactivas y la comisión de delitos, la marihuana es la sustancia de mayor uso (22,8%) entre los adolescentes y jóvenes el día en que cometieron la infracción a la ley por la cual están vinculados al Sistema de Responsabilidad Penal Adolescente (SRPA)</w:t>
      </w:r>
      <w:r w:rsidRPr="00C92052">
        <w:rPr>
          <w:rFonts w:ascii="Book Antiqua" w:hAnsi="Book Antiqua"/>
          <w:iCs/>
          <w:color w:val="000000" w:themeColor="text1"/>
          <w:sz w:val="23"/>
          <w:szCs w:val="23"/>
        </w:rPr>
        <w:t>”</w:t>
      </w:r>
      <w:r w:rsidRPr="00C92052">
        <w:rPr>
          <w:rStyle w:val="Refdenotaalpie"/>
          <w:rFonts w:ascii="Book Antiqua" w:hAnsi="Book Antiqua"/>
          <w:iCs/>
          <w:color w:val="000000" w:themeColor="text1"/>
          <w:sz w:val="23"/>
          <w:szCs w:val="23"/>
        </w:rPr>
        <w:footnoteReference w:id="42"/>
      </w:r>
      <w:r w:rsidR="00EC3872" w:rsidRPr="00C92052">
        <w:rPr>
          <w:rFonts w:ascii="Book Antiqua" w:hAnsi="Book Antiqua"/>
          <w:iCs/>
          <w:color w:val="000000" w:themeColor="text1"/>
          <w:sz w:val="23"/>
          <w:szCs w:val="23"/>
        </w:rPr>
        <w:t xml:space="preserve">. </w:t>
      </w:r>
    </w:p>
    <w:p w14:paraId="2D32C4DD" w14:textId="2BE52D46" w:rsidR="003237C3" w:rsidRPr="00C92052" w:rsidRDefault="00F26A25" w:rsidP="0016403D">
      <w:pPr>
        <w:spacing w:line="240" w:lineRule="auto"/>
        <w:ind w:left="360"/>
        <w:jc w:val="both"/>
        <w:rPr>
          <w:rFonts w:ascii="Book Antiqua" w:hAnsi="Book Antiqua"/>
          <w:iCs/>
          <w:color w:val="000000" w:themeColor="text1"/>
          <w:sz w:val="23"/>
          <w:szCs w:val="23"/>
        </w:rPr>
      </w:pPr>
      <w:r w:rsidRPr="00C92052">
        <w:rPr>
          <w:rFonts w:ascii="Book Antiqua" w:hAnsi="Book Antiqua"/>
          <w:iCs/>
          <w:color w:val="000000" w:themeColor="text1"/>
          <w:sz w:val="23"/>
          <w:szCs w:val="23"/>
        </w:rPr>
        <w:t xml:space="preserve">En consecuencia, es evidente que el consumo de marihuana transgrede el derecho a la tranquilidad que se encuentra estrechamente ligado con el derecho a la dignidad humana de terceras personas. </w:t>
      </w:r>
    </w:p>
    <w:p w14:paraId="5E4EDD93" w14:textId="77777777" w:rsidR="00C92052" w:rsidRPr="00C92052" w:rsidRDefault="00C92052" w:rsidP="00C92052">
      <w:pPr>
        <w:shd w:val="clear" w:color="auto" w:fill="FFFFFF"/>
        <w:spacing w:after="0"/>
        <w:ind w:right="193"/>
        <w:jc w:val="both"/>
        <w:rPr>
          <w:rFonts w:ascii="Book Antiqua" w:hAnsi="Book Antiqua"/>
          <w:b/>
          <w:bCs/>
          <w:sz w:val="23"/>
          <w:szCs w:val="23"/>
        </w:rPr>
      </w:pPr>
    </w:p>
    <w:p w14:paraId="12972B38" w14:textId="551D2306" w:rsidR="00C92052" w:rsidRPr="00C92052" w:rsidRDefault="00C92052" w:rsidP="00C92052">
      <w:pPr>
        <w:shd w:val="clear" w:color="auto" w:fill="FFFFFF"/>
        <w:spacing w:after="0" w:line="276" w:lineRule="auto"/>
        <w:ind w:right="193"/>
        <w:jc w:val="both"/>
        <w:rPr>
          <w:rFonts w:ascii="Book Antiqua" w:hAnsi="Book Antiqua"/>
          <w:b/>
          <w:bCs/>
          <w:sz w:val="23"/>
          <w:szCs w:val="23"/>
        </w:rPr>
      </w:pPr>
      <w:r w:rsidRPr="00C92052">
        <w:rPr>
          <w:rFonts w:ascii="Book Antiqua" w:hAnsi="Book Antiqua"/>
          <w:b/>
          <w:bCs/>
          <w:sz w:val="23"/>
          <w:szCs w:val="23"/>
        </w:rPr>
        <w:t>IV CONFLICTO DE INTERESES</w:t>
      </w:r>
    </w:p>
    <w:p w14:paraId="4C61BC83" w14:textId="77777777" w:rsidR="00C92052" w:rsidRPr="00C92052" w:rsidRDefault="00C92052" w:rsidP="00C92052">
      <w:pPr>
        <w:shd w:val="clear" w:color="auto" w:fill="FFFFFF"/>
        <w:spacing w:after="0"/>
        <w:ind w:right="193"/>
        <w:jc w:val="both"/>
        <w:rPr>
          <w:rFonts w:ascii="Book Antiqua" w:hAnsi="Book Antiqua"/>
          <w:b/>
          <w:bCs/>
          <w:sz w:val="23"/>
          <w:szCs w:val="23"/>
        </w:rPr>
      </w:pPr>
    </w:p>
    <w:p w14:paraId="5C89DE21" w14:textId="77777777" w:rsidR="00C92052" w:rsidRPr="00C92052" w:rsidRDefault="00C92052" w:rsidP="00C92052">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301B9173" w14:textId="77777777" w:rsidR="00C92052" w:rsidRPr="00C92052" w:rsidRDefault="00C92052" w:rsidP="00C92052">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 xml:space="preserve"> </w:t>
      </w:r>
    </w:p>
    <w:p w14:paraId="2CA7AD1D" w14:textId="77777777" w:rsidR="00C92052" w:rsidRPr="00C92052" w:rsidRDefault="00C92052" w:rsidP="00C92052">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37A8FE30" w14:textId="77777777" w:rsidR="00C92052" w:rsidRPr="00C92052" w:rsidRDefault="00C92052" w:rsidP="00C92052">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 xml:space="preserve"> </w:t>
      </w:r>
    </w:p>
    <w:p w14:paraId="692C4A4E" w14:textId="77777777" w:rsidR="00C92052" w:rsidRPr="00C92052" w:rsidRDefault="00C92052" w:rsidP="00C92052">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632B8E7E" w14:textId="77777777" w:rsidR="00C92052" w:rsidRPr="00C92052" w:rsidRDefault="00C92052" w:rsidP="00C92052">
      <w:pPr>
        <w:shd w:val="clear" w:color="auto" w:fill="FFFFFF"/>
        <w:spacing w:after="0"/>
        <w:ind w:right="193"/>
        <w:jc w:val="both"/>
        <w:rPr>
          <w:rFonts w:ascii="Book Antiqua" w:hAnsi="Book Antiqua"/>
          <w:b/>
          <w:bCs/>
          <w:sz w:val="23"/>
          <w:szCs w:val="23"/>
        </w:rPr>
      </w:pPr>
    </w:p>
    <w:p w14:paraId="4BE34D73" w14:textId="1ABFCA81" w:rsidR="00DB5992" w:rsidRPr="00C92052" w:rsidRDefault="00DB5992" w:rsidP="0016403D">
      <w:pPr>
        <w:spacing w:line="240" w:lineRule="auto"/>
        <w:ind w:left="360"/>
        <w:jc w:val="both"/>
        <w:rPr>
          <w:rFonts w:ascii="Book Antiqua" w:hAnsi="Book Antiqua"/>
          <w:iCs/>
          <w:color w:val="000000" w:themeColor="text1"/>
          <w:sz w:val="23"/>
          <w:szCs w:val="23"/>
        </w:rPr>
      </w:pPr>
    </w:p>
    <w:p w14:paraId="327E1E24" w14:textId="2B571110" w:rsidR="00C92052" w:rsidRPr="00C92052" w:rsidRDefault="00C92052" w:rsidP="0016403D">
      <w:pPr>
        <w:spacing w:line="240" w:lineRule="auto"/>
        <w:ind w:left="360"/>
        <w:jc w:val="both"/>
        <w:rPr>
          <w:rFonts w:ascii="Book Antiqua" w:hAnsi="Book Antiqua"/>
          <w:iCs/>
          <w:color w:val="000000" w:themeColor="text1"/>
          <w:sz w:val="23"/>
          <w:szCs w:val="23"/>
        </w:rPr>
      </w:pPr>
    </w:p>
    <w:p w14:paraId="3A941A2C" w14:textId="771FC55E" w:rsidR="00C83FA0" w:rsidRPr="00C92052" w:rsidRDefault="001A494E" w:rsidP="00C92052">
      <w:pPr>
        <w:pStyle w:val="Prrafodelista"/>
        <w:numPr>
          <w:ilvl w:val="0"/>
          <w:numId w:val="10"/>
        </w:numPr>
        <w:spacing w:line="240" w:lineRule="auto"/>
        <w:jc w:val="both"/>
        <w:rPr>
          <w:rFonts w:ascii="Book Antiqua" w:hAnsi="Book Antiqua"/>
          <w:b/>
          <w:iCs/>
          <w:color w:val="2D2D2D"/>
          <w:sz w:val="23"/>
          <w:szCs w:val="23"/>
        </w:rPr>
      </w:pPr>
      <w:r w:rsidRPr="00C92052">
        <w:rPr>
          <w:rFonts w:ascii="Book Antiqua" w:hAnsi="Book Antiqua"/>
          <w:b/>
          <w:sz w:val="23"/>
          <w:szCs w:val="23"/>
        </w:rPr>
        <w:t>PROPOSICIÓN</w:t>
      </w:r>
    </w:p>
    <w:p w14:paraId="5EBCE58C" w14:textId="77777777" w:rsidR="00F26A25" w:rsidRPr="00C92052" w:rsidRDefault="00F26A25" w:rsidP="0016403D">
      <w:pPr>
        <w:pStyle w:val="Prrafodelista"/>
        <w:spacing w:line="240" w:lineRule="auto"/>
        <w:jc w:val="both"/>
        <w:rPr>
          <w:rFonts w:ascii="Book Antiqua" w:hAnsi="Book Antiqua"/>
          <w:b/>
          <w:sz w:val="23"/>
          <w:szCs w:val="23"/>
        </w:rPr>
      </w:pPr>
    </w:p>
    <w:p w14:paraId="2E16B807" w14:textId="65846AAC" w:rsidR="00427DE8" w:rsidRPr="00C92052" w:rsidRDefault="00F26A25" w:rsidP="0016403D">
      <w:pPr>
        <w:spacing w:line="240" w:lineRule="auto"/>
        <w:ind w:left="360"/>
        <w:jc w:val="both"/>
        <w:rPr>
          <w:rFonts w:ascii="Book Antiqua" w:hAnsi="Book Antiqua"/>
          <w:b/>
          <w:iCs/>
          <w:color w:val="2D2D2D"/>
          <w:sz w:val="23"/>
          <w:szCs w:val="23"/>
        </w:rPr>
      </w:pPr>
      <w:r w:rsidRPr="00C92052">
        <w:rPr>
          <w:rFonts w:ascii="Book Antiqua" w:hAnsi="Book Antiqua"/>
          <w:iCs/>
          <w:color w:val="2D2D2D"/>
          <w:sz w:val="23"/>
          <w:szCs w:val="23"/>
        </w:rPr>
        <w:t xml:space="preserve">En ese sentido, se solicita que se </w:t>
      </w:r>
      <w:r w:rsidRPr="00C92052">
        <w:rPr>
          <w:rFonts w:ascii="Book Antiqua" w:hAnsi="Book Antiqua"/>
          <w:b/>
          <w:iCs/>
          <w:color w:val="2D2D2D"/>
          <w:sz w:val="23"/>
          <w:szCs w:val="23"/>
        </w:rPr>
        <w:t>ARCHIVE</w:t>
      </w:r>
      <w:r w:rsidRPr="00C92052">
        <w:rPr>
          <w:rFonts w:ascii="Book Antiqua" w:hAnsi="Book Antiqua"/>
          <w:iCs/>
          <w:color w:val="2D2D2D"/>
          <w:sz w:val="23"/>
          <w:szCs w:val="23"/>
        </w:rPr>
        <w:t xml:space="preserve"> el </w:t>
      </w:r>
      <w:r w:rsidR="00427DE8" w:rsidRPr="00C92052">
        <w:rPr>
          <w:rFonts w:ascii="Book Antiqua" w:hAnsi="Book Antiqua"/>
          <w:b/>
          <w:iCs/>
          <w:color w:val="2D2D2D"/>
          <w:sz w:val="23"/>
          <w:szCs w:val="23"/>
        </w:rPr>
        <w:t>PROYECTO DE ACTO LEGISLATIVO NO. 002 DE 2022 CAMARA “</w:t>
      </w:r>
      <w:r w:rsidR="00427DE8" w:rsidRPr="00C92052">
        <w:rPr>
          <w:rFonts w:ascii="Book Antiqua" w:hAnsi="Book Antiqua"/>
          <w:b/>
          <w:i/>
          <w:iCs/>
          <w:color w:val="2D2D2D"/>
          <w:sz w:val="23"/>
          <w:szCs w:val="23"/>
        </w:rPr>
        <w:t>POR MEDIO DEL CUAL SE MODIFICA EL ARTÍCULO 49 DE LA CONSTITUCIÓN POLÍTICA DE COLOMBIA Y SE REGULARIZA EL CANNABIS DE USO ADULTO</w:t>
      </w:r>
      <w:r w:rsidR="00C92052">
        <w:rPr>
          <w:rFonts w:ascii="Book Antiqua" w:hAnsi="Book Antiqua"/>
          <w:b/>
          <w:iCs/>
          <w:color w:val="2D2D2D"/>
          <w:sz w:val="23"/>
          <w:szCs w:val="23"/>
        </w:rPr>
        <w:t>”</w:t>
      </w:r>
      <w:r w:rsidR="00427DE8" w:rsidRPr="00C92052">
        <w:rPr>
          <w:rFonts w:ascii="Book Antiqua" w:hAnsi="Book Antiqua"/>
          <w:b/>
          <w:iCs/>
          <w:color w:val="2D2D2D"/>
          <w:sz w:val="23"/>
          <w:szCs w:val="23"/>
        </w:rPr>
        <w:t>.</w:t>
      </w:r>
      <w:bookmarkStart w:id="0" w:name="_GoBack"/>
      <w:bookmarkEnd w:id="0"/>
      <w:r w:rsidR="00427DE8" w:rsidRPr="00C92052">
        <w:rPr>
          <w:rFonts w:ascii="Book Antiqua" w:hAnsi="Book Antiqua"/>
          <w:b/>
          <w:iCs/>
          <w:color w:val="2D2D2D"/>
          <w:sz w:val="23"/>
          <w:szCs w:val="23"/>
        </w:rPr>
        <w:t xml:space="preserve"> </w:t>
      </w:r>
    </w:p>
    <w:p w14:paraId="69FE5BBD" w14:textId="0DE98921" w:rsidR="006F39BF" w:rsidRPr="00C92052" w:rsidRDefault="006F39BF" w:rsidP="0016403D">
      <w:pPr>
        <w:spacing w:line="240" w:lineRule="auto"/>
        <w:ind w:left="360"/>
        <w:jc w:val="both"/>
        <w:rPr>
          <w:rFonts w:ascii="Book Antiqua" w:hAnsi="Book Antiqua"/>
          <w:iCs/>
          <w:color w:val="2D2D2D"/>
          <w:sz w:val="23"/>
          <w:szCs w:val="23"/>
        </w:rPr>
      </w:pPr>
      <w:r w:rsidRPr="00C92052">
        <w:rPr>
          <w:rFonts w:ascii="Book Antiqua" w:hAnsi="Book Antiqua"/>
          <w:iCs/>
          <w:color w:val="2D2D2D"/>
          <w:sz w:val="23"/>
          <w:szCs w:val="23"/>
        </w:rPr>
        <w:t>Atentamente,</w:t>
      </w:r>
    </w:p>
    <w:p w14:paraId="3C878C72" w14:textId="4D2EAF0C" w:rsidR="00C83FA0" w:rsidRPr="00C92052" w:rsidRDefault="00C83FA0" w:rsidP="0016403D">
      <w:pPr>
        <w:pStyle w:val="Prrafodelista"/>
        <w:spacing w:line="240" w:lineRule="auto"/>
        <w:jc w:val="both"/>
        <w:rPr>
          <w:rFonts w:ascii="Book Antiqua" w:hAnsi="Book Antiqua"/>
          <w:b/>
          <w:sz w:val="23"/>
          <w:szCs w:val="23"/>
          <w:highlight w:val="yellow"/>
        </w:rPr>
      </w:pPr>
    </w:p>
    <w:p w14:paraId="1A788EC5" w14:textId="280AA01C" w:rsidR="0016403D" w:rsidRPr="00C92052" w:rsidRDefault="0016403D" w:rsidP="0016403D">
      <w:pPr>
        <w:pStyle w:val="Prrafodelista"/>
        <w:spacing w:line="240" w:lineRule="auto"/>
        <w:jc w:val="both"/>
        <w:rPr>
          <w:rFonts w:ascii="Book Antiqua" w:hAnsi="Book Antiqua"/>
          <w:b/>
          <w:sz w:val="23"/>
          <w:szCs w:val="23"/>
          <w:highlight w:val="yellow"/>
        </w:rPr>
      </w:pPr>
    </w:p>
    <w:p w14:paraId="51427ECF" w14:textId="1AF9659D" w:rsidR="00B72429" w:rsidRPr="00C92052" w:rsidRDefault="00B72429" w:rsidP="0016403D">
      <w:pPr>
        <w:pStyle w:val="Prrafodelista"/>
        <w:spacing w:line="240" w:lineRule="auto"/>
        <w:jc w:val="both"/>
        <w:rPr>
          <w:rFonts w:ascii="Book Antiqua" w:hAnsi="Book Antiqua"/>
          <w:b/>
          <w:sz w:val="20"/>
          <w:szCs w:val="20"/>
          <w:highlight w:val="yellow"/>
        </w:rPr>
      </w:pPr>
    </w:p>
    <w:p w14:paraId="5C379FB2" w14:textId="1A20D0BA" w:rsidR="007E6BA4" w:rsidRPr="00C92052" w:rsidRDefault="007E6BA4" w:rsidP="0016403D">
      <w:pPr>
        <w:pStyle w:val="Sinespaciado"/>
        <w:rPr>
          <w:rFonts w:ascii="Book Antiqua" w:hAnsi="Book Antiqua"/>
          <w:b/>
          <w:sz w:val="20"/>
          <w:szCs w:val="20"/>
        </w:rPr>
      </w:pPr>
      <w:r w:rsidRPr="00C92052">
        <w:rPr>
          <w:rFonts w:ascii="Book Antiqua" w:hAnsi="Book Antiqua"/>
          <w:b/>
          <w:sz w:val="20"/>
          <w:szCs w:val="20"/>
        </w:rPr>
        <w:t xml:space="preserve">JUAN DANIEL PEÑUELA CALVACHE     </w:t>
      </w:r>
      <w:r w:rsidR="005551BC" w:rsidRPr="00C92052">
        <w:rPr>
          <w:rFonts w:ascii="Book Antiqua" w:hAnsi="Book Antiqua"/>
          <w:b/>
          <w:sz w:val="20"/>
          <w:szCs w:val="20"/>
        </w:rPr>
        <w:t xml:space="preserve">         </w:t>
      </w:r>
      <w:r w:rsidR="00C92052">
        <w:rPr>
          <w:rFonts w:ascii="Book Antiqua" w:hAnsi="Book Antiqua"/>
          <w:b/>
          <w:sz w:val="20"/>
          <w:szCs w:val="20"/>
        </w:rPr>
        <w:t xml:space="preserve">        </w:t>
      </w:r>
      <w:r w:rsidRPr="00C92052">
        <w:rPr>
          <w:rFonts w:ascii="Book Antiqua" w:hAnsi="Book Antiqua"/>
          <w:b/>
          <w:sz w:val="20"/>
          <w:szCs w:val="20"/>
        </w:rPr>
        <w:t>HERNAN</w:t>
      </w:r>
      <w:r w:rsidR="003237C3" w:rsidRPr="00C92052">
        <w:rPr>
          <w:rFonts w:ascii="Book Antiqua" w:hAnsi="Book Antiqua"/>
          <w:b/>
          <w:sz w:val="20"/>
          <w:szCs w:val="20"/>
        </w:rPr>
        <w:t xml:space="preserve"> DARÍO</w:t>
      </w:r>
      <w:r w:rsidRPr="00C92052">
        <w:rPr>
          <w:rFonts w:ascii="Book Antiqua" w:hAnsi="Book Antiqua"/>
          <w:b/>
          <w:sz w:val="20"/>
          <w:szCs w:val="20"/>
        </w:rPr>
        <w:t xml:space="preserve"> CADAVID </w:t>
      </w:r>
      <w:r w:rsidR="003237C3" w:rsidRPr="00C92052">
        <w:rPr>
          <w:rFonts w:ascii="Book Antiqua" w:hAnsi="Book Antiqua"/>
          <w:b/>
          <w:sz w:val="20"/>
          <w:szCs w:val="20"/>
        </w:rPr>
        <w:t>M</w:t>
      </w:r>
      <w:r w:rsidR="006F39BF" w:rsidRPr="00C92052">
        <w:rPr>
          <w:rFonts w:ascii="Book Antiqua" w:hAnsi="Book Antiqua"/>
          <w:b/>
          <w:sz w:val="20"/>
          <w:szCs w:val="20"/>
        </w:rPr>
        <w:t>ÁRQUEZ</w:t>
      </w:r>
    </w:p>
    <w:p w14:paraId="094534F5" w14:textId="3C238711" w:rsidR="007E6BA4" w:rsidRPr="00C92052" w:rsidRDefault="007E6BA4" w:rsidP="0016403D">
      <w:pPr>
        <w:pStyle w:val="Sinespaciado"/>
        <w:rPr>
          <w:rFonts w:ascii="Book Antiqua" w:hAnsi="Book Antiqua"/>
        </w:rPr>
      </w:pPr>
      <w:r w:rsidRPr="00C92052">
        <w:rPr>
          <w:rFonts w:ascii="Book Antiqua" w:hAnsi="Book Antiqua"/>
        </w:rPr>
        <w:t xml:space="preserve">Representante a la Cámara por Nariño         </w:t>
      </w:r>
      <w:r w:rsidR="0016403D" w:rsidRPr="00C92052">
        <w:rPr>
          <w:rFonts w:ascii="Book Antiqua" w:hAnsi="Book Antiqua"/>
        </w:rPr>
        <w:t xml:space="preserve">         Representante a la Cámara por </w:t>
      </w:r>
      <w:r w:rsidR="00C92052">
        <w:rPr>
          <w:rFonts w:ascii="Book Antiqua" w:hAnsi="Book Antiqua"/>
        </w:rPr>
        <w:t>A</w:t>
      </w:r>
      <w:r w:rsidRPr="00C92052">
        <w:rPr>
          <w:rFonts w:ascii="Book Antiqua" w:hAnsi="Book Antiqua"/>
        </w:rPr>
        <w:t>ntioquia</w:t>
      </w:r>
    </w:p>
    <w:p w14:paraId="5CF66094" w14:textId="3223CDD4" w:rsidR="007E6BA4" w:rsidRPr="00C92052" w:rsidRDefault="006F39BF" w:rsidP="0016403D">
      <w:pPr>
        <w:pStyle w:val="Sinespaciado"/>
        <w:rPr>
          <w:rFonts w:ascii="Book Antiqua" w:hAnsi="Book Antiqua"/>
        </w:rPr>
      </w:pPr>
      <w:r w:rsidRPr="00C92052">
        <w:rPr>
          <w:rFonts w:ascii="Book Antiqua" w:hAnsi="Book Antiqua"/>
        </w:rPr>
        <w:t>Ponente</w:t>
      </w:r>
      <w:r w:rsidR="007E6BA4" w:rsidRPr="00C92052">
        <w:rPr>
          <w:rFonts w:ascii="Book Antiqua" w:hAnsi="Book Antiqua"/>
        </w:rPr>
        <w:t xml:space="preserve">                                                                        </w:t>
      </w:r>
      <w:proofErr w:type="spellStart"/>
      <w:r w:rsidR="007E6BA4" w:rsidRPr="00C92052">
        <w:rPr>
          <w:rFonts w:ascii="Book Antiqua" w:hAnsi="Book Antiqua"/>
        </w:rPr>
        <w:t>Ponente</w:t>
      </w:r>
      <w:proofErr w:type="spellEnd"/>
    </w:p>
    <w:p w14:paraId="72E403B3" w14:textId="74CD1CA6" w:rsidR="007E6BA4" w:rsidRPr="00C92052" w:rsidRDefault="007E6BA4" w:rsidP="0016403D">
      <w:pPr>
        <w:pStyle w:val="Sinespaciado"/>
        <w:rPr>
          <w:rFonts w:ascii="Book Antiqua" w:hAnsi="Book Antiqua"/>
        </w:rPr>
      </w:pPr>
    </w:p>
    <w:p w14:paraId="3723D632" w14:textId="15A549A9" w:rsidR="00EC5DAB" w:rsidRPr="00C92052" w:rsidRDefault="00EC5DAB" w:rsidP="0016403D">
      <w:pPr>
        <w:spacing w:line="240" w:lineRule="auto"/>
        <w:jc w:val="both"/>
        <w:rPr>
          <w:rFonts w:ascii="Book Antiqua" w:hAnsi="Book Antiqua"/>
          <w:sz w:val="23"/>
          <w:szCs w:val="23"/>
        </w:rPr>
      </w:pPr>
    </w:p>
    <w:p w14:paraId="01078CEC" w14:textId="77777777" w:rsidR="0003054E" w:rsidRPr="00C92052" w:rsidRDefault="0003054E" w:rsidP="0016403D">
      <w:pPr>
        <w:spacing w:line="240" w:lineRule="auto"/>
        <w:jc w:val="both"/>
        <w:rPr>
          <w:rFonts w:ascii="Book Antiqua" w:hAnsi="Book Antiqua"/>
          <w:sz w:val="23"/>
          <w:szCs w:val="23"/>
        </w:rPr>
      </w:pPr>
    </w:p>
    <w:sectPr w:rsidR="0003054E" w:rsidRPr="00C920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EFF0B" w14:textId="77777777" w:rsidR="00134561" w:rsidRDefault="00134561" w:rsidP="00F20D27">
      <w:pPr>
        <w:spacing w:after="0" w:line="240" w:lineRule="auto"/>
      </w:pPr>
      <w:r>
        <w:separator/>
      </w:r>
    </w:p>
  </w:endnote>
  <w:endnote w:type="continuationSeparator" w:id="0">
    <w:p w14:paraId="7F7CCC78" w14:textId="77777777" w:rsidR="00134561" w:rsidRDefault="00134561" w:rsidP="00F2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FA4F4" w14:textId="77777777" w:rsidR="00134561" w:rsidRDefault="00134561" w:rsidP="00F20D27">
      <w:pPr>
        <w:spacing w:after="0" w:line="240" w:lineRule="auto"/>
      </w:pPr>
      <w:r>
        <w:separator/>
      </w:r>
    </w:p>
  </w:footnote>
  <w:footnote w:type="continuationSeparator" w:id="0">
    <w:p w14:paraId="7525A46A" w14:textId="77777777" w:rsidR="00134561" w:rsidRDefault="00134561" w:rsidP="00F20D27">
      <w:pPr>
        <w:spacing w:after="0" w:line="240" w:lineRule="auto"/>
      </w:pPr>
      <w:r>
        <w:continuationSeparator/>
      </w:r>
    </w:p>
  </w:footnote>
  <w:footnote w:id="1">
    <w:p w14:paraId="45F603E9"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134 de 1993. M.P. Alejandro Martínez Caballero </w:t>
      </w:r>
    </w:p>
  </w:footnote>
  <w:footnote w:id="2">
    <w:p w14:paraId="0A00E60E" w14:textId="77777777" w:rsidR="00DA04B1" w:rsidRPr="006F39BF" w:rsidRDefault="00DA04B1" w:rsidP="00F20D27">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134 de 1993. M.P. Alejandro Martínez Caballero</w:t>
      </w:r>
    </w:p>
  </w:footnote>
  <w:footnote w:id="3">
    <w:p w14:paraId="5F864EF2" w14:textId="77777777" w:rsidR="00DA04B1" w:rsidRDefault="00DA04B1" w:rsidP="00F20D27">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134 de 1993. M.P. Alejandro Martínez Caballero</w:t>
      </w:r>
    </w:p>
  </w:footnote>
  <w:footnote w:id="4">
    <w:p w14:paraId="3E8F8C08"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Congreso de la República. </w:t>
      </w:r>
      <w:r w:rsidRPr="006F39BF">
        <w:rPr>
          <w:rFonts w:ascii="Book Antiqua" w:hAnsi="Book Antiqua"/>
          <w:color w:val="000000"/>
          <w:sz w:val="18"/>
          <w:szCs w:val="18"/>
          <w:shd w:val="clear" w:color="auto" w:fill="FFFFFF"/>
        </w:rPr>
        <w:t xml:space="preserve">Gaceta del Congreso No. 161 de 2009. </w:t>
      </w:r>
    </w:p>
  </w:footnote>
  <w:footnote w:id="5">
    <w:p w14:paraId="23FBDAE3" w14:textId="77777777" w:rsidR="00DA04B1" w:rsidRPr="006F39BF" w:rsidRDefault="00DA04B1" w:rsidP="00B63A64">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881 de 2002. M.P. Eduardo Montealegre Lynett. </w:t>
      </w:r>
    </w:p>
  </w:footnote>
  <w:footnote w:id="6">
    <w:p w14:paraId="1008F0FD" w14:textId="77777777" w:rsidR="00DA04B1" w:rsidRPr="006F39BF" w:rsidRDefault="00DA04B1" w:rsidP="00B63A64">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881 de 2002. M.P. Eduardo Montealegre Lynett.</w:t>
      </w:r>
    </w:p>
  </w:footnote>
  <w:footnote w:id="7">
    <w:p w14:paraId="4211C811" w14:textId="77777777" w:rsidR="00DA04B1" w:rsidRPr="006F39BF" w:rsidRDefault="00DA04B1" w:rsidP="0035503B">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291 de 2016. M.P. Alberto Rojas Ríos. </w:t>
      </w:r>
    </w:p>
  </w:footnote>
  <w:footnote w:id="8">
    <w:p w14:paraId="3F3509D2" w14:textId="77777777" w:rsidR="00DA04B1" w:rsidRDefault="00DA04B1" w:rsidP="00596EF0">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881 de 2002. M.P. Eduardo Montealegre Lynett.</w:t>
      </w:r>
    </w:p>
  </w:footnote>
  <w:footnote w:id="9">
    <w:p w14:paraId="70C6885D"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336 de 2008. M.P. Clara Inés Vargas Hernández. </w:t>
      </w:r>
    </w:p>
  </w:footnote>
  <w:footnote w:id="10">
    <w:p w14:paraId="0B6A5824" w14:textId="77777777" w:rsidR="00DA04B1" w:rsidRPr="006F39BF" w:rsidRDefault="00DA04B1" w:rsidP="006D6BD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336 de 2008. M.P. Clara Inés Vargas Hernández.</w:t>
      </w:r>
    </w:p>
  </w:footnote>
  <w:footnote w:id="11">
    <w:p w14:paraId="09C41667"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336 de 2008. M.P. Clara Inés Vargas Hernández.</w:t>
      </w:r>
    </w:p>
  </w:footnote>
  <w:footnote w:id="12">
    <w:p w14:paraId="429C1F2C" w14:textId="77777777" w:rsidR="00DA04B1" w:rsidRDefault="00DA04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336 de 2008. M.P. Clara Inés Vargas Hernández.</w:t>
      </w:r>
    </w:p>
  </w:footnote>
  <w:footnote w:id="13">
    <w:p w14:paraId="7A64A5D6" w14:textId="77777777" w:rsidR="00DA04B1" w:rsidRPr="006F39BF" w:rsidRDefault="00DA04B1" w:rsidP="0037255B">
      <w:pPr>
        <w:pStyle w:val="Textonotapie"/>
        <w:jc w:val="both"/>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Ministerio de Justicia y del derecho. Ministerio de educación nacional y Ministerio de salud y protección social. Estudio Nacional de Consumo de Sustancias Psicoactivas - Colombia 2016. Consultado en: </w:t>
      </w:r>
      <w:hyperlink r:id="rId1" w:history="1">
        <w:r w:rsidRPr="006F39BF">
          <w:rPr>
            <w:rStyle w:val="Hipervnculo"/>
            <w:rFonts w:ascii="Book Antiqua" w:hAnsi="Book Antiqua"/>
            <w:sz w:val="18"/>
            <w:szCs w:val="18"/>
          </w:rPr>
          <w:t>https://www.unodc.org/documents/colombia/2018/Junio/CO03142016_estudio_consumo_escolares_2016.pdf</w:t>
        </w:r>
      </w:hyperlink>
      <w:r w:rsidRPr="006F39BF">
        <w:rPr>
          <w:rFonts w:ascii="Book Antiqua" w:hAnsi="Book Antiqua"/>
          <w:sz w:val="18"/>
          <w:szCs w:val="18"/>
        </w:rPr>
        <w:t xml:space="preserve"> </w:t>
      </w:r>
    </w:p>
  </w:footnote>
  <w:footnote w:id="14">
    <w:p w14:paraId="023AEE32" w14:textId="77777777" w:rsidR="00DA04B1" w:rsidRDefault="00DA04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Centros para el control y la prevención de enfermedades.  Tomado del National Academies of Sciences Engineering and Medicine, “The health effects of cannabis and cannabinoids: Current state of evidence and recommendations for research,” Washington, DC, 2017. Consultado en: </w:t>
      </w:r>
      <w:hyperlink r:id="rId2" w:anchor=":~:text=La%20marihuana%20y%20el%20cerebro%20del%20adolescente&amp;text=Dificultad%20para%20pensar%20y%20resolver,Dificultad%20para%20mantener%20la%20atenci%C3%B3n" w:history="1">
        <w:r w:rsidRPr="006F39BF">
          <w:rPr>
            <w:rStyle w:val="Hipervnculo"/>
            <w:rFonts w:ascii="Book Antiqua" w:hAnsi="Book Antiqua"/>
            <w:sz w:val="18"/>
            <w:szCs w:val="18"/>
          </w:rPr>
          <w:t>https://www.cdc.gov/marijuana/health-effects/es/teens.html#:~:text=La%20marihuana%20y%20el%20cerebro%20del%20adolescente&amp;text=Dificultad%20para%20pensar%20y%20resolver,Dificultad%20para%20mantener%20la%20atenci%C3%B3n</w:t>
        </w:r>
      </w:hyperlink>
      <w:r>
        <w:t xml:space="preserve"> </w:t>
      </w:r>
    </w:p>
  </w:footnote>
  <w:footnote w:id="15">
    <w:p w14:paraId="29D09390" w14:textId="77777777" w:rsidR="00DA04B1" w:rsidRPr="006F39BF" w:rsidRDefault="00DA04B1" w:rsidP="00AC3879">
      <w:pPr>
        <w:pStyle w:val="Textonotapie"/>
        <w:jc w:val="both"/>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Legalización del cannabis recreativo y transiciones en el consumo de cannabis: hallazgos de una cohorte longitudinal representativa a nivel nacional en los Estados Unidos. Revista Adicción. 26 de mayo de 2022</w:t>
      </w:r>
      <w:r w:rsidRPr="006F39BF">
        <w:rPr>
          <w:rFonts w:ascii="Book Antiqua" w:hAnsi="Book Antiqua"/>
          <w:color w:val="000000" w:themeColor="text1"/>
          <w:sz w:val="18"/>
          <w:szCs w:val="18"/>
        </w:rPr>
        <w:t>. </w:t>
      </w:r>
      <w:proofErr w:type="spellStart"/>
      <w:r w:rsidR="00772AA7" w:rsidRPr="006F39BF">
        <w:fldChar w:fldCharType="begin"/>
      </w:r>
      <w:r w:rsidR="00772AA7" w:rsidRPr="006F39BF">
        <w:rPr>
          <w:rFonts w:ascii="Book Antiqua" w:hAnsi="Book Antiqua"/>
          <w:sz w:val="18"/>
          <w:szCs w:val="18"/>
        </w:rPr>
        <w:instrText xml:space="preserve"> HYPERLINK "https://profiles-ucsd-edu.translate.goog/christian.gunadi?_x_tr_sl=en&amp;_x_tr_tl=es&amp;_x_tr_hl=es&amp;_x_tr_pto=sc" </w:instrText>
      </w:r>
      <w:r w:rsidR="00772AA7" w:rsidRPr="006F39BF">
        <w:fldChar w:fldCharType="separate"/>
      </w:r>
      <w:r w:rsidRPr="006F39BF">
        <w:rPr>
          <w:rStyle w:val="Hipervnculo"/>
          <w:rFonts w:ascii="Book Antiqua" w:hAnsi="Book Antiqua"/>
          <w:color w:val="000000" w:themeColor="text1"/>
          <w:sz w:val="18"/>
          <w:szCs w:val="18"/>
          <w:u w:val="none"/>
        </w:rPr>
        <w:t>Gunadi</w:t>
      </w:r>
      <w:proofErr w:type="spellEnd"/>
      <w:r w:rsidRPr="006F39BF">
        <w:rPr>
          <w:rStyle w:val="Hipervnculo"/>
          <w:rFonts w:ascii="Book Antiqua" w:hAnsi="Book Antiqua"/>
          <w:color w:val="000000" w:themeColor="text1"/>
          <w:sz w:val="18"/>
          <w:szCs w:val="18"/>
          <w:u w:val="none"/>
        </w:rPr>
        <w:t xml:space="preserve"> C</w:t>
      </w:r>
      <w:r w:rsidR="00772AA7" w:rsidRPr="006F39BF">
        <w:rPr>
          <w:rStyle w:val="Hipervnculo"/>
          <w:rFonts w:ascii="Book Antiqua" w:hAnsi="Book Antiqua"/>
          <w:color w:val="000000" w:themeColor="text1"/>
          <w:sz w:val="18"/>
          <w:szCs w:val="18"/>
          <w:u w:val="none"/>
        </w:rPr>
        <w:fldChar w:fldCharType="end"/>
      </w:r>
      <w:r w:rsidRPr="006F39BF">
        <w:rPr>
          <w:rFonts w:ascii="Book Antiqua" w:hAnsi="Book Antiqua"/>
          <w:color w:val="000000" w:themeColor="text1"/>
          <w:sz w:val="18"/>
          <w:szCs w:val="18"/>
        </w:rPr>
        <w:t xml:space="preserve"> , </w:t>
      </w:r>
      <w:proofErr w:type="spellStart"/>
      <w:r w:rsidRPr="006F39BF">
        <w:rPr>
          <w:rFonts w:ascii="Book Antiqua" w:hAnsi="Book Antiqua"/>
          <w:color w:val="000000" w:themeColor="text1"/>
          <w:sz w:val="18"/>
          <w:szCs w:val="18"/>
        </w:rPr>
        <w:t>Zhu</w:t>
      </w:r>
      <w:proofErr w:type="spellEnd"/>
      <w:r w:rsidRPr="006F39BF">
        <w:rPr>
          <w:rFonts w:ascii="Book Antiqua" w:hAnsi="Book Antiqua"/>
          <w:color w:val="000000" w:themeColor="text1"/>
          <w:sz w:val="18"/>
          <w:szCs w:val="18"/>
        </w:rPr>
        <w:t xml:space="preserve"> B, </w:t>
      </w:r>
      <w:proofErr w:type="spellStart"/>
      <w:r w:rsidRPr="006F39BF">
        <w:rPr>
          <w:rFonts w:ascii="Book Antiqua" w:hAnsi="Book Antiqua"/>
          <w:bCs/>
          <w:color w:val="000000" w:themeColor="text1"/>
          <w:sz w:val="18"/>
          <w:szCs w:val="18"/>
        </w:rPr>
        <w:t>Shi</w:t>
      </w:r>
      <w:proofErr w:type="spellEnd"/>
      <w:r w:rsidRPr="006F39BF">
        <w:rPr>
          <w:rFonts w:ascii="Book Antiqua" w:hAnsi="Book Antiqua"/>
          <w:color w:val="000000" w:themeColor="text1"/>
          <w:sz w:val="18"/>
          <w:szCs w:val="18"/>
        </w:rPr>
        <w:t> Y.</w:t>
      </w:r>
    </w:p>
  </w:footnote>
  <w:footnote w:id="16">
    <w:p w14:paraId="41B9B2E9" w14:textId="77777777" w:rsidR="00DA04B1" w:rsidRPr="006F39BF" w:rsidRDefault="00DA04B1" w:rsidP="00473A19">
      <w:pPr>
        <w:pStyle w:val="Textonotapie"/>
        <w:jc w:val="both"/>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WAYNE, Michael. Assesing the public health impacts of legalizing recreational cannabis use: the US experience. 11 de mayo de 2020. Volumen 19, publicación No. 12. Consultado en: </w:t>
      </w:r>
      <w:hyperlink r:id="rId3" w:history="1">
        <w:r w:rsidRPr="006F39BF">
          <w:rPr>
            <w:rStyle w:val="Hipervnculo"/>
            <w:rFonts w:ascii="Book Antiqua" w:hAnsi="Book Antiqua"/>
            <w:sz w:val="18"/>
            <w:szCs w:val="18"/>
          </w:rPr>
          <w:t>https://onlinelibrary.wiley.com/doi/full/10.1002/wps.20735</w:t>
        </w:r>
      </w:hyperlink>
      <w:r w:rsidRPr="006F39BF">
        <w:rPr>
          <w:rFonts w:ascii="Book Antiqua" w:hAnsi="Book Antiqua"/>
          <w:sz w:val="18"/>
          <w:szCs w:val="18"/>
        </w:rPr>
        <w:t xml:space="preserve"> </w:t>
      </w:r>
    </w:p>
  </w:footnote>
  <w:footnote w:id="17">
    <w:p w14:paraId="0C117CF3"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468 de 2018. M.P. Diana Fajardo Rivera. </w:t>
      </w:r>
    </w:p>
  </w:footnote>
  <w:footnote w:id="18">
    <w:p w14:paraId="15F323C3"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287 de 2018. M.P. Cristina Pardo Schlesinger. </w:t>
      </w:r>
    </w:p>
  </w:footnote>
  <w:footnote w:id="19">
    <w:p w14:paraId="2BAFAD22" w14:textId="77777777" w:rsidR="00DA04B1" w:rsidRDefault="00DA04B1" w:rsidP="00693FA6">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287 de 2018. M.P. Cristina Pardo Schlesinger.</w:t>
      </w:r>
    </w:p>
  </w:footnote>
  <w:footnote w:id="20">
    <w:p w14:paraId="0D91BB29" w14:textId="77777777" w:rsidR="00DA04B1" w:rsidRPr="006F39BF" w:rsidRDefault="00DA04B1" w:rsidP="00693FA6">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287 de 2018. M.P. Cristina Pardo Schlesinger.</w:t>
      </w:r>
    </w:p>
  </w:footnote>
  <w:footnote w:id="21">
    <w:p w14:paraId="2AC5C426" w14:textId="77777777" w:rsidR="00DA04B1" w:rsidRDefault="00DA04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001 de 2018. M.P. Cristina Pardo Schlesinger.</w:t>
      </w:r>
      <w:r>
        <w:t xml:space="preserve"> </w:t>
      </w:r>
    </w:p>
  </w:footnote>
  <w:footnote w:id="22">
    <w:p w14:paraId="0002BEC0"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579 de 2015. M.P. Mauricio Gonzalez Cuervo. </w:t>
      </w:r>
    </w:p>
  </w:footnote>
  <w:footnote w:id="23">
    <w:p w14:paraId="045C702B"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C 248 de 2019. M.P. Cristina Pardo Schlesinger. </w:t>
      </w:r>
    </w:p>
  </w:footnote>
  <w:footnote w:id="24">
    <w:p w14:paraId="6947DFBC" w14:textId="77777777" w:rsidR="00DA04B1" w:rsidRDefault="00DA04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153 de 2014. M.P. Mauricio Gonzalez Cuervo. </w:t>
      </w:r>
    </w:p>
  </w:footnote>
  <w:footnote w:id="25">
    <w:p w14:paraId="055F2D3A"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Diccionario de la Real Academia Española. Consultado en: </w:t>
      </w:r>
      <w:hyperlink r:id="rId4" w:history="1">
        <w:r w:rsidRPr="006F39BF">
          <w:rPr>
            <w:rStyle w:val="Hipervnculo"/>
            <w:rFonts w:ascii="Book Antiqua" w:hAnsi="Book Antiqua"/>
            <w:sz w:val="18"/>
            <w:szCs w:val="18"/>
          </w:rPr>
          <w:t>https://www.rae.es/dpd/adicta</w:t>
        </w:r>
      </w:hyperlink>
      <w:r w:rsidRPr="006F39BF">
        <w:rPr>
          <w:rFonts w:ascii="Book Antiqua" w:hAnsi="Book Antiqua"/>
          <w:sz w:val="18"/>
          <w:szCs w:val="18"/>
        </w:rPr>
        <w:t xml:space="preserve"> </w:t>
      </w:r>
    </w:p>
  </w:footnote>
  <w:footnote w:id="26">
    <w:p w14:paraId="2F56C318"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153 de 2014. M.P. Mauricio Gonzalez Cuervo. </w:t>
      </w:r>
    </w:p>
  </w:footnote>
  <w:footnote w:id="27">
    <w:p w14:paraId="2E872BF6" w14:textId="77777777" w:rsidR="00DA04B1" w:rsidRPr="006F39BF" w:rsidRDefault="00DA04B1" w:rsidP="00F558A2">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153 de 2014. M.P. Mauricio Gonzalez Cuervo.</w:t>
      </w:r>
    </w:p>
  </w:footnote>
  <w:footnote w:id="28">
    <w:p w14:paraId="12AE57B5" w14:textId="77777777" w:rsidR="00DA04B1" w:rsidRPr="006F39BF" w:rsidRDefault="00DA04B1" w:rsidP="00F558A2">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153 de 2014. M.P. Mauricio Gonzalez Cuervo.</w:t>
      </w:r>
    </w:p>
  </w:footnote>
  <w:footnote w:id="29">
    <w:p w14:paraId="45677E57" w14:textId="77777777" w:rsidR="00DA04B1" w:rsidRDefault="00DA04B1" w:rsidP="007F75F8">
      <w:pPr>
        <w:pStyle w:val="Textonotapie"/>
        <w:jc w:val="both"/>
      </w:pPr>
      <w:r w:rsidRPr="006F39BF">
        <w:rPr>
          <w:rStyle w:val="Refdenotaalpie"/>
          <w:rFonts w:ascii="Book Antiqua" w:hAnsi="Book Antiqua"/>
          <w:sz w:val="18"/>
          <w:szCs w:val="18"/>
        </w:rPr>
        <w:footnoteRef/>
      </w:r>
      <w:r w:rsidRPr="006F39BF">
        <w:rPr>
          <w:rFonts w:ascii="Book Antiqua" w:hAnsi="Book Antiqua"/>
          <w:sz w:val="18"/>
          <w:szCs w:val="18"/>
        </w:rPr>
        <w:t xml:space="preserve">CASTAÑO, Guillermo et al. Aportes al debate de legalización del uso medicinal de la marihuana en Colombia. Rev. Fac. Nac. Salud Pública, 2017; 35(1): 16-26. </w:t>
      </w:r>
      <w:proofErr w:type="gramStart"/>
      <w:r w:rsidRPr="006F39BF">
        <w:rPr>
          <w:rFonts w:ascii="Book Antiqua" w:hAnsi="Book Antiqua"/>
          <w:sz w:val="18"/>
          <w:szCs w:val="18"/>
        </w:rPr>
        <w:t>DOI:10.17533/udea.rfnsp.v</w:t>
      </w:r>
      <w:proofErr w:type="gramEnd"/>
      <w:r w:rsidRPr="006F39BF">
        <w:rPr>
          <w:rFonts w:ascii="Book Antiqua" w:hAnsi="Book Antiqua"/>
          <w:sz w:val="18"/>
          <w:szCs w:val="18"/>
        </w:rPr>
        <w:t>35n1a03. Pag.18. Dentro de estos químicos se encuentran: “</w:t>
      </w:r>
      <w:r w:rsidRPr="006F39BF">
        <w:rPr>
          <w:rFonts w:ascii="Book Antiqua" w:hAnsi="Book Antiqua"/>
          <w:i/>
          <w:sz w:val="18"/>
          <w:szCs w:val="18"/>
        </w:rPr>
        <w:t xml:space="preserve">mono y sesquiterpenos, azúcares, hidrocarburos, esteroides, flavonoides, compuestos nitrogenados y aminoácidos), y algunos de éstos compuestos son tóxicos. Presenta 66 cannabinoides, entre ellos: Δ9-tetrahidrocannabinol (Δ9-thc o thc); Δ8-tetrahidrocannabinol (Δ8-thc); cannabidiol (cbd); cannabinol (cbn); cannabicromeno (cbc), cannabiciclol  </w:t>
      </w:r>
      <w:proofErr w:type="gramStart"/>
      <w:r w:rsidRPr="006F39BF">
        <w:rPr>
          <w:rFonts w:ascii="Book Antiqua" w:hAnsi="Book Antiqua"/>
          <w:i/>
          <w:sz w:val="18"/>
          <w:szCs w:val="18"/>
        </w:rPr>
        <w:t xml:space="preserve">   (</w:t>
      </w:r>
      <w:proofErr w:type="gramEnd"/>
      <w:r w:rsidRPr="006F39BF">
        <w:rPr>
          <w:rFonts w:ascii="Book Antiqua" w:hAnsi="Book Antiqua"/>
          <w:i/>
          <w:sz w:val="18"/>
          <w:szCs w:val="18"/>
        </w:rPr>
        <w:t>cbl), cannabigerol (cbg), monometileter del cannabigerol (cbgm), cannabielsoina (cbe), cannabinodiol (cbnd), cannabitriol (cbt), dehidrocannabifurano y  cannabicitrano, que aparecen en  cantidades  diferentes  según  la  variedad. Los más conocidos y estudiados son thc, cbd y cbn”</w:t>
      </w:r>
    </w:p>
  </w:footnote>
  <w:footnote w:id="30">
    <w:p w14:paraId="2E66A34D"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Ibíd. </w:t>
      </w:r>
    </w:p>
  </w:footnote>
  <w:footnote w:id="31">
    <w:p w14:paraId="329396B1" w14:textId="77777777" w:rsidR="00DA04B1" w:rsidRPr="004757FB" w:rsidRDefault="00DA04B1" w:rsidP="007F75F8">
      <w:pPr>
        <w:jc w:val="both"/>
        <w:rPr>
          <w:rFonts w:cstheme="minorHAnsi"/>
          <w:sz w:val="20"/>
          <w:szCs w:val="20"/>
        </w:rPr>
      </w:pPr>
      <w:r w:rsidRPr="006F39BF">
        <w:rPr>
          <w:rFonts w:ascii="Book Antiqua" w:hAnsi="Book Antiqua"/>
          <w:sz w:val="18"/>
          <w:szCs w:val="18"/>
          <w:vertAlign w:val="superscript"/>
        </w:rPr>
        <w:footnoteRef/>
      </w:r>
      <w:r w:rsidRPr="006F39BF">
        <w:rPr>
          <w:rFonts w:ascii="Book Antiqua" w:hAnsi="Book Antiqua"/>
          <w:sz w:val="18"/>
          <w:szCs w:val="18"/>
        </w:rPr>
        <w:t xml:space="preserve"> </w:t>
      </w:r>
      <w:r w:rsidRPr="006F39BF">
        <w:rPr>
          <w:rFonts w:ascii="Book Antiqua" w:hAnsi="Book Antiqua" w:cstheme="minorHAnsi"/>
          <w:sz w:val="18"/>
          <w:szCs w:val="18"/>
        </w:rPr>
        <w:t>DANE.</w:t>
      </w:r>
      <w:r w:rsidRPr="006F39BF">
        <w:rPr>
          <w:rFonts w:ascii="Book Antiqua" w:eastAsia="Arial" w:hAnsi="Book Antiqua" w:cstheme="minorHAnsi"/>
          <w:sz w:val="18"/>
          <w:szCs w:val="18"/>
        </w:rPr>
        <w:t>Encuesta nacional de consumo de sustancias psicoactivas (ENCSPA)</w:t>
      </w:r>
      <w:r w:rsidRPr="006F39BF">
        <w:rPr>
          <w:rFonts w:ascii="Book Antiqua" w:eastAsia="Arial" w:hAnsi="Book Antiqua" w:cstheme="minorHAnsi"/>
          <w:i/>
          <w:sz w:val="18"/>
          <w:szCs w:val="18"/>
        </w:rPr>
        <w:t xml:space="preserve"> </w:t>
      </w:r>
      <w:r w:rsidRPr="006F39BF">
        <w:rPr>
          <w:rFonts w:ascii="Book Antiqua" w:eastAsia="Arial" w:hAnsi="Book Antiqua" w:cstheme="minorHAnsi"/>
          <w:sz w:val="18"/>
          <w:szCs w:val="18"/>
        </w:rPr>
        <w:t>Consultado en: https://www.dane.gov.co/files/investigaciones/boletines/encspa/bt-encspa-2019.pdf</w:t>
      </w:r>
    </w:p>
  </w:footnote>
  <w:footnote w:id="32">
    <w:p w14:paraId="6308D658" w14:textId="77777777" w:rsidR="00DA04B1" w:rsidRPr="006F39BF" w:rsidRDefault="00DA04B1" w:rsidP="006F39BF">
      <w:pPr>
        <w:pStyle w:val="Sinespaciado"/>
        <w:rPr>
          <w:rFonts w:ascii="Book Antiqua" w:hAnsi="Book Antiqua"/>
          <w:sz w:val="18"/>
          <w:szCs w:val="18"/>
        </w:rPr>
      </w:pPr>
      <w:r w:rsidRPr="006F39BF">
        <w:rPr>
          <w:rFonts w:ascii="Book Antiqua" w:hAnsi="Book Antiqua"/>
          <w:sz w:val="18"/>
          <w:szCs w:val="18"/>
        </w:rPr>
        <w:footnoteRef/>
      </w:r>
      <w:r w:rsidRPr="006F39BF">
        <w:rPr>
          <w:rFonts w:ascii="Book Antiqua" w:hAnsi="Book Antiqua"/>
          <w:sz w:val="18"/>
          <w:szCs w:val="18"/>
        </w:rPr>
        <w:t xml:space="preserve"> Unidad de Tratamiento del Abuso de Sustancias del Departamento de Salud Mental y Abuso de Sustancias (MSD) de la Organización Mundial de la Salud (OMS). (2018). Efectos sociales y para la salud del consumo de cannabis sin fines médicos (W. Hall, M. </w:t>
      </w:r>
      <w:proofErr w:type="spellStart"/>
      <w:r w:rsidRPr="006F39BF">
        <w:rPr>
          <w:rFonts w:ascii="Book Antiqua" w:hAnsi="Book Antiqua"/>
          <w:sz w:val="18"/>
          <w:szCs w:val="18"/>
        </w:rPr>
        <w:t>Renström</w:t>
      </w:r>
      <w:proofErr w:type="spellEnd"/>
      <w:r w:rsidRPr="006F39BF">
        <w:rPr>
          <w:rFonts w:ascii="Book Antiqua" w:hAnsi="Book Antiqua"/>
          <w:sz w:val="18"/>
          <w:szCs w:val="18"/>
        </w:rPr>
        <w:t xml:space="preserve">, &amp; V. </w:t>
      </w:r>
      <w:proofErr w:type="spellStart"/>
      <w:r w:rsidRPr="006F39BF">
        <w:rPr>
          <w:rFonts w:ascii="Book Antiqua" w:hAnsi="Book Antiqua"/>
          <w:sz w:val="18"/>
          <w:szCs w:val="18"/>
        </w:rPr>
        <w:t>Poznyak</w:t>
      </w:r>
      <w:proofErr w:type="spellEnd"/>
      <w:r w:rsidRPr="006F39BF">
        <w:rPr>
          <w:rFonts w:ascii="Book Antiqua" w:hAnsi="Book Antiqua"/>
          <w:sz w:val="18"/>
          <w:szCs w:val="18"/>
        </w:rPr>
        <w:t xml:space="preserve">, Eds.). Informe Organización Mundial de la Salud. </w:t>
      </w:r>
      <w:hyperlink r:id="rId5">
        <w:r w:rsidRPr="006F39BF">
          <w:rPr>
            <w:rFonts w:ascii="Book Antiqua" w:hAnsi="Book Antiqua"/>
            <w:sz w:val="18"/>
            <w:szCs w:val="18"/>
          </w:rPr>
          <w:t>Efectos sociales y para la salud del consumo de cannabis sin fines médicos</w:t>
        </w:r>
      </w:hyperlink>
    </w:p>
  </w:footnote>
  <w:footnote w:id="33">
    <w:p w14:paraId="6513EA33" w14:textId="77777777" w:rsidR="00DA04B1" w:rsidRPr="006F39BF" w:rsidRDefault="00DA04B1" w:rsidP="006F39BF">
      <w:pPr>
        <w:pStyle w:val="Sinespaciado"/>
        <w:rPr>
          <w:rFonts w:ascii="Book Antiqua" w:hAnsi="Book Antiqua"/>
          <w:sz w:val="18"/>
          <w:szCs w:val="18"/>
        </w:rPr>
      </w:pPr>
      <w:r w:rsidRPr="006F39BF">
        <w:rPr>
          <w:rFonts w:ascii="Book Antiqua" w:hAnsi="Book Antiqua"/>
          <w:sz w:val="18"/>
          <w:szCs w:val="18"/>
        </w:rPr>
        <w:footnoteRef/>
      </w:r>
      <w:r w:rsidRPr="006F39BF">
        <w:rPr>
          <w:rFonts w:ascii="Book Antiqua" w:hAnsi="Book Antiqua"/>
          <w:sz w:val="18"/>
          <w:szCs w:val="18"/>
        </w:rPr>
        <w:t xml:space="preserve"> </w:t>
      </w:r>
      <w:proofErr w:type="spellStart"/>
      <w:r w:rsidRPr="006F39BF">
        <w:rPr>
          <w:rFonts w:ascii="Book Antiqua" w:hAnsi="Book Antiqua"/>
          <w:sz w:val="18"/>
          <w:szCs w:val="18"/>
        </w:rPr>
        <w:t>Lopez-Larson</w:t>
      </w:r>
      <w:proofErr w:type="spellEnd"/>
      <w:r w:rsidRPr="006F39BF">
        <w:rPr>
          <w:rFonts w:ascii="Book Antiqua" w:hAnsi="Book Antiqua"/>
          <w:sz w:val="18"/>
          <w:szCs w:val="18"/>
        </w:rPr>
        <w:t xml:space="preserve"> MP, </w:t>
      </w:r>
      <w:proofErr w:type="spellStart"/>
      <w:r w:rsidRPr="006F39BF">
        <w:rPr>
          <w:rFonts w:ascii="Book Antiqua" w:hAnsi="Book Antiqua"/>
          <w:sz w:val="18"/>
          <w:szCs w:val="18"/>
        </w:rPr>
        <w:t>Rogowska</w:t>
      </w:r>
      <w:proofErr w:type="spellEnd"/>
      <w:r w:rsidRPr="006F39BF">
        <w:rPr>
          <w:rFonts w:ascii="Book Antiqua" w:hAnsi="Book Antiqua"/>
          <w:sz w:val="18"/>
          <w:szCs w:val="18"/>
        </w:rPr>
        <w:t xml:space="preserve"> J, </w:t>
      </w:r>
      <w:proofErr w:type="spellStart"/>
      <w:r w:rsidRPr="006F39BF">
        <w:rPr>
          <w:rFonts w:ascii="Book Antiqua" w:hAnsi="Book Antiqua"/>
          <w:sz w:val="18"/>
          <w:szCs w:val="18"/>
        </w:rPr>
        <w:t>Yurgelun-Todd</w:t>
      </w:r>
      <w:proofErr w:type="spellEnd"/>
      <w:r w:rsidRPr="006F39BF">
        <w:rPr>
          <w:rFonts w:ascii="Book Antiqua" w:hAnsi="Book Antiqua"/>
          <w:sz w:val="18"/>
          <w:szCs w:val="18"/>
        </w:rPr>
        <w:t xml:space="preserve"> D (2015). </w:t>
      </w:r>
      <w:proofErr w:type="spellStart"/>
      <w:r w:rsidRPr="006F39BF">
        <w:rPr>
          <w:rFonts w:ascii="Book Antiqua" w:hAnsi="Book Antiqua"/>
          <w:sz w:val="18"/>
          <w:szCs w:val="18"/>
        </w:rPr>
        <w:t>Aberrant</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orbitofrontal</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connectivity</w:t>
      </w:r>
      <w:proofErr w:type="spellEnd"/>
      <w:r w:rsidRPr="006F39BF">
        <w:rPr>
          <w:rFonts w:ascii="Book Antiqua" w:hAnsi="Book Antiqua"/>
          <w:sz w:val="18"/>
          <w:szCs w:val="18"/>
        </w:rPr>
        <w:t xml:space="preserve"> in </w:t>
      </w:r>
      <w:proofErr w:type="spellStart"/>
      <w:r w:rsidRPr="006F39BF">
        <w:rPr>
          <w:rFonts w:ascii="Book Antiqua" w:hAnsi="Book Antiqua"/>
          <w:sz w:val="18"/>
          <w:szCs w:val="18"/>
        </w:rPr>
        <w:t>marijuana</w:t>
      </w:r>
      <w:proofErr w:type="spellEnd"/>
      <w:r w:rsidRPr="006F39BF">
        <w:rPr>
          <w:rFonts w:ascii="Book Antiqua" w:hAnsi="Book Antiqua"/>
          <w:sz w:val="18"/>
          <w:szCs w:val="18"/>
        </w:rPr>
        <w:t xml:space="preserve"> smoking </w:t>
      </w:r>
      <w:proofErr w:type="spellStart"/>
      <w:r w:rsidRPr="006F39BF">
        <w:rPr>
          <w:rFonts w:ascii="Book Antiqua" w:hAnsi="Book Antiqua"/>
          <w:sz w:val="18"/>
          <w:szCs w:val="18"/>
        </w:rPr>
        <w:t>adolescents</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Dev</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Cogn</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Neurosci</w:t>
      </w:r>
      <w:proofErr w:type="spellEnd"/>
      <w:r w:rsidRPr="006F39BF">
        <w:rPr>
          <w:rFonts w:ascii="Book Antiqua" w:hAnsi="Book Antiqua"/>
          <w:sz w:val="18"/>
          <w:szCs w:val="18"/>
        </w:rPr>
        <w:t>. 16:54-62.</w:t>
      </w:r>
    </w:p>
  </w:footnote>
  <w:footnote w:id="34">
    <w:p w14:paraId="480C8683" w14:textId="77777777" w:rsidR="00DA04B1" w:rsidRPr="006F39BF" w:rsidRDefault="00DA04B1" w:rsidP="006F39BF">
      <w:pPr>
        <w:pStyle w:val="Sinespaciado"/>
        <w:rPr>
          <w:rFonts w:ascii="Book Antiqua" w:hAnsi="Book Antiqua"/>
          <w:sz w:val="18"/>
          <w:szCs w:val="18"/>
        </w:rPr>
      </w:pPr>
      <w:r w:rsidRPr="006F39BF">
        <w:rPr>
          <w:rFonts w:ascii="Book Antiqua" w:hAnsi="Book Antiqua"/>
          <w:sz w:val="18"/>
          <w:szCs w:val="18"/>
        </w:rPr>
        <w:footnoteRef/>
      </w:r>
      <w:r w:rsidRPr="006F39BF">
        <w:rPr>
          <w:rFonts w:ascii="Book Antiqua" w:hAnsi="Book Antiqua"/>
          <w:sz w:val="18"/>
          <w:szCs w:val="18"/>
        </w:rPr>
        <w:t xml:space="preserve"> Bloomfield MA, Morgan CJ, </w:t>
      </w:r>
      <w:proofErr w:type="spellStart"/>
      <w:r w:rsidRPr="006F39BF">
        <w:rPr>
          <w:rFonts w:ascii="Book Antiqua" w:hAnsi="Book Antiqua"/>
          <w:sz w:val="18"/>
          <w:szCs w:val="18"/>
        </w:rPr>
        <w:t>Egerton</w:t>
      </w:r>
      <w:proofErr w:type="spellEnd"/>
      <w:r w:rsidRPr="006F39BF">
        <w:rPr>
          <w:rFonts w:ascii="Book Antiqua" w:hAnsi="Book Antiqua"/>
          <w:sz w:val="18"/>
          <w:szCs w:val="18"/>
        </w:rPr>
        <w:t xml:space="preserve"> A, </w:t>
      </w:r>
      <w:proofErr w:type="spellStart"/>
      <w:r w:rsidRPr="006F39BF">
        <w:rPr>
          <w:rFonts w:ascii="Book Antiqua" w:hAnsi="Book Antiqua"/>
          <w:sz w:val="18"/>
          <w:szCs w:val="18"/>
        </w:rPr>
        <w:t>Kapur</w:t>
      </w:r>
      <w:proofErr w:type="spellEnd"/>
      <w:r w:rsidRPr="006F39BF">
        <w:rPr>
          <w:rFonts w:ascii="Book Antiqua" w:hAnsi="Book Antiqua"/>
          <w:sz w:val="18"/>
          <w:szCs w:val="18"/>
        </w:rPr>
        <w:t xml:space="preserve"> S, Curran HV, </w:t>
      </w:r>
      <w:proofErr w:type="spellStart"/>
      <w:r w:rsidRPr="006F39BF">
        <w:rPr>
          <w:rFonts w:ascii="Book Antiqua" w:hAnsi="Book Antiqua"/>
          <w:sz w:val="18"/>
          <w:szCs w:val="18"/>
        </w:rPr>
        <w:t>Howes</w:t>
      </w:r>
      <w:proofErr w:type="spellEnd"/>
      <w:r w:rsidRPr="006F39BF">
        <w:rPr>
          <w:rFonts w:ascii="Book Antiqua" w:hAnsi="Book Antiqua"/>
          <w:sz w:val="18"/>
          <w:szCs w:val="18"/>
        </w:rPr>
        <w:t xml:space="preserve"> OD (2014). </w:t>
      </w:r>
      <w:proofErr w:type="spellStart"/>
      <w:r w:rsidRPr="006F39BF">
        <w:rPr>
          <w:rFonts w:ascii="Book Antiqua" w:hAnsi="Book Antiqua"/>
          <w:sz w:val="18"/>
          <w:szCs w:val="18"/>
        </w:rPr>
        <w:t>Dopaminergic</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function</w:t>
      </w:r>
      <w:proofErr w:type="spellEnd"/>
      <w:r w:rsidRPr="006F39BF">
        <w:rPr>
          <w:rFonts w:ascii="Book Antiqua" w:hAnsi="Book Antiqua"/>
          <w:sz w:val="18"/>
          <w:szCs w:val="18"/>
        </w:rPr>
        <w:t xml:space="preserve"> in cannabis </w:t>
      </w:r>
      <w:proofErr w:type="spellStart"/>
      <w:r w:rsidRPr="006F39BF">
        <w:rPr>
          <w:rFonts w:ascii="Book Antiqua" w:hAnsi="Book Antiqua"/>
          <w:sz w:val="18"/>
          <w:szCs w:val="18"/>
        </w:rPr>
        <w:t>users</w:t>
      </w:r>
      <w:proofErr w:type="spellEnd"/>
      <w:r w:rsidRPr="006F39BF">
        <w:rPr>
          <w:rFonts w:ascii="Book Antiqua" w:hAnsi="Book Antiqua"/>
          <w:sz w:val="18"/>
          <w:szCs w:val="18"/>
        </w:rPr>
        <w:t xml:space="preserve"> and </w:t>
      </w:r>
      <w:proofErr w:type="spellStart"/>
      <w:r w:rsidRPr="006F39BF">
        <w:rPr>
          <w:rFonts w:ascii="Book Antiqua" w:hAnsi="Book Antiqua"/>
          <w:sz w:val="18"/>
          <w:szCs w:val="18"/>
        </w:rPr>
        <w:t>its</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relationship</w:t>
      </w:r>
      <w:proofErr w:type="spellEnd"/>
      <w:r w:rsidRPr="006F39BF">
        <w:rPr>
          <w:rFonts w:ascii="Book Antiqua" w:hAnsi="Book Antiqua"/>
          <w:sz w:val="18"/>
          <w:szCs w:val="18"/>
        </w:rPr>
        <w:t xml:space="preserve"> to cannabis-</w:t>
      </w:r>
      <w:proofErr w:type="spellStart"/>
      <w:r w:rsidRPr="006F39BF">
        <w:rPr>
          <w:rFonts w:ascii="Book Antiqua" w:hAnsi="Book Antiqua"/>
          <w:sz w:val="18"/>
          <w:szCs w:val="18"/>
        </w:rPr>
        <w:t>induced</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psychotic</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symptoms</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Biol</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Psychiatry</w:t>
      </w:r>
      <w:proofErr w:type="spellEnd"/>
      <w:r w:rsidRPr="006F39BF">
        <w:rPr>
          <w:rFonts w:ascii="Book Antiqua" w:hAnsi="Book Antiqua"/>
          <w:sz w:val="18"/>
          <w:szCs w:val="18"/>
        </w:rPr>
        <w:t>. 75(6):470-8.</w:t>
      </w:r>
    </w:p>
  </w:footnote>
  <w:footnote w:id="35">
    <w:p w14:paraId="23911D38" w14:textId="77777777" w:rsidR="00DA04B1" w:rsidRPr="007D5EAF" w:rsidRDefault="00DA04B1" w:rsidP="006F39BF">
      <w:pPr>
        <w:pStyle w:val="Sinespaciado"/>
        <w:rPr>
          <w:sz w:val="20"/>
          <w:szCs w:val="20"/>
        </w:rPr>
      </w:pPr>
      <w:r w:rsidRPr="006F39BF">
        <w:rPr>
          <w:rFonts w:ascii="Book Antiqua" w:hAnsi="Book Antiqua"/>
          <w:sz w:val="18"/>
          <w:szCs w:val="18"/>
        </w:rPr>
        <w:footnoteRef/>
      </w:r>
      <w:r w:rsidRPr="006F39BF">
        <w:rPr>
          <w:rFonts w:ascii="Book Antiqua" w:hAnsi="Book Antiqua"/>
          <w:sz w:val="18"/>
          <w:szCs w:val="18"/>
        </w:rPr>
        <w:t xml:space="preserve"> </w:t>
      </w:r>
      <w:proofErr w:type="spellStart"/>
      <w:r w:rsidRPr="006F39BF">
        <w:rPr>
          <w:rFonts w:ascii="Book Antiqua" w:hAnsi="Book Antiqua"/>
          <w:sz w:val="18"/>
          <w:szCs w:val="18"/>
        </w:rPr>
        <w:t>Volkow</w:t>
      </w:r>
      <w:proofErr w:type="spellEnd"/>
      <w:r w:rsidRPr="006F39BF">
        <w:rPr>
          <w:rFonts w:ascii="Book Antiqua" w:hAnsi="Book Antiqua"/>
          <w:sz w:val="18"/>
          <w:szCs w:val="18"/>
        </w:rPr>
        <w:t xml:space="preserve"> ND, Wang GW, </w:t>
      </w:r>
      <w:proofErr w:type="spellStart"/>
      <w:r w:rsidRPr="006F39BF">
        <w:rPr>
          <w:rFonts w:ascii="Book Antiqua" w:hAnsi="Book Antiqua"/>
          <w:sz w:val="18"/>
          <w:szCs w:val="18"/>
        </w:rPr>
        <w:t>Telang</w:t>
      </w:r>
      <w:proofErr w:type="spellEnd"/>
      <w:r w:rsidRPr="006F39BF">
        <w:rPr>
          <w:rFonts w:ascii="Book Antiqua" w:hAnsi="Book Antiqua"/>
          <w:sz w:val="18"/>
          <w:szCs w:val="18"/>
        </w:rPr>
        <w:t xml:space="preserve"> F, </w:t>
      </w:r>
      <w:proofErr w:type="spellStart"/>
      <w:r w:rsidRPr="006F39BF">
        <w:rPr>
          <w:rFonts w:ascii="Book Antiqua" w:hAnsi="Book Antiqua"/>
          <w:sz w:val="18"/>
          <w:szCs w:val="18"/>
        </w:rPr>
        <w:t>Fowler</w:t>
      </w:r>
      <w:proofErr w:type="spellEnd"/>
      <w:r w:rsidRPr="006F39BF">
        <w:rPr>
          <w:rFonts w:ascii="Book Antiqua" w:hAnsi="Book Antiqua"/>
          <w:sz w:val="18"/>
          <w:szCs w:val="18"/>
        </w:rPr>
        <w:t xml:space="preserve"> JS, </w:t>
      </w:r>
      <w:proofErr w:type="spellStart"/>
      <w:r w:rsidRPr="006F39BF">
        <w:rPr>
          <w:rFonts w:ascii="Book Antiqua" w:hAnsi="Book Antiqua"/>
          <w:sz w:val="18"/>
          <w:szCs w:val="18"/>
        </w:rPr>
        <w:t>Alexoff</w:t>
      </w:r>
      <w:proofErr w:type="spellEnd"/>
      <w:r w:rsidRPr="006F39BF">
        <w:rPr>
          <w:rFonts w:ascii="Book Antiqua" w:hAnsi="Book Antiqua"/>
          <w:sz w:val="18"/>
          <w:szCs w:val="18"/>
        </w:rPr>
        <w:t xml:space="preserve"> D, Logan J, et al. (2014b). </w:t>
      </w:r>
      <w:proofErr w:type="spellStart"/>
      <w:r w:rsidRPr="006F39BF">
        <w:rPr>
          <w:rFonts w:ascii="Book Antiqua" w:hAnsi="Book Antiqua"/>
          <w:sz w:val="18"/>
          <w:szCs w:val="18"/>
        </w:rPr>
        <w:t>Decreased</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dopamine</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brain</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reactivity</w:t>
      </w:r>
      <w:proofErr w:type="spellEnd"/>
      <w:r w:rsidRPr="006F39BF">
        <w:rPr>
          <w:rFonts w:ascii="Book Antiqua" w:hAnsi="Book Antiqua"/>
          <w:sz w:val="18"/>
          <w:szCs w:val="18"/>
        </w:rPr>
        <w:t xml:space="preserve"> in </w:t>
      </w:r>
      <w:proofErr w:type="spellStart"/>
      <w:r w:rsidRPr="006F39BF">
        <w:rPr>
          <w:rFonts w:ascii="Book Antiqua" w:hAnsi="Book Antiqua"/>
          <w:sz w:val="18"/>
          <w:szCs w:val="18"/>
        </w:rPr>
        <w:t>marijuana</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abusers</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is</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associated</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with</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negative</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emotionality</w:t>
      </w:r>
      <w:proofErr w:type="spellEnd"/>
      <w:r w:rsidRPr="006F39BF">
        <w:rPr>
          <w:rFonts w:ascii="Book Antiqua" w:hAnsi="Book Antiqua"/>
          <w:sz w:val="18"/>
          <w:szCs w:val="18"/>
        </w:rPr>
        <w:t xml:space="preserve"> and </w:t>
      </w:r>
      <w:proofErr w:type="spellStart"/>
      <w:r w:rsidRPr="006F39BF">
        <w:rPr>
          <w:rFonts w:ascii="Book Antiqua" w:hAnsi="Book Antiqua"/>
          <w:sz w:val="18"/>
          <w:szCs w:val="18"/>
        </w:rPr>
        <w:t>addiction</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severity</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Proc</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Natl</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Acad</w:t>
      </w:r>
      <w:proofErr w:type="spellEnd"/>
      <w:r w:rsidRPr="006F39BF">
        <w:rPr>
          <w:rFonts w:ascii="Book Antiqua" w:hAnsi="Book Antiqua"/>
          <w:sz w:val="18"/>
          <w:szCs w:val="18"/>
        </w:rPr>
        <w:t xml:space="preserve"> </w:t>
      </w:r>
      <w:proofErr w:type="spellStart"/>
      <w:r w:rsidRPr="006F39BF">
        <w:rPr>
          <w:rFonts w:ascii="Book Antiqua" w:hAnsi="Book Antiqua"/>
          <w:sz w:val="18"/>
          <w:szCs w:val="18"/>
        </w:rPr>
        <w:t>Sci</w:t>
      </w:r>
      <w:proofErr w:type="spellEnd"/>
      <w:r w:rsidRPr="006F39BF">
        <w:rPr>
          <w:rFonts w:ascii="Book Antiqua" w:hAnsi="Book Antiqua"/>
          <w:sz w:val="18"/>
          <w:szCs w:val="18"/>
        </w:rPr>
        <w:t xml:space="preserve"> U S A. 111(30</w:t>
      </w:r>
      <w:proofErr w:type="gramStart"/>
      <w:r w:rsidRPr="006F39BF">
        <w:rPr>
          <w:rFonts w:ascii="Book Antiqua" w:hAnsi="Book Antiqua"/>
          <w:sz w:val="18"/>
          <w:szCs w:val="18"/>
        </w:rPr>
        <w:t>):E</w:t>
      </w:r>
      <w:proofErr w:type="gramEnd"/>
      <w:r w:rsidRPr="006F39BF">
        <w:rPr>
          <w:rFonts w:ascii="Book Antiqua" w:hAnsi="Book Antiqua"/>
          <w:sz w:val="18"/>
          <w:szCs w:val="18"/>
        </w:rPr>
        <w:t>3149-E3156.</w:t>
      </w:r>
    </w:p>
  </w:footnote>
  <w:footnote w:id="36">
    <w:p w14:paraId="111AA7B7"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EL PAIS. La ONU reconoce oficialmente que el cannabis puede tener propiedades medicinales. Consultado en: </w:t>
      </w:r>
      <w:hyperlink r:id="rId6" w:history="1">
        <w:r w:rsidRPr="006F39BF">
          <w:rPr>
            <w:rStyle w:val="Hipervnculo"/>
            <w:rFonts w:ascii="Book Antiqua" w:hAnsi="Book Antiqua"/>
            <w:sz w:val="18"/>
            <w:szCs w:val="18"/>
          </w:rPr>
          <w:t>https://elpais.com/sociedad/2020-12-02/la-onu-reconoce-oficialmente-las-propiedades-medicinales-del-cannabis.html</w:t>
        </w:r>
      </w:hyperlink>
      <w:r w:rsidRPr="006F39BF">
        <w:rPr>
          <w:rFonts w:ascii="Book Antiqua" w:hAnsi="Book Antiqua"/>
          <w:sz w:val="18"/>
          <w:szCs w:val="18"/>
        </w:rPr>
        <w:t xml:space="preserve"> </w:t>
      </w:r>
    </w:p>
  </w:footnote>
  <w:footnote w:id="37">
    <w:p w14:paraId="46A0DE10" w14:textId="77777777" w:rsidR="00DA04B1" w:rsidRPr="006F39BF" w:rsidRDefault="00DA04B1" w:rsidP="007F75F8">
      <w:pPr>
        <w:rPr>
          <w:rFonts w:ascii="Book Antiqua" w:hAnsi="Book Antiqua"/>
          <w:sz w:val="18"/>
          <w:szCs w:val="18"/>
        </w:rPr>
      </w:pPr>
      <w:r w:rsidRPr="006F39BF">
        <w:rPr>
          <w:rFonts w:ascii="Book Antiqua" w:hAnsi="Book Antiqua"/>
          <w:sz w:val="18"/>
          <w:szCs w:val="18"/>
          <w:vertAlign w:val="superscript"/>
        </w:rPr>
        <w:footnoteRef/>
      </w:r>
      <w:r w:rsidRPr="006F39BF">
        <w:rPr>
          <w:rFonts w:ascii="Book Antiqua" w:hAnsi="Book Antiqua"/>
          <w:sz w:val="18"/>
          <w:szCs w:val="18"/>
        </w:rPr>
        <w:t xml:space="preserve"> Brands B, Sproule B, Marshman J, directores (1998). Drugs &amp; drug abuse, tercera edición. Toronto: Addiction Research Foundation.</w:t>
      </w:r>
    </w:p>
  </w:footnote>
  <w:footnote w:id="38">
    <w:p w14:paraId="2473E9B3" w14:textId="77777777" w:rsidR="00DA04B1" w:rsidRPr="006F39BF" w:rsidRDefault="00DA04B1" w:rsidP="007F75F8">
      <w:pPr>
        <w:rPr>
          <w:rFonts w:ascii="Book Antiqua" w:hAnsi="Book Antiqua"/>
          <w:sz w:val="18"/>
          <w:szCs w:val="18"/>
        </w:rPr>
      </w:pPr>
      <w:r w:rsidRPr="006F39BF">
        <w:rPr>
          <w:rFonts w:ascii="Book Antiqua" w:hAnsi="Book Antiqua"/>
          <w:sz w:val="18"/>
          <w:szCs w:val="18"/>
          <w:vertAlign w:val="superscript"/>
        </w:rPr>
        <w:footnoteRef/>
      </w:r>
      <w:r w:rsidRPr="006F39BF">
        <w:rPr>
          <w:rFonts w:ascii="Book Antiqua" w:hAnsi="Book Antiqua"/>
          <w:sz w:val="18"/>
          <w:szCs w:val="18"/>
        </w:rPr>
        <w:t xml:space="preserve"> </w:t>
      </w:r>
      <w:r w:rsidRPr="006F39BF">
        <w:rPr>
          <w:rFonts w:ascii="Book Antiqua" w:eastAsia="Arial" w:hAnsi="Book Antiqua" w:cs="Arial"/>
          <w:sz w:val="18"/>
          <w:szCs w:val="18"/>
        </w:rPr>
        <w:t xml:space="preserve">Unidad de Tratamiento del Abuso de Sustancias del Departamento de Salud Mental y Abuso de Sustancias (MSD) de la Organización Mundial de la Salud (OMS). (2018). Efectos sociales y para la salud del consumo de cannabis sin fines médicos (W. Hall, M. Renström, &amp; V. Poznyak, Eds.). </w:t>
      </w:r>
      <w:r w:rsidRPr="006F39BF">
        <w:rPr>
          <w:rFonts w:ascii="Book Antiqua" w:eastAsia="Arial" w:hAnsi="Book Antiqua" w:cs="Arial"/>
          <w:i/>
          <w:sz w:val="18"/>
          <w:szCs w:val="18"/>
        </w:rPr>
        <w:t>Informe Organización Mundial de la Salud</w:t>
      </w:r>
      <w:r w:rsidRPr="006F39BF">
        <w:rPr>
          <w:rFonts w:ascii="Book Antiqua" w:eastAsia="Arial" w:hAnsi="Book Antiqua" w:cs="Arial"/>
          <w:sz w:val="18"/>
          <w:szCs w:val="18"/>
        </w:rPr>
        <w:t xml:space="preserve">. </w:t>
      </w:r>
      <w:hyperlink r:id="rId7">
        <w:r w:rsidRPr="006F39BF">
          <w:rPr>
            <w:rFonts w:ascii="Book Antiqua" w:eastAsia="Arial" w:hAnsi="Book Antiqua" w:cs="Arial"/>
            <w:color w:val="1155CC"/>
            <w:sz w:val="18"/>
            <w:szCs w:val="18"/>
            <w:u w:val="single"/>
          </w:rPr>
          <w:t>Efectos sociales y para la salud del consumo de cannabis sin fines médicos</w:t>
        </w:r>
      </w:hyperlink>
    </w:p>
  </w:footnote>
  <w:footnote w:id="39">
    <w:p w14:paraId="0DD9425C" w14:textId="77777777" w:rsidR="00DA04B1" w:rsidRDefault="00DA04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814 de 2008. M.P. Rodrigo Escobar Gil.</w:t>
      </w:r>
      <w:r>
        <w:t xml:space="preserve"> </w:t>
      </w:r>
    </w:p>
  </w:footnote>
  <w:footnote w:id="40">
    <w:p w14:paraId="62D37E17"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459 de 1998. M.P Vladimiro Naranjo Mesa. </w:t>
      </w:r>
    </w:p>
  </w:footnote>
  <w:footnote w:id="41">
    <w:p w14:paraId="66991ACF" w14:textId="77777777" w:rsidR="00DA04B1" w:rsidRDefault="00DA04B1" w:rsidP="006F4AB1">
      <w:pPr>
        <w:pStyle w:val="Textonotapie"/>
      </w:pPr>
      <w:r w:rsidRPr="006F39BF">
        <w:rPr>
          <w:rStyle w:val="Refdenotaalpie"/>
          <w:rFonts w:ascii="Book Antiqua" w:hAnsi="Book Antiqua"/>
          <w:sz w:val="18"/>
          <w:szCs w:val="18"/>
        </w:rPr>
        <w:footnoteRef/>
      </w:r>
      <w:r w:rsidRPr="006F39BF">
        <w:rPr>
          <w:rFonts w:ascii="Book Antiqua" w:hAnsi="Book Antiqua"/>
          <w:sz w:val="18"/>
          <w:szCs w:val="18"/>
        </w:rPr>
        <w:t xml:space="preserve"> Corte Constitucional. Sentencia T 459 de 1998. M.P Vladimiro Naranjo Mesa.</w:t>
      </w:r>
    </w:p>
  </w:footnote>
  <w:footnote w:id="42">
    <w:p w14:paraId="1AA66AF7" w14:textId="77777777" w:rsidR="00DA04B1" w:rsidRPr="006F39BF" w:rsidRDefault="00DA04B1">
      <w:pPr>
        <w:pStyle w:val="Textonotapie"/>
        <w:rPr>
          <w:rFonts w:ascii="Book Antiqua" w:hAnsi="Book Antiqua"/>
          <w:sz w:val="18"/>
          <w:szCs w:val="18"/>
        </w:rPr>
      </w:pPr>
      <w:r w:rsidRPr="006F39BF">
        <w:rPr>
          <w:rStyle w:val="Refdenotaalpie"/>
          <w:rFonts w:ascii="Book Antiqua" w:hAnsi="Book Antiqua"/>
          <w:sz w:val="18"/>
          <w:szCs w:val="18"/>
        </w:rPr>
        <w:footnoteRef/>
      </w:r>
      <w:r w:rsidRPr="006F39BF">
        <w:rPr>
          <w:rFonts w:ascii="Book Antiqua" w:hAnsi="Book Antiqua"/>
          <w:sz w:val="18"/>
          <w:szCs w:val="18"/>
        </w:rPr>
        <w:t xml:space="preserve"> Ministerio de Salud y protección social. Aproximación a la situación de salud de los adolescentes y jóvenes vinculados al Sistema de Responsabilidad Penal y a las unidades de servicio que los atiende 2021. Febrero de 2022. Consultado en: </w:t>
      </w:r>
      <w:hyperlink r:id="rId8" w:history="1">
        <w:r w:rsidRPr="006F39BF">
          <w:rPr>
            <w:rStyle w:val="Hipervnculo"/>
            <w:rFonts w:ascii="Book Antiqua" w:hAnsi="Book Antiqua"/>
            <w:sz w:val="18"/>
            <w:szCs w:val="18"/>
          </w:rPr>
          <w:t>https://www.minsalud.gov.co/sites/rid/Lists/BibliotecaDigital/RIDE/VS/PP/situacion-salud-jovenes-srpa-2021.pdf</w:t>
        </w:r>
      </w:hyperlink>
      <w:r w:rsidRPr="006F39BF">
        <w:rPr>
          <w:rFonts w:ascii="Book Antiqua" w:hAnsi="Book Antiqua"/>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E4E"/>
    <w:multiLevelType w:val="multilevel"/>
    <w:tmpl w:val="E94A535E"/>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FC3F96"/>
    <w:multiLevelType w:val="multilevel"/>
    <w:tmpl w:val="4A761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702F"/>
    <w:multiLevelType w:val="hybridMultilevel"/>
    <w:tmpl w:val="77B86CC6"/>
    <w:lvl w:ilvl="0" w:tplc="4EF0C9F6">
      <w:start w:val="5"/>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5367CB2"/>
    <w:multiLevelType w:val="hybridMultilevel"/>
    <w:tmpl w:val="B086A7C4"/>
    <w:lvl w:ilvl="0" w:tplc="762ACA1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871B4A"/>
    <w:multiLevelType w:val="multilevel"/>
    <w:tmpl w:val="2CB2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5509B"/>
    <w:multiLevelType w:val="hybridMultilevel"/>
    <w:tmpl w:val="CC72AEA0"/>
    <w:lvl w:ilvl="0" w:tplc="8872EC9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E0278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286964"/>
    <w:multiLevelType w:val="hybridMultilevel"/>
    <w:tmpl w:val="4FD4FFA8"/>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6"/>
  </w:num>
  <w:num w:numId="5">
    <w:abstractNumId w:val="1"/>
  </w:num>
  <w:num w:numId="6">
    <w:abstractNumId w:val="3"/>
  </w:num>
  <w:num w:numId="7">
    <w:abstractNumId w:val="7"/>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32"/>
    <w:rsid w:val="0003054E"/>
    <w:rsid w:val="00034A61"/>
    <w:rsid w:val="00037BDA"/>
    <w:rsid w:val="00072667"/>
    <w:rsid w:val="000A21DE"/>
    <w:rsid w:val="000E0325"/>
    <w:rsid w:val="000E6202"/>
    <w:rsid w:val="000E7275"/>
    <w:rsid w:val="001066C2"/>
    <w:rsid w:val="00106A05"/>
    <w:rsid w:val="00115A30"/>
    <w:rsid w:val="00134561"/>
    <w:rsid w:val="001346B6"/>
    <w:rsid w:val="0016403D"/>
    <w:rsid w:val="00165C46"/>
    <w:rsid w:val="001842F0"/>
    <w:rsid w:val="00193A00"/>
    <w:rsid w:val="001A494E"/>
    <w:rsid w:val="001B14E7"/>
    <w:rsid w:val="001B74B9"/>
    <w:rsid w:val="001D0072"/>
    <w:rsid w:val="001F11AA"/>
    <w:rsid w:val="00205CEB"/>
    <w:rsid w:val="002122FE"/>
    <w:rsid w:val="00243B86"/>
    <w:rsid w:val="00251621"/>
    <w:rsid w:val="0025493B"/>
    <w:rsid w:val="00293B95"/>
    <w:rsid w:val="002978A3"/>
    <w:rsid w:val="002A2EBA"/>
    <w:rsid w:val="002A6A6E"/>
    <w:rsid w:val="002B59B2"/>
    <w:rsid w:val="002C0EA9"/>
    <w:rsid w:val="002D76BA"/>
    <w:rsid w:val="002F7BCC"/>
    <w:rsid w:val="003237C3"/>
    <w:rsid w:val="0033725B"/>
    <w:rsid w:val="003519ED"/>
    <w:rsid w:val="0035503B"/>
    <w:rsid w:val="00360905"/>
    <w:rsid w:val="0037255B"/>
    <w:rsid w:val="0037627A"/>
    <w:rsid w:val="00381C83"/>
    <w:rsid w:val="003A4639"/>
    <w:rsid w:val="003A59AA"/>
    <w:rsid w:val="003A7C38"/>
    <w:rsid w:val="003E7554"/>
    <w:rsid w:val="003F0B7C"/>
    <w:rsid w:val="00401E25"/>
    <w:rsid w:val="00427DE8"/>
    <w:rsid w:val="00431F46"/>
    <w:rsid w:val="00447DD9"/>
    <w:rsid w:val="0046159B"/>
    <w:rsid w:val="00473A19"/>
    <w:rsid w:val="004757FB"/>
    <w:rsid w:val="004A1AFB"/>
    <w:rsid w:val="004A705C"/>
    <w:rsid w:val="004B4C61"/>
    <w:rsid w:val="004D3D00"/>
    <w:rsid w:val="004D45ED"/>
    <w:rsid w:val="004E16BC"/>
    <w:rsid w:val="00504D77"/>
    <w:rsid w:val="00527ADB"/>
    <w:rsid w:val="0055106F"/>
    <w:rsid w:val="00552DBC"/>
    <w:rsid w:val="005551BC"/>
    <w:rsid w:val="00573AAE"/>
    <w:rsid w:val="00574E7C"/>
    <w:rsid w:val="00577222"/>
    <w:rsid w:val="00596EF0"/>
    <w:rsid w:val="005A7F5B"/>
    <w:rsid w:val="005C2EAF"/>
    <w:rsid w:val="005C5648"/>
    <w:rsid w:val="005F41AA"/>
    <w:rsid w:val="00613A71"/>
    <w:rsid w:val="00644F17"/>
    <w:rsid w:val="00651530"/>
    <w:rsid w:val="0067581C"/>
    <w:rsid w:val="00682172"/>
    <w:rsid w:val="00687361"/>
    <w:rsid w:val="00690635"/>
    <w:rsid w:val="00693FA6"/>
    <w:rsid w:val="006A1231"/>
    <w:rsid w:val="006A49F2"/>
    <w:rsid w:val="006C3AB2"/>
    <w:rsid w:val="006D6BD1"/>
    <w:rsid w:val="006F020D"/>
    <w:rsid w:val="006F39BF"/>
    <w:rsid w:val="006F4AB1"/>
    <w:rsid w:val="007038CB"/>
    <w:rsid w:val="00710ECC"/>
    <w:rsid w:val="00723AFC"/>
    <w:rsid w:val="007326D4"/>
    <w:rsid w:val="00745CE6"/>
    <w:rsid w:val="007677CC"/>
    <w:rsid w:val="00772AA7"/>
    <w:rsid w:val="00776416"/>
    <w:rsid w:val="007D5EAF"/>
    <w:rsid w:val="007E3C14"/>
    <w:rsid w:val="007E6BA4"/>
    <w:rsid w:val="007F75F8"/>
    <w:rsid w:val="00851611"/>
    <w:rsid w:val="00874A77"/>
    <w:rsid w:val="0089641D"/>
    <w:rsid w:val="008C4078"/>
    <w:rsid w:val="008D210F"/>
    <w:rsid w:val="008F5E6B"/>
    <w:rsid w:val="008F6DD4"/>
    <w:rsid w:val="008F76FD"/>
    <w:rsid w:val="00900ECE"/>
    <w:rsid w:val="00913DC1"/>
    <w:rsid w:val="00936ABE"/>
    <w:rsid w:val="00945D32"/>
    <w:rsid w:val="00977BB6"/>
    <w:rsid w:val="00984334"/>
    <w:rsid w:val="0099281D"/>
    <w:rsid w:val="009935AF"/>
    <w:rsid w:val="009E775C"/>
    <w:rsid w:val="009F159B"/>
    <w:rsid w:val="009F79C7"/>
    <w:rsid w:val="00A0035A"/>
    <w:rsid w:val="00A11699"/>
    <w:rsid w:val="00A179CA"/>
    <w:rsid w:val="00A576BD"/>
    <w:rsid w:val="00A61FFA"/>
    <w:rsid w:val="00A64940"/>
    <w:rsid w:val="00A83D37"/>
    <w:rsid w:val="00A843ED"/>
    <w:rsid w:val="00AC3879"/>
    <w:rsid w:val="00AC5323"/>
    <w:rsid w:val="00B1388E"/>
    <w:rsid w:val="00B30C67"/>
    <w:rsid w:val="00B35A31"/>
    <w:rsid w:val="00B61CF0"/>
    <w:rsid w:val="00B63A64"/>
    <w:rsid w:val="00B72429"/>
    <w:rsid w:val="00B8298D"/>
    <w:rsid w:val="00B953FE"/>
    <w:rsid w:val="00BE1702"/>
    <w:rsid w:val="00BF2600"/>
    <w:rsid w:val="00BF7DE5"/>
    <w:rsid w:val="00C0679E"/>
    <w:rsid w:val="00C14471"/>
    <w:rsid w:val="00C276AB"/>
    <w:rsid w:val="00C33587"/>
    <w:rsid w:val="00C82412"/>
    <w:rsid w:val="00C83FA0"/>
    <w:rsid w:val="00C92052"/>
    <w:rsid w:val="00CA225C"/>
    <w:rsid w:val="00CB58FA"/>
    <w:rsid w:val="00CC14DC"/>
    <w:rsid w:val="00CC6756"/>
    <w:rsid w:val="00CD0D51"/>
    <w:rsid w:val="00CD5D68"/>
    <w:rsid w:val="00CD7275"/>
    <w:rsid w:val="00CE48EF"/>
    <w:rsid w:val="00D40170"/>
    <w:rsid w:val="00D433A3"/>
    <w:rsid w:val="00D50D07"/>
    <w:rsid w:val="00D57C75"/>
    <w:rsid w:val="00D718EE"/>
    <w:rsid w:val="00D829B0"/>
    <w:rsid w:val="00D83532"/>
    <w:rsid w:val="00DA04B1"/>
    <w:rsid w:val="00DA1CCE"/>
    <w:rsid w:val="00DB3FD2"/>
    <w:rsid w:val="00DB5992"/>
    <w:rsid w:val="00DC35F1"/>
    <w:rsid w:val="00DD107B"/>
    <w:rsid w:val="00DF339E"/>
    <w:rsid w:val="00E01490"/>
    <w:rsid w:val="00E11D56"/>
    <w:rsid w:val="00E12E12"/>
    <w:rsid w:val="00E33563"/>
    <w:rsid w:val="00E344ED"/>
    <w:rsid w:val="00E40347"/>
    <w:rsid w:val="00E46E0E"/>
    <w:rsid w:val="00E72268"/>
    <w:rsid w:val="00EC3872"/>
    <w:rsid w:val="00EC5DAB"/>
    <w:rsid w:val="00F20D27"/>
    <w:rsid w:val="00F26A25"/>
    <w:rsid w:val="00F271BC"/>
    <w:rsid w:val="00F271F2"/>
    <w:rsid w:val="00F543A9"/>
    <w:rsid w:val="00F558A2"/>
    <w:rsid w:val="00F61F8F"/>
    <w:rsid w:val="00F718E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F0708"/>
  <w15:docId w15:val="{8A4DFE6F-61D3-4D42-84AD-B0A099A7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A9"/>
  </w:style>
  <w:style w:type="paragraph" w:styleId="Ttulo1">
    <w:name w:val="heading 1"/>
    <w:basedOn w:val="Normal"/>
    <w:next w:val="Normal"/>
    <w:link w:val="Ttulo1Car"/>
    <w:uiPriority w:val="9"/>
    <w:qFormat/>
    <w:rsid w:val="00CD0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829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281D"/>
    <w:pPr>
      <w:ind w:left="720"/>
      <w:contextualSpacing/>
    </w:pPr>
  </w:style>
  <w:style w:type="paragraph" w:styleId="Textodeglobo">
    <w:name w:val="Balloon Text"/>
    <w:basedOn w:val="Normal"/>
    <w:link w:val="TextodegloboCar"/>
    <w:uiPriority w:val="99"/>
    <w:semiHidden/>
    <w:unhideWhenUsed/>
    <w:rsid w:val="00EC5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DAB"/>
    <w:rPr>
      <w:rFonts w:ascii="Segoe UI" w:hAnsi="Segoe UI" w:cs="Segoe UI"/>
      <w:sz w:val="18"/>
      <w:szCs w:val="18"/>
    </w:rPr>
  </w:style>
  <w:style w:type="paragraph" w:styleId="Sinespaciado">
    <w:name w:val="No Spacing"/>
    <w:uiPriority w:val="1"/>
    <w:qFormat/>
    <w:rsid w:val="00EC5DAB"/>
    <w:pPr>
      <w:spacing w:after="0" w:line="240" w:lineRule="auto"/>
    </w:pPr>
  </w:style>
  <w:style w:type="paragraph" w:styleId="Textonotapie">
    <w:name w:val="footnote text"/>
    <w:basedOn w:val="Normal"/>
    <w:link w:val="TextonotapieCar"/>
    <w:uiPriority w:val="99"/>
    <w:semiHidden/>
    <w:unhideWhenUsed/>
    <w:rsid w:val="00F20D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0D27"/>
    <w:rPr>
      <w:sz w:val="20"/>
      <w:szCs w:val="20"/>
    </w:rPr>
  </w:style>
  <w:style w:type="character" w:styleId="Refdenotaalpie">
    <w:name w:val="footnote reference"/>
    <w:basedOn w:val="Fuentedeprrafopredeter"/>
    <w:uiPriority w:val="99"/>
    <w:semiHidden/>
    <w:unhideWhenUsed/>
    <w:rsid w:val="00F20D27"/>
    <w:rPr>
      <w:vertAlign w:val="superscript"/>
    </w:rPr>
  </w:style>
  <w:style w:type="character" w:styleId="Hipervnculo">
    <w:name w:val="Hyperlink"/>
    <w:basedOn w:val="Fuentedeprrafopredeter"/>
    <w:uiPriority w:val="99"/>
    <w:unhideWhenUsed/>
    <w:rsid w:val="0037255B"/>
    <w:rPr>
      <w:color w:val="0563C1" w:themeColor="hyperlink"/>
      <w:u w:val="single"/>
    </w:rPr>
  </w:style>
  <w:style w:type="character" w:customStyle="1" w:styleId="Ttulo1Car">
    <w:name w:val="Título 1 Car"/>
    <w:basedOn w:val="Fuentedeprrafopredeter"/>
    <w:link w:val="Ttulo1"/>
    <w:uiPriority w:val="9"/>
    <w:rsid w:val="00CD0D51"/>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11699"/>
    <w:pPr>
      <w:spacing w:after="0" w:line="240" w:lineRule="auto"/>
    </w:pPr>
  </w:style>
  <w:style w:type="character" w:styleId="Refdecomentario">
    <w:name w:val="annotation reference"/>
    <w:basedOn w:val="Fuentedeprrafopredeter"/>
    <w:uiPriority w:val="99"/>
    <w:semiHidden/>
    <w:unhideWhenUsed/>
    <w:rsid w:val="000E6202"/>
    <w:rPr>
      <w:sz w:val="16"/>
      <w:szCs w:val="16"/>
    </w:rPr>
  </w:style>
  <w:style w:type="paragraph" w:styleId="Textocomentario">
    <w:name w:val="annotation text"/>
    <w:basedOn w:val="Normal"/>
    <w:link w:val="TextocomentarioCar"/>
    <w:uiPriority w:val="99"/>
    <w:semiHidden/>
    <w:unhideWhenUsed/>
    <w:rsid w:val="000E62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6202"/>
    <w:rPr>
      <w:sz w:val="20"/>
      <w:szCs w:val="20"/>
    </w:rPr>
  </w:style>
  <w:style w:type="paragraph" w:styleId="Asuntodelcomentario">
    <w:name w:val="annotation subject"/>
    <w:basedOn w:val="Textocomentario"/>
    <w:next w:val="Textocomentario"/>
    <w:link w:val="AsuntodelcomentarioCar"/>
    <w:uiPriority w:val="99"/>
    <w:semiHidden/>
    <w:unhideWhenUsed/>
    <w:rsid w:val="000E6202"/>
    <w:rPr>
      <w:b/>
      <w:bCs/>
    </w:rPr>
  </w:style>
  <w:style w:type="character" w:customStyle="1" w:styleId="AsuntodelcomentarioCar">
    <w:name w:val="Asunto del comentario Car"/>
    <w:basedOn w:val="TextocomentarioCar"/>
    <w:link w:val="Asuntodelcomentario"/>
    <w:uiPriority w:val="99"/>
    <w:semiHidden/>
    <w:rsid w:val="000E6202"/>
    <w:rPr>
      <w:b/>
      <w:bCs/>
      <w:sz w:val="20"/>
      <w:szCs w:val="20"/>
    </w:rPr>
  </w:style>
  <w:style w:type="character" w:customStyle="1" w:styleId="Ttulo2Car">
    <w:name w:val="Título 2 Car"/>
    <w:basedOn w:val="Fuentedeprrafopredeter"/>
    <w:link w:val="Ttulo2"/>
    <w:uiPriority w:val="9"/>
    <w:semiHidden/>
    <w:rsid w:val="00B8298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446">
      <w:bodyDiv w:val="1"/>
      <w:marLeft w:val="0"/>
      <w:marRight w:val="0"/>
      <w:marTop w:val="0"/>
      <w:marBottom w:val="0"/>
      <w:divBdr>
        <w:top w:val="none" w:sz="0" w:space="0" w:color="auto"/>
        <w:left w:val="none" w:sz="0" w:space="0" w:color="auto"/>
        <w:bottom w:val="none" w:sz="0" w:space="0" w:color="auto"/>
        <w:right w:val="none" w:sz="0" w:space="0" w:color="auto"/>
      </w:divBdr>
    </w:div>
    <w:div w:id="220095358">
      <w:bodyDiv w:val="1"/>
      <w:marLeft w:val="0"/>
      <w:marRight w:val="0"/>
      <w:marTop w:val="0"/>
      <w:marBottom w:val="0"/>
      <w:divBdr>
        <w:top w:val="none" w:sz="0" w:space="0" w:color="auto"/>
        <w:left w:val="none" w:sz="0" w:space="0" w:color="auto"/>
        <w:bottom w:val="none" w:sz="0" w:space="0" w:color="auto"/>
        <w:right w:val="none" w:sz="0" w:space="0" w:color="auto"/>
      </w:divBdr>
    </w:div>
    <w:div w:id="449668305">
      <w:bodyDiv w:val="1"/>
      <w:marLeft w:val="0"/>
      <w:marRight w:val="0"/>
      <w:marTop w:val="0"/>
      <w:marBottom w:val="0"/>
      <w:divBdr>
        <w:top w:val="none" w:sz="0" w:space="0" w:color="auto"/>
        <w:left w:val="none" w:sz="0" w:space="0" w:color="auto"/>
        <w:bottom w:val="none" w:sz="0" w:space="0" w:color="auto"/>
        <w:right w:val="none" w:sz="0" w:space="0" w:color="auto"/>
      </w:divBdr>
    </w:div>
    <w:div w:id="1355955526">
      <w:bodyDiv w:val="1"/>
      <w:marLeft w:val="0"/>
      <w:marRight w:val="0"/>
      <w:marTop w:val="0"/>
      <w:marBottom w:val="0"/>
      <w:divBdr>
        <w:top w:val="none" w:sz="0" w:space="0" w:color="auto"/>
        <w:left w:val="none" w:sz="0" w:space="0" w:color="auto"/>
        <w:bottom w:val="none" w:sz="0" w:space="0" w:color="auto"/>
        <w:right w:val="none" w:sz="0" w:space="0" w:color="auto"/>
      </w:divBdr>
    </w:div>
    <w:div w:id="1393042881">
      <w:bodyDiv w:val="1"/>
      <w:marLeft w:val="0"/>
      <w:marRight w:val="0"/>
      <w:marTop w:val="0"/>
      <w:marBottom w:val="0"/>
      <w:divBdr>
        <w:top w:val="none" w:sz="0" w:space="0" w:color="auto"/>
        <w:left w:val="none" w:sz="0" w:space="0" w:color="auto"/>
        <w:bottom w:val="none" w:sz="0" w:space="0" w:color="auto"/>
        <w:right w:val="none" w:sz="0" w:space="0" w:color="auto"/>
      </w:divBdr>
    </w:div>
    <w:div w:id="1832601229">
      <w:bodyDiv w:val="1"/>
      <w:marLeft w:val="0"/>
      <w:marRight w:val="0"/>
      <w:marTop w:val="0"/>
      <w:marBottom w:val="0"/>
      <w:divBdr>
        <w:top w:val="none" w:sz="0" w:space="0" w:color="auto"/>
        <w:left w:val="none" w:sz="0" w:space="0" w:color="auto"/>
        <w:bottom w:val="none" w:sz="0" w:space="0" w:color="auto"/>
        <w:right w:val="none" w:sz="0" w:space="0" w:color="auto"/>
      </w:divBdr>
    </w:div>
    <w:div w:id="20395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minsalud.gov.co/sites/rid/Lists/BibliotecaDigital/RIDE/VS/PP/situacion-salud-jovenes-srpa-2021.pdf" TargetMode="External"/><Relationship Id="rId3" Type="http://schemas.openxmlformats.org/officeDocument/2006/relationships/hyperlink" Target="https://onlinelibrary.wiley.com/doi/full/10.1002/wps.20735" TargetMode="External"/><Relationship Id="rId7" Type="http://schemas.openxmlformats.org/officeDocument/2006/relationships/hyperlink" Target="https://iris.paho.org/bitstream/handle/10665.2/34944/9789275319925_spa.pdf?sequence=1&amp;isAllowed=y" TargetMode="External"/><Relationship Id="rId2" Type="http://schemas.openxmlformats.org/officeDocument/2006/relationships/hyperlink" Target="https://www.cdc.gov/marijuana/health-effects/es/teens.html" TargetMode="External"/><Relationship Id="rId1" Type="http://schemas.openxmlformats.org/officeDocument/2006/relationships/hyperlink" Target="https://www.unodc.org/documents/colombia/2018/Junio/CO03142016_estudio_consumo_escolares_2016.pdf" TargetMode="External"/><Relationship Id="rId6" Type="http://schemas.openxmlformats.org/officeDocument/2006/relationships/hyperlink" Target="https://elpais.com/sociedad/2020-12-02/la-onu-reconoce-oficialmente-las-propiedades-medicinales-del-cannabis.html" TargetMode="External"/><Relationship Id="rId5" Type="http://schemas.openxmlformats.org/officeDocument/2006/relationships/hyperlink" Target="https://iris.paho.org/bitstream/handle/10665.2/34944/9789275319925_spa.pdf?sequence=1&amp;isAllowed=y" TargetMode="External"/><Relationship Id="rId4" Type="http://schemas.openxmlformats.org/officeDocument/2006/relationships/hyperlink" Target="https://www.rae.es/dpd/adic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8028B-14CA-432A-B78E-2AE98D53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6548</Words>
  <Characters>36016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Vanessa Gonzalez Guerra</dc:creator>
  <cp:keywords/>
  <dc:description/>
  <cp:lastModifiedBy>Juan Daniel Peñuela calvache</cp:lastModifiedBy>
  <cp:revision>6</cp:revision>
  <cp:lastPrinted>2022-08-23T16:11:00Z</cp:lastPrinted>
  <dcterms:created xsi:type="dcterms:W3CDTF">2022-08-19T16:31:00Z</dcterms:created>
  <dcterms:modified xsi:type="dcterms:W3CDTF">2022-08-23T17:43:00Z</dcterms:modified>
</cp:coreProperties>
</file>