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A80F" w14:textId="77777777" w:rsidR="00A420D2" w:rsidRPr="001A7C74" w:rsidRDefault="00A420D2" w:rsidP="00A420D2">
      <w:pPr>
        <w:spacing w:after="0" w:line="276" w:lineRule="auto"/>
        <w:jc w:val="center"/>
        <w:rPr>
          <w:rFonts w:ascii="Bookman Old Style" w:hAnsi="Bookman Old Style" w:cs="Times New Roman"/>
          <w:sz w:val="24"/>
          <w:szCs w:val="24"/>
          <w:lang w:val="es-MX"/>
        </w:rPr>
      </w:pPr>
    </w:p>
    <w:p w14:paraId="19800B56" w14:textId="77777777" w:rsidR="00A420D2" w:rsidRPr="001A7C74" w:rsidRDefault="00A420D2" w:rsidP="00A420D2">
      <w:pPr>
        <w:spacing w:after="0" w:line="276" w:lineRule="auto"/>
        <w:jc w:val="center"/>
        <w:rPr>
          <w:rFonts w:ascii="Bookman Old Style" w:hAnsi="Bookman Old Style" w:cs="Times New Roman"/>
          <w:b/>
          <w:bCs/>
          <w:sz w:val="24"/>
          <w:szCs w:val="24"/>
          <w:lang w:val="es-MX"/>
        </w:rPr>
      </w:pPr>
      <w:r w:rsidRPr="001A7C74">
        <w:rPr>
          <w:rFonts w:ascii="Bookman Old Style" w:hAnsi="Bookman Old Style" w:cs="Times New Roman"/>
          <w:b/>
          <w:bCs/>
          <w:sz w:val="24"/>
          <w:szCs w:val="24"/>
          <w:lang w:val="es-MX"/>
        </w:rPr>
        <w:t xml:space="preserve">INFORME DE PONENCIA PARA SEGUNDO DEBATE EN PRIMERA VUELTA AL PROYECTO DE ACTO LEGISLATIVO 366 DE 2021 CÁMARA – 011 DE 2021 SENADO </w:t>
      </w:r>
      <w:r w:rsidRPr="001A7C74">
        <w:rPr>
          <w:rFonts w:ascii="Bookman Old Style" w:hAnsi="Bookman Old Style" w:cs="Times New Roman"/>
          <w:sz w:val="24"/>
          <w:szCs w:val="24"/>
          <w:lang w:val="es-MX"/>
        </w:rPr>
        <w:t>“por el cual se modifica el artículo 65 de la Constitución Política de Colombia”.</w:t>
      </w:r>
    </w:p>
    <w:p w14:paraId="603FAB72" w14:textId="77777777" w:rsidR="00A420D2" w:rsidRPr="001A7C74" w:rsidRDefault="00A420D2" w:rsidP="00A420D2">
      <w:pPr>
        <w:spacing w:after="0" w:line="276" w:lineRule="auto"/>
        <w:rPr>
          <w:rFonts w:ascii="Bookman Old Style" w:hAnsi="Bookman Old Style" w:cs="Times New Roman"/>
          <w:b/>
          <w:bCs/>
          <w:sz w:val="24"/>
          <w:szCs w:val="24"/>
          <w:lang w:val="es-MX"/>
        </w:rPr>
      </w:pPr>
    </w:p>
    <w:p w14:paraId="05A12004" w14:textId="77777777" w:rsidR="00A420D2" w:rsidRPr="001A7C74" w:rsidRDefault="00A420D2" w:rsidP="00A420D2">
      <w:pPr>
        <w:spacing w:after="0" w:line="276" w:lineRule="auto"/>
        <w:rPr>
          <w:rFonts w:ascii="Bookman Old Style" w:hAnsi="Bookman Old Style" w:cs="Times New Roman"/>
          <w:sz w:val="24"/>
          <w:szCs w:val="24"/>
          <w:lang w:val="es-MX"/>
        </w:rPr>
      </w:pPr>
    </w:p>
    <w:p w14:paraId="1155E6A3" w14:textId="77777777" w:rsidR="00A420D2" w:rsidRPr="001A7C74" w:rsidRDefault="00A420D2" w:rsidP="00A420D2">
      <w:pPr>
        <w:spacing w:after="0" w:line="276" w:lineRule="auto"/>
        <w:rPr>
          <w:rFonts w:ascii="Bookman Old Style" w:hAnsi="Bookman Old Style" w:cs="Times New Roman"/>
          <w:sz w:val="24"/>
          <w:szCs w:val="24"/>
          <w:lang w:val="es-MX"/>
        </w:rPr>
      </w:pPr>
    </w:p>
    <w:p w14:paraId="277DC2FF" w14:textId="6E167721" w:rsidR="00A420D2" w:rsidRPr="001A7C74" w:rsidRDefault="00A420D2" w:rsidP="00A420D2">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Bogotá D.C., </w:t>
      </w:r>
      <w:r w:rsidR="005C6809">
        <w:rPr>
          <w:rFonts w:ascii="Bookman Old Style" w:hAnsi="Bookman Old Style" w:cs="Times New Roman"/>
          <w:sz w:val="24"/>
          <w:szCs w:val="24"/>
          <w:lang w:val="es-MX"/>
        </w:rPr>
        <w:t>06</w:t>
      </w:r>
      <w:r w:rsidRPr="001A7C74">
        <w:rPr>
          <w:rFonts w:ascii="Bookman Old Style" w:hAnsi="Bookman Old Style" w:cs="Times New Roman"/>
          <w:sz w:val="24"/>
          <w:szCs w:val="24"/>
          <w:lang w:val="es-MX"/>
        </w:rPr>
        <w:t xml:space="preserve"> de </w:t>
      </w:r>
      <w:r w:rsidR="005C6809">
        <w:rPr>
          <w:rFonts w:ascii="Bookman Old Style" w:hAnsi="Bookman Old Style" w:cs="Times New Roman"/>
          <w:sz w:val="24"/>
          <w:szCs w:val="24"/>
          <w:lang w:val="es-MX"/>
        </w:rPr>
        <w:t>dicie</w:t>
      </w:r>
      <w:r w:rsidRPr="001A7C74">
        <w:rPr>
          <w:rFonts w:ascii="Bookman Old Style" w:hAnsi="Bookman Old Style" w:cs="Times New Roman"/>
          <w:sz w:val="24"/>
          <w:szCs w:val="24"/>
          <w:lang w:val="es-MX"/>
        </w:rPr>
        <w:t>mbre de 2021</w:t>
      </w:r>
    </w:p>
    <w:p w14:paraId="1EAE8AED" w14:textId="77777777" w:rsidR="00A420D2" w:rsidRPr="001A7C74" w:rsidRDefault="00A420D2" w:rsidP="00A420D2">
      <w:pPr>
        <w:spacing w:after="0" w:line="276" w:lineRule="auto"/>
        <w:rPr>
          <w:rFonts w:ascii="Bookman Old Style" w:hAnsi="Bookman Old Style" w:cs="Times New Roman"/>
          <w:sz w:val="24"/>
          <w:szCs w:val="24"/>
          <w:lang w:val="es-MX"/>
        </w:rPr>
      </w:pPr>
    </w:p>
    <w:p w14:paraId="29147B38" w14:textId="77777777" w:rsidR="00A420D2" w:rsidRPr="001A7C74" w:rsidRDefault="00A420D2" w:rsidP="00A420D2">
      <w:pPr>
        <w:spacing w:after="0" w:line="276" w:lineRule="auto"/>
        <w:rPr>
          <w:rFonts w:ascii="Bookman Old Style" w:hAnsi="Bookman Old Style" w:cs="Times New Roman"/>
          <w:sz w:val="24"/>
          <w:szCs w:val="24"/>
          <w:lang w:val="es-MX"/>
        </w:rPr>
      </w:pPr>
    </w:p>
    <w:p w14:paraId="11C7D403" w14:textId="77777777" w:rsidR="00A420D2" w:rsidRPr="001A7C74" w:rsidRDefault="00A420D2" w:rsidP="00A420D2">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Honorable Representante</w:t>
      </w:r>
    </w:p>
    <w:p w14:paraId="3A1D2133" w14:textId="77777777" w:rsidR="00A420D2" w:rsidRPr="001A7C74" w:rsidRDefault="00A420D2" w:rsidP="00A420D2">
      <w:pPr>
        <w:spacing w:after="0" w:line="276" w:lineRule="auto"/>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JULIO CÉSAR TRIANA QUINTERO</w:t>
      </w:r>
    </w:p>
    <w:p w14:paraId="0A8F7E84" w14:textId="77777777" w:rsidR="00A420D2" w:rsidRPr="001A7C74" w:rsidRDefault="00A420D2" w:rsidP="00A420D2">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Presidente </w:t>
      </w:r>
    </w:p>
    <w:p w14:paraId="3DF55164" w14:textId="77777777" w:rsidR="00A420D2" w:rsidRPr="001A7C74" w:rsidRDefault="00A420D2" w:rsidP="00A420D2">
      <w:pPr>
        <w:spacing w:after="0" w:line="276" w:lineRule="auto"/>
        <w:rPr>
          <w:rFonts w:ascii="Bookman Old Style" w:hAnsi="Bookman Old Style" w:cs="Times New Roman"/>
          <w:b/>
          <w:bCs/>
          <w:sz w:val="24"/>
          <w:szCs w:val="24"/>
          <w:lang w:val="es-MX"/>
        </w:rPr>
      </w:pPr>
      <w:r w:rsidRPr="001A7C74">
        <w:rPr>
          <w:rFonts w:ascii="Bookman Old Style" w:hAnsi="Bookman Old Style" w:cs="Times New Roman"/>
          <w:b/>
          <w:bCs/>
          <w:sz w:val="24"/>
          <w:szCs w:val="24"/>
          <w:lang w:val="es-MX"/>
        </w:rPr>
        <w:t>Comisión Primera Constitucional Permanente</w:t>
      </w:r>
    </w:p>
    <w:p w14:paraId="07402F17" w14:textId="77777777" w:rsidR="00A420D2" w:rsidRPr="001A7C74" w:rsidRDefault="00A420D2" w:rsidP="00A420D2">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Cámara de Representantes</w:t>
      </w:r>
    </w:p>
    <w:p w14:paraId="445B3CF4" w14:textId="77777777" w:rsidR="00A420D2" w:rsidRPr="001A7C74" w:rsidRDefault="00A420D2" w:rsidP="00A420D2">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Ciudad.</w:t>
      </w:r>
    </w:p>
    <w:p w14:paraId="7B3E2DEF" w14:textId="77777777" w:rsidR="00A420D2" w:rsidRPr="001A7C74" w:rsidRDefault="00A420D2" w:rsidP="00A420D2">
      <w:pPr>
        <w:spacing w:after="0" w:line="276" w:lineRule="auto"/>
        <w:rPr>
          <w:rFonts w:ascii="Bookman Old Style" w:hAnsi="Bookman Old Style" w:cs="Times New Roman"/>
          <w:sz w:val="24"/>
          <w:szCs w:val="24"/>
          <w:lang w:val="es-MX"/>
        </w:rPr>
      </w:pPr>
    </w:p>
    <w:p w14:paraId="1B752D1A" w14:textId="77777777" w:rsidR="00A420D2" w:rsidRPr="001A7C74" w:rsidRDefault="00A420D2" w:rsidP="00A420D2">
      <w:pPr>
        <w:spacing w:after="0" w:line="276" w:lineRule="auto"/>
        <w:rPr>
          <w:rFonts w:ascii="Bookman Old Style" w:hAnsi="Bookman Old Style" w:cs="Times New Roman"/>
          <w:sz w:val="24"/>
          <w:szCs w:val="24"/>
          <w:lang w:val="es-MX"/>
        </w:rPr>
      </w:pPr>
    </w:p>
    <w:p w14:paraId="794FFAE9" w14:textId="77777777" w:rsidR="00A420D2" w:rsidRPr="001A7C74" w:rsidRDefault="00A420D2" w:rsidP="00A420D2">
      <w:pPr>
        <w:spacing w:after="0" w:line="276" w:lineRule="auto"/>
        <w:ind w:left="1416"/>
        <w:jc w:val="both"/>
        <w:rPr>
          <w:rFonts w:ascii="Bookman Old Style" w:hAnsi="Bookman Old Style" w:cs="Times New Roman"/>
          <w:b/>
          <w:bCs/>
          <w:sz w:val="24"/>
          <w:szCs w:val="24"/>
          <w:lang w:val="es-MX"/>
        </w:rPr>
      </w:pPr>
      <w:r w:rsidRPr="001A7C74">
        <w:rPr>
          <w:rFonts w:ascii="Bookman Old Style" w:hAnsi="Bookman Old Style" w:cs="Times New Roman"/>
          <w:b/>
          <w:bCs/>
          <w:sz w:val="24"/>
          <w:szCs w:val="24"/>
          <w:lang w:val="es-MX"/>
        </w:rPr>
        <w:t xml:space="preserve">Referencia: Ponencia para </w:t>
      </w:r>
      <w:r w:rsidR="00480A99" w:rsidRPr="001A7C74">
        <w:rPr>
          <w:rFonts w:ascii="Bookman Old Style" w:hAnsi="Bookman Old Style" w:cs="Times New Roman"/>
          <w:b/>
          <w:bCs/>
          <w:sz w:val="24"/>
          <w:szCs w:val="24"/>
          <w:lang w:val="es-MX"/>
        </w:rPr>
        <w:t>segundo</w:t>
      </w:r>
      <w:r w:rsidRPr="001A7C74">
        <w:rPr>
          <w:rFonts w:ascii="Bookman Old Style" w:hAnsi="Bookman Old Style" w:cs="Times New Roman"/>
          <w:b/>
          <w:bCs/>
          <w:sz w:val="24"/>
          <w:szCs w:val="24"/>
          <w:lang w:val="es-MX"/>
        </w:rPr>
        <w:t xml:space="preserve"> debate en primera vuelta al Proyecto de Acto Legislativo 366 de 2021 Cámara – 011 de 2021 Senado “por el cual se modifica el artículo 65 de la Constitución Política de Colombia”.</w:t>
      </w:r>
    </w:p>
    <w:p w14:paraId="0C59ACE4"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674A5E33"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2B0CAD49"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Respetado Presidente:</w:t>
      </w:r>
    </w:p>
    <w:p w14:paraId="20608C6F"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32F839AB" w14:textId="68FB0C16" w:rsidR="005C6809" w:rsidRDefault="00A420D2" w:rsidP="00A420D2">
      <w:pPr>
        <w:spacing w:after="0" w:line="276" w:lineRule="auto"/>
        <w:jc w:val="both"/>
        <w:rPr>
          <w:rFonts w:ascii="Bookman Old Style" w:hAnsi="Bookman Old Style" w:cs="Times New Roman"/>
          <w:sz w:val="24"/>
          <w:szCs w:val="24"/>
          <w:lang w:val="es-ES"/>
        </w:rPr>
      </w:pPr>
      <w:r w:rsidRPr="001A7C74">
        <w:rPr>
          <w:rFonts w:ascii="Bookman Old Style" w:hAnsi="Bookman Old Style" w:cs="Times New Roman"/>
          <w:sz w:val="24"/>
          <w:szCs w:val="24"/>
          <w:lang w:val="es-ES"/>
        </w:rPr>
        <w:t>En cumplimiento de la designación efectuada por la Mesa Directiva de la Comisión Primera de la Cámara de Representantes, en los términos consagrados en la Ley 5ª de 1992, me permito radicar el informe de ponencia positivo al Proyecto de Acto Legislativo de la referencia, el cual consta de los siguientes puntos:</w:t>
      </w:r>
    </w:p>
    <w:p w14:paraId="020B988A" w14:textId="77777777" w:rsidR="005C6809" w:rsidRDefault="005C6809">
      <w:pPr>
        <w:rPr>
          <w:rFonts w:ascii="Bookman Old Style" w:hAnsi="Bookman Old Style" w:cs="Times New Roman"/>
          <w:sz w:val="24"/>
          <w:szCs w:val="24"/>
          <w:lang w:val="es-ES"/>
        </w:rPr>
      </w:pPr>
      <w:r>
        <w:rPr>
          <w:rFonts w:ascii="Bookman Old Style" w:hAnsi="Bookman Old Style" w:cs="Times New Roman"/>
          <w:sz w:val="24"/>
          <w:szCs w:val="24"/>
          <w:lang w:val="es-ES"/>
        </w:rPr>
        <w:br w:type="page"/>
      </w:r>
    </w:p>
    <w:p w14:paraId="643539E6" w14:textId="77777777" w:rsidR="00A420D2" w:rsidRPr="001A7C74" w:rsidRDefault="00A420D2" w:rsidP="00A420D2">
      <w:pPr>
        <w:spacing w:after="0" w:line="276" w:lineRule="auto"/>
        <w:jc w:val="both"/>
        <w:rPr>
          <w:rFonts w:ascii="Bookman Old Style" w:hAnsi="Bookman Old Style" w:cs="Times New Roman"/>
          <w:sz w:val="24"/>
          <w:szCs w:val="24"/>
          <w:lang w:val="es-ES"/>
        </w:rPr>
      </w:pPr>
    </w:p>
    <w:p w14:paraId="77C92990" w14:textId="77777777" w:rsidR="00A420D2" w:rsidRPr="001A7C74" w:rsidRDefault="00A420D2" w:rsidP="00A420D2">
      <w:pPr>
        <w:spacing w:after="0" w:line="276" w:lineRule="auto"/>
        <w:jc w:val="both"/>
        <w:rPr>
          <w:rFonts w:ascii="Bookman Old Style" w:hAnsi="Bookman Old Style" w:cs="Times New Roman"/>
          <w:b/>
          <w:sz w:val="24"/>
          <w:szCs w:val="24"/>
          <w:lang w:val="es-ES"/>
        </w:rPr>
      </w:pPr>
    </w:p>
    <w:p w14:paraId="7B4C6E59" w14:textId="77777777" w:rsidR="00A420D2" w:rsidRPr="001A7C74" w:rsidRDefault="00A420D2" w:rsidP="00A420D2">
      <w:pPr>
        <w:pStyle w:val="Prrafodelista"/>
        <w:numPr>
          <w:ilvl w:val="0"/>
          <w:numId w:val="1"/>
        </w:numPr>
        <w:spacing w:after="0" w:line="276" w:lineRule="auto"/>
        <w:jc w:val="both"/>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Trámite</w:t>
      </w:r>
    </w:p>
    <w:p w14:paraId="3E32420B" w14:textId="77777777" w:rsidR="00A420D2" w:rsidRPr="001A7C74" w:rsidRDefault="00A420D2" w:rsidP="00A420D2">
      <w:pPr>
        <w:spacing w:after="0" w:line="276" w:lineRule="auto"/>
        <w:jc w:val="both"/>
        <w:rPr>
          <w:rFonts w:ascii="Bookman Old Style" w:hAnsi="Bookman Old Style" w:cs="Times New Roman"/>
          <w:b/>
          <w:sz w:val="24"/>
          <w:szCs w:val="24"/>
          <w:lang w:val="es-MX"/>
        </w:rPr>
      </w:pPr>
    </w:p>
    <w:p w14:paraId="291C87A0"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lang w:val="es-MX"/>
        </w:rPr>
        <w:t xml:space="preserve">El presente Proyecto de Acto Legislativo fue radicado ante la Secretaría General del Senado de la República, el pasado 27 de julio de 2021, por los Honorables Senadores: </w:t>
      </w:r>
      <w:r w:rsidRPr="001A7C74">
        <w:rPr>
          <w:rFonts w:ascii="Bookman Old Style" w:hAnsi="Bookman Old Style" w:cs="Times New Roman"/>
          <w:sz w:val="24"/>
          <w:szCs w:val="24"/>
        </w:rPr>
        <w:t xml:space="preserve">Maritza Martínez </w:t>
      </w:r>
      <w:proofErr w:type="spellStart"/>
      <w:r w:rsidRPr="001A7C74">
        <w:rPr>
          <w:rFonts w:ascii="Bookman Old Style" w:hAnsi="Bookman Old Style" w:cs="Times New Roman"/>
          <w:sz w:val="24"/>
          <w:szCs w:val="24"/>
        </w:rPr>
        <w:t>Aristizábal</w:t>
      </w:r>
      <w:proofErr w:type="spellEnd"/>
      <w:r w:rsidRPr="001A7C74">
        <w:rPr>
          <w:rFonts w:ascii="Bookman Old Style" w:hAnsi="Bookman Old Style" w:cs="Times New Roman"/>
          <w:sz w:val="24"/>
          <w:szCs w:val="24"/>
        </w:rPr>
        <w:t xml:space="preserve">, </w:t>
      </w:r>
      <w:proofErr w:type="spellStart"/>
      <w:r w:rsidRPr="001A7C74">
        <w:rPr>
          <w:rFonts w:ascii="Bookman Old Style" w:hAnsi="Bookman Old Style" w:cs="Times New Roman"/>
          <w:sz w:val="24"/>
          <w:szCs w:val="24"/>
        </w:rPr>
        <w:t>Roosvelt</w:t>
      </w:r>
      <w:proofErr w:type="spellEnd"/>
      <w:r w:rsidRPr="001A7C74">
        <w:rPr>
          <w:rFonts w:ascii="Bookman Old Style" w:hAnsi="Bookman Old Style" w:cs="Times New Roman"/>
          <w:sz w:val="24"/>
          <w:szCs w:val="24"/>
        </w:rPr>
        <w:t xml:space="preserve"> Rodríguez Rengifo, Roy Leonardo Barreras Montealegre, Emma Claudia Castellanos, Daira de Jesús Galvis Méndez, Juan Felipe Lemos Uribe, Juan Diego Gómez Jiménez, Rodrigo Villalba Mosquera, Iván Darío Agudelo Zapata y Guillermo García Realpe, siendo posteriormente publicado en la Gaceta del Congreso No. 1001 de 2021 de fecha 13 de agosto de 2021.</w:t>
      </w:r>
    </w:p>
    <w:p w14:paraId="468BC09E"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7A694FC7"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Para su primer debate, fue designado el Honorable Senador Roosvelt Rodríguez Rengifo como ponente, siendo publicada la ponencia correspondiente en la Gaceta del Congreso No. 1213 del 14 de septiembre de 2021 y posteriormente siendo aprobada el pasado 13 de octubre de 2021 en la Comisión Primera del Senado de la República con las mayorías requeridas para este tipo de proyectos en primera vuelta.</w:t>
      </w:r>
    </w:p>
    <w:p w14:paraId="35267217"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1EF3AC4E"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Para su segundo debate, fue designado nuevamente el Honorable Senador Roosvelt Rodríguez Rengifo, quien presentó ponencia positiva, siendo debidamente publicada en la Gaceta del Congreso No.1505 del 21 de octubre de 2021, siendo discutida y aprobada en Plenaria del Senado de la República el pasado 27 de octubre de 2021.</w:t>
      </w:r>
    </w:p>
    <w:p w14:paraId="0525FEE9"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1DB0EA91"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El día 11 de noviembre de 2021 fue remitido a Comisión Primera el expediente por parte de la Secretaría General de la Cámara de Representantes, siendo designado por la Mesa Directiva como ponente.</w:t>
      </w:r>
    </w:p>
    <w:p w14:paraId="27237FD0" w14:textId="77777777" w:rsidR="00480A99" w:rsidRPr="001A7C74" w:rsidRDefault="00480A99" w:rsidP="00480A99">
      <w:pPr>
        <w:spacing w:after="0" w:line="276" w:lineRule="auto"/>
        <w:jc w:val="both"/>
        <w:rPr>
          <w:rFonts w:ascii="Bookman Old Style" w:hAnsi="Bookman Old Style" w:cs="Times New Roman"/>
          <w:sz w:val="24"/>
          <w:szCs w:val="24"/>
          <w:lang w:val="es-MX"/>
        </w:rPr>
      </w:pPr>
    </w:p>
    <w:p w14:paraId="17EB1ED0" w14:textId="65E761D8" w:rsidR="00480A99" w:rsidRPr="001A7C74" w:rsidRDefault="00480A99" w:rsidP="00480A99">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El texto aprobado en </w:t>
      </w:r>
      <w:r w:rsidR="005C6809">
        <w:rPr>
          <w:rFonts w:ascii="Bookman Old Style" w:hAnsi="Bookman Old Style" w:cs="Times New Roman"/>
          <w:sz w:val="24"/>
          <w:szCs w:val="24"/>
          <w:lang w:val="es-MX"/>
        </w:rPr>
        <w:t>P</w:t>
      </w:r>
      <w:r w:rsidRPr="001A7C74">
        <w:rPr>
          <w:rFonts w:ascii="Bookman Old Style" w:hAnsi="Bookman Old Style" w:cs="Times New Roman"/>
          <w:sz w:val="24"/>
          <w:szCs w:val="24"/>
          <w:lang w:val="es-MX"/>
        </w:rPr>
        <w:t xml:space="preserve">lenaria </w:t>
      </w:r>
      <w:r w:rsidR="005C6809">
        <w:rPr>
          <w:rFonts w:ascii="Bookman Old Style" w:hAnsi="Bookman Old Style" w:cs="Times New Roman"/>
          <w:sz w:val="24"/>
          <w:szCs w:val="24"/>
          <w:lang w:val="es-MX"/>
        </w:rPr>
        <w:t>S</w:t>
      </w:r>
      <w:r w:rsidRPr="001A7C74">
        <w:rPr>
          <w:rFonts w:ascii="Bookman Old Style" w:hAnsi="Bookman Old Style" w:cs="Times New Roman"/>
          <w:sz w:val="24"/>
          <w:szCs w:val="24"/>
          <w:lang w:val="es-MX"/>
        </w:rPr>
        <w:t>enado, publicado en la gaceta 1639 de 2021 el 17 de noviembre de 2021.</w:t>
      </w:r>
    </w:p>
    <w:p w14:paraId="3209D9A5" w14:textId="77777777" w:rsidR="00480A99" w:rsidRPr="001A7C74" w:rsidRDefault="00480A99" w:rsidP="00A420D2">
      <w:pPr>
        <w:spacing w:after="0" w:line="276" w:lineRule="auto"/>
        <w:jc w:val="both"/>
        <w:rPr>
          <w:rFonts w:ascii="Bookman Old Style" w:hAnsi="Bookman Old Style" w:cs="Times New Roman"/>
          <w:sz w:val="24"/>
          <w:szCs w:val="24"/>
          <w:lang w:val="es-MX"/>
        </w:rPr>
      </w:pPr>
    </w:p>
    <w:p w14:paraId="3EEF5EBE" w14:textId="77777777" w:rsidR="00480A99" w:rsidRPr="001A7C74" w:rsidRDefault="00480A99"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Se presentó ponencia positiva para primer debate en comisión primera de la Cámara de Representantes, la cual fue publicada en la gaceta 1634 de 2021.</w:t>
      </w:r>
    </w:p>
    <w:p w14:paraId="001263A9" w14:textId="77777777" w:rsidR="00480A99" w:rsidRPr="001A7C74" w:rsidRDefault="00480A99" w:rsidP="00A420D2">
      <w:pPr>
        <w:spacing w:after="0" w:line="276" w:lineRule="auto"/>
        <w:jc w:val="both"/>
        <w:rPr>
          <w:rFonts w:ascii="Bookman Old Style" w:hAnsi="Bookman Old Style" w:cs="Times New Roman"/>
          <w:sz w:val="24"/>
          <w:szCs w:val="24"/>
          <w:lang w:val="es-MX"/>
        </w:rPr>
      </w:pPr>
    </w:p>
    <w:p w14:paraId="5C860C8E" w14:textId="11B18FEE" w:rsidR="000F60B2" w:rsidRPr="001A7C74" w:rsidRDefault="000F60B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lastRenderedPageBreak/>
        <w:t>Fue aprobado en primer debate en la comisión primera de la Cámara de Representantes en sesión del día 23 de noviembre de 2021</w:t>
      </w:r>
      <w:r w:rsidR="000C627F" w:rsidRPr="001A7C74">
        <w:rPr>
          <w:rFonts w:ascii="Bookman Old Style" w:hAnsi="Bookman Old Style" w:cs="Times New Roman"/>
          <w:sz w:val="24"/>
          <w:szCs w:val="24"/>
          <w:lang w:val="es-MX"/>
        </w:rPr>
        <w:t xml:space="preserve">, </w:t>
      </w:r>
      <w:r w:rsidR="008766EB" w:rsidRPr="001A7C74">
        <w:rPr>
          <w:rFonts w:ascii="Bookman Old Style" w:hAnsi="Bookman Old Style" w:cs="Times New Roman"/>
          <w:sz w:val="24"/>
          <w:szCs w:val="24"/>
          <w:lang w:val="es-MX"/>
        </w:rPr>
        <w:t>si</w:t>
      </w:r>
      <w:r w:rsidR="00DD345D" w:rsidRPr="001A7C74">
        <w:rPr>
          <w:rFonts w:ascii="Bookman Old Style" w:hAnsi="Bookman Old Style" w:cs="Times New Roman"/>
          <w:sz w:val="24"/>
          <w:szCs w:val="24"/>
          <w:lang w:val="es-MX"/>
        </w:rPr>
        <w:t>en</w:t>
      </w:r>
      <w:r w:rsidR="008766EB" w:rsidRPr="001A7C74">
        <w:rPr>
          <w:rFonts w:ascii="Bookman Old Style" w:hAnsi="Bookman Old Style" w:cs="Times New Roman"/>
          <w:sz w:val="24"/>
          <w:szCs w:val="24"/>
          <w:lang w:val="es-MX"/>
        </w:rPr>
        <w:t>do designado nue</w:t>
      </w:r>
      <w:r w:rsidR="00DD345D" w:rsidRPr="001A7C74">
        <w:rPr>
          <w:rFonts w:ascii="Bookman Old Style" w:hAnsi="Bookman Old Style" w:cs="Times New Roman"/>
          <w:sz w:val="24"/>
          <w:szCs w:val="24"/>
          <w:lang w:val="es-MX"/>
        </w:rPr>
        <w:t xml:space="preserve">vamente como ponente y </w:t>
      </w:r>
      <w:r w:rsidR="000C627F" w:rsidRPr="001A7C74">
        <w:rPr>
          <w:rFonts w:ascii="Bookman Old Style" w:hAnsi="Bookman Old Style" w:cs="Times New Roman"/>
          <w:sz w:val="24"/>
          <w:szCs w:val="24"/>
          <w:lang w:val="es-MX"/>
        </w:rPr>
        <w:t>dejando como constancias las proposiciones de</w:t>
      </w:r>
      <w:r w:rsidR="005C6809">
        <w:rPr>
          <w:rFonts w:ascii="Bookman Old Style" w:hAnsi="Bookman Old Style" w:cs="Times New Roman"/>
          <w:sz w:val="24"/>
          <w:szCs w:val="24"/>
          <w:lang w:val="es-MX"/>
        </w:rPr>
        <w:t xml:space="preserve"> los</w:t>
      </w:r>
      <w:r w:rsidR="000C627F" w:rsidRPr="001A7C74">
        <w:rPr>
          <w:rFonts w:ascii="Bookman Old Style" w:hAnsi="Bookman Old Style" w:cs="Times New Roman"/>
          <w:sz w:val="24"/>
          <w:szCs w:val="24"/>
          <w:lang w:val="es-MX"/>
        </w:rPr>
        <w:t xml:space="preserve"> Honorable</w:t>
      </w:r>
      <w:r w:rsidR="005C6809">
        <w:rPr>
          <w:rFonts w:ascii="Bookman Old Style" w:hAnsi="Bookman Old Style" w:cs="Times New Roman"/>
          <w:sz w:val="24"/>
          <w:szCs w:val="24"/>
          <w:lang w:val="es-MX"/>
        </w:rPr>
        <w:t>s</w:t>
      </w:r>
      <w:r w:rsidR="000C627F" w:rsidRPr="001A7C74">
        <w:rPr>
          <w:rFonts w:ascii="Bookman Old Style" w:hAnsi="Bookman Old Style" w:cs="Times New Roman"/>
          <w:sz w:val="24"/>
          <w:szCs w:val="24"/>
          <w:lang w:val="es-MX"/>
        </w:rPr>
        <w:t xml:space="preserve"> Representante</w:t>
      </w:r>
      <w:r w:rsidR="005C6809">
        <w:rPr>
          <w:rFonts w:ascii="Bookman Old Style" w:hAnsi="Bookman Old Style" w:cs="Times New Roman"/>
          <w:sz w:val="24"/>
          <w:szCs w:val="24"/>
          <w:lang w:val="es-MX"/>
        </w:rPr>
        <w:t>s</w:t>
      </w:r>
      <w:r w:rsidR="000C627F" w:rsidRPr="001A7C74">
        <w:rPr>
          <w:rFonts w:ascii="Bookman Old Style" w:hAnsi="Bookman Old Style" w:cs="Times New Roman"/>
          <w:sz w:val="24"/>
          <w:szCs w:val="24"/>
          <w:lang w:val="es-MX"/>
        </w:rPr>
        <w:t xml:space="preserve"> </w:t>
      </w:r>
      <w:r w:rsidR="000C627F" w:rsidRPr="001A7C74">
        <w:rPr>
          <w:rFonts w:ascii="Bookman Old Style" w:hAnsi="Bookman Old Style" w:cs="Arial"/>
          <w:bCs/>
          <w:sz w:val="24"/>
          <w:szCs w:val="24"/>
        </w:rPr>
        <w:t>JULIÁN PEINADO RAMÍREZ</w:t>
      </w:r>
      <w:r w:rsidR="005C6809">
        <w:rPr>
          <w:rFonts w:ascii="Bookman Old Style" w:hAnsi="Bookman Old Style" w:cs="Arial"/>
          <w:bCs/>
          <w:sz w:val="24"/>
          <w:szCs w:val="24"/>
        </w:rPr>
        <w:t>, GABRIEL JAIME VALLEJO y EDWAR RODRÍGUEZ</w:t>
      </w:r>
      <w:r w:rsidR="008F7550" w:rsidRPr="001A7C74">
        <w:rPr>
          <w:rFonts w:ascii="Bookman Old Style" w:hAnsi="Bookman Old Style" w:cs="Arial"/>
          <w:bCs/>
          <w:sz w:val="24"/>
          <w:szCs w:val="24"/>
        </w:rPr>
        <w:t xml:space="preserve"> relacionadas a</w:t>
      </w:r>
      <w:r w:rsidR="001A7C74" w:rsidRPr="001A7C74">
        <w:rPr>
          <w:rFonts w:ascii="Bookman Old Style" w:hAnsi="Bookman Old Style" w:cs="Arial"/>
          <w:bCs/>
          <w:sz w:val="24"/>
          <w:szCs w:val="24"/>
        </w:rPr>
        <w:t xml:space="preserve"> </w:t>
      </w:r>
      <w:r w:rsidR="008F7550" w:rsidRPr="001A7C74">
        <w:rPr>
          <w:rFonts w:ascii="Bookman Old Style" w:hAnsi="Bookman Old Style" w:cs="Arial"/>
          <w:bCs/>
          <w:sz w:val="24"/>
          <w:szCs w:val="24"/>
        </w:rPr>
        <w:t>continuación</w:t>
      </w:r>
      <w:r w:rsidR="001A7C74" w:rsidRPr="001A7C74">
        <w:rPr>
          <w:rFonts w:ascii="Bookman Old Style" w:hAnsi="Bookman Old Style" w:cs="Times New Roman"/>
          <w:sz w:val="24"/>
          <w:szCs w:val="24"/>
          <w:lang w:val="es-MX"/>
        </w:rPr>
        <w:t>,</w:t>
      </w:r>
    </w:p>
    <w:p w14:paraId="1D9C8C57" w14:textId="77777777" w:rsidR="000C627F" w:rsidRPr="001A7C74" w:rsidRDefault="000C627F" w:rsidP="00A420D2">
      <w:pPr>
        <w:spacing w:after="0" w:line="276" w:lineRule="auto"/>
        <w:jc w:val="both"/>
        <w:rPr>
          <w:rFonts w:ascii="Bookman Old Style" w:hAnsi="Bookman Old Style" w:cs="Times New Roman"/>
          <w:sz w:val="24"/>
          <w:szCs w:val="24"/>
          <w:lang w:val="es-MX"/>
        </w:rPr>
      </w:pPr>
    </w:p>
    <w:p w14:paraId="19C0A42C" w14:textId="77777777" w:rsidR="000C627F" w:rsidRPr="001A7C74" w:rsidRDefault="000C627F" w:rsidP="00A420D2">
      <w:pPr>
        <w:spacing w:after="0" w:line="276" w:lineRule="auto"/>
        <w:jc w:val="both"/>
        <w:rPr>
          <w:rFonts w:ascii="Bookman Old Style" w:hAnsi="Bookman Old Style" w:cs="Times New Roman"/>
          <w:sz w:val="24"/>
          <w:szCs w:val="24"/>
          <w:lang w:val="es-MX"/>
        </w:rPr>
      </w:pPr>
    </w:p>
    <w:p w14:paraId="0E66F92A" w14:textId="77777777" w:rsidR="000C627F" w:rsidRPr="001A7C74" w:rsidRDefault="000C627F" w:rsidP="00A420D2">
      <w:pPr>
        <w:spacing w:after="0" w:line="276" w:lineRule="auto"/>
        <w:jc w:val="both"/>
        <w:rPr>
          <w:rFonts w:ascii="Bookman Old Style" w:hAnsi="Bookman Old Style" w:cs="Times New Roman"/>
          <w:sz w:val="24"/>
          <w:szCs w:val="24"/>
          <w:lang w:val="es-MX"/>
        </w:rPr>
      </w:pPr>
    </w:p>
    <w:p w14:paraId="1F71772F" w14:textId="77777777" w:rsidR="000C627F" w:rsidRPr="001A7C74" w:rsidRDefault="000C627F" w:rsidP="000C627F">
      <w:pPr>
        <w:pStyle w:val="Prrafodelista"/>
        <w:numPr>
          <w:ilvl w:val="0"/>
          <w:numId w:val="7"/>
        </w:numPr>
        <w:jc w:val="both"/>
        <w:rPr>
          <w:rFonts w:ascii="Bookman Old Style" w:hAnsi="Bookman Old Style" w:cs="Arial"/>
          <w:b/>
          <w:sz w:val="24"/>
          <w:szCs w:val="24"/>
        </w:rPr>
      </w:pPr>
      <w:bookmarkStart w:id="0" w:name="_Hlk27344976"/>
      <w:r w:rsidRPr="001A7C74">
        <w:rPr>
          <w:rFonts w:ascii="Bookman Old Style" w:hAnsi="Bookman Old Style" w:cs="Arial"/>
          <w:b/>
          <w:sz w:val="24"/>
          <w:szCs w:val="24"/>
        </w:rPr>
        <w:t>Proposición</w:t>
      </w:r>
    </w:p>
    <w:p w14:paraId="5EF5FF05" w14:textId="77777777" w:rsidR="000C627F" w:rsidRPr="001A7C74" w:rsidRDefault="000C627F" w:rsidP="000C627F">
      <w:pPr>
        <w:jc w:val="both"/>
        <w:rPr>
          <w:rFonts w:ascii="Bookman Old Style" w:hAnsi="Bookman Old Style" w:cs="Arial"/>
          <w:sz w:val="24"/>
          <w:szCs w:val="24"/>
        </w:rPr>
      </w:pPr>
      <w:r w:rsidRPr="001A7C74">
        <w:rPr>
          <w:rFonts w:ascii="Bookman Old Style" w:hAnsi="Bookman Old Style" w:cs="Arial"/>
          <w:b/>
          <w:sz w:val="24"/>
          <w:szCs w:val="24"/>
        </w:rPr>
        <w:t xml:space="preserve">ADICIÓNESE </w:t>
      </w:r>
      <w:r w:rsidRPr="001A7C74">
        <w:rPr>
          <w:rFonts w:ascii="Bookman Old Style" w:hAnsi="Bookman Old Style" w:cs="Arial"/>
          <w:bCs/>
          <w:sz w:val="24"/>
          <w:szCs w:val="24"/>
        </w:rPr>
        <w:t xml:space="preserve">un artículo nuevo al </w:t>
      </w:r>
      <w:r w:rsidRPr="001A7C74">
        <w:rPr>
          <w:rFonts w:ascii="Bookman Old Style" w:hAnsi="Bookman Old Style" w:cs="Arial"/>
          <w:sz w:val="24"/>
          <w:szCs w:val="24"/>
        </w:rPr>
        <w:t>Proyecto de Acto Legislativo 366 de 2021 Cámara – 011 de 2021 Senado “por el cual se modifica el artículo 65 de la Constitución Política de Colombia”, el cual quedará así:</w:t>
      </w:r>
    </w:p>
    <w:p w14:paraId="1E453E75" w14:textId="77777777" w:rsidR="000C627F" w:rsidRPr="001A7C74" w:rsidRDefault="000C627F" w:rsidP="000C627F">
      <w:pPr>
        <w:ind w:left="709" w:right="709"/>
        <w:jc w:val="both"/>
        <w:rPr>
          <w:rFonts w:ascii="Bookman Old Style" w:hAnsi="Bookman Old Style" w:cs="Arial"/>
          <w:b/>
          <w:sz w:val="24"/>
          <w:szCs w:val="24"/>
          <w:u w:val="single"/>
        </w:rPr>
      </w:pPr>
      <w:r w:rsidRPr="001A7C74">
        <w:rPr>
          <w:rFonts w:ascii="Bookman Old Style" w:hAnsi="Bookman Old Style" w:cs="Arial"/>
          <w:b/>
          <w:sz w:val="24"/>
          <w:szCs w:val="24"/>
          <w:u w:val="single"/>
        </w:rPr>
        <w:t xml:space="preserve">Artículo Nuevo. Luego de la promulgación de este acto legislativo, el Congreso de la República tendrá hasta un (1) año para aprobar la ley estatutaria que desarrolle este derecho.  </w:t>
      </w:r>
    </w:p>
    <w:p w14:paraId="6179C799" w14:textId="77777777" w:rsidR="000C627F" w:rsidRPr="001A7C74" w:rsidRDefault="000C627F" w:rsidP="000C627F">
      <w:pPr>
        <w:jc w:val="both"/>
        <w:rPr>
          <w:rFonts w:ascii="Bookman Old Style" w:hAnsi="Bookman Old Style" w:cs="Arial"/>
          <w:sz w:val="24"/>
          <w:szCs w:val="24"/>
        </w:rPr>
      </w:pPr>
    </w:p>
    <w:p w14:paraId="17EB2229" w14:textId="77777777" w:rsidR="000C627F" w:rsidRPr="001A7C74" w:rsidRDefault="000C627F" w:rsidP="000C627F">
      <w:pPr>
        <w:rPr>
          <w:rFonts w:ascii="Bookman Old Style" w:hAnsi="Bookman Old Style" w:cs="Arial"/>
          <w:sz w:val="24"/>
          <w:szCs w:val="24"/>
        </w:rPr>
      </w:pPr>
      <w:r w:rsidRPr="001A7C74">
        <w:rPr>
          <w:rFonts w:ascii="Bookman Old Style" w:hAnsi="Bookman Old Style" w:cs="Arial"/>
          <w:b/>
          <w:bCs/>
          <w:sz w:val="24"/>
          <w:szCs w:val="24"/>
        </w:rPr>
        <w:t>JULIÁN PEINADO RAMÍREZ</w:t>
      </w:r>
      <w:r w:rsidRPr="001A7C74">
        <w:rPr>
          <w:rFonts w:ascii="Bookman Old Style" w:hAnsi="Bookman Old Style" w:cs="Arial"/>
          <w:sz w:val="24"/>
          <w:szCs w:val="24"/>
        </w:rPr>
        <w:br/>
        <w:t>Representante a la Cámara</w:t>
      </w:r>
      <w:r w:rsidRPr="001A7C74">
        <w:rPr>
          <w:rFonts w:ascii="Bookman Old Style" w:hAnsi="Bookman Old Style" w:cs="Arial"/>
          <w:sz w:val="24"/>
          <w:szCs w:val="24"/>
        </w:rPr>
        <w:br/>
        <w:t>Departamento de Antioquia</w:t>
      </w:r>
      <w:bookmarkEnd w:id="0"/>
    </w:p>
    <w:p w14:paraId="328A2FC0" w14:textId="77777777" w:rsidR="000C627F" w:rsidRPr="001A7C74" w:rsidRDefault="000C627F" w:rsidP="000C627F">
      <w:pPr>
        <w:jc w:val="both"/>
        <w:rPr>
          <w:rFonts w:ascii="Bookman Old Style" w:hAnsi="Bookman Old Style" w:cs="Arial"/>
          <w:sz w:val="24"/>
          <w:szCs w:val="24"/>
        </w:rPr>
      </w:pPr>
    </w:p>
    <w:p w14:paraId="7A569CB5" w14:textId="77777777" w:rsidR="000C627F" w:rsidRPr="001A7C74" w:rsidRDefault="000C627F" w:rsidP="000C627F">
      <w:pPr>
        <w:pStyle w:val="Prrafodelista"/>
        <w:numPr>
          <w:ilvl w:val="0"/>
          <w:numId w:val="7"/>
        </w:numPr>
        <w:jc w:val="both"/>
        <w:rPr>
          <w:rFonts w:ascii="Bookman Old Style" w:hAnsi="Bookman Old Style" w:cs="Arial"/>
          <w:b/>
          <w:sz w:val="24"/>
          <w:szCs w:val="24"/>
        </w:rPr>
      </w:pPr>
      <w:r w:rsidRPr="001A7C74">
        <w:rPr>
          <w:rFonts w:ascii="Bookman Old Style" w:hAnsi="Bookman Old Style" w:cs="Arial"/>
          <w:b/>
          <w:sz w:val="24"/>
          <w:szCs w:val="24"/>
        </w:rPr>
        <w:t>Proposición</w:t>
      </w:r>
    </w:p>
    <w:p w14:paraId="67C6C24A" w14:textId="77777777" w:rsidR="000C627F" w:rsidRPr="001A7C74" w:rsidRDefault="000C627F" w:rsidP="000C627F">
      <w:pPr>
        <w:jc w:val="both"/>
        <w:rPr>
          <w:rFonts w:ascii="Bookman Old Style" w:hAnsi="Bookman Old Style" w:cs="Arial"/>
          <w:sz w:val="24"/>
          <w:szCs w:val="24"/>
        </w:rPr>
      </w:pPr>
      <w:r w:rsidRPr="001A7C74">
        <w:rPr>
          <w:rFonts w:ascii="Bookman Old Style" w:hAnsi="Bookman Old Style" w:cs="Arial"/>
          <w:b/>
          <w:sz w:val="24"/>
          <w:szCs w:val="24"/>
        </w:rPr>
        <w:t xml:space="preserve">ADICIÓNESE </w:t>
      </w:r>
      <w:r w:rsidRPr="001A7C74">
        <w:rPr>
          <w:rFonts w:ascii="Bookman Old Style" w:hAnsi="Bookman Old Style" w:cs="Arial"/>
          <w:bCs/>
          <w:sz w:val="24"/>
          <w:szCs w:val="24"/>
        </w:rPr>
        <w:t xml:space="preserve">un artículo nuevo al </w:t>
      </w:r>
      <w:r w:rsidRPr="001A7C74">
        <w:rPr>
          <w:rFonts w:ascii="Bookman Old Style" w:hAnsi="Bookman Old Style" w:cs="Arial"/>
          <w:sz w:val="24"/>
          <w:szCs w:val="24"/>
        </w:rPr>
        <w:t>Proyecto de Acto Legislativo 366 de 2021 Cámara – 011 de 2021 Senado “por el cual se modifica el artículo 65 de la Constitución Política de Colombia”, el cual quedará así:</w:t>
      </w:r>
    </w:p>
    <w:p w14:paraId="4F187882" w14:textId="77777777" w:rsidR="000C627F" w:rsidRPr="001A7C74" w:rsidRDefault="000C627F" w:rsidP="000C627F">
      <w:pPr>
        <w:ind w:left="709" w:right="709"/>
        <w:jc w:val="both"/>
        <w:rPr>
          <w:rFonts w:ascii="Bookman Old Style" w:hAnsi="Bookman Old Style" w:cs="Arial"/>
          <w:b/>
          <w:sz w:val="24"/>
          <w:szCs w:val="24"/>
          <w:u w:val="single"/>
        </w:rPr>
      </w:pPr>
      <w:r w:rsidRPr="001A7C74">
        <w:rPr>
          <w:rFonts w:ascii="Bookman Old Style" w:hAnsi="Bookman Old Style" w:cs="Arial"/>
          <w:b/>
          <w:sz w:val="24"/>
          <w:szCs w:val="24"/>
          <w:u w:val="single"/>
        </w:rPr>
        <w:t>Artículo Nuevo. Modifíquese el artículo 45 de la Constitución Política, el cual quedará así:</w:t>
      </w:r>
    </w:p>
    <w:p w14:paraId="78D3F514" w14:textId="77777777" w:rsidR="000C627F" w:rsidRPr="001A7C74" w:rsidRDefault="000C627F" w:rsidP="000C627F">
      <w:pPr>
        <w:ind w:left="1418" w:right="1418"/>
        <w:jc w:val="both"/>
        <w:rPr>
          <w:rFonts w:ascii="Bookman Old Style" w:hAnsi="Bookman Old Style" w:cs="Arial"/>
          <w:b/>
          <w:sz w:val="24"/>
          <w:szCs w:val="24"/>
          <w:u w:val="single"/>
        </w:rPr>
      </w:pPr>
      <w:r w:rsidRPr="001A7C74">
        <w:rPr>
          <w:rFonts w:ascii="Bookman Old Style" w:hAnsi="Bookman Old Style" w:cs="Arial"/>
          <w:b/>
          <w:sz w:val="24"/>
          <w:szCs w:val="24"/>
          <w:u w:val="single"/>
        </w:rPr>
        <w:t>Artículo 45. El adolescente tiene derecho a la protección y a la formación integral, así como a recibir un mínimo de alimentación adecuada y acorde a las necesidades nutricionales para su correcto desarrollo.</w:t>
      </w:r>
    </w:p>
    <w:p w14:paraId="766E0902" w14:textId="77777777" w:rsidR="000C627F" w:rsidRPr="001A7C74" w:rsidRDefault="000C627F" w:rsidP="000C627F">
      <w:pPr>
        <w:ind w:left="1418" w:right="1418"/>
        <w:jc w:val="both"/>
        <w:rPr>
          <w:rFonts w:ascii="Bookman Old Style" w:hAnsi="Bookman Old Style" w:cs="Arial"/>
          <w:b/>
          <w:sz w:val="24"/>
          <w:szCs w:val="24"/>
          <w:u w:val="single"/>
        </w:rPr>
      </w:pPr>
      <w:r w:rsidRPr="001A7C74">
        <w:rPr>
          <w:rFonts w:ascii="Bookman Old Style" w:hAnsi="Bookman Old Style" w:cs="Arial"/>
          <w:b/>
          <w:sz w:val="24"/>
          <w:szCs w:val="24"/>
          <w:u w:val="single"/>
        </w:rPr>
        <w:lastRenderedPageBreak/>
        <w:t>El Estado y la sociedad garantizan la participación activa de los jóvenes en los organismos públicos y privados que tengan a cargo la protección, educación y progreso de la juventud.</w:t>
      </w:r>
    </w:p>
    <w:p w14:paraId="765C7E98" w14:textId="77777777" w:rsidR="000C627F" w:rsidRDefault="000C627F" w:rsidP="000C627F">
      <w:pPr>
        <w:jc w:val="both"/>
        <w:rPr>
          <w:rFonts w:ascii="Bookman Old Style" w:hAnsi="Bookman Old Style"/>
          <w:sz w:val="24"/>
          <w:szCs w:val="24"/>
        </w:rPr>
      </w:pPr>
    </w:p>
    <w:p w14:paraId="55718A93" w14:textId="77777777" w:rsidR="001A7C74" w:rsidRDefault="001A7C74" w:rsidP="000C627F">
      <w:pPr>
        <w:jc w:val="both"/>
        <w:rPr>
          <w:rFonts w:ascii="Bookman Old Style" w:hAnsi="Bookman Old Style"/>
          <w:sz w:val="24"/>
          <w:szCs w:val="24"/>
        </w:rPr>
      </w:pPr>
    </w:p>
    <w:p w14:paraId="7FDDFEE4" w14:textId="77777777" w:rsidR="001A7C74" w:rsidRPr="001A7C74" w:rsidRDefault="001A7C74" w:rsidP="000C627F">
      <w:pPr>
        <w:jc w:val="both"/>
        <w:rPr>
          <w:rFonts w:ascii="Bookman Old Style" w:hAnsi="Bookman Old Style"/>
          <w:sz w:val="24"/>
          <w:szCs w:val="24"/>
        </w:rPr>
      </w:pPr>
    </w:p>
    <w:p w14:paraId="02887AB3" w14:textId="77777777" w:rsidR="000C627F" w:rsidRPr="001A7C74" w:rsidRDefault="000C627F" w:rsidP="000C627F">
      <w:pPr>
        <w:pStyle w:val="Prrafodelista"/>
        <w:numPr>
          <w:ilvl w:val="0"/>
          <w:numId w:val="7"/>
        </w:numPr>
        <w:jc w:val="both"/>
        <w:rPr>
          <w:rFonts w:ascii="Bookman Old Style" w:hAnsi="Bookman Old Style" w:cs="Arial"/>
          <w:b/>
          <w:sz w:val="24"/>
          <w:szCs w:val="24"/>
        </w:rPr>
      </w:pPr>
      <w:r w:rsidRPr="001A7C74">
        <w:rPr>
          <w:rFonts w:ascii="Bookman Old Style" w:hAnsi="Bookman Old Style" w:cs="Arial"/>
          <w:b/>
          <w:sz w:val="24"/>
          <w:szCs w:val="24"/>
        </w:rPr>
        <w:t>Proposición</w:t>
      </w:r>
    </w:p>
    <w:p w14:paraId="48D7E0E5" w14:textId="77777777" w:rsidR="000C627F" w:rsidRPr="001A7C74" w:rsidRDefault="000C627F" w:rsidP="000C627F">
      <w:pPr>
        <w:jc w:val="both"/>
        <w:rPr>
          <w:rFonts w:ascii="Bookman Old Style" w:hAnsi="Bookman Old Style" w:cs="Arial"/>
          <w:sz w:val="24"/>
          <w:szCs w:val="24"/>
        </w:rPr>
      </w:pPr>
      <w:r w:rsidRPr="001A7C74">
        <w:rPr>
          <w:rFonts w:ascii="Bookman Old Style" w:hAnsi="Bookman Old Style" w:cs="Arial"/>
          <w:b/>
          <w:sz w:val="24"/>
          <w:szCs w:val="24"/>
        </w:rPr>
        <w:t xml:space="preserve">MODIFÍQUESE </w:t>
      </w:r>
      <w:r w:rsidRPr="001A7C74">
        <w:rPr>
          <w:rFonts w:ascii="Bookman Old Style" w:hAnsi="Bookman Old Style" w:cs="Arial"/>
          <w:bCs/>
          <w:sz w:val="24"/>
          <w:szCs w:val="24"/>
        </w:rPr>
        <w:t xml:space="preserve">el artículo 1 del </w:t>
      </w:r>
      <w:r w:rsidRPr="001A7C74">
        <w:rPr>
          <w:rFonts w:ascii="Bookman Old Style" w:hAnsi="Bookman Old Style" w:cs="Arial"/>
          <w:sz w:val="24"/>
          <w:szCs w:val="24"/>
        </w:rPr>
        <w:t>Proyecto de Acto Legislativo 366 de 2021 Cámara – 011 de 2021 Senado “por el cual se modifica el artículo 65 de la Constitución Política de Colombia”, el cual quedará así:</w:t>
      </w:r>
    </w:p>
    <w:p w14:paraId="1CDB900E" w14:textId="77777777" w:rsidR="000C627F" w:rsidRPr="001A7C74" w:rsidRDefault="000C627F" w:rsidP="000C627F">
      <w:pPr>
        <w:ind w:left="709" w:right="709"/>
        <w:jc w:val="both"/>
        <w:rPr>
          <w:rFonts w:ascii="Bookman Old Style" w:hAnsi="Bookman Old Style" w:cs="Arial"/>
          <w:bCs/>
          <w:sz w:val="24"/>
          <w:szCs w:val="24"/>
        </w:rPr>
      </w:pPr>
      <w:r w:rsidRPr="001A7C74">
        <w:rPr>
          <w:rFonts w:ascii="Bookman Old Style" w:hAnsi="Bookman Old Style" w:cs="Arial"/>
          <w:b/>
          <w:sz w:val="24"/>
          <w:szCs w:val="24"/>
        </w:rPr>
        <w:t>Artículo 1º.</w:t>
      </w:r>
      <w:r w:rsidRPr="001A7C74">
        <w:rPr>
          <w:rFonts w:ascii="Bookman Old Style" w:hAnsi="Bookman Old Style" w:cs="Arial"/>
          <w:bCs/>
          <w:sz w:val="24"/>
          <w:szCs w:val="24"/>
        </w:rPr>
        <w:t xml:space="preserve"> Modifíquese el artículo 65 de la Constitución Política de Colombia, el cual quedará así:</w:t>
      </w:r>
    </w:p>
    <w:p w14:paraId="2E3231EB" w14:textId="77777777" w:rsidR="000C627F" w:rsidRPr="001A7C74" w:rsidRDefault="000C627F" w:rsidP="000C627F">
      <w:pPr>
        <w:ind w:left="1418" w:right="1418"/>
        <w:jc w:val="both"/>
        <w:rPr>
          <w:rFonts w:ascii="Bookman Old Style" w:hAnsi="Bookman Old Style" w:cs="Arial"/>
          <w:bCs/>
          <w:sz w:val="24"/>
          <w:szCs w:val="24"/>
        </w:rPr>
      </w:pPr>
      <w:r w:rsidRPr="001A7C74">
        <w:rPr>
          <w:rFonts w:ascii="Bookman Old Style" w:hAnsi="Bookman Old Style" w:cs="Arial"/>
          <w:b/>
          <w:sz w:val="24"/>
          <w:szCs w:val="24"/>
        </w:rPr>
        <w:t>Artículo 65.</w:t>
      </w:r>
      <w:r w:rsidRPr="001A7C74">
        <w:rPr>
          <w:rFonts w:ascii="Bookman Old Style" w:hAnsi="Bookman Old Style" w:cs="Arial"/>
          <w:bCs/>
          <w:sz w:val="24"/>
          <w:szCs w:val="24"/>
        </w:rPr>
        <w:t xml:space="preserve"> El Estado garantizará el derecho a la alimentación adecuada</w:t>
      </w:r>
      <w:r w:rsidRPr="001A7C74">
        <w:rPr>
          <w:rFonts w:ascii="Bookman Old Style" w:hAnsi="Bookman Old Style"/>
          <w:b/>
          <w:sz w:val="24"/>
          <w:szCs w:val="24"/>
          <w:u w:val="single"/>
          <w:lang w:eastAsia="es-CO"/>
        </w:rPr>
        <w:t xml:space="preserve">, </w:t>
      </w:r>
      <w:r w:rsidRPr="001A7C74">
        <w:rPr>
          <w:rFonts w:ascii="Bookman Old Style" w:hAnsi="Bookman Old Style" w:cs="Arial"/>
          <w:b/>
          <w:bCs/>
          <w:sz w:val="24"/>
          <w:szCs w:val="24"/>
          <w:u w:val="single"/>
          <w:lang w:val="es-ES_tradnl"/>
        </w:rPr>
        <w:t>a no padecer hambre</w:t>
      </w:r>
      <w:r w:rsidRPr="001A7C74">
        <w:rPr>
          <w:rFonts w:ascii="Bookman Old Style" w:hAnsi="Bookman Old Style" w:cs="Arial"/>
          <w:bCs/>
          <w:sz w:val="24"/>
          <w:szCs w:val="24"/>
        </w:rPr>
        <w:t xml:space="preserve"> y a proteger a las personas contra el hambre y la desnutrición. Así mismo promoverá condiciones de seguridad alimentaria y soberanía alimentaria en el territorio nacional. </w:t>
      </w:r>
    </w:p>
    <w:p w14:paraId="56B1CD20" w14:textId="77777777" w:rsidR="000C627F" w:rsidRPr="001A7C74" w:rsidRDefault="000C627F" w:rsidP="000C627F">
      <w:pPr>
        <w:ind w:left="1418" w:right="1418"/>
        <w:jc w:val="both"/>
        <w:rPr>
          <w:rFonts w:ascii="Bookman Old Style" w:hAnsi="Bookman Old Style" w:cs="Arial"/>
          <w:bCs/>
          <w:sz w:val="24"/>
          <w:szCs w:val="24"/>
        </w:rPr>
      </w:pPr>
      <w:r w:rsidRPr="001A7C74">
        <w:rPr>
          <w:rFonts w:ascii="Bookman Old Style" w:hAnsi="Bookman Old Style" w:cs="Arial"/>
          <w:bCs/>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7E172CC6" w14:textId="77777777" w:rsidR="000C627F" w:rsidRPr="001A7C74" w:rsidRDefault="000C627F" w:rsidP="000C627F">
      <w:pPr>
        <w:ind w:left="1418" w:right="1418"/>
        <w:jc w:val="both"/>
        <w:rPr>
          <w:rFonts w:ascii="Bookman Old Style" w:hAnsi="Bookman Old Style" w:cs="Arial"/>
          <w:bCs/>
          <w:sz w:val="24"/>
          <w:szCs w:val="24"/>
        </w:rPr>
      </w:pPr>
      <w:r w:rsidRPr="001A7C74">
        <w:rPr>
          <w:rFonts w:ascii="Bookman Old Style" w:hAnsi="Bookman Old Style" w:cs="Arial"/>
          <w:bCs/>
          <w:sz w:val="24"/>
          <w:szCs w:val="24"/>
        </w:rPr>
        <w:t xml:space="preserve">De igual manera, el Estado promoverá la investigación y la transferencia de tecnología para la producción de alimentos y materias primas de origen agropecuario, con el propósito de incrementar la productividad, dando prioridad a las </w:t>
      </w:r>
      <w:r w:rsidRPr="001A7C74">
        <w:rPr>
          <w:rFonts w:ascii="Bookman Old Style" w:hAnsi="Bookman Old Style" w:cs="Arial"/>
          <w:bCs/>
          <w:sz w:val="24"/>
          <w:szCs w:val="24"/>
        </w:rPr>
        <w:lastRenderedPageBreak/>
        <w:t>formas de producción de alimentos que estén acorde con una dieta saludable y que generen un menor impacto ambiental.</w:t>
      </w:r>
    </w:p>
    <w:p w14:paraId="5A1D9433" w14:textId="1A8C6E4E" w:rsidR="00480A99" w:rsidRDefault="000C627F" w:rsidP="000C627F">
      <w:pPr>
        <w:ind w:left="1418" w:right="1418"/>
        <w:jc w:val="both"/>
        <w:rPr>
          <w:rFonts w:ascii="Bookman Old Style" w:hAnsi="Bookman Old Style" w:cs="Arial"/>
          <w:b/>
          <w:bCs/>
          <w:sz w:val="24"/>
          <w:szCs w:val="24"/>
          <w:u w:val="single"/>
          <w:lang w:val="es-ES_tradnl"/>
        </w:rPr>
      </w:pPr>
      <w:r w:rsidRPr="001A7C74">
        <w:rPr>
          <w:rFonts w:ascii="Bookman Old Style" w:hAnsi="Bookman Old Style" w:cs="Arial"/>
          <w:b/>
          <w:bCs/>
          <w:sz w:val="24"/>
          <w:szCs w:val="24"/>
          <w:u w:val="single"/>
          <w:lang w:val="es-ES_tradnl"/>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18707503" w14:textId="77777777" w:rsidR="005C6809" w:rsidRDefault="005C6809" w:rsidP="000C627F">
      <w:pPr>
        <w:ind w:left="1418" w:right="1418"/>
        <w:jc w:val="both"/>
        <w:rPr>
          <w:rFonts w:ascii="Bookman Old Style" w:hAnsi="Bookman Old Style" w:cs="Arial"/>
          <w:b/>
          <w:bCs/>
          <w:sz w:val="24"/>
          <w:szCs w:val="24"/>
          <w:u w:val="single"/>
          <w:lang w:val="es-ES_tradnl"/>
        </w:rPr>
      </w:pPr>
    </w:p>
    <w:p w14:paraId="5D0D7CAB" w14:textId="77777777" w:rsidR="005C6809" w:rsidRPr="001A7C74" w:rsidRDefault="005C6809" w:rsidP="005C6809">
      <w:pPr>
        <w:pStyle w:val="Prrafodelista"/>
        <w:numPr>
          <w:ilvl w:val="0"/>
          <w:numId w:val="7"/>
        </w:numPr>
        <w:jc w:val="both"/>
        <w:rPr>
          <w:rFonts w:ascii="Bookman Old Style" w:hAnsi="Bookman Old Style" w:cs="Arial"/>
          <w:b/>
          <w:sz w:val="24"/>
          <w:szCs w:val="24"/>
        </w:rPr>
      </w:pPr>
      <w:r w:rsidRPr="001A7C74">
        <w:rPr>
          <w:rFonts w:ascii="Bookman Old Style" w:hAnsi="Bookman Old Style" w:cs="Arial"/>
          <w:b/>
          <w:sz w:val="24"/>
          <w:szCs w:val="24"/>
        </w:rPr>
        <w:t>Proposición</w:t>
      </w:r>
    </w:p>
    <w:p w14:paraId="6974982A" w14:textId="77777777" w:rsidR="005C6809" w:rsidRPr="001A7C74" w:rsidRDefault="005C6809" w:rsidP="005C6809">
      <w:pPr>
        <w:jc w:val="both"/>
        <w:rPr>
          <w:rFonts w:ascii="Bookman Old Style" w:hAnsi="Bookman Old Style" w:cs="Arial"/>
          <w:sz w:val="24"/>
          <w:szCs w:val="24"/>
        </w:rPr>
      </w:pPr>
      <w:r w:rsidRPr="001A7C74">
        <w:rPr>
          <w:rFonts w:ascii="Bookman Old Style" w:hAnsi="Bookman Old Style" w:cs="Arial"/>
          <w:b/>
          <w:sz w:val="24"/>
          <w:szCs w:val="24"/>
        </w:rPr>
        <w:t xml:space="preserve">MODIFÍQUESE </w:t>
      </w:r>
      <w:r w:rsidRPr="001A7C74">
        <w:rPr>
          <w:rFonts w:ascii="Bookman Old Style" w:hAnsi="Bookman Old Style" w:cs="Arial"/>
          <w:bCs/>
          <w:sz w:val="24"/>
          <w:szCs w:val="24"/>
        </w:rPr>
        <w:t xml:space="preserve">el artículo 1 del </w:t>
      </w:r>
      <w:r w:rsidRPr="001A7C74">
        <w:rPr>
          <w:rFonts w:ascii="Bookman Old Style" w:hAnsi="Bookman Old Style" w:cs="Arial"/>
          <w:sz w:val="24"/>
          <w:szCs w:val="24"/>
        </w:rPr>
        <w:t>Proyecto de Acto Legislativo 366 de 2021 Cámara – 011 de 2021 Senado “por el cual se modifica el artículo 65 de la Constitución Política de Colombia”, el cual quedará así:</w:t>
      </w:r>
    </w:p>
    <w:p w14:paraId="38FE809D" w14:textId="77777777" w:rsidR="005C6809" w:rsidRPr="001A7C74" w:rsidRDefault="005C6809" w:rsidP="005C6809">
      <w:pPr>
        <w:ind w:left="709" w:right="709"/>
        <w:jc w:val="both"/>
        <w:rPr>
          <w:rFonts w:ascii="Bookman Old Style" w:hAnsi="Bookman Old Style" w:cs="Arial"/>
          <w:bCs/>
          <w:sz w:val="24"/>
          <w:szCs w:val="24"/>
        </w:rPr>
      </w:pPr>
      <w:r w:rsidRPr="001A7C74">
        <w:rPr>
          <w:rFonts w:ascii="Bookman Old Style" w:hAnsi="Bookman Old Style" w:cs="Arial"/>
          <w:b/>
          <w:sz w:val="24"/>
          <w:szCs w:val="24"/>
        </w:rPr>
        <w:t>Artículo 1º.</w:t>
      </w:r>
      <w:r w:rsidRPr="001A7C74">
        <w:rPr>
          <w:rFonts w:ascii="Bookman Old Style" w:hAnsi="Bookman Old Style" w:cs="Arial"/>
          <w:bCs/>
          <w:sz w:val="24"/>
          <w:szCs w:val="24"/>
        </w:rPr>
        <w:t xml:space="preserve"> Modifíquese el artículo 65 de la Constitución Política de Colombia, el cual quedará así:</w:t>
      </w:r>
    </w:p>
    <w:p w14:paraId="1698DC75" w14:textId="2D45C34A" w:rsidR="005C6809" w:rsidRPr="001A7C74" w:rsidRDefault="005C6809" w:rsidP="005C6809">
      <w:pPr>
        <w:ind w:left="1418" w:right="1418"/>
        <w:jc w:val="both"/>
        <w:rPr>
          <w:rFonts w:ascii="Bookman Old Style" w:hAnsi="Bookman Old Style" w:cs="Arial"/>
          <w:bCs/>
          <w:sz w:val="24"/>
          <w:szCs w:val="24"/>
        </w:rPr>
      </w:pPr>
      <w:r w:rsidRPr="001A7C74">
        <w:rPr>
          <w:rFonts w:ascii="Bookman Old Style" w:hAnsi="Bookman Old Style" w:cs="Arial"/>
          <w:b/>
          <w:sz w:val="24"/>
          <w:szCs w:val="24"/>
        </w:rPr>
        <w:t>Artículo 65.</w:t>
      </w:r>
      <w:r w:rsidRPr="001A7C74">
        <w:rPr>
          <w:rFonts w:ascii="Bookman Old Style" w:hAnsi="Bookman Old Style" w:cs="Arial"/>
          <w:bCs/>
          <w:sz w:val="24"/>
          <w:szCs w:val="24"/>
        </w:rPr>
        <w:t xml:space="preserve"> El Estado garantizará el derecho a la alimentación adecuada y a proteger a las personas contra el hambre y la desnutrición. Así mismo promoverá condiciones de seguridad alimentaria y </w:t>
      </w:r>
      <w:r w:rsidRPr="005C6809">
        <w:rPr>
          <w:rFonts w:ascii="Bookman Old Style" w:hAnsi="Bookman Old Style" w:cs="Arial"/>
          <w:b/>
          <w:strike/>
          <w:sz w:val="24"/>
          <w:szCs w:val="24"/>
        </w:rPr>
        <w:t>soberanía alimentaria</w:t>
      </w:r>
      <w:r w:rsidRPr="001A7C74">
        <w:rPr>
          <w:rFonts w:ascii="Bookman Old Style" w:hAnsi="Bookman Old Style" w:cs="Arial"/>
          <w:bCs/>
          <w:sz w:val="24"/>
          <w:szCs w:val="24"/>
        </w:rPr>
        <w:t xml:space="preserve"> en el territorio nacional. </w:t>
      </w:r>
    </w:p>
    <w:p w14:paraId="014E2AAE" w14:textId="77777777" w:rsidR="005C6809" w:rsidRPr="001A7C74" w:rsidRDefault="005C6809" w:rsidP="005C6809">
      <w:pPr>
        <w:ind w:left="1418" w:right="1418"/>
        <w:jc w:val="both"/>
        <w:rPr>
          <w:rFonts w:ascii="Bookman Old Style" w:hAnsi="Bookman Old Style" w:cs="Arial"/>
          <w:bCs/>
          <w:sz w:val="24"/>
          <w:szCs w:val="24"/>
        </w:rPr>
      </w:pPr>
      <w:r w:rsidRPr="001A7C74">
        <w:rPr>
          <w:rFonts w:ascii="Bookman Old Style" w:hAnsi="Bookman Old Style" w:cs="Arial"/>
          <w:bCs/>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2EC81533" w14:textId="77777777" w:rsidR="005C6809" w:rsidRPr="001A7C74" w:rsidRDefault="005C6809" w:rsidP="005C6809">
      <w:pPr>
        <w:ind w:left="1418" w:right="1418"/>
        <w:jc w:val="both"/>
        <w:rPr>
          <w:rFonts w:ascii="Bookman Old Style" w:hAnsi="Bookman Old Style" w:cs="Arial"/>
          <w:bCs/>
          <w:sz w:val="24"/>
          <w:szCs w:val="24"/>
        </w:rPr>
      </w:pPr>
      <w:r w:rsidRPr="001A7C74">
        <w:rPr>
          <w:rFonts w:ascii="Bookman Old Style" w:hAnsi="Bookman Old Style" w:cs="Arial"/>
          <w:bCs/>
          <w:sz w:val="24"/>
          <w:szCs w:val="24"/>
        </w:rPr>
        <w:t xml:space="preserve">De igual manera, el Estado promoverá la investigación y la transferencia de tecnología para la producción de alimentos y materias primas de origen agropecuario, con el propósito de </w:t>
      </w:r>
      <w:r w:rsidRPr="001A7C74">
        <w:rPr>
          <w:rFonts w:ascii="Bookman Old Style" w:hAnsi="Bookman Old Style" w:cs="Arial"/>
          <w:bCs/>
          <w:sz w:val="24"/>
          <w:szCs w:val="24"/>
        </w:rPr>
        <w:lastRenderedPageBreak/>
        <w:t>incrementar la productividad, dando prioridad a las formas de producción de alimentos que estén acorde con una dieta saludable y que generen un menor impacto ambiental.</w:t>
      </w:r>
    </w:p>
    <w:p w14:paraId="6DC23058" w14:textId="77777777" w:rsidR="005C6809" w:rsidRDefault="005C6809" w:rsidP="005C6809">
      <w:pPr>
        <w:ind w:right="1418"/>
        <w:jc w:val="both"/>
        <w:rPr>
          <w:rFonts w:ascii="Bookman Old Style" w:hAnsi="Bookman Old Style" w:cs="Arial"/>
          <w:b/>
          <w:bCs/>
          <w:sz w:val="24"/>
          <w:szCs w:val="24"/>
          <w:lang w:val="es-ES_tradnl"/>
        </w:rPr>
      </w:pPr>
    </w:p>
    <w:p w14:paraId="692C217C" w14:textId="1AD2107E" w:rsidR="005C6809" w:rsidRPr="005C6809" w:rsidRDefault="005C6809" w:rsidP="005C6809">
      <w:pPr>
        <w:ind w:right="1418"/>
        <w:jc w:val="both"/>
        <w:rPr>
          <w:rFonts w:ascii="Bookman Old Style" w:hAnsi="Bookman Old Style" w:cs="Arial"/>
          <w:sz w:val="24"/>
          <w:szCs w:val="24"/>
          <w:lang w:val="es-ES_tradnl"/>
        </w:rPr>
      </w:pPr>
      <w:r>
        <w:rPr>
          <w:rFonts w:ascii="Bookman Old Style" w:hAnsi="Bookman Old Style" w:cs="Arial"/>
          <w:sz w:val="24"/>
          <w:szCs w:val="24"/>
          <w:lang w:val="es-ES_tradnl"/>
        </w:rPr>
        <w:t xml:space="preserve">Proposición presentada por los Honorables Representantes </w:t>
      </w:r>
      <w:r w:rsidRPr="005C6809">
        <w:rPr>
          <w:rFonts w:ascii="Bookman Old Style" w:hAnsi="Bookman Old Style" w:cs="Arial"/>
          <w:b/>
          <w:bCs/>
          <w:sz w:val="24"/>
          <w:szCs w:val="24"/>
          <w:lang w:val="es-ES_tradnl"/>
        </w:rPr>
        <w:t>EDWARD RODRIGUEZ</w:t>
      </w:r>
      <w:r w:rsidRPr="005C6809">
        <w:rPr>
          <w:rFonts w:ascii="Bookman Old Style" w:hAnsi="Bookman Old Style" w:cs="Arial"/>
          <w:sz w:val="24"/>
          <w:szCs w:val="24"/>
          <w:lang w:val="es-ES_tradnl"/>
        </w:rPr>
        <w:t xml:space="preserve"> </w:t>
      </w:r>
      <w:r>
        <w:rPr>
          <w:rFonts w:ascii="Bookman Old Style" w:hAnsi="Bookman Old Style" w:cs="Arial"/>
          <w:sz w:val="24"/>
          <w:szCs w:val="24"/>
          <w:lang w:val="es-ES_tradnl"/>
        </w:rPr>
        <w:t>y</w:t>
      </w:r>
      <w:r w:rsidRPr="005C6809">
        <w:rPr>
          <w:rFonts w:ascii="Bookman Old Style" w:hAnsi="Bookman Old Style" w:cs="Arial"/>
          <w:sz w:val="24"/>
          <w:szCs w:val="24"/>
          <w:lang w:val="es-ES_tradnl"/>
        </w:rPr>
        <w:t xml:space="preserve"> </w:t>
      </w:r>
      <w:r w:rsidRPr="005C6809">
        <w:rPr>
          <w:rFonts w:ascii="Bookman Old Style" w:hAnsi="Bookman Old Style" w:cs="Arial"/>
          <w:b/>
          <w:bCs/>
          <w:sz w:val="24"/>
          <w:szCs w:val="24"/>
          <w:lang w:val="es-ES_tradnl"/>
        </w:rPr>
        <w:t>GABRIEL JAIME VALLEJO</w:t>
      </w:r>
      <w:r>
        <w:rPr>
          <w:rFonts w:ascii="Bookman Old Style" w:hAnsi="Bookman Old Style" w:cs="Arial"/>
          <w:b/>
          <w:bCs/>
          <w:sz w:val="24"/>
          <w:szCs w:val="24"/>
          <w:lang w:val="es-ES_tradnl"/>
        </w:rPr>
        <w:t xml:space="preserve">, </w:t>
      </w:r>
      <w:r w:rsidRPr="005C6809">
        <w:rPr>
          <w:rFonts w:ascii="Bookman Old Style" w:hAnsi="Bookman Old Style" w:cs="Arial"/>
          <w:sz w:val="24"/>
          <w:szCs w:val="24"/>
          <w:lang w:val="es-ES_tradnl"/>
        </w:rPr>
        <w:t>de manera separada, pero en el mismo sentido.</w:t>
      </w:r>
    </w:p>
    <w:p w14:paraId="3BCB5480" w14:textId="77777777" w:rsidR="00A420D2" w:rsidRPr="001A7C74" w:rsidRDefault="00A420D2" w:rsidP="00A420D2">
      <w:pPr>
        <w:spacing w:after="0" w:line="276" w:lineRule="auto"/>
        <w:jc w:val="both"/>
        <w:rPr>
          <w:rFonts w:ascii="Bookman Old Style" w:hAnsi="Bookman Old Style" w:cs="Times New Roman"/>
          <w:b/>
          <w:sz w:val="24"/>
          <w:szCs w:val="24"/>
          <w:lang w:val="es-MX"/>
        </w:rPr>
      </w:pPr>
    </w:p>
    <w:p w14:paraId="02758287" w14:textId="77777777" w:rsidR="00A420D2" w:rsidRPr="001A7C74" w:rsidRDefault="00A420D2" w:rsidP="00A420D2">
      <w:pPr>
        <w:pStyle w:val="Prrafodelista"/>
        <w:numPr>
          <w:ilvl w:val="0"/>
          <w:numId w:val="1"/>
        </w:numPr>
        <w:spacing w:after="0" w:line="276" w:lineRule="auto"/>
        <w:jc w:val="both"/>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Objeto y contenido del proyecto:</w:t>
      </w:r>
    </w:p>
    <w:p w14:paraId="711D2837"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069CC883"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Proyecto de Acto Legislativo 366 de 2021 Cámara – 011 de 2021 Senado tiene por objeto establecer la obligación del Estado de dirigir sus políticas hacia el aseguramiento del derecho a la alimentación, a estar protegido contra el hambre y la desnutrición, a la soberanía alimentaria y a la seguridad alimentaria de su población, ambos conceptos intrínsecamente ligados al derecho a la alimentación. Así mismo, plantea la obligación de que el Estado defina una estrategia a través de la cual se acompañe a las cadenas de producción y distribución nacional de alimentos, en aras de cerrar las brechas que inciden en su eficiencia, y que al tiempo aborde el fenómeno de la pérdida de estos.</w:t>
      </w:r>
    </w:p>
    <w:p w14:paraId="47C4FDD1"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6B4A058D"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Al respecto, es necesario mencionar que dicha prerrogativa, así como los conceptos de soberanía alimentaria y seguridad alimentaria, se encuentra consagrada en sendos instrumentos internacionales ratificados por el Estado colombiano</w:t>
      </w:r>
      <w:r w:rsidRPr="001A7C74">
        <w:rPr>
          <w:rFonts w:ascii="Bookman Old Style" w:eastAsia="Times New Roman" w:hAnsi="Bookman Old Style" w:cs="Times New Roman"/>
          <w:sz w:val="24"/>
          <w:szCs w:val="24"/>
          <w:vertAlign w:val="superscript"/>
        </w:rPr>
        <w:footnoteReference w:id="1"/>
      </w:r>
      <w:r w:rsidRPr="001A7C74">
        <w:rPr>
          <w:rFonts w:ascii="Bookman Old Style" w:eastAsia="Times New Roman" w:hAnsi="Bookman Old Style" w:cs="Times New Roman"/>
          <w:sz w:val="24"/>
          <w:szCs w:val="24"/>
        </w:rPr>
        <w:t xml:space="preserve"> y, adicionalmente, se pretende dar cumplimiento a </w:t>
      </w:r>
      <w:r w:rsidRPr="001A7C74">
        <w:rPr>
          <w:rFonts w:ascii="Bookman Old Style" w:eastAsia="Times New Roman" w:hAnsi="Bookman Old Style" w:cs="Times New Roman"/>
          <w:sz w:val="24"/>
          <w:szCs w:val="24"/>
        </w:rPr>
        <w:lastRenderedPageBreak/>
        <w:t>obligaciones internacionales que el Estado colombiano ha adquirido y que se encuentran en completa consonancia con lo consagrado en el ordenamiento interno en virtud de lo establecido en diversas disposiciones constitucionales y en particular con lo dispuesto en el artículo 93 de la Constitución Política de 1991.</w:t>
      </w:r>
    </w:p>
    <w:p w14:paraId="11C3EF22"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24B99709" w14:textId="77777777" w:rsidR="00A420D2" w:rsidRPr="001A7C74" w:rsidRDefault="00A420D2" w:rsidP="00A420D2">
      <w:pPr>
        <w:pStyle w:val="Prrafodelista"/>
        <w:numPr>
          <w:ilvl w:val="0"/>
          <w:numId w:val="1"/>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Justificación</w:t>
      </w:r>
    </w:p>
    <w:p w14:paraId="7EE40A22"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0D65C0B4"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De acuerdo con el más reciente informe del estado de la seguridad alimentaria y la nutrición en el mundo (2021)</w:t>
      </w:r>
      <w:r w:rsidRPr="001A7C74">
        <w:rPr>
          <w:rStyle w:val="Refdenotaalpie"/>
          <w:rFonts w:ascii="Bookman Old Style" w:eastAsia="Times New Roman" w:hAnsi="Bookman Old Style" w:cs="Times New Roman"/>
          <w:sz w:val="24"/>
          <w:szCs w:val="24"/>
        </w:rPr>
        <w:footnoteReference w:id="2"/>
      </w:r>
      <w:r w:rsidRPr="001A7C74">
        <w:rPr>
          <w:rFonts w:ascii="Bookman Old Style" w:eastAsia="Times New Roman" w:hAnsi="Bookman Old Style" w:cs="Times New Roman"/>
          <w:sz w:val="24"/>
          <w:szCs w:val="24"/>
        </w:rPr>
        <w:t xml:space="preserve"> realizado por FAO, IFAD, Unicef, el Programa Mundial de Alimentos y la Organización Mundial de la Salud, el 9.9% de la población global se encuentra en condiciones de prevalencia de subalimentación, las cuales se incrementaron en 1,5 puntos porcentuales entre el periodo 2019 y 2020. Estas cifras, de acuerdo con lo señalado en el informe, dificultan el cumplimiento del ODS 2: Hambre cero a 2030 y, en general, de ninguna de las metas e indicadores en materia de nutrición para dicho año.</w:t>
      </w:r>
    </w:p>
    <w:p w14:paraId="139E60BB"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3DF1A746"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Ahora bien, en lo que respecta a la prevalencia mundial de la inseguridad alimentaria moderada o grave, es necesario señalar que el informe indica que ésta ha venido mostrando una tendencia creciente desde el año 2014, pero que el aumento estimado tan solo en el 2020 equivale a la suma de los cinco años inmediatamente anteriores. Así las cosas, se concluye que en 2020 alrededor de una de cada tres personas en el mundo (2.730 millones) careció del acceso a alimentos adecuados, mayoritariamente pertenecientes a las regiones de África, Asia y América Latina y el Caribe.</w:t>
      </w:r>
    </w:p>
    <w:p w14:paraId="7AAAEAE3"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0A020B17"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Colombia carecemos de mediciones periódicas recurrentes que permitan evaluar constantemente el desempeño del país en prevención de la inseguridad alimentaria</w:t>
      </w:r>
      <w:r w:rsidRPr="001A7C74">
        <w:rPr>
          <w:rStyle w:val="Refdenotaalpie"/>
          <w:rFonts w:ascii="Bookman Old Style" w:eastAsia="Times New Roman" w:hAnsi="Bookman Old Style" w:cs="Times New Roman"/>
          <w:sz w:val="24"/>
          <w:szCs w:val="24"/>
        </w:rPr>
        <w:footnoteReference w:id="3"/>
      </w:r>
      <w:r w:rsidRPr="001A7C74">
        <w:rPr>
          <w:rFonts w:ascii="Bookman Old Style" w:eastAsia="Times New Roman" w:hAnsi="Bookman Old Style" w:cs="Times New Roman"/>
          <w:sz w:val="24"/>
          <w:szCs w:val="24"/>
        </w:rPr>
        <w:t xml:space="preserve">, recientemente el DANE ha empezado a inquirir en la Encuesta Pulso Social sobre el acceso que tienen los hogares </w:t>
      </w:r>
      <w:r w:rsidRPr="001A7C74">
        <w:rPr>
          <w:rFonts w:ascii="Bookman Old Style" w:eastAsia="Times New Roman" w:hAnsi="Bookman Old Style" w:cs="Times New Roman"/>
          <w:sz w:val="24"/>
          <w:szCs w:val="24"/>
        </w:rPr>
        <w:lastRenderedPageBreak/>
        <w:t>seleccionados para el ejercicio estadístico sobre el acceso a las tres comidas diarias antes del inicio de las medidas de contención de la pandemia en marzo de 2020, y durante el trimestre estudiado. De acuerdo con la encuesta elaborada para el periodo julio-septiembre de 2021, se concluyó que previo al inicio de la pandemia, el 91,3% de los hogares encuestados se encontraban en capacidad de acceder a ellas; mientras que, durante el trimestre solo el 70% pudieron tener los alimentos suficientes para contar con una alimentación adecuada,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cuentan con alimentos suficientes para garantizar la seguridad alimentaria.</w:t>
      </w:r>
    </w:p>
    <w:p w14:paraId="0B703851" w14:textId="77777777" w:rsidR="00A420D2" w:rsidRPr="001A7C74" w:rsidRDefault="00A420D2" w:rsidP="00A420D2">
      <w:pPr>
        <w:spacing w:after="0" w:line="276" w:lineRule="auto"/>
        <w:jc w:val="both"/>
        <w:rPr>
          <w:rFonts w:ascii="Bookman Old Style" w:eastAsia="Times New Roman" w:hAnsi="Bookman Old Style" w:cs="Times New Roman"/>
          <w:b/>
          <w:sz w:val="24"/>
          <w:szCs w:val="24"/>
        </w:rPr>
      </w:pPr>
    </w:p>
    <w:p w14:paraId="6B2D2F6C" w14:textId="77777777" w:rsidR="00A420D2" w:rsidRPr="001A7C74" w:rsidRDefault="00A420D2" w:rsidP="00A420D2">
      <w:pPr>
        <w:pStyle w:val="Prrafodelista"/>
        <w:numPr>
          <w:ilvl w:val="0"/>
          <w:numId w:val="1"/>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Contexto normativo</w:t>
      </w:r>
    </w:p>
    <w:p w14:paraId="3F8144AF" w14:textId="77777777" w:rsidR="00A420D2" w:rsidRPr="001A7C74" w:rsidRDefault="00A420D2" w:rsidP="00A420D2">
      <w:pPr>
        <w:spacing w:after="0" w:line="276" w:lineRule="auto"/>
        <w:ind w:left="360"/>
        <w:jc w:val="both"/>
        <w:rPr>
          <w:rFonts w:ascii="Bookman Old Style" w:eastAsia="Times New Roman" w:hAnsi="Bookman Old Style" w:cs="Times New Roman"/>
          <w:b/>
          <w:sz w:val="24"/>
          <w:szCs w:val="24"/>
        </w:rPr>
      </w:pPr>
    </w:p>
    <w:p w14:paraId="5D34D08E" w14:textId="77777777" w:rsidR="00A420D2" w:rsidRPr="001A7C74" w:rsidRDefault="00A420D2" w:rsidP="00A420D2">
      <w:pPr>
        <w:numPr>
          <w:ilvl w:val="0"/>
          <w:numId w:val="5"/>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Marco jurídico internacional que soporta la medida.</w:t>
      </w:r>
    </w:p>
    <w:p w14:paraId="4E31AF67" w14:textId="77777777" w:rsidR="00A420D2" w:rsidRPr="001A7C74" w:rsidRDefault="00A420D2" w:rsidP="00A420D2">
      <w:pPr>
        <w:spacing w:after="0" w:line="276" w:lineRule="auto"/>
        <w:jc w:val="both"/>
        <w:rPr>
          <w:rFonts w:ascii="Bookman Old Style" w:eastAsia="Times New Roman" w:hAnsi="Bookman Old Style" w:cs="Times New Roman"/>
          <w:b/>
          <w:sz w:val="24"/>
          <w:szCs w:val="24"/>
        </w:rPr>
      </w:pPr>
    </w:p>
    <w:p w14:paraId="6322D7C2" w14:textId="77777777" w:rsidR="00A420D2" w:rsidRPr="001A7C74" w:rsidRDefault="00A420D2" w:rsidP="00A420D2">
      <w:pPr>
        <w:numPr>
          <w:ilvl w:val="0"/>
          <w:numId w:val="4"/>
        </w:numPr>
        <w:pBdr>
          <w:top w:val="nil"/>
          <w:left w:val="nil"/>
          <w:bottom w:val="nil"/>
          <w:right w:val="nil"/>
          <w:between w:val="nil"/>
        </w:pBd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Referencia al Sistema Internacional de los Derechos Humanos y al Derecho Humano a la Alimentación</w:t>
      </w:r>
    </w:p>
    <w:p w14:paraId="4ABC2968" w14:textId="77777777" w:rsidR="00A420D2" w:rsidRPr="001A7C74" w:rsidRDefault="00A420D2" w:rsidP="00A420D2">
      <w:pPr>
        <w:spacing w:after="0" w:line="276" w:lineRule="auto"/>
        <w:jc w:val="both"/>
        <w:rPr>
          <w:rFonts w:ascii="Bookman Old Style" w:eastAsia="Times New Roman" w:hAnsi="Bookman Old Style" w:cs="Times New Roman"/>
          <w:b/>
          <w:sz w:val="24"/>
          <w:szCs w:val="24"/>
        </w:rPr>
      </w:pPr>
    </w:p>
    <w:p w14:paraId="2F8D6541"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Los Derechos Humanos se constituyen como aquellas prerrogativas que resultan ser inherentes al ser humano en tanto miembro perteneciente a la especie. El goce de los mismos debe garantizarse y protegerse sin distinción alguna de nacionalidad, lugar de residencia, sexo, origen nacional o étnico, color, religión, lengua, o cualquier otra condición</w:t>
      </w:r>
      <w:r w:rsidRPr="001A7C74">
        <w:rPr>
          <w:rFonts w:ascii="Bookman Old Style" w:eastAsia="Times New Roman" w:hAnsi="Bookman Old Style" w:cs="Times New Roman"/>
          <w:sz w:val="24"/>
          <w:szCs w:val="24"/>
          <w:vertAlign w:val="superscript"/>
        </w:rPr>
        <w:footnoteReference w:id="4"/>
      </w:r>
      <w:r w:rsidRPr="001A7C74">
        <w:rPr>
          <w:rFonts w:ascii="Bookman Old Style" w:eastAsia="Times New Roman" w:hAnsi="Bookman Old Style" w:cs="Times New Roman"/>
          <w:sz w:val="24"/>
          <w:szCs w:val="24"/>
        </w:rPr>
        <w:t xml:space="preserve">. De esta forma, todo ser humano es titular y debe gozar de estos derechos en igualdad y sin </w:t>
      </w:r>
      <w:r w:rsidRPr="001A7C74">
        <w:rPr>
          <w:rFonts w:ascii="Bookman Old Style" w:eastAsia="Times New Roman" w:hAnsi="Bookman Old Style" w:cs="Times New Roman"/>
          <w:sz w:val="24"/>
          <w:szCs w:val="24"/>
        </w:rPr>
        <w:lastRenderedPageBreak/>
        <w:t>discriminación</w:t>
      </w:r>
      <w:r w:rsidRPr="001A7C74">
        <w:rPr>
          <w:rFonts w:ascii="Bookman Old Style" w:eastAsia="Times New Roman" w:hAnsi="Bookman Old Style" w:cs="Times New Roman"/>
          <w:sz w:val="24"/>
          <w:szCs w:val="24"/>
          <w:vertAlign w:val="superscript"/>
        </w:rPr>
        <w:footnoteReference w:id="5"/>
      </w:r>
      <w:r w:rsidRPr="001A7C74">
        <w:rPr>
          <w:rFonts w:ascii="Bookman Old Style" w:eastAsia="Times New Roman" w:hAnsi="Bookman Old Style" w:cs="Times New Roman"/>
          <w:sz w:val="24"/>
          <w:szCs w:val="24"/>
        </w:rPr>
        <w:t>. Estos derechos son universales</w:t>
      </w:r>
      <w:r w:rsidRPr="001A7C74">
        <w:rPr>
          <w:rFonts w:ascii="Bookman Old Style" w:eastAsia="Times New Roman" w:hAnsi="Bookman Old Style" w:cs="Times New Roman"/>
          <w:sz w:val="24"/>
          <w:szCs w:val="24"/>
          <w:vertAlign w:val="superscript"/>
        </w:rPr>
        <w:footnoteReference w:id="6"/>
      </w:r>
      <w:r w:rsidRPr="001A7C74">
        <w:rPr>
          <w:rFonts w:ascii="Bookman Old Style" w:eastAsia="Times New Roman" w:hAnsi="Bookman Old Style" w:cs="Times New Roman"/>
          <w:sz w:val="24"/>
          <w:szCs w:val="24"/>
        </w:rPr>
        <w:t xml:space="preserve"> e inalienables</w:t>
      </w:r>
      <w:r w:rsidRPr="001A7C74">
        <w:rPr>
          <w:rFonts w:ascii="Bookman Old Style" w:eastAsia="Times New Roman" w:hAnsi="Bookman Old Style" w:cs="Times New Roman"/>
          <w:sz w:val="24"/>
          <w:szCs w:val="24"/>
          <w:vertAlign w:val="superscript"/>
        </w:rPr>
        <w:footnoteReference w:id="7"/>
      </w:r>
      <w:r w:rsidRPr="001A7C74">
        <w:rPr>
          <w:rFonts w:ascii="Bookman Old Style" w:eastAsia="Times New Roman" w:hAnsi="Bookman Old Style" w:cs="Times New Roman"/>
          <w:sz w:val="24"/>
          <w:szCs w:val="24"/>
        </w:rPr>
        <w:t>. Así mismo, se consideran en todo caso interrelacionados, interdependientes e indivisibles</w:t>
      </w:r>
      <w:r w:rsidRPr="001A7C74">
        <w:rPr>
          <w:rFonts w:ascii="Bookman Old Style" w:eastAsia="Times New Roman" w:hAnsi="Bookman Old Style" w:cs="Times New Roman"/>
          <w:sz w:val="24"/>
          <w:szCs w:val="24"/>
          <w:vertAlign w:val="superscript"/>
        </w:rPr>
        <w:footnoteReference w:id="8"/>
      </w:r>
      <w:r w:rsidRPr="001A7C74">
        <w:rPr>
          <w:rFonts w:ascii="Bookman Old Style" w:eastAsia="Times New Roman" w:hAnsi="Bookman Old Style" w:cs="Times New Roman"/>
          <w:sz w:val="24"/>
          <w:szCs w:val="24"/>
        </w:rPr>
        <w:t>. Ahora, pese a estar contemplados en la denominada Carta Internacional de los Derechos Humanos</w:t>
      </w:r>
      <w:r w:rsidRPr="001A7C74">
        <w:rPr>
          <w:rFonts w:ascii="Bookman Old Style" w:eastAsia="Times New Roman" w:hAnsi="Bookman Old Style" w:cs="Times New Roman"/>
          <w:sz w:val="24"/>
          <w:szCs w:val="24"/>
          <w:vertAlign w:val="superscript"/>
        </w:rPr>
        <w:footnoteReference w:id="9"/>
      </w:r>
      <w:r w:rsidRPr="001A7C74">
        <w:rPr>
          <w:rFonts w:ascii="Bookman Old Style" w:eastAsia="Times New Roman" w:hAnsi="Bookman Old Style" w:cs="Times New Roman"/>
          <w:sz w:val="24"/>
          <w:szCs w:val="24"/>
        </w:rPr>
        <w:t xml:space="preserve">, compuesta por la Declaración Universal de los Derechos Humanos de 1948 y por los sucesivos Pactos a los que se hará referencia a continuación, doctrinalmente, los Derechos Humanos se han categorizado  en tres grupos, a saber: Derechos Civiles y Políticos o de primera generación, los cuales se encuentran contenidos tanto en la Declaración Universal de los Derechos Humanos de 1948, de manera general, como en el Pacto Internacional de Derechos Civiles y Políticos de 1966; Derechos Económicos, Sociales y Culturales o de segunda generación, los cuales se encuentran consagrados ya en la Declaración Universal de los Derechos Humanos de 1948, </w:t>
      </w:r>
      <w:r w:rsidRPr="001A7C74">
        <w:rPr>
          <w:rFonts w:ascii="Bookman Old Style" w:eastAsia="Times New Roman" w:hAnsi="Bookman Old Style" w:cs="Times New Roman"/>
          <w:i/>
          <w:sz w:val="24"/>
          <w:szCs w:val="24"/>
        </w:rPr>
        <w:t>grosso modo</w:t>
      </w:r>
      <w:r w:rsidRPr="001A7C74">
        <w:rPr>
          <w:rFonts w:ascii="Bookman Old Style" w:eastAsia="Times New Roman" w:hAnsi="Bookman Old Style" w:cs="Times New Roman"/>
          <w:sz w:val="24"/>
          <w:szCs w:val="24"/>
        </w:rPr>
        <w:t>, como en el Pacto Internacional de Derechos Económicos, Sociales y Culturales de 1966; y Derechos Colectivos o de tercera generación</w:t>
      </w:r>
      <w:r w:rsidRPr="001A7C74">
        <w:rPr>
          <w:rFonts w:ascii="Bookman Old Style" w:eastAsia="Times New Roman" w:hAnsi="Bookman Old Style" w:cs="Times New Roman"/>
          <w:sz w:val="24"/>
          <w:szCs w:val="24"/>
          <w:vertAlign w:val="superscript"/>
        </w:rPr>
        <w:footnoteReference w:id="10"/>
      </w:r>
      <w:r w:rsidRPr="001A7C74">
        <w:rPr>
          <w:rFonts w:ascii="Bookman Old Style" w:eastAsia="Times New Roman" w:hAnsi="Bookman Old Style" w:cs="Times New Roman"/>
          <w:sz w:val="24"/>
          <w:szCs w:val="24"/>
        </w:rPr>
        <w:t xml:space="preserve">.  Al respecto, es menester resaltar </w:t>
      </w:r>
      <w:r w:rsidRPr="001A7C74">
        <w:rPr>
          <w:rFonts w:ascii="Bookman Old Style" w:eastAsia="Times New Roman" w:hAnsi="Bookman Old Style" w:cs="Times New Roman"/>
          <w:sz w:val="24"/>
          <w:szCs w:val="24"/>
        </w:rPr>
        <w:lastRenderedPageBreak/>
        <w:t>nuevamente la interdependencia y unidad de los Derechos Humanos</w:t>
      </w:r>
      <w:r w:rsidRPr="001A7C74">
        <w:rPr>
          <w:rFonts w:ascii="Bookman Old Style" w:eastAsia="Times New Roman" w:hAnsi="Bookman Old Style" w:cs="Times New Roman"/>
          <w:sz w:val="24"/>
          <w:szCs w:val="24"/>
          <w:vertAlign w:val="superscript"/>
        </w:rPr>
        <w:footnoteReference w:id="11"/>
      </w:r>
      <w:r w:rsidRPr="001A7C74">
        <w:rPr>
          <w:rFonts w:ascii="Bookman Old Style" w:eastAsia="Times New Roman" w:hAnsi="Bookman Old Style" w:cs="Times New Roman"/>
          <w:sz w:val="24"/>
          <w:szCs w:val="24"/>
        </w:rPr>
        <w:t>, la cual cobra especial importancia, de conformidad con la Corte Constitucional, en el marco de un Estado Social de Derecho, fórmula acogida por la Constitución Política de 1991</w:t>
      </w:r>
      <w:r w:rsidRPr="001A7C74">
        <w:rPr>
          <w:rFonts w:ascii="Bookman Old Style" w:eastAsia="Times New Roman" w:hAnsi="Bookman Old Style" w:cs="Times New Roman"/>
          <w:sz w:val="24"/>
          <w:szCs w:val="24"/>
          <w:vertAlign w:val="superscript"/>
        </w:rPr>
        <w:footnoteReference w:id="12"/>
      </w:r>
      <w:r w:rsidRPr="001A7C74">
        <w:rPr>
          <w:rFonts w:ascii="Bookman Old Style" w:eastAsia="Times New Roman" w:hAnsi="Bookman Old Style" w:cs="Times New Roman"/>
          <w:sz w:val="24"/>
          <w:szCs w:val="24"/>
        </w:rPr>
        <w:t>.</w:t>
      </w:r>
    </w:p>
    <w:p w14:paraId="5E724CB9"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61F63470"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Del mismo modo, es preciso anotar que los Derechos Humanos representan los valores universales y constituyen imperativos éticos destinados a salvaguardar la dignidad de cada ser humano mediante el establecimiento de normas, lineamientos y procedimientos tendientes al aseguramiento y garantía de la precitada finalidad</w:t>
      </w:r>
      <w:r w:rsidRPr="001A7C74">
        <w:rPr>
          <w:rFonts w:ascii="Bookman Old Style" w:eastAsia="Times New Roman" w:hAnsi="Bookman Old Style" w:cs="Times New Roman"/>
          <w:sz w:val="24"/>
          <w:szCs w:val="24"/>
          <w:vertAlign w:val="superscript"/>
        </w:rPr>
        <w:footnoteReference w:id="13"/>
      </w:r>
      <w:r w:rsidRPr="001A7C74">
        <w:rPr>
          <w:rFonts w:ascii="Bookman Old Style" w:eastAsia="Times New Roman" w:hAnsi="Bookman Old Style" w:cs="Times New Roman"/>
          <w:sz w:val="24"/>
          <w:szCs w:val="24"/>
        </w:rPr>
        <w:t>.</w:t>
      </w:r>
    </w:p>
    <w:p w14:paraId="3D46A7B8"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5A9D216C"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Al respecto, es menester resaltar que el Derecho Internacional de los Derechos Humanos impone a los Estados obligaciones positivas y negativas, entendidas en todo caso como obligaciones destinadas al respeto</w:t>
      </w:r>
      <w:r w:rsidRPr="001A7C74">
        <w:rPr>
          <w:rFonts w:ascii="Bookman Old Style" w:eastAsia="Times New Roman" w:hAnsi="Bookman Old Style" w:cs="Times New Roman"/>
          <w:sz w:val="24"/>
          <w:szCs w:val="24"/>
          <w:vertAlign w:val="superscript"/>
        </w:rPr>
        <w:footnoteReference w:id="14"/>
      </w:r>
      <w:r w:rsidRPr="001A7C74">
        <w:rPr>
          <w:rFonts w:ascii="Bookman Old Style" w:eastAsia="Times New Roman" w:hAnsi="Bookman Old Style" w:cs="Times New Roman"/>
          <w:sz w:val="24"/>
          <w:szCs w:val="24"/>
        </w:rPr>
        <w:t xml:space="preserve">, </w:t>
      </w:r>
      <w:r w:rsidRPr="001A7C74">
        <w:rPr>
          <w:rFonts w:ascii="Bookman Old Style" w:eastAsia="Times New Roman" w:hAnsi="Bookman Old Style" w:cs="Times New Roman"/>
          <w:sz w:val="24"/>
          <w:szCs w:val="24"/>
        </w:rPr>
        <w:lastRenderedPageBreak/>
        <w:t>protección</w:t>
      </w:r>
      <w:r w:rsidRPr="001A7C74">
        <w:rPr>
          <w:rFonts w:ascii="Bookman Old Style" w:eastAsia="Times New Roman" w:hAnsi="Bookman Old Style" w:cs="Times New Roman"/>
          <w:sz w:val="24"/>
          <w:szCs w:val="24"/>
          <w:vertAlign w:val="superscript"/>
        </w:rPr>
        <w:footnoteReference w:id="15"/>
      </w:r>
      <w:r w:rsidRPr="001A7C74">
        <w:rPr>
          <w:rFonts w:ascii="Bookman Old Style" w:eastAsia="Times New Roman" w:hAnsi="Bookman Old Style" w:cs="Times New Roman"/>
          <w:sz w:val="24"/>
          <w:szCs w:val="24"/>
        </w:rPr>
        <w:t xml:space="preserve"> y realización</w:t>
      </w:r>
      <w:r w:rsidRPr="001A7C74">
        <w:rPr>
          <w:rFonts w:ascii="Bookman Old Style" w:eastAsia="Times New Roman" w:hAnsi="Bookman Old Style" w:cs="Times New Roman"/>
          <w:sz w:val="24"/>
          <w:szCs w:val="24"/>
          <w:vertAlign w:val="superscript"/>
        </w:rPr>
        <w:footnoteReference w:id="16"/>
      </w:r>
      <w:r w:rsidRPr="001A7C74">
        <w:rPr>
          <w:rFonts w:ascii="Bookman Old Style" w:eastAsia="Times New Roman" w:hAnsi="Bookman Old Style" w:cs="Times New Roman"/>
          <w:sz w:val="24"/>
          <w:szCs w:val="24"/>
        </w:rPr>
        <w:t xml:space="preserve"> de los mismos. Es precisamente en atención a los precitados deberes, de los cuales el Estado colombiano es titular, que se garantizar el Derecho Humano a la alimentación adecuada.</w:t>
      </w:r>
    </w:p>
    <w:p w14:paraId="5918156F"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0BFB1E11"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ese sentido, vale la pena resaltar que los diversos instrumentos internacionales a los cuales se ha hecho referencia en la presente exposición de motivos han facultado a los Estados para que éstos adopten las medidas 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sidRPr="001A7C74">
        <w:rPr>
          <w:rFonts w:ascii="Bookman Old Style" w:eastAsia="Times New Roman" w:hAnsi="Bookman Old Style" w:cs="Times New Roman"/>
          <w:sz w:val="24"/>
          <w:szCs w:val="24"/>
          <w:vertAlign w:val="superscript"/>
        </w:rPr>
        <w:footnoteReference w:id="17"/>
      </w:r>
      <w:r w:rsidRPr="001A7C74">
        <w:rPr>
          <w:rFonts w:ascii="Bookman Old Style" w:eastAsia="Times New Roman" w:hAnsi="Bookman Old Style" w:cs="Times New Roman"/>
          <w:sz w:val="24"/>
          <w:szCs w:val="24"/>
        </w:rPr>
        <w:t xml:space="preserve">. </w:t>
      </w:r>
    </w:p>
    <w:p w14:paraId="3BBD2461"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62296B89" w14:textId="77777777" w:rsidR="00A420D2" w:rsidRPr="001A7C74" w:rsidRDefault="00A420D2" w:rsidP="00A420D2">
      <w:pPr>
        <w:numPr>
          <w:ilvl w:val="0"/>
          <w:numId w:val="4"/>
        </w:numPr>
        <w:pBdr>
          <w:top w:val="nil"/>
          <w:left w:val="nil"/>
          <w:bottom w:val="nil"/>
          <w:right w:val="nil"/>
          <w:between w:val="nil"/>
        </w:pBd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 xml:space="preserve"> El Derecho Humano a la Alimentación como Derecho Económico, Social y Cultural (DESC)</w:t>
      </w:r>
    </w:p>
    <w:p w14:paraId="6A0F5FDA" w14:textId="77777777" w:rsidR="00A420D2" w:rsidRPr="001A7C74" w:rsidRDefault="00A420D2" w:rsidP="00A420D2">
      <w:pPr>
        <w:spacing w:after="0" w:line="276" w:lineRule="auto"/>
        <w:jc w:val="both"/>
        <w:rPr>
          <w:rFonts w:ascii="Bookman Old Style" w:eastAsia="Times New Roman" w:hAnsi="Bookman Old Style" w:cs="Times New Roman"/>
          <w:b/>
          <w:sz w:val="24"/>
          <w:szCs w:val="24"/>
        </w:rPr>
      </w:pPr>
    </w:p>
    <w:p w14:paraId="6ADD1C6A"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lastRenderedPageBreak/>
        <w:t>Respecto al derecho humano a la alimentación, que puede calificarse como el núcleo duro del presente proyecto de Ley, es pertinente resaltar que el mismo se ha considerado como parte de los denominados Derechos Económicos Sociales y Culturales y, en adición a lo anterior, ha sido aceptado universalmente. Así, éste se encuentra contemplado en diversos instrumentos y doctrina de Derecho Internacional relacionados con los Derechos Humanos, entre estos:</w:t>
      </w:r>
    </w:p>
    <w:p w14:paraId="3F97EFC4"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25.1 de la Declaración Universal de los Derechos Humanos de la Asamblea General de las Naciones Unidas de 1948</w:t>
      </w:r>
      <w:r w:rsidRPr="001A7C74">
        <w:rPr>
          <w:rFonts w:ascii="Bookman Old Style" w:eastAsia="Times New Roman" w:hAnsi="Bookman Old Style" w:cs="Times New Roman"/>
          <w:sz w:val="24"/>
          <w:szCs w:val="24"/>
          <w:vertAlign w:val="superscript"/>
        </w:rPr>
        <w:footnoteReference w:id="18"/>
      </w:r>
    </w:p>
    <w:p w14:paraId="42D6035A"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11 Pacto Internacional de Derechos Económicos, Sociales y Culturales de 1966</w:t>
      </w:r>
      <w:r w:rsidRPr="001A7C74">
        <w:rPr>
          <w:rFonts w:ascii="Bookman Old Style" w:eastAsia="Times New Roman" w:hAnsi="Bookman Old Style" w:cs="Times New Roman"/>
          <w:sz w:val="24"/>
          <w:szCs w:val="24"/>
          <w:vertAlign w:val="superscript"/>
        </w:rPr>
        <w:footnoteReference w:id="19"/>
      </w:r>
      <w:r w:rsidRPr="001A7C74">
        <w:rPr>
          <w:rFonts w:ascii="Bookman Old Style" w:eastAsia="Times New Roman" w:hAnsi="Bookman Old Style" w:cs="Times New Roman"/>
          <w:sz w:val="24"/>
          <w:szCs w:val="24"/>
        </w:rPr>
        <w:t xml:space="preserve"> en conjunto con la Observación General No. 12 del Comité de Derechos Económicos, Sociales y Culturales de las Naciones Unidas</w:t>
      </w:r>
      <w:r w:rsidRPr="001A7C74">
        <w:rPr>
          <w:rFonts w:ascii="Bookman Old Style" w:eastAsia="Times New Roman" w:hAnsi="Bookman Old Style" w:cs="Times New Roman"/>
          <w:sz w:val="24"/>
          <w:szCs w:val="24"/>
          <w:vertAlign w:val="superscript"/>
        </w:rPr>
        <w:footnoteReference w:id="20"/>
      </w:r>
      <w:r w:rsidRPr="001A7C74">
        <w:rPr>
          <w:rFonts w:ascii="Bookman Old Style" w:eastAsia="Times New Roman" w:hAnsi="Bookman Old Style" w:cs="Times New Roman"/>
          <w:sz w:val="24"/>
          <w:szCs w:val="24"/>
        </w:rPr>
        <w:t xml:space="preserve">. </w:t>
      </w:r>
    </w:p>
    <w:p w14:paraId="274B62AC"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24 de la Convención de los Derechos del Niño</w:t>
      </w:r>
      <w:r w:rsidRPr="001A7C74">
        <w:rPr>
          <w:rFonts w:ascii="Bookman Old Style" w:eastAsia="Times New Roman" w:hAnsi="Bookman Old Style" w:cs="Times New Roman"/>
          <w:sz w:val="24"/>
          <w:szCs w:val="24"/>
          <w:vertAlign w:val="superscript"/>
        </w:rPr>
        <w:footnoteReference w:id="21"/>
      </w:r>
    </w:p>
    <w:p w14:paraId="12152532"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lastRenderedPageBreak/>
        <w:t>El Artículo 12.2 de la Convención sobre la Eliminación de Todas las Formas de Discriminación contra la Mujer</w:t>
      </w:r>
      <w:r w:rsidRPr="001A7C74">
        <w:rPr>
          <w:rFonts w:ascii="Bookman Old Style" w:eastAsia="Times New Roman" w:hAnsi="Bookman Old Style" w:cs="Times New Roman"/>
          <w:sz w:val="24"/>
          <w:szCs w:val="24"/>
          <w:vertAlign w:val="superscript"/>
        </w:rPr>
        <w:footnoteReference w:id="22"/>
      </w:r>
      <w:r w:rsidRPr="001A7C74">
        <w:rPr>
          <w:rFonts w:ascii="Bookman Old Style" w:eastAsia="Times New Roman" w:hAnsi="Bookman Old Style" w:cs="Times New Roman"/>
          <w:sz w:val="24"/>
          <w:szCs w:val="24"/>
        </w:rPr>
        <w:t>.</w:t>
      </w:r>
    </w:p>
    <w:p w14:paraId="5040B84B"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literal f del Artículo 25, en el contexto del derecho a la salud, y el literal l del artículo 28 en el contexto del derecho a un nivel de vida adecuado y a la protección social, de la Convención sobre los Derechos de las Personas con Discapacidad</w:t>
      </w:r>
      <w:r w:rsidRPr="001A7C74">
        <w:rPr>
          <w:rFonts w:ascii="Bookman Old Style" w:eastAsia="Times New Roman" w:hAnsi="Bookman Old Style" w:cs="Times New Roman"/>
          <w:sz w:val="24"/>
          <w:szCs w:val="24"/>
          <w:vertAlign w:val="superscript"/>
        </w:rPr>
        <w:footnoteReference w:id="23"/>
      </w:r>
      <w:r w:rsidRPr="001A7C74">
        <w:rPr>
          <w:rFonts w:ascii="Bookman Old Style" w:eastAsia="Times New Roman" w:hAnsi="Bookman Old Style" w:cs="Times New Roman"/>
          <w:sz w:val="24"/>
          <w:szCs w:val="24"/>
        </w:rPr>
        <w:t xml:space="preserve">. </w:t>
      </w:r>
    </w:p>
    <w:p w14:paraId="5DEAF9E0"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12 del Protocolo Adicional a la Convención Americana sobre Derechos Humanos en Materia de Derechos Económicos, Sociales y Culturales - Protocolo de San Salvador – de 1988</w:t>
      </w:r>
      <w:r w:rsidRPr="001A7C74">
        <w:rPr>
          <w:rFonts w:ascii="Bookman Old Style" w:eastAsia="Times New Roman" w:hAnsi="Bookman Old Style" w:cs="Times New Roman"/>
          <w:sz w:val="24"/>
          <w:szCs w:val="24"/>
          <w:vertAlign w:val="superscript"/>
        </w:rPr>
        <w:footnoteReference w:id="24"/>
      </w:r>
    </w:p>
    <w:p w14:paraId="1A80DE0B"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Los literales c, y d del Artículo 14.2 de la Carta Africana sobre los Derecho y Bienestar del Niño, en conexidad con el derecho a la salud y a los servicios de salud.</w:t>
      </w:r>
    </w:p>
    <w:p w14:paraId="5CD31367"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14 y 15 del Protocolo de la Carta Africana de Derechos Humanos y de los Pueblos sobre los Derechos de la Mujer en África.</w:t>
      </w:r>
    </w:p>
    <w:p w14:paraId="289C343B" w14:textId="77777777" w:rsidR="00A420D2" w:rsidRPr="001A7C74" w:rsidRDefault="00A420D2" w:rsidP="00A420D2">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Jurisprudencialmente, la Comisión Africana de Derechos Humanos y de los Pueblos ha interpretado que el derecho a la alimentación se encuentra enunciado implícitamente en la Carta Africana de los Derechos Humanos y de los Pueblos de 1981, esto último a través de la conexidad que existe con </w:t>
      </w:r>
      <w:r w:rsidRPr="001A7C74">
        <w:rPr>
          <w:rFonts w:ascii="Bookman Old Style" w:eastAsia="Times New Roman" w:hAnsi="Bookman Old Style" w:cs="Times New Roman"/>
          <w:sz w:val="24"/>
          <w:szCs w:val="24"/>
        </w:rPr>
        <w:lastRenderedPageBreak/>
        <w:t>los derechos a la vida, a la salud y al desarrollo económico, social y cultural</w:t>
      </w:r>
      <w:r w:rsidRPr="001A7C74">
        <w:rPr>
          <w:rFonts w:ascii="Bookman Old Style" w:eastAsia="Times New Roman" w:hAnsi="Bookman Old Style" w:cs="Times New Roman"/>
          <w:sz w:val="24"/>
          <w:szCs w:val="24"/>
          <w:vertAlign w:val="superscript"/>
        </w:rPr>
        <w:footnoteReference w:id="25"/>
      </w:r>
      <w:r w:rsidRPr="001A7C74">
        <w:rPr>
          <w:rFonts w:ascii="Bookman Old Style" w:eastAsia="Times New Roman" w:hAnsi="Bookman Old Style" w:cs="Times New Roman"/>
          <w:sz w:val="24"/>
          <w:szCs w:val="24"/>
        </w:rPr>
        <w:t>.</w:t>
      </w:r>
    </w:p>
    <w:p w14:paraId="0B8C7ECC" w14:textId="77777777" w:rsidR="00A420D2" w:rsidRPr="001A7C74" w:rsidRDefault="00A420D2" w:rsidP="00A420D2">
      <w:pPr>
        <w:pBdr>
          <w:top w:val="nil"/>
          <w:left w:val="nil"/>
          <w:bottom w:val="nil"/>
          <w:right w:val="nil"/>
          <w:between w:val="nil"/>
        </w:pBdr>
        <w:spacing w:after="0" w:line="276" w:lineRule="auto"/>
        <w:jc w:val="both"/>
        <w:rPr>
          <w:rFonts w:ascii="Bookman Old Style" w:eastAsia="Times New Roman" w:hAnsi="Bookman Old Style" w:cs="Times New Roman"/>
          <w:sz w:val="24"/>
          <w:szCs w:val="24"/>
        </w:rPr>
      </w:pPr>
    </w:p>
    <w:p w14:paraId="27E916E7"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En adición a lo anterior, el mismo ha sido mencionado, complementado, reconocido y/o desarrollado en diferentes instrumentos de </w:t>
      </w:r>
      <w:proofErr w:type="spellStart"/>
      <w:r w:rsidRPr="001A7C74">
        <w:rPr>
          <w:rFonts w:ascii="Bookman Old Style" w:eastAsia="Times New Roman" w:hAnsi="Bookman Old Style" w:cs="Times New Roman"/>
          <w:i/>
          <w:sz w:val="24"/>
          <w:szCs w:val="24"/>
        </w:rPr>
        <w:t>soft-law</w:t>
      </w:r>
      <w:proofErr w:type="spellEnd"/>
      <w:r w:rsidRPr="001A7C74">
        <w:rPr>
          <w:rFonts w:ascii="Bookman Old Style" w:eastAsia="Times New Roman" w:hAnsi="Bookman Old Style" w:cs="Times New Roman"/>
          <w:i/>
          <w:sz w:val="24"/>
          <w:szCs w:val="24"/>
        </w:rPr>
        <w:t xml:space="preserve"> </w:t>
      </w:r>
      <w:r w:rsidRPr="001A7C74">
        <w:rPr>
          <w:rFonts w:ascii="Bookman Old Style" w:eastAsia="Times New Roman" w:hAnsi="Bookman Old Style" w:cs="Times New Roman"/>
          <w:sz w:val="24"/>
          <w:szCs w:val="24"/>
        </w:rPr>
        <w:t>de derecho internacional, como lo son, entre otros:</w:t>
      </w:r>
    </w:p>
    <w:p w14:paraId="342057A3" w14:textId="77777777" w:rsidR="00A420D2" w:rsidRPr="001A7C74" w:rsidRDefault="00A420D2" w:rsidP="00A420D2">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Declaración Universal sobre la Erradicación del Hambre y la Malnutrición de 1974.</w:t>
      </w:r>
    </w:p>
    <w:p w14:paraId="57CED923" w14:textId="77777777" w:rsidR="00A420D2" w:rsidRPr="001A7C74" w:rsidRDefault="00A420D2" w:rsidP="00A420D2">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Declaración Mundial sobre la Nutrición de 1992.</w:t>
      </w:r>
    </w:p>
    <w:p w14:paraId="356CF426" w14:textId="77777777" w:rsidR="00A420D2" w:rsidRPr="001A7C74" w:rsidRDefault="00A420D2" w:rsidP="00A420D2">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Declaración de Roma sobre la Seguridad Alimentaria Mundial de 1966.</w:t>
      </w:r>
    </w:p>
    <w:p w14:paraId="2FDF26E1" w14:textId="77777777" w:rsidR="00A420D2" w:rsidRPr="001A7C74" w:rsidRDefault="00A420D2" w:rsidP="00A420D2">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Resolución 2004/19 de la Asamblea General de las Naciones Unidas.</w:t>
      </w:r>
    </w:p>
    <w:p w14:paraId="1EE34DBF" w14:textId="77777777" w:rsidR="00A420D2" w:rsidRPr="001A7C74" w:rsidRDefault="00A420D2" w:rsidP="00A420D2">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Folleto Informativo No. 34 de la Oficina del Alto Comisionado de las Naciones Unidas para los Derechos Humanos y la FAO respecto al Derecho a la Alimentación Adecuada.</w:t>
      </w:r>
    </w:p>
    <w:p w14:paraId="112A6138" w14:textId="77777777" w:rsidR="00A420D2" w:rsidRPr="001A7C74" w:rsidRDefault="00A420D2" w:rsidP="00A420D2">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Informe de fecha 11 de agosto de 2010 del Relator Especial de las Naciones Unidas sobre el derecho a la alimentación, en donde se señala que “</w:t>
      </w:r>
      <w:r w:rsidRPr="001A7C74">
        <w:rPr>
          <w:rFonts w:ascii="Bookman Old Style" w:eastAsia="Times New Roman" w:hAnsi="Bookman Old Style" w:cs="Times New Roman"/>
          <w:i/>
          <w:sz w:val="24"/>
          <w:szCs w:val="24"/>
        </w:rPr>
        <w:t>El acceso a la tierra y la seguridad de la tenencia son esenciales para asegurar el disfrute no solo del derecho a la alimentación, sino también de otros derechos humanos, incluidos el derecho al trabajo (de los campesinos que no poseen tierras) y el derecho a la vivienda</w:t>
      </w:r>
      <w:r w:rsidRPr="001A7C74">
        <w:rPr>
          <w:rFonts w:ascii="Bookman Old Style" w:eastAsia="Times New Roman" w:hAnsi="Bookman Old Style" w:cs="Times New Roman"/>
          <w:sz w:val="24"/>
          <w:szCs w:val="24"/>
        </w:rPr>
        <w:t xml:space="preserve">”. </w:t>
      </w:r>
    </w:p>
    <w:p w14:paraId="21E06A1A" w14:textId="77777777" w:rsidR="00A420D2" w:rsidRPr="001A7C74" w:rsidRDefault="00A420D2" w:rsidP="00A420D2">
      <w:pPr>
        <w:pBdr>
          <w:top w:val="nil"/>
          <w:left w:val="nil"/>
          <w:bottom w:val="nil"/>
          <w:right w:val="nil"/>
          <w:between w:val="nil"/>
        </w:pBdr>
        <w:spacing w:after="0" w:line="276" w:lineRule="auto"/>
        <w:jc w:val="both"/>
        <w:rPr>
          <w:rFonts w:ascii="Bookman Old Style" w:eastAsia="Times New Roman" w:hAnsi="Bookman Old Style" w:cs="Times New Roman"/>
          <w:sz w:val="24"/>
          <w:szCs w:val="24"/>
        </w:rPr>
      </w:pPr>
    </w:p>
    <w:p w14:paraId="3953293C"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paso, implementar políticas públicas tendientes a la erradicación de la pobreza y la efectiva realización de otros derechos.</w:t>
      </w:r>
    </w:p>
    <w:p w14:paraId="4661A8B4"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2B91ED4A"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lo referente al contenido sustancial del mentado derecho, el mismo ha sido entendido por parte del Comité como:</w:t>
      </w:r>
    </w:p>
    <w:p w14:paraId="1848F8F1"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4282ECD9" w14:textId="77777777" w:rsidR="00A420D2" w:rsidRPr="001A7C74" w:rsidRDefault="00A420D2" w:rsidP="00A420D2">
      <w:pPr>
        <w:spacing w:after="0" w:line="276" w:lineRule="auto"/>
        <w:ind w:left="708"/>
        <w:jc w:val="both"/>
        <w:rPr>
          <w:rFonts w:ascii="Bookman Old Style" w:eastAsia="Times New Roman" w:hAnsi="Bookman Old Style" w:cs="Times New Roman"/>
          <w:i/>
          <w:sz w:val="24"/>
          <w:szCs w:val="24"/>
        </w:rPr>
      </w:pPr>
      <w:r w:rsidRPr="001A7C74">
        <w:rPr>
          <w:rFonts w:ascii="Bookman Old Style" w:eastAsia="Times New Roman" w:hAnsi="Bookman Old Style" w:cs="Times New Roman"/>
          <w:i/>
          <w:sz w:val="24"/>
          <w:szCs w:val="24"/>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1A7C74">
        <w:rPr>
          <w:rFonts w:ascii="Bookman Old Style" w:eastAsia="Times New Roman" w:hAnsi="Bookman Old Style" w:cs="Times New Roman"/>
          <w:i/>
          <w:sz w:val="24"/>
          <w:szCs w:val="24"/>
          <w:vertAlign w:val="superscript"/>
        </w:rPr>
        <w:footnoteReference w:id="26"/>
      </w:r>
    </w:p>
    <w:p w14:paraId="33C51C9F" w14:textId="77777777" w:rsidR="00A420D2" w:rsidRPr="001A7C74" w:rsidRDefault="00A420D2" w:rsidP="00A420D2">
      <w:pPr>
        <w:spacing w:after="0" w:line="276" w:lineRule="auto"/>
        <w:ind w:left="708"/>
        <w:jc w:val="both"/>
        <w:rPr>
          <w:rFonts w:ascii="Bookman Old Style" w:eastAsia="Times New Roman" w:hAnsi="Bookman Old Style" w:cs="Times New Roman"/>
          <w:i/>
          <w:sz w:val="24"/>
          <w:szCs w:val="24"/>
        </w:rPr>
      </w:pPr>
    </w:p>
    <w:p w14:paraId="2BE7C6CC"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De la misma manera, el Relator Especial de las Naciones Unidas sobre el Derecho a la alimentación ha contribuido a la definición sustantiva de dicho derecho, estableciendo que el mismo consiste en:</w:t>
      </w:r>
    </w:p>
    <w:p w14:paraId="75C23B13"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3761463B" w14:textId="77777777" w:rsidR="00A420D2" w:rsidRPr="001A7C74" w:rsidRDefault="00A420D2" w:rsidP="00A420D2">
      <w:pPr>
        <w:widowControl w:val="0"/>
        <w:spacing w:after="0" w:line="276" w:lineRule="auto"/>
        <w:ind w:left="708"/>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i/>
          <w:sz w:val="24"/>
          <w:szCs w:val="24"/>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27"/>
      </w:r>
    </w:p>
    <w:p w14:paraId="29D028DD" w14:textId="77777777" w:rsidR="00A420D2" w:rsidRPr="001A7C74" w:rsidRDefault="00A420D2" w:rsidP="00A420D2">
      <w:pPr>
        <w:widowControl w:val="0"/>
        <w:spacing w:after="0" w:line="276" w:lineRule="auto"/>
        <w:ind w:left="708"/>
        <w:jc w:val="both"/>
        <w:rPr>
          <w:rFonts w:ascii="Bookman Old Style" w:eastAsia="Times New Roman" w:hAnsi="Bookman Old Style" w:cs="Times New Roman"/>
          <w:sz w:val="24"/>
          <w:szCs w:val="24"/>
        </w:rPr>
      </w:pPr>
    </w:p>
    <w:p w14:paraId="31BC818D"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Al respecto, surgen ciertos conceptos que resultan destacables con respecto al derecho a la alimentación, a saber: </w:t>
      </w:r>
      <w:r w:rsidRPr="001A7C74">
        <w:rPr>
          <w:rFonts w:ascii="Bookman Old Style" w:eastAsia="Times New Roman" w:hAnsi="Bookman Old Style" w:cs="Times New Roman"/>
          <w:b/>
          <w:sz w:val="24"/>
          <w:szCs w:val="24"/>
        </w:rPr>
        <w:t>disponibilidad, accesibilidad y adecuación</w:t>
      </w:r>
      <w:r w:rsidRPr="001A7C74">
        <w:rPr>
          <w:rFonts w:ascii="Bookman Old Style" w:eastAsia="Times New Roman" w:hAnsi="Bookman Old Style" w:cs="Times New Roman"/>
          <w:sz w:val="24"/>
          <w:szCs w:val="24"/>
        </w:rPr>
        <w:t xml:space="preserve">. </w:t>
      </w:r>
    </w:p>
    <w:p w14:paraId="27C2BAD7"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7486A1EB"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Por disponible, debe entenderse que el alimento pueda ser obtenido ya a través de la producción de alimentos, el cultivo de la tierra y/o la ganadería, </w:t>
      </w:r>
      <w:r w:rsidRPr="001A7C74">
        <w:rPr>
          <w:rFonts w:ascii="Bookman Old Style" w:eastAsia="Times New Roman" w:hAnsi="Bookman Old Style" w:cs="Times New Roman"/>
          <w:sz w:val="24"/>
          <w:szCs w:val="24"/>
        </w:rPr>
        <w:lastRenderedPageBreak/>
        <w:t xml:space="preserve">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1A7C74">
        <w:rPr>
          <w:rFonts w:ascii="Bookman Old Style" w:eastAsia="Times New Roman" w:hAnsi="Bookman Old Style" w:cs="Times New Roman"/>
          <w:i/>
          <w:sz w:val="24"/>
          <w:szCs w:val="24"/>
        </w:rPr>
        <w:t xml:space="preserve">“la cantidad de alimentos con que se cuenta a nivel nacional, regional y local; </w:t>
      </w:r>
      <w:r w:rsidRPr="001A7C74">
        <w:rPr>
          <w:rFonts w:ascii="Bookman Old Style" w:eastAsia="Times New Roman" w:hAnsi="Bookman Old Style" w:cs="Times New Roman"/>
          <w:sz w:val="24"/>
          <w:szCs w:val="24"/>
        </w:rPr>
        <w:t xml:space="preserve">(y) </w:t>
      </w:r>
      <w:r w:rsidRPr="001A7C74">
        <w:rPr>
          <w:rFonts w:ascii="Bookman Old Style" w:eastAsia="Times New Roman" w:hAnsi="Bookman Old Style" w:cs="Times New Roman"/>
          <w:i/>
          <w:sz w:val="24"/>
          <w:szCs w:val="24"/>
        </w:rPr>
        <w:t>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sidRPr="001A7C74">
        <w:rPr>
          <w:rFonts w:ascii="Bookman Old Style" w:eastAsia="Times New Roman" w:hAnsi="Bookman Old Style" w:cs="Times New Roman"/>
          <w:sz w:val="24"/>
          <w:szCs w:val="24"/>
        </w:rPr>
        <w:t xml:space="preserve">” </w:t>
      </w:r>
    </w:p>
    <w:p w14:paraId="6BFEB013"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24B5C4E9"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Del mismo modo, el alimento debe ser </w:t>
      </w:r>
      <w:r w:rsidRPr="001A7C74">
        <w:rPr>
          <w:rFonts w:ascii="Bookman Old Style" w:eastAsia="Times New Roman" w:hAnsi="Bookman Old Style" w:cs="Times New Roman"/>
          <w:b/>
          <w:sz w:val="24"/>
          <w:szCs w:val="24"/>
        </w:rPr>
        <w:t>accesible</w:t>
      </w:r>
      <w:r w:rsidRPr="001A7C74">
        <w:rPr>
          <w:rFonts w:ascii="Bookman Old Style" w:eastAsia="Times New Roman" w:hAnsi="Bookman Old Style" w:cs="Times New Roman"/>
          <w:sz w:val="24"/>
          <w:szCs w:val="24"/>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1A7C74">
        <w:rPr>
          <w:rFonts w:ascii="Bookman Old Style" w:eastAsia="Times New Roman" w:hAnsi="Bookman Old Style" w:cs="Times New Roman"/>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1A7C74">
        <w:rPr>
          <w:rFonts w:ascii="Bookman Old Style" w:eastAsia="Times New Roman" w:hAnsi="Bookman Old Style" w:cs="Times New Roman"/>
          <w:sz w:val="24"/>
          <w:szCs w:val="24"/>
        </w:rPr>
        <w:t>”</w:t>
      </w:r>
    </w:p>
    <w:p w14:paraId="6C4FE9CC"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Por último, el alimento debe ser adecuado.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w:t>
      </w:r>
      <w:r w:rsidRPr="001A7C74">
        <w:rPr>
          <w:rFonts w:ascii="Bookman Old Style" w:eastAsia="Times New Roman" w:hAnsi="Bookman Old Style" w:cs="Times New Roman"/>
          <w:sz w:val="24"/>
          <w:szCs w:val="24"/>
        </w:rPr>
        <w:lastRenderedPageBreak/>
        <w:t>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50C91811"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4DAD1FD0"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05AA4E06" w14:textId="77777777" w:rsidR="00A420D2" w:rsidRPr="001A7C74" w:rsidRDefault="00A420D2" w:rsidP="00A420D2">
      <w:pPr>
        <w:spacing w:after="0" w:line="276" w:lineRule="auto"/>
        <w:jc w:val="both"/>
        <w:rPr>
          <w:rFonts w:ascii="Bookman Old Style" w:eastAsia="Times New Roman" w:hAnsi="Bookman Old Style" w:cs="Times New Roman"/>
          <w:sz w:val="24"/>
          <w:szCs w:val="24"/>
        </w:rPr>
      </w:pPr>
    </w:p>
    <w:p w14:paraId="717FFF63" w14:textId="77777777" w:rsidR="00A420D2" w:rsidRPr="001A7C74" w:rsidRDefault="00A420D2" w:rsidP="00A420D2">
      <w:pPr>
        <w:widowControl w:val="0"/>
        <w:spacing w:after="0" w:line="276" w:lineRule="auto"/>
        <w:ind w:left="708"/>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i/>
          <w:sz w:val="24"/>
          <w:szCs w:val="24"/>
        </w:rPr>
        <w:t xml:space="preserve">El derecho a la alimentación adecuada, al igual que cualquier otro derecho humano, impone tres tipos o niveles de obligaciones a los Estados Partes: las obligaciones de </w:t>
      </w:r>
      <w:r w:rsidRPr="001A7C74">
        <w:rPr>
          <w:rFonts w:ascii="Bookman Old Style" w:eastAsia="Times New Roman" w:hAnsi="Bookman Old Style" w:cs="Times New Roman"/>
          <w:b/>
          <w:i/>
          <w:sz w:val="24"/>
          <w:szCs w:val="24"/>
        </w:rPr>
        <w:t>respetar, proteger y realizar</w:t>
      </w:r>
      <w:r w:rsidRPr="001A7C74">
        <w:rPr>
          <w:rFonts w:ascii="Bookman Old Style" w:eastAsia="Times New Roman" w:hAnsi="Bookman Old Style" w:cs="Times New Roman"/>
          <w:i/>
          <w:sz w:val="24"/>
          <w:szCs w:val="24"/>
        </w:rPr>
        <w:t>. A su vez, la obligación de realizar entraña tanto la obligación de facilitar como la obligación de hacer efectivo.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28"/>
      </w:r>
      <w:r w:rsidRPr="001A7C74">
        <w:rPr>
          <w:rFonts w:ascii="Bookman Old Style" w:eastAsia="Times New Roman" w:hAnsi="Bookman Old Style" w:cs="Times New Roman"/>
          <w:sz w:val="24"/>
          <w:szCs w:val="24"/>
        </w:rPr>
        <w:t xml:space="preserve"> (se resalta)</w:t>
      </w:r>
    </w:p>
    <w:p w14:paraId="5675768B"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p>
    <w:p w14:paraId="73519CD1" w14:textId="77777777" w:rsidR="00A420D2" w:rsidRPr="001A7C74" w:rsidRDefault="00A420D2" w:rsidP="00A420D2">
      <w:pPr>
        <w:widowControl w:val="0"/>
        <w:numPr>
          <w:ilvl w:val="0"/>
          <w:numId w:val="4"/>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 xml:space="preserve"> Consideraciones frente a la exigibilidad del derecho en los términos planteados en el proyecto</w:t>
      </w:r>
    </w:p>
    <w:p w14:paraId="1CF9F477"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p>
    <w:p w14:paraId="3C243A7E"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sidRPr="001A7C74">
        <w:rPr>
          <w:rFonts w:ascii="Bookman Old Style" w:eastAsia="Times New Roman" w:hAnsi="Bookman Old Style" w:cs="Times New Roman"/>
          <w:sz w:val="24"/>
          <w:szCs w:val="24"/>
          <w:vertAlign w:val="superscript"/>
        </w:rPr>
        <w:footnoteReference w:id="29"/>
      </w:r>
      <w:r w:rsidRPr="001A7C74">
        <w:rPr>
          <w:rFonts w:ascii="Bookman Old Style" w:eastAsia="Times New Roman" w:hAnsi="Bookman Old Style" w:cs="Times New Roman"/>
          <w:sz w:val="24"/>
          <w:szCs w:val="24"/>
        </w:rPr>
        <w:t>, cuya realización en sí (salvo en aquellos casos en los cuales se vean involucrados Niños, Niñas y Adolescentes) se debe materializar de manera progresiva, conforme a la disponibilidad presupuestal de los Estados.</w:t>
      </w:r>
    </w:p>
    <w:p w14:paraId="54E4D5A1"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p>
    <w:p w14:paraId="69E463DE"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ese sentido, resulta necesario traer a colación lo dispuesto por el economista y premio Nobel de economía Amartya Sen en su escrito “</w:t>
      </w:r>
      <w:proofErr w:type="spellStart"/>
      <w:r w:rsidRPr="001A7C74">
        <w:rPr>
          <w:rFonts w:ascii="Bookman Old Style" w:eastAsia="Times New Roman" w:hAnsi="Bookman Old Style" w:cs="Times New Roman"/>
          <w:i/>
          <w:sz w:val="24"/>
          <w:szCs w:val="24"/>
        </w:rPr>
        <w:t>The</w:t>
      </w:r>
      <w:proofErr w:type="spellEnd"/>
      <w:r w:rsidRPr="001A7C74">
        <w:rPr>
          <w:rFonts w:ascii="Bookman Old Style" w:eastAsia="Times New Roman" w:hAnsi="Bookman Old Style" w:cs="Times New Roman"/>
          <w:i/>
          <w:sz w:val="24"/>
          <w:szCs w:val="24"/>
        </w:rPr>
        <w:t xml:space="preserve"> </w:t>
      </w:r>
      <w:proofErr w:type="spellStart"/>
      <w:r w:rsidRPr="001A7C74">
        <w:rPr>
          <w:rFonts w:ascii="Bookman Old Style" w:eastAsia="Times New Roman" w:hAnsi="Bookman Old Style" w:cs="Times New Roman"/>
          <w:i/>
          <w:sz w:val="24"/>
          <w:szCs w:val="24"/>
        </w:rPr>
        <w:t>right</w:t>
      </w:r>
      <w:proofErr w:type="spellEnd"/>
      <w:r w:rsidRPr="001A7C74">
        <w:rPr>
          <w:rFonts w:ascii="Bookman Old Style" w:eastAsia="Times New Roman" w:hAnsi="Bookman Old Style" w:cs="Times New Roman"/>
          <w:i/>
          <w:sz w:val="24"/>
          <w:szCs w:val="24"/>
        </w:rPr>
        <w:t xml:space="preserve"> </w:t>
      </w:r>
      <w:proofErr w:type="spellStart"/>
      <w:r w:rsidRPr="001A7C74">
        <w:rPr>
          <w:rFonts w:ascii="Bookman Old Style" w:eastAsia="Times New Roman" w:hAnsi="Bookman Old Style" w:cs="Times New Roman"/>
          <w:i/>
          <w:sz w:val="24"/>
          <w:szCs w:val="24"/>
        </w:rPr>
        <w:t>not</w:t>
      </w:r>
      <w:proofErr w:type="spellEnd"/>
      <w:r w:rsidRPr="001A7C74">
        <w:rPr>
          <w:rFonts w:ascii="Bookman Old Style" w:eastAsia="Times New Roman" w:hAnsi="Bookman Old Style" w:cs="Times New Roman"/>
          <w:i/>
          <w:sz w:val="24"/>
          <w:szCs w:val="24"/>
        </w:rPr>
        <w:t xml:space="preserve"> to be </w:t>
      </w:r>
      <w:proofErr w:type="spellStart"/>
      <w:r w:rsidRPr="001A7C74">
        <w:rPr>
          <w:rFonts w:ascii="Bookman Old Style" w:eastAsia="Times New Roman" w:hAnsi="Bookman Old Style" w:cs="Times New Roman"/>
          <w:i/>
          <w:sz w:val="24"/>
          <w:szCs w:val="24"/>
        </w:rPr>
        <w:t>hungry</w:t>
      </w:r>
      <w:proofErr w:type="spellEnd"/>
      <w:r w:rsidRPr="001A7C74">
        <w:rPr>
          <w:rFonts w:ascii="Bookman Old Style" w:eastAsia="Times New Roman" w:hAnsi="Bookman Old Style" w:cs="Times New Roman"/>
          <w:sz w:val="24"/>
          <w:szCs w:val="24"/>
        </w:rPr>
        <w:t>” (1982) quien plantea la existencia de una nueva categoría de derechos que denomina “</w:t>
      </w:r>
      <w:proofErr w:type="spellStart"/>
      <w:r w:rsidRPr="001A7C74">
        <w:rPr>
          <w:rFonts w:ascii="Bookman Old Style" w:eastAsia="Times New Roman" w:hAnsi="Bookman Old Style" w:cs="Times New Roman"/>
          <w:sz w:val="24"/>
          <w:szCs w:val="24"/>
        </w:rPr>
        <w:t>metaderechos</w:t>
      </w:r>
      <w:proofErr w:type="spellEnd"/>
      <w:r w:rsidRPr="001A7C74">
        <w:rPr>
          <w:rFonts w:ascii="Bookman Old Style" w:eastAsia="Times New Roman" w:hAnsi="Bookman Old Style" w:cs="Times New Roman"/>
          <w:sz w:val="24"/>
          <w:szCs w:val="24"/>
        </w:rPr>
        <w:t>”. En ese sentido, Sen plantea que “</w:t>
      </w:r>
      <w:r w:rsidRPr="001A7C74">
        <w:rPr>
          <w:rFonts w:ascii="Bookman Old Style" w:eastAsia="Times New Roman" w:hAnsi="Bookman Old Style" w:cs="Times New Roman"/>
          <w:i/>
          <w:sz w:val="24"/>
          <w:szCs w:val="24"/>
        </w:rPr>
        <w:t xml:space="preserve">un </w:t>
      </w:r>
      <w:proofErr w:type="spellStart"/>
      <w:r w:rsidRPr="001A7C74">
        <w:rPr>
          <w:rFonts w:ascii="Bookman Old Style" w:eastAsia="Times New Roman" w:hAnsi="Bookman Old Style" w:cs="Times New Roman"/>
          <w:i/>
          <w:sz w:val="24"/>
          <w:szCs w:val="24"/>
        </w:rPr>
        <w:t>metaderecho</w:t>
      </w:r>
      <w:proofErr w:type="spellEnd"/>
      <w:r w:rsidRPr="001A7C74">
        <w:rPr>
          <w:rFonts w:ascii="Bookman Old Style" w:eastAsia="Times New Roman" w:hAnsi="Bookman Old Style" w:cs="Times New Roman"/>
          <w:i/>
          <w:sz w:val="24"/>
          <w:szCs w:val="24"/>
        </w:rPr>
        <w:t xml:space="preserve"> a algo x puede ser definido como el derecho a tener políticas p(x) que persigan genuinamente el objetivo de hacer realizable el derecho a x</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30"/>
      </w:r>
      <w:r w:rsidRPr="001A7C74">
        <w:rPr>
          <w:rFonts w:ascii="Bookman Old Style" w:eastAsia="Times New Roman" w:hAnsi="Bookman Old Style" w:cs="Times New Roman"/>
          <w:sz w:val="24"/>
          <w:szCs w:val="24"/>
        </w:rPr>
        <w:t xml:space="preserve"> Con el propósito de ejemplificar su afirmación, el autor plantea un ejemplo de la Constitución de la India en donde claramente se esboza una redacción “</w:t>
      </w:r>
      <w:r w:rsidRPr="001A7C74">
        <w:rPr>
          <w:rFonts w:ascii="Bookman Old Style" w:eastAsia="Times New Roman" w:hAnsi="Bookman Old Style" w:cs="Times New Roman"/>
          <w:i/>
          <w:sz w:val="24"/>
          <w:szCs w:val="24"/>
        </w:rPr>
        <w:t xml:space="preserve">suficientemente cuidadosa para evitar aseverar que tal derecho existe de antemano </w:t>
      </w:r>
      <w:r w:rsidRPr="001A7C74">
        <w:rPr>
          <w:rFonts w:ascii="Bookman Old Style" w:eastAsia="Times New Roman" w:hAnsi="Bookman Old Style" w:cs="Times New Roman"/>
          <w:sz w:val="24"/>
          <w:szCs w:val="24"/>
        </w:rPr>
        <w:t xml:space="preserve">(pese a que es deseable su existencia y puede argumentarse desde el ámbito de la conexidad con Derechos Fundamentales de corte no prestacional), </w:t>
      </w:r>
      <w:r w:rsidRPr="001A7C74">
        <w:rPr>
          <w:rFonts w:ascii="Bookman Old Style" w:eastAsia="Times New Roman" w:hAnsi="Bookman Old Style" w:cs="Times New Roman"/>
          <w:i/>
          <w:sz w:val="24"/>
          <w:szCs w:val="24"/>
        </w:rPr>
        <w:t>al decir que tan solo las políticas deben ser dirigidas a hacer posible tener medios adecuados para la realización del fin</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31"/>
      </w:r>
    </w:p>
    <w:p w14:paraId="79D82871"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p>
    <w:p w14:paraId="74946D5C"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El eje central de la teoría esbozada por Sen parte de una sencilla premisa: la redacción consignada, de ser aceptada y positivizada en el texto constitucional, plantea que tan solo se le otorgaría el reconocimiento y las herramientas para exigir al Gobierno el derecho a que se pongan en práctica las políticas (definidas por el autor como p(x)) y que sean conducentes para </w:t>
      </w:r>
      <w:r w:rsidRPr="001A7C74">
        <w:rPr>
          <w:rFonts w:ascii="Bookman Old Style" w:eastAsia="Times New Roman" w:hAnsi="Bookman Old Style" w:cs="Times New Roman"/>
          <w:sz w:val="24"/>
          <w:szCs w:val="24"/>
        </w:rPr>
        <w:lastRenderedPageBreak/>
        <w:t xml:space="preserve">la realización y materialización del fin perseguido (definido como x por el Autor). </w:t>
      </w:r>
    </w:p>
    <w:p w14:paraId="7D345B6D"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p>
    <w:p w14:paraId="5CA47249"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ese sentido, de acuerdo con Sen “</w:t>
      </w:r>
      <w:r w:rsidRPr="001A7C74">
        <w:rPr>
          <w:rFonts w:ascii="Bookman Old Style" w:eastAsia="Times New Roman" w:hAnsi="Bookman Old Style" w:cs="Times New Roman"/>
          <w:i/>
          <w:sz w:val="24"/>
          <w:szCs w:val="24"/>
        </w:rPr>
        <w:t xml:space="preserve">no resulta difícil observar por qué los </w:t>
      </w:r>
      <w:proofErr w:type="spellStart"/>
      <w:r w:rsidRPr="001A7C74">
        <w:rPr>
          <w:rFonts w:ascii="Bookman Old Style" w:eastAsia="Times New Roman" w:hAnsi="Bookman Old Style" w:cs="Times New Roman"/>
          <w:i/>
          <w:sz w:val="24"/>
          <w:szCs w:val="24"/>
        </w:rPr>
        <w:t>metaderechos</w:t>
      </w:r>
      <w:proofErr w:type="spellEnd"/>
      <w:r w:rsidRPr="001A7C74">
        <w:rPr>
          <w:rFonts w:ascii="Bookman Old Style" w:eastAsia="Times New Roman" w:hAnsi="Bookman Old Style" w:cs="Times New Roman"/>
          <w:i/>
          <w:sz w:val="24"/>
          <w:szCs w:val="24"/>
        </w:rPr>
        <w:t xml:space="preserve"> de este tipo tienen relevancia particular para objetivos económicos tales como la remoción de la pobreza o el hambre. En muchos países en donde </w:t>
      </w:r>
      <w:r w:rsidRPr="001A7C74">
        <w:rPr>
          <w:rFonts w:ascii="Bookman Old Style" w:eastAsia="Times New Roman" w:hAnsi="Bookman Old Style" w:cs="Times New Roman"/>
          <w:sz w:val="24"/>
          <w:szCs w:val="24"/>
        </w:rPr>
        <w:t xml:space="preserve">(estas dos situaciones) </w:t>
      </w:r>
      <w:r w:rsidRPr="001A7C74">
        <w:rPr>
          <w:rFonts w:ascii="Bookman Old Style" w:eastAsia="Times New Roman" w:hAnsi="Bookman Old Style" w:cs="Times New Roman"/>
          <w:i/>
          <w:sz w:val="24"/>
          <w:szCs w:val="24"/>
        </w:rPr>
        <w:t>están diseminados, puede que no exista ningún modo factible mediante el cual en un futuro cercano se le garantice a todos ser liberados de aquellas, pero sí políticas que rápidamente conducirán a tal liberación</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32"/>
      </w:r>
      <w:r w:rsidRPr="001A7C74">
        <w:rPr>
          <w:rFonts w:ascii="Bookman Old Style" w:eastAsia="Times New Roman" w:hAnsi="Bookman Old Style" w:cs="Times New Roman"/>
          <w:sz w:val="24"/>
          <w:szCs w:val="24"/>
        </w:rPr>
        <w:t xml:space="preserve"> Tomando en consideración el anterior panorama, se cree que establecer el </w:t>
      </w:r>
      <w:proofErr w:type="spellStart"/>
      <w:r w:rsidRPr="001A7C74">
        <w:rPr>
          <w:rFonts w:ascii="Bookman Old Style" w:eastAsia="Times New Roman" w:hAnsi="Bookman Old Style" w:cs="Times New Roman"/>
          <w:sz w:val="24"/>
          <w:szCs w:val="24"/>
        </w:rPr>
        <w:t>metaderecho</w:t>
      </w:r>
      <w:proofErr w:type="spellEnd"/>
      <w:r w:rsidRPr="001A7C74">
        <w:rPr>
          <w:rFonts w:ascii="Bookman Old Style" w:eastAsia="Times New Roman" w:hAnsi="Bookman Old Style" w:cs="Times New Roman"/>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2BC146F1"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p>
    <w:p w14:paraId="30CB5F06" w14:textId="77777777" w:rsidR="00A420D2" w:rsidRPr="001A7C74" w:rsidRDefault="00A420D2" w:rsidP="00A420D2">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Tomando en consideración la teoría expuesta por Sen, se establece una 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p w14:paraId="050929FF"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4B9CD3AF" w14:textId="77777777" w:rsidR="00A420D2" w:rsidRPr="001A7C74" w:rsidRDefault="00A420D2" w:rsidP="00A420D2">
      <w:pPr>
        <w:pStyle w:val="Prrafodelista"/>
        <w:numPr>
          <w:ilvl w:val="0"/>
          <w:numId w:val="4"/>
        </w:numPr>
        <w:spacing w:line="276" w:lineRule="auto"/>
        <w:rPr>
          <w:rFonts w:ascii="Bookman Old Style" w:eastAsia="Times New Roman" w:hAnsi="Bookman Old Style" w:cs="Times New Roman"/>
          <w:sz w:val="24"/>
          <w:szCs w:val="24"/>
        </w:rPr>
      </w:pPr>
      <w:r w:rsidRPr="001A7C74">
        <w:rPr>
          <w:rFonts w:ascii="Bookman Old Style" w:eastAsia="Times New Roman" w:hAnsi="Bookman Old Style" w:cs="Times New Roman"/>
          <w:b/>
          <w:sz w:val="24"/>
          <w:szCs w:val="24"/>
        </w:rPr>
        <w:t>Consideraciones frente a los conceptos de seguridad y soberanía alimentaria</w:t>
      </w:r>
    </w:p>
    <w:p w14:paraId="5A71B551"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5745CEF9" w14:textId="77777777" w:rsidR="00A420D2" w:rsidRPr="001A7C74" w:rsidRDefault="00A420D2" w:rsidP="00A420D2">
      <w:pPr>
        <w:spacing w:after="0" w:line="276" w:lineRule="auto"/>
        <w:jc w:val="both"/>
        <w:rPr>
          <w:rFonts w:ascii="Bookman Old Style" w:hAnsi="Bookman Old Style" w:cs="Times New Roman"/>
          <w:sz w:val="24"/>
          <w:szCs w:val="24"/>
        </w:rPr>
      </w:pPr>
    </w:p>
    <w:p w14:paraId="2C220B89"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lastRenderedPageBreak/>
        <w:t>Tradicionalmente se ha entendido a la seguridad alimentaria como “</w:t>
      </w:r>
      <w:r w:rsidRPr="001A7C74">
        <w:rPr>
          <w:rFonts w:ascii="Bookman Old Style" w:hAnsi="Bookman Old Style" w:cs="Times New Roman"/>
          <w:i/>
          <w:sz w:val="24"/>
          <w:szCs w:val="24"/>
        </w:rPr>
        <w:t>la posibilidad de acceso a los alimentos por parte de las generaciones presentes y futuras</w:t>
      </w:r>
      <w:r w:rsidRPr="001A7C74">
        <w:rPr>
          <w:rFonts w:ascii="Bookman Old Style" w:hAnsi="Bookman Old Style" w:cs="Times New Roman"/>
          <w:sz w:val="24"/>
          <w:szCs w:val="24"/>
        </w:rPr>
        <w:t>”</w:t>
      </w:r>
      <w:r w:rsidRPr="001A7C74">
        <w:rPr>
          <w:rStyle w:val="Refdenotaalpie"/>
          <w:rFonts w:ascii="Bookman Old Style" w:hAnsi="Bookman Old Style" w:cs="Times New Roman"/>
          <w:sz w:val="24"/>
          <w:szCs w:val="24"/>
        </w:rPr>
        <w:footnoteReference w:id="33"/>
      </w:r>
      <w:r w:rsidRPr="001A7C74">
        <w:rPr>
          <w:rFonts w:ascii="Bookman Old Style" w:hAnsi="Bookman Old Style" w:cs="Times New Roman"/>
          <w:sz w:val="24"/>
          <w:szCs w:val="24"/>
        </w:rPr>
        <w:t xml:space="preserve">. </w:t>
      </w:r>
    </w:p>
    <w:p w14:paraId="312161E2" w14:textId="77777777" w:rsidR="00A420D2" w:rsidRPr="001A7C74" w:rsidRDefault="00A420D2" w:rsidP="00A420D2">
      <w:pPr>
        <w:spacing w:after="0" w:line="276" w:lineRule="auto"/>
        <w:jc w:val="both"/>
        <w:rPr>
          <w:rFonts w:ascii="Bookman Old Style" w:hAnsi="Bookman Old Style" w:cs="Times New Roman"/>
          <w:sz w:val="24"/>
          <w:szCs w:val="24"/>
        </w:rPr>
      </w:pPr>
    </w:p>
    <w:p w14:paraId="68B4F025"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Así mismo, la FAO, dando alcance al presente  existe seguridad alimentaria “</w:t>
      </w:r>
      <w:r w:rsidRPr="001A7C74">
        <w:rPr>
          <w:rFonts w:ascii="Bookman Old Style" w:hAnsi="Bookman Old Style" w:cs="Times New Roman"/>
          <w:i/>
          <w:sz w:val="24"/>
          <w:szCs w:val="24"/>
        </w:rPr>
        <w:t>cuando todas las personas tienen en todo momento el acceso físico, social y económico a alimentos suficientes, inocuos y nutritivos que satisfacen sus necesidades y preferencias alimentarias para llevar una vida activa y sana</w:t>
      </w:r>
      <w:r w:rsidRPr="001A7C74">
        <w:rPr>
          <w:rFonts w:ascii="Bookman Old Style" w:hAnsi="Bookman Old Style" w:cs="Times New Roman"/>
          <w:sz w:val="24"/>
          <w:szCs w:val="24"/>
        </w:rPr>
        <w:t>”</w:t>
      </w:r>
      <w:r w:rsidRPr="001A7C74">
        <w:rPr>
          <w:rStyle w:val="Refdenotaalpie"/>
          <w:rFonts w:ascii="Bookman Old Style" w:hAnsi="Bookman Old Style" w:cs="Times New Roman"/>
          <w:sz w:val="24"/>
          <w:szCs w:val="24"/>
        </w:rPr>
        <w:footnoteReference w:id="34"/>
      </w:r>
      <w:r w:rsidRPr="001A7C74">
        <w:rPr>
          <w:rFonts w:ascii="Bookman Old Style" w:hAnsi="Bookman Old Style" w:cs="Times New Roman"/>
          <w:sz w:val="24"/>
          <w:szCs w:val="24"/>
        </w:rPr>
        <w:t xml:space="preserve">. </w:t>
      </w:r>
      <w:r w:rsidRPr="001A7C74">
        <w:rPr>
          <w:rFonts w:ascii="Bookman Old Style" w:hAnsi="Bookman Old Style" w:cs="Times New Roman"/>
          <w:i/>
          <w:sz w:val="24"/>
          <w:szCs w:val="24"/>
        </w:rPr>
        <w:t xml:space="preserve"> </w:t>
      </w:r>
      <w:r w:rsidRPr="001A7C74">
        <w:rPr>
          <w:rFonts w:ascii="Bookman Old Style" w:hAnsi="Bookman Old Style" w:cs="Times New Roman"/>
          <w:sz w:val="24"/>
          <w:szCs w:val="24"/>
        </w:rPr>
        <w:t>Del mismo modo, la Oficina del Alto Comisionado de las Naciones Unidas para los Derechos Humanos y la FAO en el Folleto Informativo No. 34 sobre el derecho a la alimentación adecuada ha establecido que “</w:t>
      </w:r>
      <w:r w:rsidRPr="001A7C74">
        <w:rPr>
          <w:rFonts w:ascii="Bookman Old Style" w:hAnsi="Bookman Old Style" w:cs="Times New Roman"/>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1A7C74">
        <w:rPr>
          <w:rFonts w:ascii="Bookman Old Style" w:hAnsi="Bookman Old Style" w:cs="Times New Roman"/>
          <w:sz w:val="24"/>
          <w:szCs w:val="24"/>
        </w:rPr>
        <w:t>”</w:t>
      </w:r>
      <w:r w:rsidRPr="001A7C74">
        <w:rPr>
          <w:rStyle w:val="Refdenotaalpie"/>
          <w:rFonts w:ascii="Bookman Old Style" w:hAnsi="Bookman Old Style" w:cs="Times New Roman"/>
          <w:sz w:val="24"/>
          <w:szCs w:val="24"/>
        </w:rPr>
        <w:footnoteReference w:id="35"/>
      </w:r>
    </w:p>
    <w:p w14:paraId="006D9B81" w14:textId="77777777" w:rsidR="00A420D2" w:rsidRPr="001A7C74" w:rsidRDefault="00A420D2" w:rsidP="00A420D2">
      <w:pPr>
        <w:spacing w:after="0" w:line="276" w:lineRule="auto"/>
        <w:jc w:val="both"/>
        <w:rPr>
          <w:rFonts w:ascii="Bookman Old Style" w:hAnsi="Bookman Old Style" w:cs="Times New Roman"/>
          <w:sz w:val="24"/>
          <w:szCs w:val="24"/>
        </w:rPr>
      </w:pPr>
    </w:p>
    <w:p w14:paraId="07F35219"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En nuestro ordenamiento jurídico, el concepto de la seguridad alimentaria ha sido recogido en el CONPES 113 de 2008, el cual plantea varias semejanzas con respecto a la definición propuesta por la FAO. En ese sentido, el mencionado documento de política señala que por Seguridad Alimentaria y Nutricional debe entenderse que es la “</w:t>
      </w:r>
      <w:r w:rsidRPr="001A7C74">
        <w:rPr>
          <w:rFonts w:ascii="Bookman Old Style" w:hAnsi="Bookman Old Style" w:cs="Times New Roman"/>
          <w:i/>
          <w:sz w:val="24"/>
          <w:szCs w:val="24"/>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1A7C74">
        <w:rPr>
          <w:rFonts w:ascii="Bookman Old Style" w:hAnsi="Bookman Old Style" w:cs="Times New Roman"/>
          <w:sz w:val="24"/>
          <w:szCs w:val="24"/>
        </w:rPr>
        <w:t>”</w:t>
      </w:r>
    </w:p>
    <w:p w14:paraId="1CA13F55" w14:textId="77777777" w:rsidR="00A420D2" w:rsidRPr="001A7C74" w:rsidRDefault="00A420D2" w:rsidP="00A420D2">
      <w:pPr>
        <w:spacing w:after="0" w:line="276" w:lineRule="auto"/>
        <w:jc w:val="both"/>
        <w:rPr>
          <w:rFonts w:ascii="Bookman Old Style" w:hAnsi="Bookman Old Style" w:cs="Times New Roman"/>
          <w:sz w:val="24"/>
          <w:szCs w:val="24"/>
        </w:rPr>
      </w:pPr>
    </w:p>
    <w:p w14:paraId="71077256" w14:textId="77777777" w:rsidR="00A420D2" w:rsidRPr="001A7C74" w:rsidRDefault="00A420D2" w:rsidP="00A420D2">
      <w:pPr>
        <w:spacing w:after="0" w:line="276" w:lineRule="auto"/>
        <w:jc w:val="both"/>
        <w:rPr>
          <w:rFonts w:ascii="Bookman Old Style" w:hAnsi="Bookman Old Style" w:cs="Times New Roman"/>
          <w:b/>
          <w:sz w:val="24"/>
          <w:szCs w:val="24"/>
        </w:rPr>
      </w:pPr>
      <w:r w:rsidRPr="001A7C74">
        <w:rPr>
          <w:rFonts w:ascii="Bookman Old Style" w:hAnsi="Bookman Old Style" w:cs="Times New Roman"/>
          <w:b/>
          <w:sz w:val="24"/>
          <w:szCs w:val="24"/>
        </w:rPr>
        <w:t xml:space="preserve"> La Soberanía Alimentaria:</w:t>
      </w:r>
    </w:p>
    <w:p w14:paraId="45BA3641" w14:textId="77777777" w:rsidR="00A420D2" w:rsidRPr="001A7C74" w:rsidRDefault="00A420D2" w:rsidP="00A420D2">
      <w:pPr>
        <w:spacing w:after="0" w:line="276" w:lineRule="auto"/>
        <w:jc w:val="both"/>
        <w:rPr>
          <w:rFonts w:ascii="Bookman Old Style" w:hAnsi="Bookman Old Style" w:cs="Times New Roman"/>
          <w:b/>
          <w:sz w:val="24"/>
          <w:szCs w:val="24"/>
        </w:rPr>
      </w:pPr>
    </w:p>
    <w:p w14:paraId="13C03827"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 xml:space="preserve">El concepto de soberanía alimentaria ha sido adoptado en diversas legislaciones (como es el caso de Guatemala, Ecuador, Bolivia o Brasil, entre otras). Sin embargo, a pesar de este reconocimiento en otros países de la </w:t>
      </w:r>
      <w:r w:rsidRPr="001A7C74">
        <w:rPr>
          <w:rFonts w:ascii="Bookman Old Style" w:hAnsi="Bookman Old Style" w:cs="Times New Roman"/>
          <w:sz w:val="24"/>
          <w:szCs w:val="24"/>
        </w:rPr>
        <w:lastRenderedPageBreak/>
        <w:t>región,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5036F028" w14:textId="77777777" w:rsidR="00A420D2" w:rsidRPr="001A7C74" w:rsidRDefault="00A420D2" w:rsidP="00A420D2">
      <w:pPr>
        <w:spacing w:after="0" w:line="276" w:lineRule="auto"/>
        <w:jc w:val="both"/>
        <w:rPr>
          <w:rFonts w:ascii="Bookman Old Style" w:hAnsi="Bookman Old Style" w:cs="Times New Roman"/>
          <w:sz w:val="24"/>
          <w:szCs w:val="24"/>
        </w:rPr>
      </w:pPr>
    </w:p>
    <w:p w14:paraId="66A80D04"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Ahora bien, la falta de consenso en el concierto internacional no ha impedido que instancias como la Oficina del Alto Comisionado de los Derechos Humanos de las Naciones Unidas y la FAO, en el folleto informativo No. 34 sobre el derecho a la alimentación hayan propuesto una definición que recoge las principales posturas que hasta la fecha se han dado. En virtud de esta definición, por soberanía alimentaria se entiende la potestad que se irroga a las personas y a las comunidades para definir su propio alimento y modelo de producción. Así mismo, se les irroga el derecho para determinar hasta qué punto desean auto proveerse y hasta qué punto se desea proteger la producción interna de los recursos alimentarios. Así mismo, entendiendo que el mercado requiere de la intervención del Estado para asegurar su correcto funcionamiento, propende por regular el comercio a fin de lograr los objetivos inherentes del desarrollo sostenible y a la atención de las necesidades de la población</w:t>
      </w:r>
      <w:r w:rsidRPr="001A7C74">
        <w:rPr>
          <w:rStyle w:val="Refdenotaalpie"/>
          <w:rFonts w:ascii="Bookman Old Style" w:hAnsi="Bookman Old Style" w:cs="Times New Roman"/>
          <w:sz w:val="24"/>
          <w:szCs w:val="24"/>
        </w:rPr>
        <w:footnoteReference w:id="36"/>
      </w:r>
      <w:r w:rsidRPr="001A7C74">
        <w:rPr>
          <w:rFonts w:ascii="Bookman Old Style" w:hAnsi="Bookman Old Style" w:cs="Times New Roman"/>
          <w:sz w:val="24"/>
          <w:szCs w:val="24"/>
        </w:rPr>
        <w:t>.</w:t>
      </w:r>
    </w:p>
    <w:p w14:paraId="58082E2A" w14:textId="77777777" w:rsidR="00A420D2" w:rsidRPr="001A7C74" w:rsidRDefault="00A420D2" w:rsidP="00A420D2">
      <w:pPr>
        <w:spacing w:after="0" w:line="276" w:lineRule="auto"/>
        <w:jc w:val="both"/>
        <w:rPr>
          <w:rFonts w:ascii="Bookman Old Style" w:hAnsi="Bookman Old Style" w:cs="Times New Roman"/>
          <w:sz w:val="24"/>
          <w:szCs w:val="24"/>
        </w:rPr>
      </w:pPr>
    </w:p>
    <w:p w14:paraId="4CDFE7AF"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donde el numeral II del artículo 9 se establece una definición de Soberanía Alimentaria, entendida como:</w:t>
      </w:r>
    </w:p>
    <w:p w14:paraId="44C80A07" w14:textId="77777777" w:rsidR="00A420D2" w:rsidRPr="001A7C74" w:rsidRDefault="00A420D2" w:rsidP="00A420D2">
      <w:pPr>
        <w:spacing w:after="0" w:line="276" w:lineRule="auto"/>
        <w:jc w:val="both"/>
        <w:rPr>
          <w:rFonts w:ascii="Bookman Old Style" w:hAnsi="Bookman Old Style" w:cs="Times New Roman"/>
          <w:sz w:val="24"/>
          <w:szCs w:val="24"/>
        </w:rPr>
      </w:pPr>
    </w:p>
    <w:p w14:paraId="49358622" w14:textId="77777777" w:rsidR="00A420D2" w:rsidRPr="001A7C74" w:rsidRDefault="00A420D2" w:rsidP="00A420D2">
      <w:pPr>
        <w:spacing w:after="0" w:line="276" w:lineRule="auto"/>
        <w:ind w:left="708"/>
        <w:jc w:val="both"/>
        <w:rPr>
          <w:rFonts w:ascii="Bookman Old Style" w:hAnsi="Bookman Old Style" w:cs="Times New Roman"/>
          <w:i/>
          <w:sz w:val="24"/>
          <w:szCs w:val="24"/>
        </w:rPr>
      </w:pPr>
      <w:r w:rsidRPr="001A7C74">
        <w:rPr>
          <w:rFonts w:ascii="Bookman Old Style" w:hAnsi="Bookman Old Style" w:cs="Times New Roman"/>
          <w:i/>
          <w:sz w:val="24"/>
          <w:szCs w:val="24"/>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2567AD28" w14:textId="77777777" w:rsidR="00A420D2" w:rsidRPr="001A7C74" w:rsidRDefault="00A420D2" w:rsidP="00A420D2">
      <w:pPr>
        <w:spacing w:after="0" w:line="276" w:lineRule="auto"/>
        <w:jc w:val="both"/>
        <w:rPr>
          <w:rFonts w:ascii="Bookman Old Style" w:hAnsi="Bookman Old Style" w:cs="Times New Roman"/>
          <w:i/>
          <w:sz w:val="24"/>
          <w:szCs w:val="24"/>
        </w:rPr>
      </w:pPr>
    </w:p>
    <w:p w14:paraId="156A931A" w14:textId="77777777" w:rsidR="00A420D2" w:rsidRPr="001A7C74" w:rsidRDefault="00A420D2" w:rsidP="00A420D2">
      <w:pPr>
        <w:spacing w:after="0" w:line="276" w:lineRule="auto"/>
        <w:jc w:val="both"/>
        <w:rPr>
          <w:rFonts w:ascii="Bookman Old Style" w:hAnsi="Bookman Old Style" w:cs="Times New Roman"/>
          <w:sz w:val="24"/>
          <w:szCs w:val="24"/>
          <w:lang w:eastAsia="es-ES_tradnl" w:bidi="x-none"/>
        </w:rPr>
      </w:pPr>
      <w:r w:rsidRPr="001A7C74">
        <w:rPr>
          <w:rFonts w:ascii="Bookman Old Style" w:hAnsi="Bookman Old Style" w:cs="Times New Roman"/>
          <w:sz w:val="24"/>
          <w:szCs w:val="24"/>
        </w:rPr>
        <w:lastRenderedPageBreak/>
        <w:t xml:space="preserve">Si no fueran suficientes los argumentos anteriormente esgrimidos, no puede dejarse de lado que el concepto de soberanía alimentaria no es ajeno a nuestro ordenamiento jurídico. Para ello, es válido traer algunos ejemplos en donde se ha establecido el mismo: </w:t>
      </w:r>
      <w:r w:rsidRPr="001A7C74">
        <w:rPr>
          <w:rFonts w:ascii="Bookman Old Style" w:hAnsi="Bookman Old Style" w:cs="Times New Roman"/>
          <w:sz w:val="24"/>
          <w:szCs w:val="24"/>
          <w:lang w:eastAsia="es-ES_tradnl" w:bidi="x-none"/>
        </w:rPr>
        <w:t>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garantizarse que no se afecte la seguridad, autonomía y soberanía alimentaria</w:t>
      </w:r>
      <w:r w:rsidRPr="001A7C74">
        <w:rPr>
          <w:rFonts w:ascii="Bookman Old Style" w:hAnsi="Bookman Old Style" w:cs="Times New Roman"/>
          <w:bCs/>
          <w:sz w:val="24"/>
          <w:szCs w:val="24"/>
          <w:lang w:eastAsia="es-ES_tradnl" w:bidi="x-none"/>
        </w:rPr>
        <w:t xml:space="preserve">. </w:t>
      </w:r>
    </w:p>
    <w:p w14:paraId="349A0F6F" w14:textId="77777777" w:rsidR="00A420D2" w:rsidRPr="001A7C74" w:rsidRDefault="00A420D2" w:rsidP="00A420D2">
      <w:pPr>
        <w:widowControl w:val="0"/>
        <w:autoSpaceDE w:val="0"/>
        <w:autoSpaceDN w:val="0"/>
        <w:adjustRightInd w:val="0"/>
        <w:spacing w:after="0" w:line="276" w:lineRule="auto"/>
        <w:jc w:val="both"/>
        <w:rPr>
          <w:rFonts w:ascii="Bookman Old Style" w:hAnsi="Bookman Old Style" w:cs="Times New Roman"/>
          <w:sz w:val="24"/>
          <w:szCs w:val="24"/>
          <w:lang w:eastAsia="es-ES_tradnl" w:bidi="x-none"/>
        </w:rPr>
      </w:pPr>
    </w:p>
    <w:p w14:paraId="154ED7A4" w14:textId="77777777" w:rsidR="00A420D2" w:rsidRPr="001A7C74" w:rsidRDefault="00A420D2" w:rsidP="00A420D2">
      <w:pPr>
        <w:widowControl w:val="0"/>
        <w:autoSpaceDE w:val="0"/>
        <w:autoSpaceDN w:val="0"/>
        <w:adjustRightInd w:val="0"/>
        <w:spacing w:after="0" w:line="276" w:lineRule="auto"/>
        <w:jc w:val="both"/>
        <w:rPr>
          <w:rFonts w:ascii="Bookman Old Style" w:hAnsi="Bookman Old Style" w:cs="Times New Roman"/>
          <w:i/>
          <w:iCs/>
          <w:sz w:val="24"/>
          <w:szCs w:val="24"/>
          <w:lang w:eastAsia="es-ES_tradnl" w:bidi="x-none"/>
        </w:rPr>
      </w:pPr>
      <w:r w:rsidRPr="001A7C74">
        <w:rPr>
          <w:rFonts w:ascii="Bookman Old Style" w:hAnsi="Bookman Old Style" w:cs="Times New Roman"/>
          <w:sz w:val="24"/>
          <w:szCs w:val="24"/>
          <w:lang w:eastAsia="es-ES_tradnl" w:bidi="x-none"/>
        </w:rPr>
        <w:t xml:space="preserve">De igual manera, recientemente la Ley 2046 de 2020, la Ley de Compras Públicas de Alimentos, indicó en su artículo 4º, relativo a las definiciones aplicables, señaló que </w:t>
      </w:r>
      <w:proofErr w:type="spellStart"/>
      <w:r w:rsidRPr="001A7C74">
        <w:rPr>
          <w:rFonts w:ascii="Bookman Old Style" w:hAnsi="Bookman Old Style" w:cs="Times New Roman"/>
          <w:sz w:val="24"/>
          <w:szCs w:val="24"/>
          <w:lang w:eastAsia="es-ES_tradnl" w:bidi="x-none"/>
        </w:rPr>
        <w:t>que</w:t>
      </w:r>
      <w:proofErr w:type="spellEnd"/>
      <w:r w:rsidRPr="001A7C74">
        <w:rPr>
          <w:rFonts w:ascii="Bookman Old Style" w:hAnsi="Bookman Old Style" w:cs="Times New Roman"/>
          <w:sz w:val="24"/>
          <w:szCs w:val="24"/>
          <w:lang w:eastAsia="es-ES_tradnl" w:bidi="x-none"/>
        </w:rPr>
        <w:t xml:space="preserve"> </w:t>
      </w:r>
      <w:r w:rsidRPr="001A7C74">
        <w:rPr>
          <w:rFonts w:ascii="Bookman Old Style" w:hAnsi="Bookman Old Style" w:cs="Times New Roman"/>
          <w:i/>
          <w:iCs/>
          <w:sz w:val="24"/>
          <w:szCs w:val="24"/>
          <w:lang w:eastAsia="es-ES_tradnl" w:bidi="x-none"/>
        </w:rPr>
        <w:t>“</w:t>
      </w:r>
      <w:r w:rsidRPr="001A7C74">
        <w:rPr>
          <w:rFonts w:ascii="Bookman Old Style" w:hAnsi="Bookman Old Style" w:cs="Times New Roman"/>
          <w:sz w:val="24"/>
          <w:szCs w:val="24"/>
          <w:lang w:eastAsia="es-ES_tradnl" w:bidi="x-none"/>
        </w:rPr>
        <w:t>[l]</w:t>
      </w:r>
      <w:r w:rsidRPr="001A7C74">
        <w:rPr>
          <w:rFonts w:ascii="Bookman Old Style" w:hAnsi="Bookman Old Style" w:cs="Times New Roman"/>
          <w:i/>
          <w:iCs/>
          <w:sz w:val="24"/>
          <w:szCs w:val="24"/>
          <w:lang w:eastAsia="es-ES_tradnl" w:bidi="x-none"/>
        </w:rPr>
        <w:t xml:space="preserve">os principios del comercio justo están relacionados con la soberanía alimentaria y seguridad alimentaria.” </w:t>
      </w:r>
      <w:r w:rsidRPr="001A7C74">
        <w:rPr>
          <w:rFonts w:ascii="Bookman Old Style" w:hAnsi="Bookman Old Style" w:cs="Times New Roman"/>
          <w:sz w:val="24"/>
          <w:szCs w:val="24"/>
          <w:lang w:eastAsia="es-ES_tradnl" w:bidi="x-none"/>
        </w:rPr>
        <w:t>Además, en el artículo 6º del mencionado instrumento normativo se consagró la obligación del Gobierno Nacional de capacitar en diferentes ejes temáticos, dentro de los cuales se encuentra la seguridad y soberanía alimentaria.</w:t>
      </w:r>
    </w:p>
    <w:p w14:paraId="0CB3588B"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5758752E" w14:textId="77777777" w:rsidR="00A420D2" w:rsidRPr="001A7C74" w:rsidRDefault="00A420D2" w:rsidP="00A420D2">
      <w:pPr>
        <w:pStyle w:val="Prrafodelista"/>
        <w:numPr>
          <w:ilvl w:val="1"/>
          <w:numId w:val="6"/>
        </w:numPr>
        <w:spacing w:after="0" w:line="276" w:lineRule="auto"/>
        <w:jc w:val="both"/>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 xml:space="preserve"> La relación reconocida por la doctrina entre seguridad alimentaria y soberanía alimentaria</w:t>
      </w:r>
    </w:p>
    <w:p w14:paraId="779457C0"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10F74C20"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De acuerdo con algunos doctrinantes</w:t>
      </w:r>
      <w:r w:rsidRPr="001A7C74">
        <w:rPr>
          <w:rStyle w:val="Refdenotaalpie"/>
          <w:rFonts w:ascii="Bookman Old Style" w:hAnsi="Bookman Old Style" w:cs="Times New Roman"/>
          <w:sz w:val="24"/>
          <w:szCs w:val="24"/>
          <w:lang w:val="es-MX"/>
        </w:rPr>
        <w:footnoteReference w:id="37"/>
      </w:r>
      <w:r w:rsidRPr="001A7C74">
        <w:rPr>
          <w:rFonts w:ascii="Bookman Old Style" w:hAnsi="Bookman Old Style" w:cs="Times New Roman"/>
          <w:sz w:val="24"/>
          <w:szCs w:val="24"/>
          <w:lang w:val="es-MX"/>
        </w:rPr>
        <w:t xml:space="preserve">, y como bien se ha señalado en la exposición de motivos, la soberanía alimentaria está estrechamente relacionada con el concepto de seguridad alimentaria, siendo la primera una forma de abordar la segunda. </w:t>
      </w:r>
    </w:p>
    <w:p w14:paraId="7A302656"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243BB2B8"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A través de la soberanía alimentaria se materializa el elemento de disponibilidad del derecho a la alimentación consistente en la facultad de toda persona, pueblo o nación de satisfacer su necesidad alimentaria por sus propios medios, así como la obligación de los Estados de construir un entorno económico, político y social que permita a las comunidades alcanzar </w:t>
      </w:r>
      <w:r w:rsidRPr="001A7C74">
        <w:rPr>
          <w:rFonts w:ascii="Bookman Old Style" w:hAnsi="Bookman Old Style" w:cs="Times New Roman"/>
          <w:sz w:val="24"/>
          <w:szCs w:val="24"/>
          <w:lang w:val="es-MX"/>
        </w:rPr>
        <w:lastRenderedPageBreak/>
        <w:t>la seguridad alimentaria por sus propios medios – o autodeterminarse respecto de los medios que consideran más idóneos para ello – o de no adoptar medidas que tengan como resultado impedir, limitar o privar a las comunidades de las posibilidades de autoabastecerse.</w:t>
      </w:r>
    </w:p>
    <w:p w14:paraId="214411E4"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4B6F1186" w14:textId="77777777" w:rsidR="00A420D2" w:rsidRPr="001A7C74"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Es así como puede concluirse que, para hablar de un derecho a la alimentación adecuada y a una efectiva protección contra el hambre y la desnutrición en el país, garantizar la seguridad alimentaria y la soberanía alimentaria – en los términos señalados por la Ley Marco aprobada en el seno del Parlamento Latinoamericano – se consideran prerrequisitos esenciales sin los cuales no se puede abordar debidamente este aspecto.</w:t>
      </w:r>
    </w:p>
    <w:p w14:paraId="7F001645"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4163580B" w14:textId="77777777" w:rsidR="00A420D2" w:rsidRPr="001A7C74" w:rsidRDefault="00A420D2" w:rsidP="00A420D2">
      <w:pPr>
        <w:spacing w:after="0" w:line="276" w:lineRule="auto"/>
        <w:jc w:val="both"/>
        <w:rPr>
          <w:rFonts w:ascii="Bookman Old Style" w:hAnsi="Bookman Old Style" w:cs="Times New Roman"/>
          <w:sz w:val="24"/>
          <w:szCs w:val="24"/>
          <w:lang w:val="es-MX"/>
        </w:rPr>
      </w:pPr>
    </w:p>
    <w:p w14:paraId="1B3564F5" w14:textId="0A6DCF1B" w:rsidR="00A420D2" w:rsidRDefault="00A420D2" w:rsidP="00A420D2">
      <w:pPr>
        <w:pStyle w:val="Prrafodelista"/>
        <w:numPr>
          <w:ilvl w:val="0"/>
          <w:numId w:val="1"/>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Modificaciones y pliego de modificaciones</w:t>
      </w:r>
    </w:p>
    <w:p w14:paraId="31AEFFFF" w14:textId="328C1D62" w:rsidR="009E41D3" w:rsidRDefault="009E41D3" w:rsidP="009E41D3">
      <w:pPr>
        <w:spacing w:after="0" w:line="276" w:lineRule="auto"/>
        <w:jc w:val="both"/>
        <w:rPr>
          <w:rFonts w:ascii="Bookman Old Style" w:eastAsia="Times New Roman" w:hAnsi="Bookman Old Style" w:cs="Times New Roman"/>
          <w:b/>
          <w:sz w:val="24"/>
          <w:szCs w:val="24"/>
        </w:rPr>
      </w:pPr>
    </w:p>
    <w:p w14:paraId="57DA79B9" w14:textId="77777777" w:rsidR="009E41D3" w:rsidRDefault="009E41D3" w:rsidP="009E41D3">
      <w:pPr>
        <w:spacing w:after="0" w:line="276" w:lineRule="auto"/>
        <w:jc w:val="both"/>
        <w:rPr>
          <w:rFonts w:ascii="Bookman Old Style" w:eastAsia="Times New Roman" w:hAnsi="Bookman Old Style" w:cs="Times New Roman"/>
          <w:bCs/>
          <w:sz w:val="24"/>
          <w:szCs w:val="24"/>
        </w:rPr>
      </w:pPr>
      <w:r w:rsidRPr="009E41D3">
        <w:rPr>
          <w:rFonts w:ascii="Bookman Old Style" w:eastAsia="Times New Roman" w:hAnsi="Bookman Old Style" w:cs="Times New Roman"/>
          <w:bCs/>
          <w:sz w:val="24"/>
          <w:szCs w:val="24"/>
        </w:rPr>
        <w:t>Para l</w:t>
      </w:r>
      <w:r>
        <w:rPr>
          <w:rFonts w:ascii="Bookman Old Style" w:eastAsia="Times New Roman" w:hAnsi="Bookman Old Style" w:cs="Times New Roman"/>
          <w:bCs/>
          <w:sz w:val="24"/>
          <w:szCs w:val="24"/>
        </w:rPr>
        <w:t xml:space="preserve">a discusión del presente Proyecto de Acto Legislativo en Segundo Debate se incluyen dos elementos propuestos por el Honorable Representante Julián Peinado. El primero de ellos es la inclusión de la expresión “a no padecer hambre” como elemento constitutivo del derecho en cuestión. El segundo elemento es la disposición para que la parte general del Plan Nacional de Desarrollo incluya un capítulo con las disposiciones que le Gobierno Nacional debe poner en marcha para la realización material del derecho a la alimentación adecuada. </w:t>
      </w:r>
    </w:p>
    <w:p w14:paraId="0BBE230F" w14:textId="77777777" w:rsidR="009E41D3" w:rsidRDefault="009E41D3" w:rsidP="009E41D3">
      <w:pPr>
        <w:spacing w:after="0" w:line="276" w:lineRule="auto"/>
        <w:jc w:val="both"/>
        <w:rPr>
          <w:rFonts w:ascii="Bookman Old Style" w:eastAsia="Times New Roman" w:hAnsi="Bookman Old Style" w:cs="Times New Roman"/>
          <w:bCs/>
          <w:sz w:val="24"/>
          <w:szCs w:val="24"/>
        </w:rPr>
      </w:pPr>
    </w:p>
    <w:p w14:paraId="4450051A" w14:textId="2DD51F98" w:rsidR="009E41D3" w:rsidRPr="009E41D3" w:rsidRDefault="009E41D3" w:rsidP="009E41D3">
      <w:pPr>
        <w:spacing w:after="0" w:line="276"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Adicionalmente, se incluye la eliminación propuesta por los Honorables Representantes Edward David Rodríguez y Gabriel Jaime Vallejo del concepto de “soberanía alimentaria”. Esta eliminación no busca desconocer la importancia de</w:t>
      </w:r>
      <w:r w:rsidR="00D33172">
        <w:rPr>
          <w:rFonts w:ascii="Bookman Old Style" w:eastAsia="Times New Roman" w:hAnsi="Bookman Old Style" w:cs="Times New Roman"/>
          <w:bCs/>
          <w:sz w:val="24"/>
          <w:szCs w:val="24"/>
        </w:rPr>
        <w:t xml:space="preserve">l concepto en cuestión, sino que alienta a que en el trámite legislativo que le resta al Proyecto se pueda encontrar una fórmula que garantice la inclusión y definición del término soberanía alimentaria. </w:t>
      </w:r>
    </w:p>
    <w:p w14:paraId="6A6EBF00" w14:textId="77777777" w:rsidR="00A420D2" w:rsidRPr="001A7C74" w:rsidRDefault="00A420D2" w:rsidP="00A420D2">
      <w:pPr>
        <w:spacing w:after="0" w:line="276" w:lineRule="auto"/>
        <w:jc w:val="both"/>
        <w:rPr>
          <w:rFonts w:ascii="Bookman Old Style" w:eastAsia="Times New Roman" w:hAnsi="Bookman Old Style" w:cs="Times New Roman"/>
          <w:b/>
          <w:sz w:val="24"/>
          <w:szCs w:val="24"/>
        </w:rPr>
      </w:pPr>
    </w:p>
    <w:tbl>
      <w:tblPr>
        <w:tblStyle w:val="Tablaconcuadrcula"/>
        <w:tblW w:w="0" w:type="auto"/>
        <w:tblLook w:val="04A0" w:firstRow="1" w:lastRow="0" w:firstColumn="1" w:lastColumn="0" w:noHBand="0" w:noVBand="1"/>
      </w:tblPr>
      <w:tblGrid>
        <w:gridCol w:w="4414"/>
        <w:gridCol w:w="4414"/>
      </w:tblGrid>
      <w:tr w:rsidR="001A7C74" w:rsidRPr="001A7C74" w14:paraId="499E3D6C" w14:textId="77777777" w:rsidTr="0060394B">
        <w:tc>
          <w:tcPr>
            <w:tcW w:w="4414" w:type="dxa"/>
          </w:tcPr>
          <w:p w14:paraId="35A26573" w14:textId="77777777" w:rsidR="00A420D2" w:rsidRPr="001A7C74" w:rsidRDefault="00A420D2" w:rsidP="0060394B">
            <w:pPr>
              <w:spacing w:line="276" w:lineRule="auto"/>
              <w:jc w:val="center"/>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 xml:space="preserve">TEXTO APROBADO EN </w:t>
            </w:r>
            <w:r w:rsidR="00CF112C" w:rsidRPr="001A7C74">
              <w:rPr>
                <w:rFonts w:ascii="Bookman Old Style" w:eastAsia="Times New Roman" w:hAnsi="Bookman Old Style" w:cs="Times New Roman"/>
                <w:b/>
                <w:sz w:val="24"/>
                <w:szCs w:val="24"/>
              </w:rPr>
              <w:t>PRIMER DEBATE CÁMARA</w:t>
            </w:r>
          </w:p>
        </w:tc>
        <w:tc>
          <w:tcPr>
            <w:tcW w:w="4414" w:type="dxa"/>
          </w:tcPr>
          <w:p w14:paraId="321ACFAF" w14:textId="77777777" w:rsidR="00A420D2" w:rsidRPr="001A7C74" w:rsidRDefault="00A420D2" w:rsidP="0060394B">
            <w:pPr>
              <w:spacing w:line="276" w:lineRule="auto"/>
              <w:jc w:val="center"/>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 xml:space="preserve">TEXTO PROPUESTO PARA </w:t>
            </w:r>
            <w:r w:rsidR="00CF112C" w:rsidRPr="001A7C74">
              <w:rPr>
                <w:rFonts w:ascii="Bookman Old Style" w:eastAsia="Times New Roman" w:hAnsi="Bookman Old Style" w:cs="Times New Roman"/>
                <w:b/>
                <w:sz w:val="24"/>
                <w:szCs w:val="24"/>
              </w:rPr>
              <w:t>SEGUNDO</w:t>
            </w:r>
            <w:r w:rsidRPr="001A7C74">
              <w:rPr>
                <w:rFonts w:ascii="Bookman Old Style" w:eastAsia="Times New Roman" w:hAnsi="Bookman Old Style" w:cs="Times New Roman"/>
                <w:b/>
                <w:sz w:val="24"/>
                <w:szCs w:val="24"/>
              </w:rPr>
              <w:t xml:space="preserve"> DEBATE CÁMARA</w:t>
            </w:r>
          </w:p>
        </w:tc>
      </w:tr>
      <w:tr w:rsidR="001A7C74" w:rsidRPr="001A7C74" w14:paraId="4B00F9E3" w14:textId="77777777" w:rsidTr="0060394B">
        <w:tc>
          <w:tcPr>
            <w:tcW w:w="4414" w:type="dxa"/>
          </w:tcPr>
          <w:p w14:paraId="56A731B3" w14:textId="77777777" w:rsidR="00A420D2" w:rsidRPr="001A7C74" w:rsidRDefault="00A420D2" w:rsidP="0060394B">
            <w:pPr>
              <w:spacing w:line="276" w:lineRule="auto"/>
              <w:rPr>
                <w:rFonts w:ascii="Bookman Old Style" w:hAnsi="Bookman Old Style" w:cs="Times New Roman"/>
                <w:sz w:val="24"/>
                <w:szCs w:val="24"/>
              </w:rPr>
            </w:pPr>
            <w:r w:rsidRPr="001A7C74">
              <w:rPr>
                <w:rFonts w:ascii="Bookman Old Style" w:hAnsi="Bookman Old Style" w:cs="Times New Roman"/>
                <w:b/>
                <w:bCs/>
                <w:sz w:val="24"/>
                <w:szCs w:val="24"/>
              </w:rPr>
              <w:t>Artículo 1º.</w:t>
            </w:r>
            <w:r w:rsidRPr="001A7C74">
              <w:rPr>
                <w:rFonts w:ascii="Bookman Old Style" w:hAnsi="Bookman Old Style" w:cs="Times New Roman"/>
                <w:sz w:val="24"/>
                <w:szCs w:val="24"/>
              </w:rPr>
              <w:t xml:space="preserve"> Modifíquese el artículo 65 de la Constitución Política de Colombia, el cual quedará así:</w:t>
            </w:r>
          </w:p>
          <w:p w14:paraId="672A7538" w14:textId="77777777" w:rsidR="00A420D2" w:rsidRPr="001A7C74" w:rsidRDefault="00A420D2" w:rsidP="0060394B">
            <w:pPr>
              <w:spacing w:line="276" w:lineRule="auto"/>
              <w:rPr>
                <w:rFonts w:ascii="Bookman Old Style" w:hAnsi="Bookman Old Style" w:cs="Times New Roman"/>
                <w:b/>
                <w:sz w:val="24"/>
                <w:szCs w:val="24"/>
              </w:rPr>
            </w:pPr>
          </w:p>
          <w:p w14:paraId="62DFD356" w14:textId="77777777" w:rsidR="00A420D2" w:rsidRPr="001A7C74" w:rsidRDefault="00A420D2" w:rsidP="0060394B">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lastRenderedPageBreak/>
              <w:t xml:space="preserve">Artículo 65. El Estado garantizará el derecho a la alimentación adecuada y a proteger a las personas contra el hambre y la desnutrición. Así mismo promoverá condiciones de seguridad alimentaria y soberanía alimentaria en el territorio nacional. </w:t>
            </w:r>
          </w:p>
          <w:p w14:paraId="3FBB7CF5" w14:textId="3896219B" w:rsidR="00A420D2" w:rsidRDefault="00A420D2" w:rsidP="0060394B">
            <w:pPr>
              <w:spacing w:line="276" w:lineRule="auto"/>
              <w:jc w:val="both"/>
              <w:rPr>
                <w:rFonts w:ascii="Bookman Old Style" w:hAnsi="Bookman Old Style" w:cs="Times New Roman"/>
                <w:sz w:val="24"/>
                <w:szCs w:val="24"/>
              </w:rPr>
            </w:pPr>
          </w:p>
          <w:p w14:paraId="72940D2C" w14:textId="77777777" w:rsidR="004317C6" w:rsidRPr="001A7C74" w:rsidRDefault="004317C6" w:rsidP="0060394B">
            <w:pPr>
              <w:spacing w:line="276" w:lineRule="auto"/>
              <w:jc w:val="both"/>
              <w:rPr>
                <w:rFonts w:ascii="Bookman Old Style" w:hAnsi="Bookman Old Style" w:cs="Times New Roman"/>
                <w:sz w:val="24"/>
                <w:szCs w:val="24"/>
              </w:rPr>
            </w:pPr>
          </w:p>
          <w:p w14:paraId="32AF4CB2" w14:textId="77777777" w:rsidR="00D33172" w:rsidRDefault="00D33172" w:rsidP="0060394B">
            <w:pPr>
              <w:spacing w:line="276" w:lineRule="auto"/>
              <w:jc w:val="both"/>
              <w:rPr>
                <w:rFonts w:ascii="Bookman Old Style" w:hAnsi="Bookman Old Style" w:cs="Times New Roman"/>
                <w:sz w:val="24"/>
                <w:szCs w:val="24"/>
              </w:rPr>
            </w:pPr>
          </w:p>
          <w:p w14:paraId="16B5A05E" w14:textId="6429CD21" w:rsidR="00A420D2" w:rsidRPr="001A7C74" w:rsidRDefault="00A420D2" w:rsidP="0060394B">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50D5F610" w14:textId="77777777" w:rsidR="00A420D2" w:rsidRPr="001A7C74" w:rsidRDefault="00A420D2" w:rsidP="0060394B">
            <w:pPr>
              <w:spacing w:line="276" w:lineRule="auto"/>
              <w:jc w:val="both"/>
              <w:rPr>
                <w:rFonts w:ascii="Bookman Old Style" w:hAnsi="Bookman Old Style" w:cs="Times New Roman"/>
                <w:sz w:val="24"/>
                <w:szCs w:val="24"/>
              </w:rPr>
            </w:pPr>
          </w:p>
          <w:p w14:paraId="3B4D9B54" w14:textId="77777777" w:rsidR="00A420D2" w:rsidRPr="001A7C74" w:rsidRDefault="00A420D2" w:rsidP="0060394B">
            <w:pPr>
              <w:spacing w:line="276" w:lineRule="auto"/>
              <w:jc w:val="both"/>
              <w:rPr>
                <w:rFonts w:ascii="Bookman Old Style" w:hAnsi="Bookman Old Style" w:cs="Times New Roman"/>
                <w:bCs/>
                <w:sz w:val="24"/>
                <w:szCs w:val="24"/>
              </w:rPr>
            </w:pPr>
            <w:r w:rsidRPr="001A7C74">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w:t>
            </w:r>
            <w:r w:rsidR="00CF112C" w:rsidRPr="001A7C74">
              <w:rPr>
                <w:rFonts w:ascii="Bookman Old Style" w:hAnsi="Bookman Old Style" w:cs="Times New Roman"/>
                <w:sz w:val="24"/>
                <w:szCs w:val="24"/>
              </w:rPr>
              <w:t xml:space="preserve">, </w:t>
            </w:r>
            <w:r w:rsidR="00CF112C" w:rsidRPr="001A7C74">
              <w:rPr>
                <w:rFonts w:ascii="Bookman Old Style" w:hAnsi="Bookman Old Style" w:cs="Times New Roman"/>
                <w:bCs/>
                <w:sz w:val="24"/>
                <w:szCs w:val="24"/>
              </w:rPr>
              <w:t>dando prioridad a las formas de producción de alimentos que estén acorde con una dieta saludable y que generen un menor impacto ambienta</w:t>
            </w:r>
            <w:r w:rsidR="00D94634" w:rsidRPr="001A7C74">
              <w:rPr>
                <w:rFonts w:ascii="Bookman Old Style" w:hAnsi="Bookman Old Style" w:cs="Times New Roman"/>
                <w:bCs/>
                <w:sz w:val="24"/>
                <w:szCs w:val="24"/>
              </w:rPr>
              <w:t>l.</w:t>
            </w:r>
          </w:p>
          <w:p w14:paraId="2B4CC55A" w14:textId="77777777" w:rsidR="00D94634" w:rsidRPr="001A7C74" w:rsidRDefault="00D94634" w:rsidP="0060394B">
            <w:pPr>
              <w:spacing w:line="276" w:lineRule="auto"/>
              <w:jc w:val="both"/>
              <w:rPr>
                <w:rFonts w:ascii="Bookman Old Style" w:hAnsi="Bookman Old Style" w:cs="Times New Roman"/>
                <w:sz w:val="24"/>
                <w:szCs w:val="24"/>
              </w:rPr>
            </w:pPr>
          </w:p>
          <w:p w14:paraId="27D63944" w14:textId="77777777" w:rsidR="004317C6" w:rsidRDefault="004317C6" w:rsidP="0060394B">
            <w:pPr>
              <w:spacing w:line="276" w:lineRule="auto"/>
              <w:jc w:val="both"/>
              <w:rPr>
                <w:rFonts w:ascii="Bookman Old Style" w:hAnsi="Bookman Old Style" w:cs="Times New Roman"/>
                <w:sz w:val="24"/>
                <w:szCs w:val="24"/>
              </w:rPr>
            </w:pPr>
          </w:p>
          <w:p w14:paraId="4ED1E7E4" w14:textId="77777777" w:rsidR="004317C6" w:rsidRDefault="004317C6" w:rsidP="0060394B">
            <w:pPr>
              <w:spacing w:line="276" w:lineRule="auto"/>
              <w:jc w:val="both"/>
              <w:rPr>
                <w:rFonts w:ascii="Bookman Old Style" w:hAnsi="Bookman Old Style" w:cs="Times New Roman"/>
                <w:sz w:val="24"/>
                <w:szCs w:val="24"/>
              </w:rPr>
            </w:pPr>
          </w:p>
          <w:p w14:paraId="29AD9EFA" w14:textId="77777777" w:rsidR="004317C6" w:rsidRDefault="004317C6" w:rsidP="0060394B">
            <w:pPr>
              <w:spacing w:line="276" w:lineRule="auto"/>
              <w:jc w:val="both"/>
              <w:rPr>
                <w:rFonts w:ascii="Bookman Old Style" w:hAnsi="Bookman Old Style" w:cs="Times New Roman"/>
                <w:sz w:val="24"/>
                <w:szCs w:val="24"/>
              </w:rPr>
            </w:pPr>
          </w:p>
          <w:p w14:paraId="38679B11" w14:textId="77777777" w:rsidR="004317C6" w:rsidRDefault="004317C6" w:rsidP="0060394B">
            <w:pPr>
              <w:spacing w:line="276" w:lineRule="auto"/>
              <w:jc w:val="both"/>
              <w:rPr>
                <w:rFonts w:ascii="Bookman Old Style" w:hAnsi="Bookman Old Style" w:cs="Times New Roman"/>
                <w:sz w:val="24"/>
                <w:szCs w:val="24"/>
              </w:rPr>
            </w:pPr>
          </w:p>
          <w:p w14:paraId="21B42D1B" w14:textId="77777777" w:rsidR="004317C6" w:rsidRDefault="004317C6" w:rsidP="0060394B">
            <w:pPr>
              <w:spacing w:line="276" w:lineRule="auto"/>
              <w:jc w:val="both"/>
              <w:rPr>
                <w:rFonts w:ascii="Bookman Old Style" w:hAnsi="Bookman Old Style" w:cs="Times New Roman"/>
                <w:sz w:val="24"/>
                <w:szCs w:val="24"/>
              </w:rPr>
            </w:pPr>
          </w:p>
          <w:p w14:paraId="7D6AE0D7" w14:textId="77777777" w:rsidR="004317C6" w:rsidRDefault="004317C6" w:rsidP="0060394B">
            <w:pPr>
              <w:spacing w:line="276" w:lineRule="auto"/>
              <w:jc w:val="both"/>
              <w:rPr>
                <w:rFonts w:ascii="Bookman Old Style" w:hAnsi="Bookman Old Style" w:cs="Times New Roman"/>
                <w:sz w:val="24"/>
                <w:szCs w:val="24"/>
              </w:rPr>
            </w:pPr>
          </w:p>
          <w:p w14:paraId="30BE24D8" w14:textId="77777777" w:rsidR="004317C6" w:rsidRDefault="004317C6" w:rsidP="0060394B">
            <w:pPr>
              <w:spacing w:line="276" w:lineRule="auto"/>
              <w:jc w:val="both"/>
              <w:rPr>
                <w:rFonts w:ascii="Bookman Old Style" w:hAnsi="Bookman Old Style" w:cs="Times New Roman"/>
                <w:sz w:val="24"/>
                <w:szCs w:val="24"/>
              </w:rPr>
            </w:pPr>
          </w:p>
          <w:p w14:paraId="31AEB024" w14:textId="77777777" w:rsidR="004317C6" w:rsidRDefault="004317C6" w:rsidP="0060394B">
            <w:pPr>
              <w:spacing w:line="276" w:lineRule="auto"/>
              <w:jc w:val="both"/>
              <w:rPr>
                <w:rFonts w:ascii="Bookman Old Style" w:hAnsi="Bookman Old Style" w:cs="Times New Roman"/>
                <w:sz w:val="24"/>
                <w:szCs w:val="24"/>
              </w:rPr>
            </w:pPr>
          </w:p>
          <w:p w14:paraId="6EC0EEB0" w14:textId="77777777" w:rsidR="004317C6" w:rsidRDefault="004317C6" w:rsidP="0060394B">
            <w:pPr>
              <w:spacing w:line="276" w:lineRule="auto"/>
              <w:jc w:val="both"/>
              <w:rPr>
                <w:rFonts w:ascii="Bookman Old Style" w:hAnsi="Bookman Old Style" w:cs="Times New Roman"/>
                <w:sz w:val="24"/>
                <w:szCs w:val="24"/>
              </w:rPr>
            </w:pPr>
          </w:p>
          <w:p w14:paraId="47BCD5A8" w14:textId="77777777" w:rsidR="004317C6" w:rsidRDefault="004317C6" w:rsidP="0060394B">
            <w:pPr>
              <w:spacing w:line="276" w:lineRule="auto"/>
              <w:jc w:val="both"/>
              <w:rPr>
                <w:rFonts w:ascii="Bookman Old Style" w:hAnsi="Bookman Old Style" w:cs="Times New Roman"/>
                <w:sz w:val="24"/>
                <w:szCs w:val="24"/>
              </w:rPr>
            </w:pPr>
          </w:p>
          <w:p w14:paraId="3B3BCD63" w14:textId="7A91D59D" w:rsidR="00CF112C" w:rsidRPr="001A7C74" w:rsidRDefault="00CF112C" w:rsidP="0060394B">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2. El presente acto legislativo rige a partir de su promulgación y deroga las demás normas que le sean contrarias.</w:t>
            </w:r>
          </w:p>
          <w:p w14:paraId="00431195" w14:textId="77777777" w:rsidR="00A420D2" w:rsidRPr="001A7C74" w:rsidRDefault="00A420D2" w:rsidP="0060394B">
            <w:pPr>
              <w:spacing w:line="276" w:lineRule="auto"/>
              <w:jc w:val="both"/>
              <w:rPr>
                <w:rFonts w:ascii="Bookman Old Style" w:hAnsi="Bookman Old Style" w:cs="Times New Roman"/>
                <w:sz w:val="24"/>
                <w:szCs w:val="24"/>
              </w:rPr>
            </w:pPr>
          </w:p>
          <w:p w14:paraId="2806209A" w14:textId="77777777" w:rsidR="00A420D2" w:rsidRPr="001A7C74" w:rsidRDefault="00A420D2" w:rsidP="0060394B">
            <w:pPr>
              <w:spacing w:line="276" w:lineRule="auto"/>
              <w:jc w:val="both"/>
              <w:rPr>
                <w:rFonts w:ascii="Bookman Old Style" w:hAnsi="Bookman Old Style" w:cs="Times New Roman"/>
                <w:sz w:val="24"/>
                <w:szCs w:val="24"/>
              </w:rPr>
            </w:pPr>
          </w:p>
          <w:p w14:paraId="0E1D7284" w14:textId="77777777" w:rsidR="00A420D2" w:rsidRPr="001A7C74" w:rsidRDefault="00A420D2" w:rsidP="0060394B">
            <w:pPr>
              <w:spacing w:line="276" w:lineRule="auto"/>
              <w:jc w:val="both"/>
              <w:rPr>
                <w:rFonts w:ascii="Bookman Old Style" w:hAnsi="Bookman Old Style" w:cs="Times New Roman"/>
                <w:sz w:val="24"/>
                <w:szCs w:val="24"/>
              </w:rPr>
            </w:pPr>
          </w:p>
          <w:p w14:paraId="1ABEE728" w14:textId="77777777" w:rsidR="00A420D2" w:rsidRPr="001A7C74" w:rsidRDefault="00A420D2" w:rsidP="0060394B">
            <w:pPr>
              <w:spacing w:line="276" w:lineRule="auto"/>
              <w:jc w:val="both"/>
              <w:rPr>
                <w:rFonts w:ascii="Bookman Old Style" w:hAnsi="Bookman Old Style" w:cs="Times New Roman"/>
                <w:b/>
                <w:sz w:val="24"/>
                <w:szCs w:val="24"/>
              </w:rPr>
            </w:pPr>
          </w:p>
          <w:p w14:paraId="28B69BA9" w14:textId="77777777" w:rsidR="00A420D2" w:rsidRPr="001A7C74" w:rsidRDefault="00A420D2" w:rsidP="0060394B">
            <w:pPr>
              <w:spacing w:line="276" w:lineRule="auto"/>
              <w:jc w:val="both"/>
              <w:rPr>
                <w:rFonts w:ascii="Bookman Old Style" w:eastAsia="Times New Roman" w:hAnsi="Bookman Old Style" w:cs="Times New Roman"/>
                <w:b/>
                <w:sz w:val="24"/>
                <w:szCs w:val="24"/>
              </w:rPr>
            </w:pPr>
          </w:p>
        </w:tc>
        <w:tc>
          <w:tcPr>
            <w:tcW w:w="4414" w:type="dxa"/>
          </w:tcPr>
          <w:p w14:paraId="007E69BB" w14:textId="77777777" w:rsidR="00A420D2" w:rsidRPr="001A7C74" w:rsidRDefault="00A420D2" w:rsidP="0060394B">
            <w:pPr>
              <w:spacing w:line="276" w:lineRule="auto"/>
              <w:rPr>
                <w:rFonts w:ascii="Bookman Old Style" w:hAnsi="Bookman Old Style" w:cs="Times New Roman"/>
                <w:sz w:val="24"/>
                <w:szCs w:val="24"/>
              </w:rPr>
            </w:pPr>
            <w:r w:rsidRPr="001A7C74">
              <w:rPr>
                <w:rFonts w:ascii="Bookman Old Style" w:hAnsi="Bookman Old Style" w:cs="Times New Roman"/>
                <w:b/>
                <w:bCs/>
                <w:sz w:val="24"/>
                <w:szCs w:val="24"/>
              </w:rPr>
              <w:lastRenderedPageBreak/>
              <w:t>Artículo 1º.</w:t>
            </w:r>
            <w:r w:rsidRPr="001A7C74">
              <w:rPr>
                <w:rFonts w:ascii="Bookman Old Style" w:hAnsi="Bookman Old Style" w:cs="Times New Roman"/>
                <w:sz w:val="24"/>
                <w:szCs w:val="24"/>
              </w:rPr>
              <w:t xml:space="preserve"> Modifíquese el artículo 65 de la Constitución Política de Colombia, el cual quedará así:</w:t>
            </w:r>
          </w:p>
          <w:p w14:paraId="0CAADB6A" w14:textId="77777777" w:rsidR="00A420D2" w:rsidRPr="001A7C74" w:rsidRDefault="00A420D2" w:rsidP="0060394B">
            <w:pPr>
              <w:spacing w:line="276" w:lineRule="auto"/>
              <w:rPr>
                <w:rFonts w:ascii="Bookman Old Style" w:hAnsi="Bookman Old Style" w:cs="Times New Roman"/>
                <w:b/>
                <w:sz w:val="24"/>
                <w:szCs w:val="24"/>
              </w:rPr>
            </w:pPr>
          </w:p>
          <w:p w14:paraId="11B038FE" w14:textId="51852594" w:rsidR="00A420D2" w:rsidRPr="001A7C74" w:rsidRDefault="00A420D2" w:rsidP="0060394B">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lastRenderedPageBreak/>
              <w:t>Artículo 65. El Estado garantizará el derecho a la alimentación adecuada</w:t>
            </w:r>
            <w:r w:rsidR="004317C6" w:rsidRPr="001A7C74">
              <w:rPr>
                <w:rFonts w:ascii="Bookman Old Style" w:hAnsi="Bookman Old Style"/>
                <w:b/>
                <w:sz w:val="24"/>
                <w:szCs w:val="24"/>
                <w:u w:val="single"/>
                <w:lang w:eastAsia="es-CO"/>
              </w:rPr>
              <w:t xml:space="preserve">, </w:t>
            </w:r>
            <w:r w:rsidR="004317C6" w:rsidRPr="001A7C74">
              <w:rPr>
                <w:rFonts w:ascii="Bookman Old Style" w:hAnsi="Bookman Old Style" w:cs="Arial"/>
                <w:b/>
                <w:bCs/>
                <w:sz w:val="24"/>
                <w:szCs w:val="24"/>
                <w:u w:val="single"/>
                <w:lang w:val="es-ES_tradnl"/>
              </w:rPr>
              <w:t>a no padecer hambre</w:t>
            </w:r>
            <w:r w:rsidRPr="001A7C74">
              <w:rPr>
                <w:rFonts w:ascii="Bookman Old Style" w:hAnsi="Bookman Old Style" w:cs="Times New Roman"/>
                <w:sz w:val="24"/>
                <w:szCs w:val="24"/>
              </w:rPr>
              <w:t xml:space="preserve"> y a proteger a las personas contra el hambre y la desnutrición. Así mismo promoverá condiciones de seguridad alimentaria </w:t>
            </w:r>
            <w:r w:rsidRPr="004317C6">
              <w:rPr>
                <w:rFonts w:ascii="Bookman Old Style" w:hAnsi="Bookman Old Style" w:cs="Times New Roman"/>
                <w:b/>
                <w:bCs/>
                <w:strike/>
                <w:sz w:val="24"/>
                <w:szCs w:val="24"/>
              </w:rPr>
              <w:t>y soberanía alimentaria</w:t>
            </w:r>
            <w:r w:rsidRPr="001A7C74">
              <w:rPr>
                <w:rFonts w:ascii="Bookman Old Style" w:hAnsi="Bookman Old Style" w:cs="Times New Roman"/>
                <w:sz w:val="24"/>
                <w:szCs w:val="24"/>
              </w:rPr>
              <w:t xml:space="preserve"> en el territorio nacional. </w:t>
            </w:r>
          </w:p>
          <w:p w14:paraId="30873231" w14:textId="77777777" w:rsidR="00A420D2" w:rsidRPr="001A7C74" w:rsidRDefault="00A420D2" w:rsidP="0060394B">
            <w:pPr>
              <w:spacing w:line="276" w:lineRule="auto"/>
              <w:jc w:val="both"/>
              <w:rPr>
                <w:rFonts w:ascii="Bookman Old Style" w:hAnsi="Bookman Old Style" w:cs="Times New Roman"/>
                <w:sz w:val="24"/>
                <w:szCs w:val="24"/>
              </w:rPr>
            </w:pPr>
          </w:p>
          <w:p w14:paraId="4D9D4FB0" w14:textId="77777777" w:rsidR="00A420D2" w:rsidRPr="001A7C74" w:rsidRDefault="00A420D2" w:rsidP="0060394B">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2706F8E1" w14:textId="77777777" w:rsidR="00A420D2" w:rsidRPr="001A7C74" w:rsidRDefault="00A420D2" w:rsidP="0060394B">
            <w:pPr>
              <w:spacing w:line="276" w:lineRule="auto"/>
              <w:jc w:val="both"/>
              <w:rPr>
                <w:rFonts w:ascii="Bookman Old Style" w:hAnsi="Bookman Old Style" w:cs="Times New Roman"/>
                <w:sz w:val="24"/>
                <w:szCs w:val="24"/>
              </w:rPr>
            </w:pPr>
          </w:p>
          <w:p w14:paraId="51869B1E" w14:textId="5BB18B78" w:rsidR="00A420D2" w:rsidRDefault="00A420D2" w:rsidP="0060394B">
            <w:pPr>
              <w:spacing w:line="276" w:lineRule="auto"/>
              <w:jc w:val="both"/>
              <w:rPr>
                <w:rFonts w:ascii="Bookman Old Style" w:hAnsi="Bookman Old Style" w:cs="Times New Roman"/>
                <w:bCs/>
                <w:sz w:val="24"/>
                <w:szCs w:val="24"/>
              </w:rPr>
            </w:pPr>
            <w:r w:rsidRPr="001A7C74">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w:t>
            </w:r>
            <w:r w:rsidRPr="001A7C74">
              <w:rPr>
                <w:rFonts w:ascii="Bookman Old Style" w:hAnsi="Bookman Old Style" w:cs="Times New Roman"/>
                <w:bCs/>
                <w:sz w:val="24"/>
                <w:szCs w:val="24"/>
              </w:rPr>
              <w:t>, dando prioridad a las formas de producción de alimentos que estén acorde con una dieta saludable y que generen un menor impacto ambiental.</w:t>
            </w:r>
          </w:p>
          <w:p w14:paraId="4540715B" w14:textId="77777777" w:rsidR="009E41D3" w:rsidRDefault="009E41D3" w:rsidP="0060394B">
            <w:pPr>
              <w:spacing w:line="276" w:lineRule="auto"/>
              <w:jc w:val="both"/>
              <w:rPr>
                <w:rFonts w:ascii="Bookman Old Style" w:hAnsi="Bookman Old Style" w:cs="Times New Roman"/>
                <w:bCs/>
                <w:sz w:val="24"/>
                <w:szCs w:val="24"/>
              </w:rPr>
            </w:pPr>
          </w:p>
          <w:p w14:paraId="664D8402" w14:textId="1B8A50DA" w:rsidR="004317C6" w:rsidRPr="004317C6" w:rsidRDefault="004317C6" w:rsidP="0060394B">
            <w:pPr>
              <w:spacing w:line="276" w:lineRule="auto"/>
              <w:jc w:val="both"/>
              <w:rPr>
                <w:rFonts w:ascii="Bookman Old Style" w:hAnsi="Bookman Old Style" w:cs="Times New Roman"/>
                <w:b/>
                <w:bCs/>
                <w:sz w:val="24"/>
                <w:szCs w:val="24"/>
                <w:u w:val="single"/>
                <w:lang w:val="es-ES_tradnl"/>
              </w:rPr>
            </w:pPr>
            <w:r w:rsidRPr="004317C6">
              <w:rPr>
                <w:rFonts w:ascii="Bookman Old Style" w:hAnsi="Bookman Old Style" w:cs="Times New Roman"/>
                <w:b/>
                <w:bCs/>
                <w:sz w:val="24"/>
                <w:szCs w:val="24"/>
                <w:u w:val="single"/>
                <w:lang w:val="es-ES_tradnl"/>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33F99D66" w14:textId="77777777" w:rsidR="00D94634" w:rsidRPr="001A7C74" w:rsidRDefault="00D94634" w:rsidP="00D94634">
            <w:pPr>
              <w:spacing w:line="276" w:lineRule="auto"/>
              <w:jc w:val="both"/>
              <w:rPr>
                <w:rFonts w:ascii="Bookman Old Style" w:hAnsi="Bookman Old Style" w:cs="Times New Roman"/>
                <w:sz w:val="24"/>
                <w:szCs w:val="24"/>
              </w:rPr>
            </w:pPr>
          </w:p>
          <w:p w14:paraId="0A18212F" w14:textId="77777777" w:rsidR="00D94634" w:rsidRPr="001A7C74" w:rsidRDefault="00D94634" w:rsidP="00D94634">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2. El presente acto legislativo rige a partir de su promulgación y deroga las demás normas que le sean contrarias.</w:t>
            </w:r>
          </w:p>
          <w:p w14:paraId="5ABDB45B" w14:textId="77777777" w:rsidR="00A420D2" w:rsidRPr="001A7C74" w:rsidRDefault="00A420D2" w:rsidP="0060394B">
            <w:pPr>
              <w:spacing w:line="276" w:lineRule="auto"/>
              <w:jc w:val="both"/>
              <w:rPr>
                <w:rFonts w:ascii="Bookman Old Style" w:hAnsi="Bookman Old Style" w:cs="Times New Roman"/>
                <w:sz w:val="24"/>
                <w:szCs w:val="24"/>
              </w:rPr>
            </w:pPr>
          </w:p>
          <w:p w14:paraId="3ABCEE4F" w14:textId="77777777" w:rsidR="00A420D2" w:rsidRPr="001A7C74" w:rsidRDefault="00A420D2" w:rsidP="0060394B">
            <w:pPr>
              <w:spacing w:line="276" w:lineRule="auto"/>
              <w:jc w:val="both"/>
              <w:rPr>
                <w:rFonts w:ascii="Bookman Old Style" w:hAnsi="Bookman Old Style" w:cs="Times New Roman"/>
                <w:b/>
                <w:sz w:val="24"/>
                <w:szCs w:val="24"/>
              </w:rPr>
            </w:pPr>
          </w:p>
          <w:p w14:paraId="7D0F3213" w14:textId="77777777" w:rsidR="00A420D2" w:rsidRPr="001A7C74" w:rsidRDefault="00A420D2" w:rsidP="0060394B">
            <w:pPr>
              <w:spacing w:line="276" w:lineRule="auto"/>
              <w:jc w:val="both"/>
              <w:rPr>
                <w:rFonts w:ascii="Bookman Old Style" w:eastAsia="Times New Roman" w:hAnsi="Bookman Old Style" w:cs="Times New Roman"/>
                <w:b/>
                <w:sz w:val="24"/>
                <w:szCs w:val="24"/>
              </w:rPr>
            </w:pPr>
          </w:p>
        </w:tc>
      </w:tr>
    </w:tbl>
    <w:p w14:paraId="7F7F6462" w14:textId="77777777" w:rsidR="00A420D2" w:rsidRPr="001A7C74" w:rsidRDefault="00A420D2" w:rsidP="00A420D2">
      <w:pPr>
        <w:spacing w:after="0" w:line="276" w:lineRule="auto"/>
        <w:jc w:val="both"/>
        <w:rPr>
          <w:rFonts w:ascii="Bookman Old Style" w:eastAsia="Times New Roman" w:hAnsi="Bookman Old Style" w:cs="Times New Roman"/>
          <w:b/>
          <w:sz w:val="24"/>
          <w:szCs w:val="24"/>
          <w:highlight w:val="yellow"/>
        </w:rPr>
      </w:pPr>
    </w:p>
    <w:p w14:paraId="553B0B85" w14:textId="77777777" w:rsidR="00A420D2" w:rsidRPr="001A7C74" w:rsidRDefault="00A420D2" w:rsidP="00A420D2">
      <w:pPr>
        <w:spacing w:after="0" w:line="276" w:lineRule="auto"/>
        <w:jc w:val="both"/>
        <w:rPr>
          <w:rFonts w:ascii="Bookman Old Style" w:eastAsia="Times New Roman" w:hAnsi="Bookman Old Style" w:cs="Times New Roman"/>
          <w:b/>
          <w:sz w:val="24"/>
          <w:szCs w:val="24"/>
          <w:highlight w:val="yellow"/>
        </w:rPr>
      </w:pPr>
    </w:p>
    <w:p w14:paraId="5535DA56" w14:textId="77777777" w:rsidR="00A420D2" w:rsidRPr="001A7C74" w:rsidRDefault="00A420D2" w:rsidP="00A420D2">
      <w:pPr>
        <w:pStyle w:val="Prrafodelista"/>
        <w:numPr>
          <w:ilvl w:val="0"/>
          <w:numId w:val="1"/>
        </w:numPr>
        <w:spacing w:line="276" w:lineRule="auto"/>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Impedimentos</w:t>
      </w:r>
    </w:p>
    <w:p w14:paraId="0E05FA19" w14:textId="3E35E555" w:rsidR="00A420D2" w:rsidRPr="001A7C74" w:rsidRDefault="00A420D2" w:rsidP="001A7C74">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Salvo mejor criterio, tomando en consideración el carácter abstracto de la propuesta de reforma constitucional y el beneficio general que se lograría con su aprobación, no se encuentra circunstancia alguna que pueda eventualmente constituirse en un conflicto de interés para los congresistas.</w:t>
      </w:r>
    </w:p>
    <w:p w14:paraId="1658574B" w14:textId="77777777" w:rsidR="00A420D2" w:rsidRPr="001A7C74" w:rsidRDefault="00A420D2" w:rsidP="00A420D2">
      <w:pPr>
        <w:pStyle w:val="Prrafodelista"/>
        <w:numPr>
          <w:ilvl w:val="0"/>
          <w:numId w:val="1"/>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Proposición</w:t>
      </w:r>
    </w:p>
    <w:p w14:paraId="5619934A" w14:textId="77777777" w:rsidR="00A420D2" w:rsidRPr="001A7C74" w:rsidRDefault="00A420D2" w:rsidP="00A420D2">
      <w:pPr>
        <w:spacing w:after="0" w:line="276" w:lineRule="auto"/>
        <w:jc w:val="both"/>
        <w:rPr>
          <w:rFonts w:ascii="Bookman Old Style" w:hAnsi="Bookman Old Style" w:cs="Times New Roman"/>
          <w:sz w:val="24"/>
          <w:szCs w:val="24"/>
        </w:rPr>
      </w:pPr>
    </w:p>
    <w:p w14:paraId="2E345CD2" w14:textId="0A1E1D1D" w:rsidR="00A420D2" w:rsidRDefault="00A420D2" w:rsidP="00A420D2">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rPr>
        <w:t xml:space="preserve">Con fundamento en las anteriores consideraciones, de manera respetuosa me permito rendir ponencia positiva y, por tanto, solicitar a la Comisión Primera Constitucional Permanente de la Cámara de Representantes dar </w:t>
      </w:r>
      <w:r w:rsidR="00281EB1" w:rsidRPr="001A7C74">
        <w:rPr>
          <w:rFonts w:ascii="Bookman Old Style" w:hAnsi="Bookman Old Style" w:cs="Times New Roman"/>
          <w:sz w:val="24"/>
          <w:szCs w:val="24"/>
        </w:rPr>
        <w:t>segundo</w:t>
      </w:r>
      <w:r w:rsidRPr="001A7C74">
        <w:rPr>
          <w:rFonts w:ascii="Bookman Old Style" w:hAnsi="Bookman Old Style" w:cs="Times New Roman"/>
          <w:sz w:val="24"/>
          <w:szCs w:val="24"/>
        </w:rPr>
        <w:t xml:space="preserve"> Debate al Proyecto de Acto Legislativo 366 de 2021 Cámara – 011 de 2021 Senado </w:t>
      </w:r>
      <w:r w:rsidRPr="001A7C74">
        <w:rPr>
          <w:rFonts w:ascii="Bookman Old Style" w:hAnsi="Bookman Old Style" w:cs="Times New Roman"/>
          <w:sz w:val="24"/>
          <w:szCs w:val="24"/>
          <w:lang w:val="es-MX"/>
        </w:rPr>
        <w:t>“Por el cual se modifica el artículo 65 de la Constitución Política de Colombia”.</w:t>
      </w:r>
    </w:p>
    <w:p w14:paraId="404F89D9" w14:textId="77777777" w:rsidR="00D33172" w:rsidRPr="001A7C74" w:rsidRDefault="00D33172" w:rsidP="00A420D2">
      <w:pPr>
        <w:spacing w:after="0" w:line="276" w:lineRule="auto"/>
        <w:jc w:val="both"/>
        <w:rPr>
          <w:rFonts w:ascii="Bookman Old Style" w:hAnsi="Bookman Old Style" w:cs="Times New Roman"/>
          <w:sz w:val="24"/>
          <w:szCs w:val="24"/>
          <w:lang w:val="es-MX"/>
        </w:rPr>
      </w:pPr>
    </w:p>
    <w:p w14:paraId="29D99D16" w14:textId="21153BDF" w:rsidR="00A420D2" w:rsidRPr="001A7C74" w:rsidRDefault="00A420D2" w:rsidP="00A420D2">
      <w:pPr>
        <w:spacing w:after="0" w:line="276" w:lineRule="auto"/>
        <w:jc w:val="both"/>
        <w:rPr>
          <w:rFonts w:ascii="Bookman Old Style" w:hAnsi="Bookman Old Style" w:cs="Times New Roman"/>
          <w:b/>
          <w:sz w:val="24"/>
          <w:szCs w:val="24"/>
        </w:rPr>
      </w:pPr>
    </w:p>
    <w:p w14:paraId="1C6C22B2" w14:textId="77777777" w:rsidR="00A420D2" w:rsidRPr="001A7C74" w:rsidRDefault="00A420D2" w:rsidP="00A420D2">
      <w:pPr>
        <w:spacing w:after="0" w:line="276" w:lineRule="auto"/>
        <w:jc w:val="both"/>
        <w:rPr>
          <w:rFonts w:ascii="Bookman Old Style" w:hAnsi="Bookman Old Style" w:cs="Times New Roman"/>
          <w:b/>
          <w:sz w:val="24"/>
          <w:szCs w:val="24"/>
        </w:rPr>
      </w:pPr>
    </w:p>
    <w:p w14:paraId="7B7BC800" w14:textId="77777777" w:rsidR="00A420D2" w:rsidRPr="001A7C74" w:rsidRDefault="00A420D2" w:rsidP="00A420D2">
      <w:pPr>
        <w:spacing w:after="0" w:line="276" w:lineRule="auto"/>
        <w:jc w:val="both"/>
        <w:rPr>
          <w:rFonts w:ascii="Bookman Old Style" w:hAnsi="Bookman Old Style" w:cs="Times New Roman"/>
          <w:b/>
          <w:sz w:val="24"/>
          <w:szCs w:val="24"/>
        </w:rPr>
      </w:pPr>
    </w:p>
    <w:p w14:paraId="56B490D3" w14:textId="77777777" w:rsidR="00A420D2" w:rsidRPr="001A7C74" w:rsidRDefault="00A420D2" w:rsidP="00A420D2">
      <w:pPr>
        <w:spacing w:after="0" w:line="276" w:lineRule="auto"/>
        <w:jc w:val="both"/>
        <w:rPr>
          <w:rFonts w:ascii="Bookman Old Style" w:hAnsi="Bookman Old Style" w:cs="Times New Roman"/>
          <w:b/>
          <w:sz w:val="24"/>
          <w:szCs w:val="24"/>
        </w:rPr>
      </w:pPr>
    </w:p>
    <w:p w14:paraId="6824CCFC" w14:textId="77777777" w:rsidR="00A420D2" w:rsidRPr="001A7C74" w:rsidRDefault="00A420D2" w:rsidP="00A420D2">
      <w:pPr>
        <w:spacing w:after="0" w:line="276" w:lineRule="auto"/>
        <w:jc w:val="both"/>
        <w:rPr>
          <w:rFonts w:ascii="Bookman Old Style" w:hAnsi="Bookman Old Style" w:cs="Times New Roman"/>
          <w:b/>
          <w:sz w:val="24"/>
          <w:szCs w:val="24"/>
        </w:rPr>
      </w:pPr>
    </w:p>
    <w:p w14:paraId="66D8D3AF" w14:textId="77777777" w:rsidR="00A420D2" w:rsidRPr="001A7C74" w:rsidRDefault="00A420D2" w:rsidP="00A420D2">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JUAN CARLOS LOSADA VARGAS</w:t>
      </w:r>
    </w:p>
    <w:p w14:paraId="273DCF3F" w14:textId="77777777" w:rsidR="00A420D2" w:rsidRPr="001A7C74" w:rsidRDefault="00A420D2" w:rsidP="00A420D2">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Representante a la Cámara.</w:t>
      </w:r>
    </w:p>
    <w:p w14:paraId="0944623B" w14:textId="77777777" w:rsidR="00A420D2" w:rsidRPr="001A7C74" w:rsidRDefault="00A420D2" w:rsidP="00A420D2">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Ponente.</w:t>
      </w:r>
    </w:p>
    <w:p w14:paraId="1F7929B5" w14:textId="77777777" w:rsidR="00A420D2" w:rsidRPr="001A7C74" w:rsidRDefault="00A420D2" w:rsidP="00A420D2">
      <w:pPr>
        <w:rPr>
          <w:rFonts w:ascii="Bookman Old Style" w:hAnsi="Bookman Old Style" w:cs="Times New Roman"/>
          <w:sz w:val="24"/>
          <w:szCs w:val="24"/>
        </w:rPr>
      </w:pPr>
      <w:r w:rsidRPr="001A7C74">
        <w:rPr>
          <w:rFonts w:ascii="Bookman Old Style" w:hAnsi="Bookman Old Style" w:cs="Times New Roman"/>
          <w:sz w:val="24"/>
          <w:szCs w:val="24"/>
        </w:rPr>
        <w:br w:type="page"/>
      </w:r>
    </w:p>
    <w:p w14:paraId="0641C80B" w14:textId="77777777" w:rsidR="00A420D2" w:rsidRPr="001A7C74" w:rsidRDefault="00A420D2" w:rsidP="00A420D2">
      <w:pPr>
        <w:spacing w:after="0" w:line="276" w:lineRule="auto"/>
        <w:jc w:val="both"/>
        <w:rPr>
          <w:rFonts w:ascii="Bookman Old Style" w:hAnsi="Bookman Old Style" w:cs="Times New Roman"/>
          <w:sz w:val="24"/>
          <w:szCs w:val="24"/>
        </w:rPr>
      </w:pPr>
    </w:p>
    <w:p w14:paraId="24A405D2" w14:textId="77777777" w:rsidR="00A420D2" w:rsidRPr="001A7C74" w:rsidRDefault="00A420D2" w:rsidP="00A420D2">
      <w:pPr>
        <w:spacing w:after="0" w:line="276" w:lineRule="auto"/>
        <w:jc w:val="both"/>
        <w:rPr>
          <w:rFonts w:ascii="Bookman Old Style" w:hAnsi="Bookman Old Style" w:cs="Times New Roman"/>
          <w:b/>
          <w:sz w:val="24"/>
          <w:szCs w:val="24"/>
        </w:rPr>
      </w:pPr>
    </w:p>
    <w:p w14:paraId="43800921" w14:textId="77777777" w:rsidR="00A420D2" w:rsidRPr="001A7C74" w:rsidRDefault="00A420D2" w:rsidP="00A420D2">
      <w:pPr>
        <w:pStyle w:val="Prrafodelista"/>
        <w:numPr>
          <w:ilvl w:val="0"/>
          <w:numId w:val="1"/>
        </w:numPr>
        <w:spacing w:after="0" w:line="276" w:lineRule="auto"/>
        <w:jc w:val="both"/>
        <w:rPr>
          <w:rFonts w:ascii="Bookman Old Style" w:hAnsi="Bookman Old Style" w:cs="Times New Roman"/>
          <w:b/>
          <w:sz w:val="24"/>
          <w:szCs w:val="24"/>
        </w:rPr>
      </w:pPr>
      <w:r w:rsidRPr="001A7C74">
        <w:rPr>
          <w:rFonts w:ascii="Bookman Old Style" w:hAnsi="Bookman Old Style" w:cs="Times New Roman"/>
          <w:b/>
          <w:sz w:val="24"/>
          <w:szCs w:val="24"/>
        </w:rPr>
        <w:t xml:space="preserve">TEXTO PROPUESTO PARA </w:t>
      </w:r>
      <w:r w:rsidR="00645ABB" w:rsidRPr="001A7C74">
        <w:rPr>
          <w:rFonts w:ascii="Bookman Old Style" w:hAnsi="Bookman Old Style" w:cs="Times New Roman"/>
          <w:b/>
          <w:sz w:val="24"/>
          <w:szCs w:val="24"/>
        </w:rPr>
        <w:t>SEGUNDO</w:t>
      </w:r>
      <w:r w:rsidRPr="001A7C74">
        <w:rPr>
          <w:rFonts w:ascii="Bookman Old Style" w:hAnsi="Bookman Old Style" w:cs="Times New Roman"/>
          <w:b/>
          <w:sz w:val="24"/>
          <w:szCs w:val="24"/>
        </w:rPr>
        <w:t xml:space="preserve"> DEBATE PROYECTO DE ACTO LEGISLATIVO 366 DE 2021 CÁMARA – 011 DE 2021 SENADO </w:t>
      </w:r>
      <w:r w:rsidRPr="001A7C74">
        <w:rPr>
          <w:rFonts w:ascii="Bookman Old Style" w:hAnsi="Bookman Old Style" w:cs="Times New Roman"/>
          <w:bCs/>
          <w:sz w:val="24"/>
          <w:szCs w:val="24"/>
        </w:rPr>
        <w:t>“Por el cual se modifica el artículo 65 de la Constitución Política de Colombia”</w:t>
      </w:r>
    </w:p>
    <w:p w14:paraId="21EB078A" w14:textId="77777777" w:rsidR="00A420D2" w:rsidRPr="001A7C74" w:rsidRDefault="00A420D2" w:rsidP="00A420D2">
      <w:pPr>
        <w:spacing w:after="0" w:line="276" w:lineRule="auto"/>
        <w:jc w:val="both"/>
        <w:rPr>
          <w:rFonts w:ascii="Bookman Old Style" w:hAnsi="Bookman Old Style" w:cs="Times New Roman"/>
          <w:b/>
          <w:sz w:val="24"/>
          <w:szCs w:val="24"/>
        </w:rPr>
      </w:pPr>
    </w:p>
    <w:p w14:paraId="508CF6B9" w14:textId="77777777" w:rsidR="00A420D2" w:rsidRPr="001A7C74" w:rsidRDefault="00A420D2" w:rsidP="00A420D2">
      <w:pPr>
        <w:spacing w:after="0" w:line="276" w:lineRule="auto"/>
        <w:jc w:val="both"/>
        <w:rPr>
          <w:rFonts w:ascii="Bookman Old Style" w:hAnsi="Bookman Old Style" w:cs="Times New Roman"/>
          <w:b/>
          <w:sz w:val="24"/>
          <w:szCs w:val="24"/>
        </w:rPr>
      </w:pPr>
    </w:p>
    <w:p w14:paraId="4AE1FCE2" w14:textId="77777777" w:rsidR="00A420D2" w:rsidRPr="001A7C74" w:rsidRDefault="00A420D2" w:rsidP="00A420D2">
      <w:pPr>
        <w:spacing w:after="0" w:line="276" w:lineRule="auto"/>
        <w:jc w:val="center"/>
        <w:rPr>
          <w:rFonts w:ascii="Bookman Old Style" w:hAnsi="Bookman Old Style" w:cs="Times New Roman"/>
          <w:b/>
          <w:sz w:val="24"/>
          <w:szCs w:val="24"/>
        </w:rPr>
      </w:pPr>
    </w:p>
    <w:p w14:paraId="5AAF5699" w14:textId="77777777" w:rsidR="00A420D2" w:rsidRPr="001A7C74" w:rsidRDefault="00A420D2" w:rsidP="00A420D2">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EL CONGRESO DE COLOMBIA</w:t>
      </w:r>
    </w:p>
    <w:p w14:paraId="139A0606" w14:textId="77777777" w:rsidR="00A420D2" w:rsidRPr="001A7C74" w:rsidRDefault="00A420D2" w:rsidP="00A420D2">
      <w:pPr>
        <w:spacing w:after="0" w:line="276" w:lineRule="auto"/>
        <w:jc w:val="center"/>
        <w:rPr>
          <w:rFonts w:ascii="Bookman Old Style" w:hAnsi="Bookman Old Style" w:cs="Times New Roman"/>
          <w:b/>
          <w:sz w:val="24"/>
          <w:szCs w:val="24"/>
        </w:rPr>
      </w:pPr>
    </w:p>
    <w:p w14:paraId="16E5D0E0" w14:textId="77777777" w:rsidR="00A420D2" w:rsidRPr="001A7C74" w:rsidRDefault="00A420D2" w:rsidP="00A420D2">
      <w:pPr>
        <w:spacing w:after="0" w:line="276" w:lineRule="auto"/>
        <w:jc w:val="center"/>
        <w:rPr>
          <w:rFonts w:ascii="Bookman Old Style" w:hAnsi="Bookman Old Style" w:cs="Times New Roman"/>
          <w:b/>
          <w:sz w:val="24"/>
          <w:szCs w:val="24"/>
        </w:rPr>
      </w:pPr>
    </w:p>
    <w:p w14:paraId="098AD9CD" w14:textId="77777777" w:rsidR="00A420D2" w:rsidRPr="001A7C74" w:rsidRDefault="00A420D2" w:rsidP="00A420D2">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DECRETA:</w:t>
      </w:r>
    </w:p>
    <w:p w14:paraId="2ED23855" w14:textId="77777777" w:rsidR="00A420D2" w:rsidRPr="001A7C74" w:rsidRDefault="00A420D2" w:rsidP="00A420D2">
      <w:pPr>
        <w:spacing w:after="0" w:line="276" w:lineRule="auto"/>
        <w:jc w:val="center"/>
        <w:rPr>
          <w:rFonts w:ascii="Bookman Old Style" w:hAnsi="Bookman Old Style" w:cs="Times New Roman"/>
          <w:b/>
          <w:sz w:val="24"/>
          <w:szCs w:val="24"/>
        </w:rPr>
      </w:pPr>
    </w:p>
    <w:p w14:paraId="51C7EAD2"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1º. Modifíquese el artículo 65 de la Constitución Política de Colombia, el cual quedará así:</w:t>
      </w:r>
    </w:p>
    <w:p w14:paraId="7D88613D" w14:textId="77777777" w:rsidR="00A420D2" w:rsidRPr="001A7C74" w:rsidRDefault="00A420D2" w:rsidP="00A420D2">
      <w:pPr>
        <w:spacing w:after="0" w:line="276" w:lineRule="auto"/>
        <w:rPr>
          <w:rFonts w:ascii="Bookman Old Style" w:hAnsi="Bookman Old Style" w:cs="Times New Roman"/>
          <w:b/>
          <w:sz w:val="24"/>
          <w:szCs w:val="24"/>
        </w:rPr>
      </w:pPr>
    </w:p>
    <w:p w14:paraId="74075106" w14:textId="73452925"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65. El Estado garantizará el derecho a la alimentación adecuada</w:t>
      </w:r>
      <w:r w:rsidR="004317C6">
        <w:rPr>
          <w:rFonts w:ascii="Bookman Old Style" w:hAnsi="Bookman Old Style" w:cs="Times New Roman"/>
          <w:sz w:val="24"/>
          <w:szCs w:val="24"/>
        </w:rPr>
        <w:t>, a no padecer hambre</w:t>
      </w:r>
      <w:r w:rsidRPr="001A7C74">
        <w:rPr>
          <w:rFonts w:ascii="Bookman Old Style" w:hAnsi="Bookman Old Style" w:cs="Times New Roman"/>
          <w:sz w:val="24"/>
          <w:szCs w:val="24"/>
        </w:rPr>
        <w:t xml:space="preserve"> y a proteger a las personas contra el hambre y la desnutrición. Así mismo promoverá condiciones de seguridad alimentaria en el territorio nacional. </w:t>
      </w:r>
    </w:p>
    <w:p w14:paraId="57BC5AB9" w14:textId="77777777" w:rsidR="00A420D2" w:rsidRPr="001A7C74" w:rsidRDefault="00A420D2" w:rsidP="00A420D2">
      <w:pPr>
        <w:spacing w:after="0" w:line="276" w:lineRule="auto"/>
        <w:jc w:val="both"/>
        <w:rPr>
          <w:rFonts w:ascii="Bookman Old Style" w:hAnsi="Bookman Old Style" w:cs="Times New Roman"/>
          <w:sz w:val="24"/>
          <w:szCs w:val="24"/>
        </w:rPr>
      </w:pPr>
    </w:p>
    <w:p w14:paraId="6FF15BAC"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1956C7FA" w14:textId="77777777" w:rsidR="00A420D2" w:rsidRPr="001A7C74" w:rsidRDefault="00A420D2" w:rsidP="00A420D2">
      <w:pPr>
        <w:spacing w:after="0" w:line="276" w:lineRule="auto"/>
        <w:jc w:val="both"/>
        <w:rPr>
          <w:rFonts w:ascii="Bookman Old Style" w:hAnsi="Bookman Old Style" w:cs="Times New Roman"/>
          <w:sz w:val="24"/>
          <w:szCs w:val="24"/>
        </w:rPr>
      </w:pPr>
    </w:p>
    <w:p w14:paraId="31428A47" w14:textId="100C94FA" w:rsidR="00A420D2"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 dando prioridad a las formas de producción de alimentos que estén acorde con una dieta saludable y que generen un menor impacto ambiental.</w:t>
      </w:r>
    </w:p>
    <w:p w14:paraId="4DBBF1BE" w14:textId="77777777" w:rsidR="004317C6" w:rsidRDefault="004317C6" w:rsidP="00A420D2">
      <w:pPr>
        <w:spacing w:after="0" w:line="276" w:lineRule="auto"/>
        <w:jc w:val="both"/>
        <w:rPr>
          <w:rFonts w:ascii="Bookman Old Style" w:hAnsi="Bookman Old Style" w:cs="Times New Roman"/>
          <w:sz w:val="24"/>
          <w:szCs w:val="24"/>
        </w:rPr>
      </w:pPr>
    </w:p>
    <w:p w14:paraId="5997ACDF" w14:textId="04FB8D01" w:rsidR="004317C6" w:rsidRPr="004317C6" w:rsidRDefault="004317C6" w:rsidP="00A420D2">
      <w:pPr>
        <w:spacing w:after="0" w:line="276" w:lineRule="auto"/>
        <w:jc w:val="both"/>
        <w:rPr>
          <w:rFonts w:ascii="Bookman Old Style" w:hAnsi="Bookman Old Style" w:cs="Times New Roman"/>
          <w:sz w:val="24"/>
          <w:szCs w:val="24"/>
          <w:lang w:val="es-ES_tradnl"/>
        </w:rPr>
      </w:pPr>
      <w:r w:rsidRPr="004317C6">
        <w:rPr>
          <w:rFonts w:ascii="Bookman Old Style" w:hAnsi="Bookman Old Style" w:cs="Times New Roman"/>
          <w:sz w:val="24"/>
          <w:szCs w:val="24"/>
          <w:lang w:val="es-ES_tradnl"/>
        </w:rPr>
        <w:lastRenderedPageBreak/>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60BF9211" w14:textId="77777777" w:rsidR="00A420D2" w:rsidRPr="001A7C74" w:rsidRDefault="00A420D2" w:rsidP="00A420D2">
      <w:pPr>
        <w:spacing w:after="0" w:line="276" w:lineRule="auto"/>
        <w:jc w:val="both"/>
        <w:rPr>
          <w:rFonts w:ascii="Bookman Old Style" w:hAnsi="Bookman Old Style" w:cs="Times New Roman"/>
          <w:sz w:val="24"/>
          <w:szCs w:val="24"/>
        </w:rPr>
      </w:pPr>
    </w:p>
    <w:p w14:paraId="305392EF" w14:textId="77777777" w:rsidR="00A420D2" w:rsidRPr="001A7C74" w:rsidRDefault="00A420D2" w:rsidP="00A420D2">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2º. El presente Acto Legislativo rige a partir de su promulgación y deroga todas las normas que le sean contrarias.</w:t>
      </w:r>
    </w:p>
    <w:p w14:paraId="11389EDD" w14:textId="77777777" w:rsidR="00A420D2" w:rsidRPr="001A7C74" w:rsidRDefault="00A420D2" w:rsidP="00A420D2">
      <w:pPr>
        <w:spacing w:after="0" w:line="276" w:lineRule="auto"/>
        <w:jc w:val="both"/>
        <w:rPr>
          <w:rFonts w:ascii="Bookman Old Style" w:hAnsi="Bookman Old Style" w:cs="Times New Roman"/>
          <w:b/>
          <w:sz w:val="24"/>
          <w:szCs w:val="24"/>
        </w:rPr>
      </w:pPr>
    </w:p>
    <w:p w14:paraId="44333510" w14:textId="55E0B669" w:rsidR="00A420D2" w:rsidRPr="001A7C74" w:rsidRDefault="00A420D2" w:rsidP="00A420D2">
      <w:pPr>
        <w:spacing w:after="0" w:line="276" w:lineRule="auto"/>
        <w:jc w:val="both"/>
        <w:rPr>
          <w:rFonts w:ascii="Bookman Old Style" w:hAnsi="Bookman Old Style" w:cs="Times New Roman"/>
          <w:bCs/>
          <w:sz w:val="24"/>
          <w:szCs w:val="24"/>
        </w:rPr>
      </w:pPr>
      <w:r w:rsidRPr="001A7C74">
        <w:rPr>
          <w:rFonts w:ascii="Bookman Old Style" w:hAnsi="Bookman Old Style" w:cs="Times New Roman"/>
          <w:bCs/>
          <w:sz w:val="24"/>
          <w:szCs w:val="24"/>
        </w:rPr>
        <w:t>Cordialmente,</w:t>
      </w:r>
    </w:p>
    <w:p w14:paraId="7B878A2A" w14:textId="46A6A5EA" w:rsidR="00A420D2" w:rsidRPr="001A7C74" w:rsidRDefault="00A420D2" w:rsidP="00A420D2">
      <w:pPr>
        <w:spacing w:after="0" w:line="276" w:lineRule="auto"/>
        <w:jc w:val="both"/>
        <w:rPr>
          <w:rFonts w:ascii="Bookman Old Style" w:hAnsi="Bookman Old Style" w:cs="Times New Roman"/>
          <w:sz w:val="24"/>
          <w:szCs w:val="24"/>
        </w:rPr>
      </w:pPr>
    </w:p>
    <w:p w14:paraId="19CC67EB" w14:textId="77777777" w:rsidR="00A420D2" w:rsidRPr="001A7C74" w:rsidRDefault="00A420D2" w:rsidP="00A420D2">
      <w:pPr>
        <w:spacing w:after="0" w:line="276" w:lineRule="auto"/>
        <w:jc w:val="both"/>
        <w:rPr>
          <w:rFonts w:ascii="Bookman Old Style" w:hAnsi="Bookman Old Style" w:cs="Times New Roman"/>
          <w:sz w:val="24"/>
          <w:szCs w:val="24"/>
        </w:rPr>
      </w:pPr>
    </w:p>
    <w:p w14:paraId="51BB632F" w14:textId="77777777" w:rsidR="00A420D2" w:rsidRPr="001A7C74" w:rsidRDefault="00A420D2" w:rsidP="00A420D2">
      <w:pPr>
        <w:spacing w:after="0" w:line="276" w:lineRule="auto"/>
        <w:jc w:val="both"/>
        <w:rPr>
          <w:rFonts w:ascii="Bookman Old Style" w:hAnsi="Bookman Old Style" w:cs="Times New Roman"/>
          <w:sz w:val="24"/>
          <w:szCs w:val="24"/>
        </w:rPr>
      </w:pPr>
    </w:p>
    <w:p w14:paraId="1CD8E07D" w14:textId="77777777" w:rsidR="00A420D2" w:rsidRPr="001A7C74" w:rsidRDefault="00A420D2" w:rsidP="00A420D2">
      <w:pPr>
        <w:spacing w:after="0" w:line="276" w:lineRule="auto"/>
        <w:jc w:val="both"/>
        <w:rPr>
          <w:rFonts w:ascii="Bookman Old Style" w:hAnsi="Bookman Old Style" w:cs="Times New Roman"/>
          <w:sz w:val="24"/>
          <w:szCs w:val="24"/>
        </w:rPr>
      </w:pPr>
    </w:p>
    <w:p w14:paraId="4728C9CA" w14:textId="77777777" w:rsidR="00A420D2" w:rsidRPr="001A7C74" w:rsidRDefault="00A420D2" w:rsidP="00A420D2">
      <w:pPr>
        <w:spacing w:after="0" w:line="276" w:lineRule="auto"/>
        <w:jc w:val="both"/>
        <w:rPr>
          <w:rFonts w:ascii="Bookman Old Style" w:hAnsi="Bookman Old Style" w:cs="Times New Roman"/>
          <w:sz w:val="24"/>
          <w:szCs w:val="24"/>
        </w:rPr>
      </w:pPr>
    </w:p>
    <w:p w14:paraId="02D234EF" w14:textId="77777777" w:rsidR="00A420D2" w:rsidRPr="001A7C74" w:rsidRDefault="00A420D2" w:rsidP="00A420D2">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JUAN CARLOS LOSADA VARGAS</w:t>
      </w:r>
    </w:p>
    <w:p w14:paraId="5545738A" w14:textId="77777777" w:rsidR="00A420D2" w:rsidRPr="001A7C74" w:rsidRDefault="00A420D2" w:rsidP="00A420D2">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Representante a la Cámara.</w:t>
      </w:r>
    </w:p>
    <w:p w14:paraId="646E503F" w14:textId="77777777" w:rsidR="00A420D2" w:rsidRPr="001A7C74" w:rsidRDefault="00A420D2" w:rsidP="00A420D2">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Ponente</w:t>
      </w:r>
    </w:p>
    <w:p w14:paraId="77096CEE" w14:textId="77777777" w:rsidR="00A420D2" w:rsidRPr="001A7C74" w:rsidRDefault="00A420D2" w:rsidP="00A420D2">
      <w:pPr>
        <w:spacing w:after="0" w:line="276" w:lineRule="auto"/>
        <w:jc w:val="center"/>
        <w:rPr>
          <w:rFonts w:ascii="Bookman Old Style" w:hAnsi="Bookman Old Style" w:cs="Times New Roman"/>
          <w:sz w:val="24"/>
          <w:szCs w:val="24"/>
          <w:lang w:val="es-MX"/>
        </w:rPr>
      </w:pPr>
    </w:p>
    <w:p w14:paraId="3FA4E3D1" w14:textId="77777777" w:rsidR="00A420D2" w:rsidRPr="001A7C74" w:rsidRDefault="00A420D2" w:rsidP="00A420D2">
      <w:pPr>
        <w:spacing w:after="0"/>
        <w:jc w:val="both"/>
        <w:rPr>
          <w:rFonts w:ascii="Bookman Old Style" w:hAnsi="Bookman Old Style" w:cs="Arial"/>
          <w:sz w:val="24"/>
          <w:szCs w:val="24"/>
          <w:lang w:val="es-MX"/>
        </w:rPr>
      </w:pPr>
    </w:p>
    <w:p w14:paraId="33C49E6C" w14:textId="77777777" w:rsidR="00A420D2" w:rsidRPr="001A7C74" w:rsidRDefault="00A420D2">
      <w:pPr>
        <w:rPr>
          <w:rFonts w:ascii="Bookman Old Style" w:hAnsi="Bookman Old Style"/>
          <w:sz w:val="24"/>
          <w:szCs w:val="24"/>
        </w:rPr>
      </w:pPr>
    </w:p>
    <w:sectPr w:rsidR="00A420D2" w:rsidRPr="001A7C7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2641" w14:textId="77777777" w:rsidR="00167DDA" w:rsidRDefault="00167DDA" w:rsidP="00A420D2">
      <w:pPr>
        <w:spacing w:after="0" w:line="240" w:lineRule="auto"/>
      </w:pPr>
      <w:r>
        <w:separator/>
      </w:r>
    </w:p>
  </w:endnote>
  <w:endnote w:type="continuationSeparator" w:id="0">
    <w:p w14:paraId="5AAF6058" w14:textId="77777777" w:rsidR="00167DDA" w:rsidRDefault="00167DDA" w:rsidP="00A4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3723" w14:textId="77777777" w:rsidR="00167DDA" w:rsidRDefault="00167DDA" w:rsidP="00A420D2">
      <w:pPr>
        <w:spacing w:after="0" w:line="240" w:lineRule="auto"/>
      </w:pPr>
      <w:r>
        <w:separator/>
      </w:r>
    </w:p>
  </w:footnote>
  <w:footnote w:type="continuationSeparator" w:id="0">
    <w:p w14:paraId="099F703A" w14:textId="77777777" w:rsidR="00167DDA" w:rsidRDefault="00167DDA" w:rsidP="00A420D2">
      <w:pPr>
        <w:spacing w:after="0" w:line="240" w:lineRule="auto"/>
      </w:pPr>
      <w:r>
        <w:continuationSeparator/>
      </w:r>
    </w:p>
  </w:footnote>
  <w:footnote w:id="1">
    <w:p w14:paraId="6E4D2052" w14:textId="77777777" w:rsidR="00A420D2" w:rsidRPr="002E0711"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2E0711">
        <w:rPr>
          <w:rFonts w:ascii="Times New Roman" w:hAnsi="Times New Roman" w:cs="Times New Roman"/>
          <w:sz w:val="20"/>
          <w:szCs w:val="20"/>
          <w:vertAlign w:val="superscript"/>
        </w:rPr>
        <w:footnoteRef/>
      </w:r>
      <w:r w:rsidRPr="002E0711">
        <w:rPr>
          <w:rFonts w:ascii="Times New Roman" w:eastAsia="Arial" w:hAnsi="Times New Roman" w:cs="Times New Roman"/>
          <w:color w:val="000000"/>
          <w:sz w:val="20"/>
          <w:szCs w:val="20"/>
        </w:rPr>
        <w:t xml:space="preserve"> Artículo 25 (como parte del derecho a un nivel de vida adecuado) de la Declaración Universal de los Derechos Humanos de 1948 adoptada por la Asamblea General de las Naciones Unidas en Resolución 217 A (III) de fecha 10 de diciembre de 1948, la cual es considerada como Fuente de Derecho Internacional de conformidad con el artículo 38 del Estatuto de la Corte Internacional de Justicia, en tanto cumple con los requisitos para ser considerada Costumbre Internacional; Artículos 11 (derecho a un nivel de vida adecuado) y 12 (derecho de toda persona a estar protegida contra el hambre) del Pacto Internacional de Derechos Económicos de 1966, Sociales y Culturales; y el Artículo 12 (derecho a la alimentación) del Protocolo Adicional a la Convención Americana sobre Derechos Humanos en Materia de Derechos Económicos Sociales y Culturales “Protocolo de San Salvador” de 1988. Así mismo, es menester resaltar que el doctrinante MARCO GERARDO MONROY CABRA ha señalado que en general “</w:t>
      </w:r>
      <w:r w:rsidRPr="002E0711">
        <w:rPr>
          <w:rFonts w:ascii="Times New Roman" w:eastAsia="Arial" w:hAnsi="Times New Roman" w:cs="Times New Roman"/>
          <w:i/>
          <w:color w:val="000000"/>
          <w:sz w:val="20"/>
          <w:szCs w:val="20"/>
        </w:rPr>
        <w:t>las normas que regulan el respeto a los derechos humanos son de ius cogens, de orden público y por tanto, imperativas y obligatorias para la comunidad internacional</w:t>
      </w:r>
      <w:r w:rsidRPr="002E0711">
        <w:rPr>
          <w:rFonts w:ascii="Times New Roman" w:eastAsia="Arial" w:hAnsi="Times New Roman" w:cs="Times New Roman"/>
          <w:color w:val="000000"/>
          <w:sz w:val="20"/>
          <w:szCs w:val="20"/>
        </w:rPr>
        <w:t xml:space="preserve">” En: MARCO GERARDO MONROY CABRA, </w:t>
      </w:r>
      <w:r w:rsidRPr="002E0711">
        <w:rPr>
          <w:rFonts w:ascii="Times New Roman" w:eastAsia="Arial" w:hAnsi="Times New Roman" w:cs="Times New Roman"/>
          <w:i/>
          <w:color w:val="000000"/>
          <w:sz w:val="20"/>
          <w:szCs w:val="20"/>
        </w:rPr>
        <w:t>Derecho Internacional Público</w:t>
      </w:r>
      <w:r w:rsidRPr="002E0711">
        <w:rPr>
          <w:rFonts w:ascii="Times New Roman" w:eastAsia="Arial" w:hAnsi="Times New Roman" w:cs="Times New Roman"/>
          <w:color w:val="000000"/>
          <w:sz w:val="20"/>
          <w:szCs w:val="20"/>
        </w:rPr>
        <w:t>, Bogotá, Editorial Temis, 2011. Pág. 660-661, por lo que el presente proyecto de Ley apunta a dar cumplimiento a obligaciones imperativas de carácter internacional que el Estado colombiano ha contraído en virtud de su pertenencia a la Comunidad Internacional y debido a la suscripción de sendos Tratados sobre Derechos Humanos que le son vinculantes.</w:t>
      </w:r>
    </w:p>
  </w:footnote>
  <w:footnote w:id="2">
    <w:p w14:paraId="1FDDECEA" w14:textId="77777777" w:rsidR="00A420D2" w:rsidRPr="000A4E2B" w:rsidRDefault="00A420D2" w:rsidP="00A420D2">
      <w:pPr>
        <w:pStyle w:val="Textonotapie"/>
        <w:rPr>
          <w:lang w:val="es-MX"/>
        </w:rPr>
      </w:pPr>
      <w:r w:rsidRPr="002E0711">
        <w:rPr>
          <w:rStyle w:val="Refdenotaalpie"/>
          <w:rFonts w:ascii="Times New Roman" w:hAnsi="Times New Roman" w:cs="Times New Roman"/>
        </w:rPr>
        <w:footnoteRef/>
      </w:r>
      <w:r w:rsidRPr="002E0711">
        <w:rPr>
          <w:rFonts w:ascii="Times New Roman" w:hAnsi="Times New Roman" w:cs="Times New Roman"/>
        </w:rPr>
        <w:t xml:space="preserve"> Disponible en: </w:t>
      </w:r>
      <w:hyperlink r:id="rId1" w:history="1">
        <w:r w:rsidRPr="002E0711">
          <w:rPr>
            <w:rStyle w:val="Hipervnculo"/>
            <w:rFonts w:ascii="Times New Roman" w:hAnsi="Times New Roman" w:cs="Times New Roman"/>
          </w:rPr>
          <w:t>https://www.fao.org/3/cb5409es/cb5409es.pdf</w:t>
        </w:r>
      </w:hyperlink>
      <w:r>
        <w:t xml:space="preserve"> </w:t>
      </w:r>
    </w:p>
  </w:footnote>
  <w:footnote w:id="3">
    <w:p w14:paraId="1FD6A20E" w14:textId="77777777" w:rsidR="00A420D2" w:rsidRPr="002E0711" w:rsidRDefault="00A420D2" w:rsidP="00A420D2">
      <w:pPr>
        <w:pStyle w:val="Textonotapie"/>
        <w:jc w:val="both"/>
        <w:rPr>
          <w:lang w:val="es-MX"/>
        </w:rPr>
      </w:pPr>
      <w:r>
        <w:rPr>
          <w:rStyle w:val="Refdenotaalpie"/>
        </w:rPr>
        <w:footnoteRef/>
      </w:r>
      <w:r>
        <w:t xml:space="preserve"> </w:t>
      </w:r>
      <w:r>
        <w:rPr>
          <w:lang w:val="es-MX"/>
        </w:rPr>
        <w:t>A pesar de que se cuenta con la Encuesta Nacional de Situación Nutricional (ENSIN) realizada cada cinco años, se considera que el periodo evaluado es muy amplio y, adicionalmente, su interpretación y aplicación en razón del extenso periodo que abarca constituye un desafío en materia de interpretación para los tomadores de decisión.</w:t>
      </w:r>
    </w:p>
  </w:footnote>
  <w:footnote w:id="4">
    <w:p w14:paraId="0813ACC9"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5">
    <w:p w14:paraId="75D8493F"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Así lo dispone el Artículo 1 de la Declaración Universal de los Derechos Humanos que establece que </w:t>
      </w:r>
      <w:r w:rsidRPr="00655FEA">
        <w:rPr>
          <w:rFonts w:ascii="Times New Roman" w:eastAsia="Arial" w:hAnsi="Times New Roman" w:cs="Times New Roman"/>
          <w:i/>
          <w:color w:val="000000"/>
          <w:sz w:val="20"/>
          <w:szCs w:val="20"/>
        </w:rPr>
        <w:t>“todos los seres humanos nacen libres e iguales en dignidad y derechos”</w:t>
      </w:r>
    </w:p>
  </w:footnote>
  <w:footnote w:id="6">
    <w:p w14:paraId="057EF8DE"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w:t>
      </w:r>
      <w:r w:rsidRPr="00655FEA">
        <w:rPr>
          <w:rFonts w:ascii="Times New Roman" w:eastAsia="Arial" w:hAnsi="Times New Roman" w:cs="Times New Roman"/>
          <w:color w:val="000000"/>
          <w:sz w:val="20"/>
          <w:szCs w:val="20"/>
        </w:rPr>
        <w:t>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7">
    <w:p w14:paraId="731DFD3D"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La Oficina del Alto Comisionado para los Derechos Humanos define el criterio de inalienabilidad en el sentido de que “</w:t>
      </w:r>
      <w:r w:rsidRPr="00655FEA">
        <w:rPr>
          <w:rFonts w:ascii="Times New Roman" w:eastAsia="Arial" w:hAnsi="Times New Roman" w:cs="Times New Roman"/>
          <w:i/>
          <w:color w:val="000000"/>
          <w:sz w:val="20"/>
          <w:szCs w:val="20"/>
        </w:rPr>
        <w:t>Los derechos humanos son inalienables. No deben suprimirse, salvo en determinadas situaciones y según las debidas garantías procesales</w:t>
      </w:r>
      <w:r w:rsidRPr="00655FEA">
        <w:rPr>
          <w:rFonts w:ascii="Times New Roman" w:eastAsia="Arial" w:hAnsi="Times New Roman" w:cs="Times New Roman"/>
          <w:color w:val="000000"/>
          <w:sz w:val="20"/>
          <w:szCs w:val="20"/>
        </w:rPr>
        <w:t xml:space="preserve">.” En: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8">
    <w:p w14:paraId="60890DE3"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interrelación, interdependencia e indivisibilidad, la Oficina del Alto Comisionado para los Derechos Humanos define dichos criterios en el sentido de </w:t>
      </w:r>
      <w:r w:rsidRPr="00655FEA">
        <w:rPr>
          <w:rFonts w:ascii="Times New Roman" w:eastAsia="Arial" w:hAnsi="Times New Roman" w:cs="Times New Roman"/>
          <w:color w:val="000000"/>
          <w:sz w:val="20"/>
          <w:szCs w:val="20"/>
        </w:rPr>
        <w:t xml:space="preserve">que  </w:t>
      </w:r>
      <w:r w:rsidRPr="00655FEA">
        <w:rPr>
          <w:rFonts w:ascii="Times New Roman" w:eastAsia="Arial"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sidRPr="00655FEA">
        <w:rPr>
          <w:rFonts w:ascii="Times New Roman" w:eastAsia="Arial"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9">
    <w:p w14:paraId="04E699B5"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ASBJØRN EIDE et al. </w:t>
      </w:r>
      <w:r w:rsidRPr="00655FEA">
        <w:rPr>
          <w:rFonts w:ascii="Times New Roman" w:eastAsia="Arial" w:hAnsi="Times New Roman" w:cs="Times New Roman"/>
          <w:color w:val="000000"/>
          <w:sz w:val="20"/>
          <w:szCs w:val="20"/>
          <w:lang w:val="en-US"/>
        </w:rPr>
        <w:t xml:space="preserve">(Eds.), </w:t>
      </w:r>
      <w:r w:rsidRPr="00655FEA">
        <w:rPr>
          <w:rFonts w:ascii="Times New Roman" w:eastAsia="Arial" w:hAnsi="Times New Roman" w:cs="Times New Roman"/>
          <w:i/>
          <w:color w:val="000000"/>
          <w:sz w:val="20"/>
          <w:szCs w:val="20"/>
          <w:lang w:val="en-US"/>
        </w:rPr>
        <w:t>Economic, Social and Cultural Rights</w:t>
      </w:r>
      <w:r w:rsidRPr="00655FEA">
        <w:rPr>
          <w:rFonts w:ascii="Times New Roman" w:eastAsia="Arial" w:hAnsi="Times New Roman" w:cs="Times New Roman"/>
          <w:color w:val="000000"/>
          <w:sz w:val="20"/>
          <w:szCs w:val="20"/>
          <w:lang w:val="en-US"/>
        </w:rPr>
        <w:t xml:space="preserve">, 2ª </w:t>
      </w:r>
      <w:proofErr w:type="spellStart"/>
      <w:r w:rsidRPr="00655FEA">
        <w:rPr>
          <w:rFonts w:ascii="Times New Roman" w:eastAsia="Arial" w:hAnsi="Times New Roman" w:cs="Times New Roman"/>
          <w:color w:val="000000"/>
          <w:sz w:val="20"/>
          <w:szCs w:val="20"/>
          <w:lang w:val="en-US"/>
        </w:rPr>
        <w:t>Edición</w:t>
      </w:r>
      <w:proofErr w:type="spellEnd"/>
      <w:r w:rsidRPr="00655FEA">
        <w:rPr>
          <w:rFonts w:ascii="Times New Roman" w:eastAsia="Arial" w:hAnsi="Times New Roman" w:cs="Times New Roman"/>
          <w:color w:val="000000"/>
          <w:sz w:val="20"/>
          <w:szCs w:val="20"/>
          <w:lang w:val="en-US"/>
        </w:rPr>
        <w:t xml:space="preserve">, La Haya, Kluwer Law International, 2011. </w:t>
      </w:r>
      <w:r w:rsidRPr="00655FEA">
        <w:rPr>
          <w:rFonts w:ascii="Times New Roman" w:eastAsia="Arial" w:hAnsi="Times New Roman" w:cs="Times New Roman"/>
          <w:color w:val="000000"/>
          <w:sz w:val="20"/>
          <w:szCs w:val="20"/>
        </w:rPr>
        <w:t>Pág. 9</w:t>
      </w:r>
    </w:p>
  </w:footnote>
  <w:footnote w:id="10">
    <w:p w14:paraId="1DA358DF"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Dentro de los cuales se encuentran el derecho al medio ambiente, al desarrollo, a la paz, a la autodeterminación de los pueblos y al patrimonio común de la humanidad. Los mismos se encuentran orientados, en cierta forma, a la protección de aquellos intereses que resultan fundamentales para la humanidad como un todo. En:  MARÍA EUGENIA RODRÍGUEZ PALOP, </w:t>
      </w:r>
      <w:r w:rsidRPr="00655FEA">
        <w:rPr>
          <w:rFonts w:ascii="Times New Roman" w:eastAsia="Arial" w:hAnsi="Times New Roman" w:cs="Times New Roman"/>
          <w:i/>
          <w:color w:val="000000"/>
          <w:sz w:val="20"/>
          <w:szCs w:val="20"/>
        </w:rPr>
        <w:t>La nueva generación de Derechos Humanos. Origen y Justificación.</w:t>
      </w:r>
      <w:r w:rsidRPr="00655FEA">
        <w:rPr>
          <w:rFonts w:ascii="Times New Roman" w:eastAsia="Arial" w:hAnsi="Times New Roman" w:cs="Times New Roman"/>
          <w:color w:val="000000"/>
          <w:sz w:val="20"/>
          <w:szCs w:val="20"/>
        </w:rPr>
        <w:t xml:space="preserve"> Madrid. Instituto de Derechos Humanos “Bartolomé de las Casas” Universidad Carlos III de Madrid. Editorial Dykinson, 2010.</w:t>
      </w:r>
    </w:p>
  </w:footnote>
  <w:footnote w:id="11">
    <w:p w14:paraId="1E952B9F"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la Corte Constitucional ha establecido que: “</w:t>
      </w:r>
      <w:r w:rsidRPr="00655FEA">
        <w:rPr>
          <w:rFonts w:ascii="Times New Roman" w:eastAsia="Arial" w:hAnsi="Times New Roman" w:cs="Times New Roman"/>
          <w:i/>
          <w:color w:val="000000"/>
          <w:sz w:val="20"/>
          <w:szCs w:val="20"/>
        </w:rPr>
        <w:t>Los derechos humanos forman una unidad, pues son interdependientes, integrales y universales, de suerte que no es admisible que se desconozcan unos derechos so pretexto de salvaguardar otros. Esta interdependencia y unidad de los derechos humanos tiene como fundamento la idea de que para proteger verdaderamente la dignidad humana es necesario que la persona no sólo tenga órbitas de acción que se encuentren libres de interferencia ajena, como lo quería la filosofía liberal, sino que además es menester que el individuo tenga posibilidades de participación en los destinos colectivos de la sociedad de la cual hace parte, conforme a las aspiraciones de la filosofía democrática, y también que se le aseguren una mínimas condiciones materiales de existencia, según los postulados de las filosofías políticas de orientación social. Los derechos humanos son pues una unidad compleja. Por ello algunos sectores de la doctrina suelen clasificar los derechos humanos en derechos de libertad, provenientes de la tradición liberal, derechos de participación, que son desarrollo de la filosofía democrática, y derechos sociales prestacionales, que corresponden a la influencia de las corrientes de orientación social y socialista.</w:t>
      </w:r>
      <w:r w:rsidRPr="00655FEA">
        <w:rPr>
          <w:rFonts w:ascii="Times New Roman" w:eastAsia="Arial" w:hAnsi="Times New Roman" w:cs="Times New Roman"/>
          <w:color w:val="000000"/>
          <w:sz w:val="20"/>
          <w:szCs w:val="20"/>
        </w:rPr>
        <w:t>” Corte Constitucional, Sentencia C-251 de 1997. Magistrado Ponente: Alejandro Martínez Caballero</w:t>
      </w:r>
    </w:p>
  </w:footnote>
  <w:footnote w:id="12">
    <w:p w14:paraId="5BB7269C"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la Corte Constitucional ha dispuesto que: “</w:t>
      </w:r>
      <w:r w:rsidRPr="00655FEA">
        <w:rPr>
          <w:rFonts w:ascii="Times New Roman" w:eastAsia="Arial" w:hAnsi="Times New Roman" w:cs="Times New Roman"/>
          <w:i/>
          <w:color w:val="000000"/>
          <w:sz w:val="20"/>
          <w:szCs w:val="20"/>
        </w:rPr>
        <w:t xml:space="preserve">La Constitución acoge la fórmula del Estado social de derecho, la cual implica que las autoridades buscan no sólo garantizar a la persona esferas libres de interferencia ajena, sino que es su deber también asegurarles condiciones materiales mínimas de existencia, por lo cual el Estado debe realizar progresivamente los llamados derechos económicos, sociales y culturales. El Estado tiene frente a los particulares no sólo deberes de </w:t>
      </w:r>
      <w:r w:rsidRPr="00655FEA">
        <w:rPr>
          <w:rFonts w:ascii="Times New Roman" w:eastAsia="Arial" w:hAnsi="Times New Roman" w:cs="Times New Roman"/>
          <w:i/>
          <w:color w:val="000000"/>
          <w:sz w:val="20"/>
          <w:szCs w:val="20"/>
        </w:rPr>
        <w:t xml:space="preserve">abstención sino que debe igualmente realizar prestaciones positivas, sobre todo en materia social, a fin de asegurar las condiciones materiales mínimas, sin las cuales no es posible vivir una vida digna. Existe entonces una íntima relación entre la consagración del Estado social de derecho, el reconocimiento de la dignidad humana, y la incorporación de los llamados derechos de segunda generación.” </w:t>
      </w:r>
      <w:r w:rsidRPr="00655FEA">
        <w:rPr>
          <w:rFonts w:ascii="Times New Roman" w:eastAsia="Arial" w:hAnsi="Times New Roman" w:cs="Times New Roman"/>
          <w:color w:val="000000"/>
          <w:sz w:val="20"/>
          <w:szCs w:val="20"/>
        </w:rPr>
        <w:t>Corte Constitucional, Sentencia C-251 de 1997. Magistrado Ponente: Alejandro Martínez Caballero</w:t>
      </w:r>
    </w:p>
  </w:footnote>
  <w:footnote w:id="13">
    <w:p w14:paraId="1C512330"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WENCHE BARTH EIDE y UWE KRACHT. </w:t>
      </w:r>
      <w:r w:rsidRPr="00655FEA">
        <w:rPr>
          <w:rFonts w:ascii="Times New Roman" w:eastAsia="Arial" w:hAnsi="Times New Roman" w:cs="Times New Roman"/>
          <w:i/>
          <w:color w:val="000000"/>
          <w:sz w:val="20"/>
          <w:szCs w:val="20"/>
          <w:lang w:val="en-US"/>
        </w:rPr>
        <w:t>Chapter 4: The Right to adequate food in Human Rights Instruments; Legal Norms and Interpretations</w:t>
      </w:r>
      <w:r w:rsidRPr="00655FEA">
        <w:rPr>
          <w:rFonts w:ascii="Times New Roman" w:eastAsia="Arial" w:hAnsi="Times New Roman" w:cs="Times New Roman"/>
          <w:color w:val="000000"/>
          <w:sz w:val="20"/>
          <w:szCs w:val="20"/>
          <w:lang w:val="en-US"/>
        </w:rPr>
        <w:t xml:space="preserve">.  </w:t>
      </w:r>
      <w:r w:rsidRPr="00655FEA">
        <w:rPr>
          <w:rFonts w:ascii="Times New Roman" w:eastAsia="Arial" w:hAnsi="Times New Roman" w:cs="Times New Roman"/>
          <w:color w:val="000000"/>
          <w:sz w:val="20"/>
          <w:szCs w:val="20"/>
          <w:lang w:val="en-US"/>
        </w:rPr>
        <w:t xml:space="preserve">En: WENCHE BARTH EIDE y UWE KRACHT, </w:t>
      </w:r>
      <w:r w:rsidRPr="00655FEA">
        <w:rPr>
          <w:rFonts w:ascii="Times New Roman" w:eastAsia="Arial" w:hAnsi="Times New Roman" w:cs="Times New Roman"/>
          <w:i/>
          <w:color w:val="000000"/>
          <w:sz w:val="20"/>
          <w:szCs w:val="20"/>
          <w:lang w:val="en-US"/>
        </w:rPr>
        <w:t xml:space="preserve">Food and Human Rights in Development Volume I, Legal and Institutional Dimensions and Selected Topics., </w:t>
      </w:r>
      <w:r w:rsidRPr="00655FEA">
        <w:rPr>
          <w:rFonts w:ascii="Times New Roman" w:eastAsia="Arial" w:hAnsi="Times New Roman" w:cs="Times New Roman"/>
          <w:color w:val="000000"/>
          <w:sz w:val="20"/>
          <w:szCs w:val="20"/>
          <w:lang w:val="en-US"/>
        </w:rPr>
        <w:t xml:space="preserve">Editorial Intersentia, Amberes/Oxford, 2005. </w:t>
      </w:r>
      <w:r w:rsidRPr="00655FEA">
        <w:rPr>
          <w:rFonts w:ascii="Times New Roman" w:eastAsia="Arial" w:hAnsi="Times New Roman" w:cs="Times New Roman"/>
          <w:color w:val="000000"/>
          <w:sz w:val="20"/>
          <w:szCs w:val="20"/>
        </w:rPr>
        <w:t>Pág. 100</w:t>
      </w:r>
    </w:p>
  </w:footnote>
  <w:footnote w:id="14">
    <w:p w14:paraId="6FBFAD38"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respeto, </w:t>
      </w:r>
      <w:r w:rsidRPr="00655FEA">
        <w:rPr>
          <w:rFonts w:ascii="Times New Roman" w:eastAsia="Arial" w:hAnsi="Times New Roman" w:cs="Times New Roman"/>
          <w:i/>
          <w:color w:val="000000"/>
          <w:sz w:val="20"/>
          <w:szCs w:val="20"/>
        </w:rPr>
        <w:t>“(…) significa que los Estados deben abstenerse de interferir en el disfrute de los derechos humanos, o de limitarlos”</w:t>
      </w:r>
      <w:r w:rsidRPr="00655FEA">
        <w:rPr>
          <w:rFonts w:ascii="Times New Roman" w:eastAsia="Arial" w:hAnsi="Times New Roman" w:cs="Times New Roman"/>
          <w:color w:val="000000"/>
          <w:sz w:val="20"/>
          <w:szCs w:val="20"/>
        </w:rPr>
        <w:t>. En: La Oficina del Alto Comisionado para los Derechos Humanos define el criterio de inalienabilidad en el sentido de que “</w:t>
      </w:r>
      <w:r w:rsidRPr="00655FEA">
        <w:rPr>
          <w:rFonts w:ascii="Times New Roman" w:eastAsia="Arial" w:hAnsi="Times New Roman" w:cs="Times New Roman"/>
          <w:i/>
          <w:color w:val="000000"/>
          <w:sz w:val="20"/>
          <w:szCs w:val="20"/>
        </w:rPr>
        <w:t>Los derechos humanos son inalienables. No deben suprimirse, salvo en determinadas situaciones y según las debidas garantías procesales</w:t>
      </w:r>
      <w:r w:rsidRPr="00655FEA">
        <w:rPr>
          <w:rFonts w:ascii="Times New Roman" w:eastAsia="Arial" w:hAnsi="Times New Roman" w:cs="Times New Roman"/>
          <w:color w:val="000000"/>
          <w:sz w:val="20"/>
          <w:szCs w:val="20"/>
        </w:rPr>
        <w:t xml:space="preserve">.” En: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 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5">
    <w:p w14:paraId="276533CF"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protección, ésta exige que </w:t>
      </w:r>
      <w:r w:rsidRPr="00655FEA">
        <w:rPr>
          <w:rFonts w:ascii="Times New Roman" w:eastAsia="Arial" w:hAnsi="Times New Roman" w:cs="Times New Roman"/>
          <w:i/>
          <w:color w:val="000000"/>
          <w:sz w:val="20"/>
          <w:szCs w:val="20"/>
        </w:rPr>
        <w:t xml:space="preserve">“(…) los Estados impidan los abusos de los derechos humanos contra individuos y grupos”. En: </w:t>
      </w:r>
      <w:r w:rsidRPr="00655FEA">
        <w:rPr>
          <w:rFonts w:ascii="Times New Roman" w:eastAsia="Arial" w:hAnsi="Times New Roman" w:cs="Times New Roman"/>
          <w:color w:val="000000"/>
          <w:sz w:val="20"/>
          <w:szCs w:val="20"/>
        </w:rPr>
        <w:t xml:space="preserve">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sidRPr="00655FEA">
        <w:rPr>
          <w:rFonts w:ascii="Times New Roman" w:eastAsia="Arial" w:hAnsi="Times New Roman" w:cs="Times New Roman"/>
          <w:i/>
          <w:color w:val="000000"/>
          <w:sz w:val="20"/>
          <w:szCs w:val="20"/>
        </w:rPr>
        <w:t xml:space="preserve">. </w:t>
      </w:r>
      <w:r w:rsidRPr="00655FEA">
        <w:rPr>
          <w:rFonts w:ascii="Times New Roman" w:eastAsia="Arial"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6">
    <w:p w14:paraId="7081466A"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realización, ésta se refiera al deber </w:t>
      </w:r>
      <w:r w:rsidRPr="00655FEA">
        <w:rPr>
          <w:rFonts w:ascii="Times New Roman" w:eastAsia="Arial" w:hAnsi="Times New Roman" w:cs="Times New Roman"/>
          <w:color w:val="000000"/>
          <w:sz w:val="20"/>
          <w:szCs w:val="20"/>
        </w:rPr>
        <w:t>de  “</w:t>
      </w:r>
      <w:r w:rsidRPr="00655FEA">
        <w:rPr>
          <w:rFonts w:ascii="Times New Roman" w:eastAsia="Arial" w:hAnsi="Times New Roman" w:cs="Times New Roman"/>
          <w:i/>
          <w:color w:val="000000"/>
          <w:sz w:val="20"/>
          <w:szCs w:val="20"/>
        </w:rPr>
        <w:t>adoptar medidas positivas para facilitar el disfrute de los derechos humanos básicos.</w:t>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En: </w:t>
      </w:r>
      <w:r w:rsidRPr="00655FEA">
        <w:rPr>
          <w:rFonts w:ascii="Times New Roman" w:eastAsia="Arial" w:hAnsi="Times New Roman" w:cs="Times New Roman"/>
          <w:color w:val="000000"/>
          <w:sz w:val="20"/>
          <w:szCs w:val="20"/>
        </w:rPr>
        <w:t xml:space="preserve">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sidRPr="00655FEA">
        <w:rPr>
          <w:rFonts w:ascii="Times New Roman" w:eastAsia="Arial" w:hAnsi="Times New Roman" w:cs="Times New Roman"/>
          <w:i/>
          <w:color w:val="000000"/>
          <w:sz w:val="20"/>
          <w:szCs w:val="20"/>
        </w:rPr>
        <w:t xml:space="preserve">. </w:t>
      </w:r>
      <w:r w:rsidRPr="00655FEA">
        <w:rPr>
          <w:rFonts w:ascii="Times New Roman" w:eastAsia="Arial"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7">
    <w:p w14:paraId="2A7755E2"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8">
    <w:p w14:paraId="3F267EDE"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“Toda persona tiene derecho a un nivel de vida adecuado que le asegure, así como a su familia, la salud y el bienestar, </w:t>
      </w:r>
      <w:r w:rsidRPr="00655FEA">
        <w:rPr>
          <w:rFonts w:ascii="Times New Roman" w:eastAsia="Arial" w:hAnsi="Times New Roman" w:cs="Times New Roman"/>
          <w:b/>
          <w:i/>
          <w:color w:val="000000"/>
          <w:sz w:val="20"/>
          <w:szCs w:val="20"/>
        </w:rPr>
        <w:t>y en especial la alimentación</w:t>
      </w:r>
      <w:r w:rsidRPr="00655FEA">
        <w:rPr>
          <w:rFonts w:ascii="Times New Roman" w:eastAsia="Arial" w:hAnsi="Times New Roman" w:cs="Times New Roman"/>
          <w:i/>
          <w:color w:val="000000"/>
          <w:sz w:val="20"/>
          <w:szCs w:val="20"/>
        </w:rPr>
        <w:t xml:space="preserve">,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t>
      </w:r>
      <w:r w:rsidRPr="00655FEA">
        <w:rPr>
          <w:rFonts w:ascii="Times New Roman" w:eastAsia="Arial" w:hAnsi="Times New Roman" w:cs="Times New Roman"/>
          <w:color w:val="000000"/>
          <w:sz w:val="20"/>
          <w:szCs w:val="20"/>
        </w:rPr>
        <w:t xml:space="preserve">(Se resalta) </w:t>
      </w:r>
    </w:p>
  </w:footnote>
  <w:footnote w:id="19">
    <w:p w14:paraId="42DDD43A"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“1. Los Estados Partes en el presente Pacto reconocen el derecho de toda persona a un nivel de vida adecuado para sí y su familia, incluso </w:t>
      </w:r>
      <w:r w:rsidRPr="00655FEA">
        <w:rPr>
          <w:rFonts w:ascii="Times New Roman" w:eastAsia="Arial" w:hAnsi="Times New Roman" w:cs="Times New Roman"/>
          <w:b/>
          <w:i/>
          <w:color w:val="000000"/>
          <w:sz w:val="20"/>
          <w:szCs w:val="20"/>
        </w:rPr>
        <w:t>alimentación</w:t>
      </w:r>
      <w:r w:rsidRPr="00655FEA">
        <w:rPr>
          <w:rFonts w:ascii="Times New Roman" w:eastAsia="Arial" w:hAnsi="Times New Roman" w:cs="Times New Roman"/>
          <w:i/>
          <w:color w:val="000000"/>
          <w:sz w:val="20"/>
          <w:szCs w:val="20"/>
        </w:rPr>
        <w:t xml:space="preserve">, vestido y vivienda </w:t>
      </w:r>
      <w:r w:rsidRPr="00655FEA">
        <w:rPr>
          <w:rFonts w:ascii="Times New Roman" w:eastAsia="Arial" w:hAnsi="Times New Roman" w:cs="Times New Roman"/>
          <w:b/>
          <w:i/>
          <w:color w:val="000000"/>
          <w:sz w:val="20"/>
          <w:szCs w:val="20"/>
        </w:rPr>
        <w:t>adecuados</w:t>
      </w:r>
      <w:r w:rsidRPr="00655FEA">
        <w:rPr>
          <w:rFonts w:ascii="Times New Roman" w:eastAsia="Arial" w:hAnsi="Times New Roman" w:cs="Times New Roman"/>
          <w:i/>
          <w:color w:val="000000"/>
          <w:sz w:val="20"/>
          <w:szCs w:val="20"/>
        </w:rPr>
        <w:t xml:space="preserve">, y a una mejora continua de las condiciones de existencia. Los Estados Partes tomarán medidas apropiadas para asegurar la efectividad de este derecho, reconociendo a este efecto la importancia esencial de la cooperación internacional fundada en el libre consentimiento. (…) 2. Los Estados Partes en el presente Pacto, reconociendo el derecho fundamental de toda persona a estar protegida contra el hambre, adoptarán, individualmente y mediante la cooperación internacional, las medidas, incluidos programas concretos, que se necesiten para: (…)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 la explotación y la utilización más eficaces de las riquezas naturales; (…) b) Asegurar una distribución equitativa de los alimentos mundiales en relación con las necesidades, teniendo en cuenta los problemas que se plantean tanto a los países que importan productos alimenticios como a los que los exportan.” </w:t>
      </w:r>
      <w:r w:rsidRPr="00655FEA">
        <w:rPr>
          <w:rFonts w:ascii="Times New Roman" w:eastAsia="Arial" w:hAnsi="Times New Roman" w:cs="Times New Roman"/>
          <w:color w:val="000000"/>
          <w:sz w:val="20"/>
          <w:szCs w:val="20"/>
        </w:rPr>
        <w:t>(Se resalta)</w:t>
      </w:r>
    </w:p>
  </w:footnote>
  <w:footnote w:id="20">
    <w:p w14:paraId="53239D25"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Respecto a la Observación General, es preciso resaltar que la misma se constituye como una interpretación experta y autorizada respecto del contenido de los instrumentos de Derecho Internacional que contienen disposiciones relativas a los Derechos Humanos. La misma fue emitida por el órgano de supervisión del Tratado en cuestión, cuya competencia se irroga gracias a las disposiciones contenidas en el mismo. </w:t>
      </w:r>
      <w:r w:rsidRPr="00655FEA">
        <w:rPr>
          <w:rFonts w:ascii="Times New Roman" w:eastAsia="Arial" w:hAnsi="Times New Roman" w:cs="Times New Roman"/>
          <w:color w:val="000000"/>
          <w:sz w:val="20"/>
          <w:szCs w:val="20"/>
          <w:lang w:val="en-US"/>
        </w:rPr>
        <w:t xml:space="preserve">En: WENCHE BARTH EIDE y UWE KRACHT, </w:t>
      </w:r>
      <w:r w:rsidRPr="00655FEA">
        <w:rPr>
          <w:rFonts w:ascii="Times New Roman" w:eastAsia="Arial" w:hAnsi="Times New Roman" w:cs="Times New Roman"/>
          <w:i/>
          <w:color w:val="000000"/>
          <w:sz w:val="20"/>
          <w:szCs w:val="20"/>
          <w:lang w:val="en-US"/>
        </w:rPr>
        <w:t xml:space="preserve">Food and Human Rights in Development Volume I, Legal and Institutional Dimensions and Selected Topics., </w:t>
      </w:r>
      <w:r w:rsidRPr="00655FEA">
        <w:rPr>
          <w:rFonts w:ascii="Times New Roman" w:eastAsia="Arial" w:hAnsi="Times New Roman" w:cs="Times New Roman"/>
          <w:color w:val="000000"/>
          <w:sz w:val="20"/>
          <w:szCs w:val="20"/>
          <w:lang w:val="en-US"/>
        </w:rPr>
        <w:t xml:space="preserve">Editorial Intersentia, Amberes/Oxford, 2005. </w:t>
      </w:r>
      <w:r w:rsidRPr="00655FEA">
        <w:rPr>
          <w:rFonts w:ascii="Times New Roman" w:eastAsia="Arial" w:hAnsi="Times New Roman" w:cs="Times New Roman"/>
          <w:color w:val="000000"/>
          <w:sz w:val="20"/>
          <w:szCs w:val="20"/>
        </w:rPr>
        <w:t>Pág. 105. Así mismo, la Corte Constitucional en Sentencia C-251 de 1997 reconoce a dichas observaciones, en conjunción con otros informes oficiales provenientes del Relator de esta clase de derechos, la característica de ser “la doctrina internacional más autorizada en materia de Derechos Económicos, Sociales y Culturales”, como lo es en el presente caso el Derecho a la Alimentación adecuada.</w:t>
      </w:r>
    </w:p>
  </w:footnote>
  <w:footnote w:id="21">
    <w:p w14:paraId="185079BF"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 2. Los Estados Partes asegurarán la plena aplicación de este derecho y, en particular, adoptarán las medidas apropiadas para: a) Reducir la mortalidad infantil y en la niñez;</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b) Asegurar la prestación de la asistencia médica y la atención sanitaria que sean necesarias a todos los niños, haciendo hincapié en el desarrollo de la atención primaria de la salud;</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c) Combatir las enfermedades y la mal 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d) Asegurar atención sanitaria prenatal y postnatal apropiada a las madres;</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f) Desarrollar la atención sanitaria preventiva, la orientación a los padres y la educación y servicios en materia de planificación de la familia.”</w:t>
      </w:r>
    </w:p>
  </w:footnote>
  <w:footnote w:id="22">
    <w:p w14:paraId="625B5E0A"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p>
  </w:footnote>
  <w:footnote w:id="23">
    <w:p w14:paraId="663394AD"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25. f </w:t>
      </w:r>
      <w:r w:rsidRPr="00655FEA">
        <w:rPr>
          <w:rFonts w:ascii="Times New Roman" w:eastAsia="Arial" w:hAnsi="Times New Roman" w:cs="Times New Roman"/>
          <w:i/>
          <w:color w:val="000000"/>
          <w:sz w:val="20"/>
          <w:szCs w:val="20"/>
        </w:rPr>
        <w:t xml:space="preserve">“Impedirán que se nieguen, de manera discriminatoria, servicios de salud o de atención de la salud o alimentos sólidos o líquidos por motivos de discapacidad.”; </w:t>
      </w:r>
      <w:r w:rsidRPr="00655FEA">
        <w:rPr>
          <w:rFonts w:ascii="Times New Roman" w:eastAsia="Arial" w:hAnsi="Times New Roman" w:cs="Times New Roman"/>
          <w:color w:val="000000"/>
          <w:sz w:val="20"/>
          <w:szCs w:val="20"/>
        </w:rPr>
        <w:t xml:space="preserve">28.1 </w:t>
      </w:r>
      <w:r w:rsidRPr="00655FEA">
        <w:rPr>
          <w:rFonts w:ascii="Times New Roman" w:eastAsia="Arial" w:hAnsi="Times New Roman" w:cs="Times New Roman"/>
          <w:i/>
          <w:color w:val="000000"/>
          <w:sz w:val="20"/>
          <w:szCs w:val="20"/>
        </w:rPr>
        <w:t>“Los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footnote>
  <w:footnote w:id="24">
    <w:p w14:paraId="63DB9207" w14:textId="77777777" w:rsidR="00A420D2" w:rsidRPr="00655FEA" w:rsidRDefault="00A420D2" w:rsidP="00A420D2">
      <w:pPr>
        <w:widowControl w:val="0"/>
        <w:spacing w:after="0" w:line="240" w:lineRule="auto"/>
        <w:jc w:val="both"/>
        <w:rPr>
          <w:rFonts w:ascii="Times New Roman" w:eastAsia="Arial" w:hAnsi="Times New Roman" w:cs="Times New Roman"/>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sz w:val="20"/>
          <w:szCs w:val="20"/>
        </w:rPr>
        <w:t xml:space="preserve"> “</w:t>
      </w:r>
      <w:r w:rsidRPr="00655FEA">
        <w:rPr>
          <w:rFonts w:ascii="Times New Roman" w:eastAsia="Arial" w:hAnsi="Times New Roman" w:cs="Times New Roman"/>
          <w:i/>
          <w:sz w:val="20"/>
          <w:szCs w:val="20"/>
        </w:rPr>
        <w:t xml:space="preserve">1. Toda persona tiene derecho a una nutrición adecuada que le asegure la posibilidad de gozar del </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más alto nivel de desarrollo físico, emocional e intelectual. (…)2. Con el objeto de hacer efectivo este derecho y a erradicar la desnutrición, los Estados partes se</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 xml:space="preserve">comprometen a perfeccionar los métodos de producción, aprovisionamiento y distribución de </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alimentos, para lo cual se comprometen a promover una mayor cooperación internacional en apoyo de las políticas nacionales sobre la materia.”</w:t>
      </w:r>
    </w:p>
  </w:footnote>
  <w:footnote w:id="25">
    <w:p w14:paraId="797E06EF"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Ver: Comisión Africana de Derechos Humanos y de los Pueblos. </w:t>
      </w:r>
      <w:r w:rsidRPr="00655FEA">
        <w:rPr>
          <w:rFonts w:ascii="Times New Roman" w:eastAsia="Arial" w:hAnsi="Times New Roman" w:cs="Times New Roman"/>
          <w:color w:val="000000"/>
          <w:sz w:val="20"/>
          <w:szCs w:val="20"/>
          <w:lang w:val="en-US"/>
        </w:rPr>
        <w:t xml:space="preserve">Caso </w:t>
      </w:r>
      <w:r w:rsidRPr="00655FEA">
        <w:rPr>
          <w:rFonts w:ascii="Times New Roman" w:eastAsia="Arial" w:hAnsi="Times New Roman" w:cs="Times New Roman"/>
          <w:i/>
          <w:color w:val="000000"/>
          <w:sz w:val="20"/>
          <w:szCs w:val="20"/>
          <w:lang w:val="en-US"/>
        </w:rPr>
        <w:t xml:space="preserve">“The Social and Economic Rights Action Center and the Center for Economic and Social Rights v. </w:t>
      </w:r>
      <w:r w:rsidRPr="00655FEA">
        <w:rPr>
          <w:rFonts w:ascii="Times New Roman" w:eastAsia="Arial" w:hAnsi="Times New Roman" w:cs="Times New Roman"/>
          <w:i/>
          <w:color w:val="000000"/>
          <w:sz w:val="20"/>
          <w:szCs w:val="20"/>
          <w:lang w:val="en-US"/>
        </w:rPr>
        <w:t>Nigeria”</w:t>
      </w:r>
      <w:r w:rsidRPr="00655FEA">
        <w:rPr>
          <w:rFonts w:ascii="Times New Roman" w:eastAsia="Arial" w:hAnsi="Times New Roman" w:cs="Times New Roman"/>
          <w:color w:val="000000"/>
          <w:sz w:val="20"/>
          <w:szCs w:val="20"/>
          <w:lang w:val="en-US"/>
        </w:rPr>
        <w:t xml:space="preserve">, comunicación No. 155/96, párr. </w:t>
      </w:r>
      <w:r w:rsidRPr="00655FEA">
        <w:rPr>
          <w:rFonts w:ascii="Times New Roman" w:eastAsia="Arial" w:hAnsi="Times New Roman" w:cs="Times New Roman"/>
          <w:color w:val="000000"/>
          <w:sz w:val="20"/>
          <w:szCs w:val="20"/>
        </w:rPr>
        <w:t>64</w:t>
      </w:r>
    </w:p>
  </w:footnote>
  <w:footnote w:id="26">
    <w:p w14:paraId="72DCEA58"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w:t>
      </w:r>
    </w:p>
  </w:footnote>
  <w:footnote w:id="27">
    <w:p w14:paraId="201724FC"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Oficina del Alto Comisionado de las Naciones Unidas para los Derechos Humanos. </w:t>
      </w:r>
      <w:r w:rsidRPr="00655FEA">
        <w:rPr>
          <w:rFonts w:ascii="Times New Roman" w:eastAsia="Arial" w:hAnsi="Times New Roman" w:cs="Times New Roman"/>
          <w:i/>
          <w:color w:val="000000"/>
          <w:sz w:val="20"/>
          <w:szCs w:val="20"/>
        </w:rPr>
        <w:t>Folleto Informativo No. 27.</w:t>
      </w:r>
    </w:p>
  </w:footnote>
  <w:footnote w:id="28">
    <w:p w14:paraId="32F2AA7E"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 Pár. 15</w:t>
      </w:r>
    </w:p>
  </w:footnote>
  <w:footnote w:id="29">
    <w:p w14:paraId="22838089"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 Pár. 21</w:t>
      </w:r>
    </w:p>
  </w:footnote>
  <w:footnote w:id="30">
    <w:p w14:paraId="29E6DCAA" w14:textId="77777777" w:rsidR="00A420D2" w:rsidRPr="00655FEA" w:rsidRDefault="00A420D2" w:rsidP="00A420D2">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Amartya K. Sen, El derecho a no tener hambre. Estudios de Filosofía y Derecho No. 3 Universidad Externado de Colombia: 2002.</w:t>
      </w:r>
    </w:p>
  </w:footnote>
  <w:footnote w:id="31">
    <w:p w14:paraId="18AC37E2" w14:textId="77777777" w:rsidR="00A420D2" w:rsidRPr="00655FEA" w:rsidRDefault="00A420D2" w:rsidP="00A420D2">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Ibídem.</w:t>
      </w:r>
    </w:p>
  </w:footnote>
  <w:footnote w:id="32">
    <w:p w14:paraId="21E88F94" w14:textId="77777777" w:rsidR="00A420D2" w:rsidRPr="00655FEA" w:rsidRDefault="00A420D2" w:rsidP="00A420D2">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Ibídem.</w:t>
      </w:r>
    </w:p>
  </w:footnote>
  <w:footnote w:id="33">
    <w:p w14:paraId="71D8D643" w14:textId="77777777" w:rsidR="00A420D2" w:rsidRPr="00236C47" w:rsidRDefault="00A420D2" w:rsidP="00A420D2">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Consejo Económico y Social de las Naciones Unidas. </w:t>
      </w:r>
      <w:r w:rsidRPr="00236C47">
        <w:rPr>
          <w:rFonts w:ascii="Arial" w:hAnsi="Arial" w:cs="Arial"/>
          <w:i/>
          <w:sz w:val="18"/>
          <w:szCs w:val="18"/>
        </w:rPr>
        <w:t>Cuestiones sustantivas que se plantean en la aplicación del pacto de derechos económicos, sociales y culturales.</w:t>
      </w:r>
      <w:r w:rsidRPr="00236C47">
        <w:rPr>
          <w:rFonts w:ascii="Arial" w:hAnsi="Arial" w:cs="Arial"/>
          <w:sz w:val="18"/>
          <w:szCs w:val="18"/>
        </w:rPr>
        <w:t xml:space="preserve"> Observación General 12. 20º Periodo de Sesiones. 1999.</w:t>
      </w:r>
    </w:p>
  </w:footnote>
  <w:footnote w:id="34">
    <w:p w14:paraId="26A0BCB5" w14:textId="77777777" w:rsidR="00A420D2" w:rsidRPr="00236C47" w:rsidRDefault="00A420D2" w:rsidP="00A420D2">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FAO, </w:t>
      </w:r>
      <w:r w:rsidRPr="00236C47">
        <w:rPr>
          <w:rFonts w:ascii="Arial" w:hAnsi="Arial" w:cs="Arial"/>
          <w:i/>
          <w:sz w:val="18"/>
          <w:szCs w:val="18"/>
        </w:rPr>
        <w:t>El Estado de la Inseguridad Alimentaria en el Mundo</w:t>
      </w:r>
      <w:r w:rsidRPr="00236C47">
        <w:rPr>
          <w:rFonts w:ascii="Arial" w:hAnsi="Arial" w:cs="Arial"/>
          <w:sz w:val="18"/>
          <w:szCs w:val="18"/>
        </w:rPr>
        <w:t xml:space="preserve"> – 2001. Roma, 2001 En: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 5</w:t>
      </w:r>
    </w:p>
  </w:footnote>
  <w:footnote w:id="35">
    <w:p w14:paraId="7F7422AC" w14:textId="77777777" w:rsidR="00A420D2" w:rsidRPr="00236C47" w:rsidRDefault="00A420D2" w:rsidP="00A420D2">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Págs. 5 – 6.</w:t>
      </w:r>
    </w:p>
  </w:footnote>
  <w:footnote w:id="36">
    <w:p w14:paraId="25632629" w14:textId="77777777" w:rsidR="00A420D2" w:rsidRPr="00C45DD8" w:rsidRDefault="00A420D2" w:rsidP="00A420D2">
      <w:pPr>
        <w:pStyle w:val="Textonotapie"/>
        <w:jc w:val="both"/>
        <w:rPr>
          <w:rFonts w:ascii="Times New Roman" w:hAnsi="Times New Roman"/>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 6.</w:t>
      </w:r>
    </w:p>
  </w:footnote>
  <w:footnote w:id="37">
    <w:p w14:paraId="67BBA82B" w14:textId="77777777" w:rsidR="00A420D2" w:rsidRPr="00E72739" w:rsidRDefault="00A420D2" w:rsidP="00A420D2">
      <w:pPr>
        <w:pStyle w:val="Textonotapie"/>
        <w:jc w:val="both"/>
        <w:rPr>
          <w:rFonts w:ascii="Times New Roman" w:hAnsi="Times New Roman"/>
          <w:lang w:val="es-MX"/>
        </w:rPr>
      </w:pPr>
      <w:r w:rsidRPr="00E72739">
        <w:rPr>
          <w:rStyle w:val="Refdenotaalpie"/>
          <w:rFonts w:ascii="Times New Roman" w:hAnsi="Times New Roman"/>
        </w:rPr>
        <w:footnoteRef/>
      </w:r>
      <w:r w:rsidRPr="00E72739">
        <w:rPr>
          <w:rFonts w:ascii="Times New Roman" w:hAnsi="Times New Roman"/>
        </w:rPr>
        <w:t xml:space="preserve"> </w:t>
      </w:r>
      <w:r w:rsidRPr="00E72739">
        <w:rPr>
          <w:rFonts w:ascii="Times New Roman" w:hAnsi="Times New Roman"/>
          <w:lang w:val="es-MX"/>
        </w:rPr>
        <w:t xml:space="preserve">Ver: Jorge Andrés Obando Moreno “Seguridad y soberanía alimentaria en los conflictos ambientales colombianos. Análisis de los conflictos actuales y la jurisprudencia de la Corte Constitucional” en: María del Pilar García Pachón (Ed). </w:t>
      </w:r>
      <w:r>
        <w:rPr>
          <w:rFonts w:ascii="Times New Roman" w:hAnsi="Times New Roman"/>
          <w:lang w:val="es-MX"/>
        </w:rPr>
        <w:t>“</w:t>
      </w:r>
      <w:r w:rsidRPr="00E72739">
        <w:rPr>
          <w:rFonts w:ascii="Times New Roman" w:hAnsi="Times New Roman"/>
          <w:lang w:val="es-MX"/>
        </w:rPr>
        <w:t>Lecturas sobre derecho del Medio Ambiente Tomo XX</w:t>
      </w:r>
      <w:r>
        <w:rPr>
          <w:rFonts w:ascii="Times New Roman" w:hAnsi="Times New Roman"/>
          <w:lang w:val="es-MX"/>
        </w:rPr>
        <w:t>” -</w:t>
      </w:r>
      <w:r w:rsidRPr="00E72739">
        <w:rPr>
          <w:rFonts w:ascii="Times New Roman" w:hAnsi="Times New Roman"/>
          <w:lang w:val="es-MX"/>
        </w:rPr>
        <w:t xml:space="preserve"> Universidad Externado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1D49" w14:textId="77777777" w:rsidR="00B327CE" w:rsidRDefault="00783FA3" w:rsidP="00B327CE">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6FE0F805" wp14:editId="2497CAD5">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8" name="image1.png" descr="Interfaz de usuario gráfica, Texto&#10;&#10;Descripción generada automáticamente"/>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116C4F9E" w14:textId="77777777" w:rsidR="00B327CE" w:rsidRDefault="00167DDA" w:rsidP="00B327CE">
    <w:pPr>
      <w:pBdr>
        <w:top w:val="nil"/>
        <w:left w:val="nil"/>
        <w:bottom w:val="nil"/>
        <w:right w:val="nil"/>
        <w:between w:val="nil"/>
      </w:pBdr>
      <w:rPr>
        <w:sz w:val="20"/>
        <w:szCs w:val="20"/>
      </w:rPr>
    </w:pPr>
  </w:p>
  <w:p w14:paraId="03370890" w14:textId="77777777" w:rsidR="00B327CE" w:rsidRDefault="00167DDA" w:rsidP="00B327CE">
    <w:pPr>
      <w:pBdr>
        <w:top w:val="nil"/>
        <w:left w:val="nil"/>
        <w:bottom w:val="nil"/>
        <w:right w:val="nil"/>
        <w:between w:val="nil"/>
      </w:pBdr>
      <w:ind w:left="-1133"/>
      <w:rPr>
        <w:sz w:val="20"/>
        <w:szCs w:val="20"/>
      </w:rPr>
    </w:pPr>
  </w:p>
  <w:p w14:paraId="71503D93" w14:textId="77777777" w:rsidR="00B327CE" w:rsidRDefault="00167D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05D"/>
    <w:multiLevelType w:val="multilevel"/>
    <w:tmpl w:val="927E6A5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973BE8"/>
    <w:multiLevelType w:val="hybridMultilevel"/>
    <w:tmpl w:val="56380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D4463D"/>
    <w:multiLevelType w:val="multilevel"/>
    <w:tmpl w:val="C89ECC3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475EA"/>
    <w:multiLevelType w:val="multilevel"/>
    <w:tmpl w:val="B26A24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4A6507"/>
    <w:multiLevelType w:val="hybridMultilevel"/>
    <w:tmpl w:val="5F1E9264"/>
    <w:lvl w:ilvl="0" w:tplc="32D2184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A60AC8"/>
    <w:multiLevelType w:val="multilevel"/>
    <w:tmpl w:val="2AC6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5A382D"/>
    <w:multiLevelType w:val="multilevel"/>
    <w:tmpl w:val="C23AB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D2"/>
    <w:rsid w:val="000C627F"/>
    <w:rsid w:val="000F60B2"/>
    <w:rsid w:val="00167DDA"/>
    <w:rsid w:val="001A7C74"/>
    <w:rsid w:val="00281EB1"/>
    <w:rsid w:val="004317C6"/>
    <w:rsid w:val="0044008A"/>
    <w:rsid w:val="00480A99"/>
    <w:rsid w:val="005C6809"/>
    <w:rsid w:val="00645ABB"/>
    <w:rsid w:val="006B0F62"/>
    <w:rsid w:val="00783FA3"/>
    <w:rsid w:val="007876BB"/>
    <w:rsid w:val="008766EB"/>
    <w:rsid w:val="008F7550"/>
    <w:rsid w:val="009E41D3"/>
    <w:rsid w:val="00A420D2"/>
    <w:rsid w:val="00AB1327"/>
    <w:rsid w:val="00B224E8"/>
    <w:rsid w:val="00C45A24"/>
    <w:rsid w:val="00C660E2"/>
    <w:rsid w:val="00CF112C"/>
    <w:rsid w:val="00D33172"/>
    <w:rsid w:val="00D94634"/>
    <w:rsid w:val="00DD345D"/>
    <w:rsid w:val="00EB3642"/>
    <w:rsid w:val="00FB48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3852"/>
  <w15:chartTrackingRefBased/>
  <w15:docId w15:val="{89DE4488-008D-4DAA-B9E8-F193C50B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20D2"/>
    <w:pPr>
      <w:ind w:left="720"/>
      <w:contextualSpacing/>
    </w:pPr>
  </w:style>
  <w:style w:type="paragraph" w:styleId="Textonotapie">
    <w:name w:val="footnote text"/>
    <w:aliases w:val="Ref. de nota al pie1,referencia nota al pie,Appel note de bas de page,Texto de nota al pie,Footnotes refss,Footnote number,BVI fnr,f,Nota de pie,Texto nota al pie,4_G,16 Point,Superscript 6 Point,Ref. de nota al pie 2,Fago Fußnotenzeichen"/>
    <w:basedOn w:val="Normal"/>
    <w:link w:val="TextonotapieCar"/>
    <w:uiPriority w:val="99"/>
    <w:unhideWhenUsed/>
    <w:qFormat/>
    <w:rsid w:val="00A420D2"/>
    <w:pPr>
      <w:spacing w:after="0" w:line="240" w:lineRule="auto"/>
    </w:pPr>
    <w:rPr>
      <w:sz w:val="20"/>
      <w:szCs w:val="20"/>
    </w:rPr>
  </w:style>
  <w:style w:type="character" w:customStyle="1" w:styleId="TextonotapieCar">
    <w:name w:val="Texto nota pie Car"/>
    <w:aliases w:val="Ref. de nota al pie1 Car,referencia nota al pie Car,Appel note de bas de page Car,Texto de nota al pie Car,Footnotes refss Car,Footnote number Car,BVI fnr Car,f Car,Nota de pie Car,Texto nota al pie Car,4_G Car,16 Point Car"/>
    <w:basedOn w:val="Fuentedeprrafopredeter"/>
    <w:link w:val="Textonotapie"/>
    <w:uiPriority w:val="99"/>
    <w:rsid w:val="00A420D2"/>
    <w:rPr>
      <w:sz w:val="20"/>
      <w:szCs w:val="20"/>
    </w:rPr>
  </w:style>
  <w:style w:type="character" w:styleId="Refdenotaalpie">
    <w:name w:val="footnote reference"/>
    <w:basedOn w:val="Fuentedeprrafopredeter"/>
    <w:uiPriority w:val="99"/>
    <w:unhideWhenUsed/>
    <w:rsid w:val="00A420D2"/>
    <w:rPr>
      <w:vertAlign w:val="superscript"/>
    </w:rPr>
  </w:style>
  <w:style w:type="character" w:styleId="Hipervnculo">
    <w:name w:val="Hyperlink"/>
    <w:basedOn w:val="Fuentedeprrafopredeter"/>
    <w:uiPriority w:val="99"/>
    <w:unhideWhenUsed/>
    <w:rsid w:val="00A420D2"/>
    <w:rPr>
      <w:color w:val="0563C1" w:themeColor="hyperlink"/>
      <w:u w:val="single"/>
    </w:rPr>
  </w:style>
  <w:style w:type="table" w:styleId="Tablaconcuadrcula">
    <w:name w:val="Table Grid"/>
    <w:basedOn w:val="Tablanormal"/>
    <w:uiPriority w:val="39"/>
    <w:rsid w:val="00A42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20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2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cb5409es/cb5409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6472</Words>
  <Characters>35596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Ana Maria Hinestrosa Villa</cp:lastModifiedBy>
  <cp:revision>3</cp:revision>
  <dcterms:created xsi:type="dcterms:W3CDTF">2021-12-06T19:45:00Z</dcterms:created>
  <dcterms:modified xsi:type="dcterms:W3CDTF">2021-12-06T19:47:00Z</dcterms:modified>
</cp:coreProperties>
</file>