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61303" w14:textId="77777777" w:rsidR="00435392" w:rsidRPr="00E91BAD" w:rsidRDefault="00D1567E">
      <w:pPr>
        <w:spacing w:after="0" w:line="240" w:lineRule="auto"/>
        <w:jc w:val="both"/>
        <w:rPr>
          <w:color w:val="000000" w:themeColor="text1"/>
          <w:sz w:val="23"/>
          <w:szCs w:val="23"/>
        </w:rPr>
      </w:pPr>
      <w:r w:rsidRPr="00E91BAD">
        <w:rPr>
          <w:color w:val="000000" w:themeColor="text1"/>
          <w:sz w:val="23"/>
          <w:szCs w:val="23"/>
        </w:rPr>
        <w:t>Bogotá D.C., 5 de junio de 2022</w:t>
      </w:r>
    </w:p>
    <w:p w14:paraId="50240A7E" w14:textId="77777777" w:rsidR="00435392" w:rsidRPr="00E91BAD" w:rsidRDefault="00435392">
      <w:pPr>
        <w:spacing w:after="0" w:line="240" w:lineRule="auto"/>
        <w:jc w:val="both"/>
        <w:rPr>
          <w:b/>
          <w:color w:val="000000" w:themeColor="text1"/>
          <w:sz w:val="23"/>
          <w:szCs w:val="23"/>
        </w:rPr>
      </w:pPr>
    </w:p>
    <w:p w14:paraId="11B36AA7" w14:textId="77777777" w:rsidR="00435392" w:rsidRPr="00E91BAD" w:rsidRDefault="00D1567E">
      <w:pPr>
        <w:spacing w:after="0" w:line="240" w:lineRule="auto"/>
        <w:jc w:val="both"/>
        <w:rPr>
          <w:color w:val="000000" w:themeColor="text1"/>
          <w:sz w:val="23"/>
          <w:szCs w:val="23"/>
        </w:rPr>
      </w:pPr>
      <w:r w:rsidRPr="00E91BAD">
        <w:rPr>
          <w:color w:val="000000" w:themeColor="text1"/>
          <w:sz w:val="23"/>
          <w:szCs w:val="23"/>
        </w:rPr>
        <w:t>Honorable Senador</w:t>
      </w:r>
    </w:p>
    <w:p w14:paraId="2B0F4B35" w14:textId="77777777" w:rsidR="00435392" w:rsidRPr="00E91BAD" w:rsidRDefault="00D1567E">
      <w:pPr>
        <w:spacing w:after="0" w:line="240" w:lineRule="auto"/>
        <w:jc w:val="both"/>
        <w:rPr>
          <w:b/>
          <w:color w:val="000000" w:themeColor="text1"/>
          <w:sz w:val="25"/>
          <w:szCs w:val="25"/>
        </w:rPr>
      </w:pPr>
      <w:r w:rsidRPr="00E91BAD">
        <w:rPr>
          <w:b/>
          <w:color w:val="000000" w:themeColor="text1"/>
          <w:sz w:val="25"/>
          <w:szCs w:val="25"/>
        </w:rPr>
        <w:t>GERMÁN VARÓN COTRINO</w:t>
      </w:r>
    </w:p>
    <w:p w14:paraId="04C4EF1F" w14:textId="77777777" w:rsidR="00435392" w:rsidRPr="00E91BAD" w:rsidRDefault="00D1567E">
      <w:pPr>
        <w:spacing w:after="0" w:line="240" w:lineRule="auto"/>
        <w:jc w:val="both"/>
        <w:rPr>
          <w:color w:val="000000" w:themeColor="text1"/>
          <w:sz w:val="23"/>
          <w:szCs w:val="23"/>
        </w:rPr>
      </w:pPr>
      <w:r w:rsidRPr="00E91BAD">
        <w:rPr>
          <w:color w:val="000000" w:themeColor="text1"/>
          <w:sz w:val="23"/>
          <w:szCs w:val="23"/>
        </w:rPr>
        <w:t>Presidente</w:t>
      </w:r>
    </w:p>
    <w:p w14:paraId="12163AF3" w14:textId="77777777" w:rsidR="00435392" w:rsidRPr="00E91BAD" w:rsidRDefault="00D1567E">
      <w:pPr>
        <w:spacing w:after="0" w:line="240" w:lineRule="auto"/>
        <w:jc w:val="both"/>
        <w:rPr>
          <w:color w:val="000000" w:themeColor="text1"/>
          <w:sz w:val="23"/>
          <w:szCs w:val="23"/>
        </w:rPr>
      </w:pPr>
      <w:r w:rsidRPr="00E91BAD">
        <w:rPr>
          <w:color w:val="000000" w:themeColor="text1"/>
          <w:sz w:val="23"/>
          <w:szCs w:val="23"/>
        </w:rPr>
        <w:t>COMISIÓN PRIMERA CONSTITUCIONAL</w:t>
      </w:r>
    </w:p>
    <w:p w14:paraId="79E04913" w14:textId="77777777" w:rsidR="00435392" w:rsidRPr="00E91BAD" w:rsidRDefault="00D1567E">
      <w:pPr>
        <w:spacing w:after="0" w:line="240" w:lineRule="auto"/>
        <w:jc w:val="both"/>
        <w:rPr>
          <w:color w:val="000000" w:themeColor="text1"/>
          <w:sz w:val="23"/>
          <w:szCs w:val="23"/>
        </w:rPr>
      </w:pPr>
      <w:r w:rsidRPr="00E91BAD">
        <w:rPr>
          <w:color w:val="000000" w:themeColor="text1"/>
          <w:sz w:val="23"/>
          <w:szCs w:val="23"/>
        </w:rPr>
        <w:t>SENADO DE LA REPÚBLICA</w:t>
      </w:r>
    </w:p>
    <w:p w14:paraId="2C606513" w14:textId="77777777" w:rsidR="00435392" w:rsidRPr="00E91BAD" w:rsidRDefault="00D1567E">
      <w:pPr>
        <w:spacing w:after="0" w:line="240" w:lineRule="auto"/>
        <w:jc w:val="both"/>
        <w:rPr>
          <w:color w:val="000000" w:themeColor="text1"/>
          <w:sz w:val="23"/>
          <w:szCs w:val="23"/>
        </w:rPr>
      </w:pPr>
      <w:r w:rsidRPr="00E91BAD">
        <w:rPr>
          <w:color w:val="000000" w:themeColor="text1"/>
          <w:sz w:val="23"/>
          <w:szCs w:val="23"/>
        </w:rPr>
        <w:t>comision.primera@senado.gov.co</w:t>
      </w:r>
    </w:p>
    <w:p w14:paraId="09125775" w14:textId="77777777" w:rsidR="00435392" w:rsidRPr="00E91BAD" w:rsidRDefault="00435392">
      <w:pPr>
        <w:spacing w:after="0" w:line="240" w:lineRule="auto"/>
        <w:jc w:val="both"/>
        <w:rPr>
          <w:b/>
          <w:color w:val="000000" w:themeColor="text1"/>
          <w:sz w:val="23"/>
          <w:szCs w:val="23"/>
        </w:rPr>
      </w:pPr>
    </w:p>
    <w:p w14:paraId="1FB1D6E8" w14:textId="35C9B922" w:rsidR="00435392" w:rsidRPr="00E91BAD" w:rsidRDefault="00D1567E">
      <w:pPr>
        <w:spacing w:after="0" w:line="240" w:lineRule="auto"/>
        <w:ind w:left="779" w:hanging="779"/>
        <w:jc w:val="both"/>
        <w:rPr>
          <w:color w:val="000000" w:themeColor="text1"/>
          <w:sz w:val="23"/>
          <w:szCs w:val="23"/>
        </w:rPr>
      </w:pPr>
      <w:r w:rsidRPr="00E91BAD">
        <w:rPr>
          <w:color w:val="000000" w:themeColor="text1"/>
          <w:sz w:val="23"/>
          <w:szCs w:val="23"/>
        </w:rPr>
        <w:t xml:space="preserve">Ref. </w:t>
      </w:r>
      <w:r w:rsidRPr="00E91BAD">
        <w:rPr>
          <w:color w:val="000000" w:themeColor="text1"/>
          <w:sz w:val="23"/>
          <w:szCs w:val="23"/>
        </w:rPr>
        <w:tab/>
        <w:t>Análisis de</w:t>
      </w:r>
      <w:r w:rsidR="00E91BAD" w:rsidRPr="00E91BAD">
        <w:rPr>
          <w:color w:val="000000" w:themeColor="text1"/>
          <w:sz w:val="23"/>
          <w:szCs w:val="23"/>
        </w:rPr>
        <w:t>l</w:t>
      </w:r>
      <w:r w:rsidRPr="00E91BAD">
        <w:rPr>
          <w:color w:val="000000" w:themeColor="text1"/>
          <w:sz w:val="23"/>
          <w:szCs w:val="23"/>
        </w:rPr>
        <w:t xml:space="preserve"> Observatorio Ciudadano </w:t>
      </w:r>
      <w:r w:rsidR="00E91BAD" w:rsidRPr="00E91BAD">
        <w:rPr>
          <w:color w:val="000000" w:themeColor="text1"/>
          <w:sz w:val="23"/>
          <w:szCs w:val="23"/>
        </w:rPr>
        <w:t>de Fontibón</w:t>
      </w:r>
      <w:r w:rsidRPr="00E91BAD">
        <w:rPr>
          <w:color w:val="000000" w:themeColor="text1"/>
          <w:sz w:val="23"/>
          <w:szCs w:val="23"/>
        </w:rPr>
        <w:t xml:space="preserve"> </w:t>
      </w:r>
      <w:r w:rsidR="004F7BF7">
        <w:rPr>
          <w:color w:val="000000" w:themeColor="text1"/>
          <w:sz w:val="23"/>
          <w:szCs w:val="23"/>
        </w:rPr>
        <w:t xml:space="preserve">– OC9 </w:t>
      </w:r>
      <w:r w:rsidRPr="00E91BAD">
        <w:rPr>
          <w:color w:val="000000" w:themeColor="text1"/>
          <w:sz w:val="23"/>
          <w:szCs w:val="23"/>
        </w:rPr>
        <w:t>sobre argumentos esgrimidos en el proyecto de Ley 470 de 2022 (Cámara de Representantes) y 355 de 2022 (Senado)</w:t>
      </w:r>
    </w:p>
    <w:p w14:paraId="048E4CFD" w14:textId="77777777" w:rsidR="00435392" w:rsidRPr="00E91BAD" w:rsidRDefault="00435392">
      <w:pPr>
        <w:spacing w:after="0" w:line="240" w:lineRule="auto"/>
        <w:jc w:val="both"/>
        <w:rPr>
          <w:b/>
          <w:color w:val="000000" w:themeColor="text1"/>
          <w:sz w:val="23"/>
          <w:szCs w:val="23"/>
        </w:rPr>
      </w:pPr>
    </w:p>
    <w:p w14:paraId="622C3D0E" w14:textId="07E430D5" w:rsidR="00435392" w:rsidRPr="00E91BAD" w:rsidRDefault="00391282">
      <w:pPr>
        <w:spacing w:after="0" w:line="240" w:lineRule="auto"/>
        <w:jc w:val="center"/>
        <w:rPr>
          <w:b/>
          <w:color w:val="000000" w:themeColor="text1"/>
          <w:sz w:val="31"/>
          <w:szCs w:val="31"/>
        </w:rPr>
      </w:pPr>
      <w:r w:rsidRPr="00391282">
        <w:rPr>
          <w:b/>
          <w:color w:val="000000" w:themeColor="text1"/>
          <w:sz w:val="31"/>
          <w:szCs w:val="31"/>
        </w:rPr>
        <w:t>«</w:t>
      </w:r>
      <w:r w:rsidR="00D1567E" w:rsidRPr="00E91BAD">
        <w:rPr>
          <w:b/>
          <w:color w:val="000000" w:themeColor="text1"/>
          <w:sz w:val="31"/>
          <w:szCs w:val="31"/>
        </w:rPr>
        <w:t>Complementariedad</w:t>
      </w:r>
      <w:r w:rsidRPr="00391282">
        <w:rPr>
          <w:b/>
          <w:color w:val="000000" w:themeColor="text1"/>
          <w:sz w:val="31"/>
          <w:szCs w:val="31"/>
        </w:rPr>
        <w:t>»</w:t>
      </w:r>
    </w:p>
    <w:p w14:paraId="562F364C" w14:textId="77777777" w:rsidR="00435392" w:rsidRPr="00E91BAD" w:rsidRDefault="00435392">
      <w:pPr>
        <w:spacing w:after="0" w:line="240" w:lineRule="auto"/>
        <w:jc w:val="both"/>
        <w:rPr>
          <w:color w:val="000000" w:themeColor="text1"/>
          <w:sz w:val="23"/>
          <w:szCs w:val="23"/>
        </w:rPr>
      </w:pPr>
    </w:p>
    <w:p w14:paraId="6C42F73F" w14:textId="77777777" w:rsidR="00435392" w:rsidRPr="00E91BAD" w:rsidRDefault="00D1567E">
      <w:pPr>
        <w:spacing w:after="0" w:line="240" w:lineRule="auto"/>
        <w:jc w:val="both"/>
        <w:rPr>
          <w:color w:val="000000" w:themeColor="text1"/>
          <w:sz w:val="23"/>
          <w:szCs w:val="23"/>
        </w:rPr>
      </w:pPr>
      <w:r w:rsidRPr="00E91BAD">
        <w:rPr>
          <w:color w:val="000000" w:themeColor="text1"/>
          <w:sz w:val="23"/>
          <w:szCs w:val="23"/>
        </w:rPr>
        <w:t>Un nuevo esfuerzo para eliminar la Veeduría Distrital, posiblemente matizado como los anteriores, con el desconocimiento de una muy particular entidad de control orientada a la mitigación del riesgo de corrupción, y con un interesante componente de innovación pública, que debería convertirla en la consentida de los bogotanos y modelo en el resto del país.</w:t>
      </w:r>
    </w:p>
    <w:p w14:paraId="60140C78" w14:textId="77777777" w:rsidR="00435392" w:rsidRPr="00E91BAD" w:rsidRDefault="00435392">
      <w:pPr>
        <w:spacing w:after="0" w:line="240" w:lineRule="auto"/>
        <w:jc w:val="both"/>
        <w:rPr>
          <w:color w:val="000000" w:themeColor="text1"/>
          <w:sz w:val="23"/>
          <w:szCs w:val="23"/>
        </w:rPr>
      </w:pPr>
    </w:p>
    <w:p w14:paraId="7C2F36AD" w14:textId="6161D836" w:rsidR="00435392" w:rsidRPr="00E91BAD" w:rsidRDefault="00D1567E">
      <w:pPr>
        <w:spacing w:after="0" w:line="240" w:lineRule="auto"/>
        <w:jc w:val="both"/>
        <w:rPr>
          <w:color w:val="000000" w:themeColor="text1"/>
          <w:sz w:val="23"/>
          <w:szCs w:val="23"/>
        </w:rPr>
      </w:pPr>
      <w:r w:rsidRPr="00E91BAD">
        <w:rPr>
          <w:color w:val="000000" w:themeColor="text1"/>
          <w:sz w:val="23"/>
          <w:szCs w:val="23"/>
        </w:rPr>
        <w:t xml:space="preserve">Lejos de criticar esto, resulta </w:t>
      </w:r>
      <w:r w:rsidR="00DD4B3F" w:rsidRPr="00E91BAD">
        <w:rPr>
          <w:color w:val="000000" w:themeColor="text1"/>
          <w:sz w:val="23"/>
          <w:szCs w:val="23"/>
        </w:rPr>
        <w:t xml:space="preserve">tristemente </w:t>
      </w:r>
      <w:r w:rsidRPr="00E91BAD">
        <w:rPr>
          <w:color w:val="000000" w:themeColor="text1"/>
          <w:sz w:val="23"/>
          <w:szCs w:val="23"/>
        </w:rPr>
        <w:t>comprensible en un país donde la seguridad se combate con cámaras de vigilancia, motocicletas y pie de fuerza policial y el hambre con mercados y subsidios; soluciones que no producen transformaciones fundamentales en la sociedad, como aquellas que en sus funciones y acciones tiene la Veeduría Distrital.</w:t>
      </w:r>
    </w:p>
    <w:p w14:paraId="3A5177F2" w14:textId="77777777" w:rsidR="00435392" w:rsidRPr="00E91BAD" w:rsidRDefault="00435392">
      <w:pPr>
        <w:spacing w:after="0" w:line="240" w:lineRule="auto"/>
        <w:jc w:val="both"/>
        <w:rPr>
          <w:b/>
          <w:color w:val="000000" w:themeColor="text1"/>
          <w:sz w:val="23"/>
          <w:szCs w:val="23"/>
        </w:rPr>
      </w:pPr>
    </w:p>
    <w:p w14:paraId="6273445F" w14:textId="77777777" w:rsidR="00435392" w:rsidRPr="00E91BAD" w:rsidRDefault="00D1567E">
      <w:pPr>
        <w:numPr>
          <w:ilvl w:val="0"/>
          <w:numId w:val="2"/>
        </w:numPr>
        <w:pBdr>
          <w:top w:val="nil"/>
          <w:left w:val="nil"/>
          <w:bottom w:val="nil"/>
          <w:right w:val="nil"/>
          <w:between w:val="nil"/>
        </w:pBdr>
        <w:spacing w:after="0" w:line="240" w:lineRule="auto"/>
        <w:jc w:val="both"/>
        <w:rPr>
          <w:color w:val="000000" w:themeColor="text1"/>
        </w:rPr>
      </w:pPr>
      <w:r w:rsidRPr="00E91BAD">
        <w:rPr>
          <w:b/>
          <w:color w:val="000000" w:themeColor="text1"/>
          <w:sz w:val="24"/>
          <w:szCs w:val="24"/>
        </w:rPr>
        <w:t>REDUNDANCIA DE FUNCIONES</w:t>
      </w:r>
    </w:p>
    <w:p w14:paraId="7B12D8F5" w14:textId="77777777" w:rsidR="00435392" w:rsidRPr="00E91BAD" w:rsidRDefault="00D1567E">
      <w:pPr>
        <w:pBdr>
          <w:top w:val="nil"/>
          <w:left w:val="nil"/>
          <w:bottom w:val="nil"/>
          <w:right w:val="nil"/>
          <w:between w:val="nil"/>
        </w:pBdr>
        <w:spacing w:after="0" w:line="240" w:lineRule="auto"/>
        <w:ind w:left="360"/>
        <w:jc w:val="both"/>
        <w:rPr>
          <w:color w:val="000000" w:themeColor="text1"/>
          <w:sz w:val="23"/>
          <w:szCs w:val="23"/>
        </w:rPr>
      </w:pPr>
      <w:r w:rsidRPr="00E91BAD">
        <w:rPr>
          <w:color w:val="000000" w:themeColor="text1"/>
          <w:sz w:val="23"/>
          <w:szCs w:val="23"/>
        </w:rPr>
        <w:t xml:space="preserve">Argumenta el proyecto de ley que: </w:t>
      </w:r>
    </w:p>
    <w:p w14:paraId="1D1A3727" w14:textId="77777777" w:rsidR="00435392" w:rsidRPr="00E91BAD" w:rsidRDefault="00D1567E">
      <w:pPr>
        <w:pBdr>
          <w:top w:val="nil"/>
          <w:left w:val="nil"/>
          <w:bottom w:val="nil"/>
          <w:right w:val="nil"/>
          <w:between w:val="nil"/>
        </w:pBdr>
        <w:spacing w:after="0" w:line="240" w:lineRule="auto"/>
        <w:ind w:left="360"/>
        <w:jc w:val="both"/>
        <w:rPr>
          <w:i/>
          <w:color w:val="000000" w:themeColor="text1"/>
          <w:sz w:val="23"/>
          <w:szCs w:val="23"/>
        </w:rPr>
      </w:pPr>
      <w:r w:rsidRPr="00E91BAD">
        <w:rPr>
          <w:i/>
          <w:color w:val="000000" w:themeColor="text1"/>
          <w:sz w:val="23"/>
          <w:szCs w:val="23"/>
        </w:rPr>
        <w:t>“Dado que las competencias y actuaciones de la Veeduría Distrital carecen de una fuerza vinculante que repercuta en decisiones de alto impacto en la administración pública y en la consecución de los fines esenciales del Estado, el desempeño de esta entidad se reduce a la realización de capacitaciones y actividades de carácter preventivo que son también adelantadas por dependencias internas de las entidades distritales. Esto queda demostrado en el informe de gestión del año 2021”.</w:t>
      </w:r>
    </w:p>
    <w:p w14:paraId="11C2884C" w14:textId="77777777" w:rsidR="00435392" w:rsidRPr="00E91BAD" w:rsidRDefault="00435392">
      <w:pPr>
        <w:pBdr>
          <w:top w:val="nil"/>
          <w:left w:val="nil"/>
          <w:bottom w:val="nil"/>
          <w:right w:val="nil"/>
          <w:between w:val="nil"/>
        </w:pBdr>
        <w:spacing w:after="0" w:line="240" w:lineRule="auto"/>
        <w:ind w:left="360"/>
        <w:jc w:val="both"/>
        <w:rPr>
          <w:color w:val="000000" w:themeColor="text1"/>
          <w:sz w:val="23"/>
          <w:szCs w:val="23"/>
        </w:rPr>
      </w:pPr>
    </w:p>
    <w:p w14:paraId="6EF376C4" w14:textId="77777777" w:rsidR="00435392" w:rsidRPr="00E91BAD" w:rsidRDefault="00D1567E">
      <w:pPr>
        <w:pBdr>
          <w:top w:val="nil"/>
          <w:left w:val="nil"/>
          <w:bottom w:val="nil"/>
          <w:right w:val="nil"/>
          <w:between w:val="nil"/>
        </w:pBdr>
        <w:spacing w:after="0" w:line="240" w:lineRule="auto"/>
        <w:ind w:left="360"/>
        <w:jc w:val="both"/>
        <w:rPr>
          <w:color w:val="000000" w:themeColor="text1"/>
          <w:sz w:val="23"/>
          <w:szCs w:val="23"/>
        </w:rPr>
      </w:pPr>
      <w:r w:rsidRPr="00E91BAD">
        <w:rPr>
          <w:color w:val="000000" w:themeColor="text1"/>
          <w:sz w:val="23"/>
          <w:szCs w:val="23"/>
        </w:rPr>
        <w:t>Se menciona a la Procuraduría General de la Nación, la Contraloría General de la República, la Defensoría del Pueblo, la Personería de Bogotá, la Contraloría Distrital y la Secretaría General de la Alcaldía Mayor de Bogotá, como entidades o dependencias con mayor capacidad jurídica para sancionar a los infractores, lo que hace presumir que la eliminación de la Veeduría Distrital no afectaría en ejercicio de control a la gestión pública en el distrito.</w:t>
      </w:r>
    </w:p>
    <w:p w14:paraId="0D202F06" w14:textId="77777777" w:rsidR="00435392" w:rsidRPr="00E91BAD" w:rsidRDefault="00435392">
      <w:pPr>
        <w:pBdr>
          <w:top w:val="nil"/>
          <w:left w:val="nil"/>
          <w:bottom w:val="nil"/>
          <w:right w:val="nil"/>
          <w:between w:val="nil"/>
        </w:pBdr>
        <w:spacing w:after="0" w:line="240" w:lineRule="auto"/>
        <w:ind w:left="360"/>
        <w:jc w:val="both"/>
        <w:rPr>
          <w:b/>
          <w:color w:val="000000" w:themeColor="text1"/>
        </w:rPr>
      </w:pPr>
    </w:p>
    <w:p w14:paraId="26B8A95C" w14:textId="4C3F720A" w:rsidR="00435392" w:rsidRPr="00E91BAD" w:rsidRDefault="00D1567E">
      <w:pPr>
        <w:pBdr>
          <w:top w:val="nil"/>
          <w:left w:val="nil"/>
          <w:bottom w:val="nil"/>
          <w:right w:val="nil"/>
          <w:between w:val="nil"/>
        </w:pBdr>
        <w:spacing w:after="0" w:line="240" w:lineRule="auto"/>
        <w:ind w:left="360"/>
        <w:jc w:val="both"/>
        <w:rPr>
          <w:b/>
          <w:color w:val="000000" w:themeColor="text1"/>
        </w:rPr>
      </w:pPr>
      <w:r w:rsidRPr="00E91BAD">
        <w:rPr>
          <w:b/>
          <w:color w:val="000000" w:themeColor="text1"/>
        </w:rPr>
        <w:lastRenderedPageBreak/>
        <w:t xml:space="preserve">Leído este primer argumento, analizamos desde </w:t>
      </w:r>
      <w:r w:rsidR="00E91BAD" w:rsidRPr="00E91BAD">
        <w:rPr>
          <w:b/>
          <w:color w:val="000000" w:themeColor="text1"/>
        </w:rPr>
        <w:t>el</w:t>
      </w:r>
      <w:r w:rsidRPr="00E91BAD">
        <w:rPr>
          <w:b/>
          <w:color w:val="000000" w:themeColor="text1"/>
        </w:rPr>
        <w:t xml:space="preserve"> Observatorio Ciudadano </w:t>
      </w:r>
      <w:r w:rsidR="00E91BAD" w:rsidRPr="00E91BAD">
        <w:rPr>
          <w:b/>
          <w:color w:val="000000" w:themeColor="text1"/>
        </w:rPr>
        <w:t>de Fontibón</w:t>
      </w:r>
      <w:r w:rsidRPr="00E91BAD">
        <w:rPr>
          <w:b/>
          <w:color w:val="000000" w:themeColor="text1"/>
        </w:rPr>
        <w:t xml:space="preserve"> que:</w:t>
      </w:r>
    </w:p>
    <w:p w14:paraId="15460065" w14:textId="77777777" w:rsidR="00435392" w:rsidRPr="00E91BAD" w:rsidRDefault="00D1567E">
      <w:pPr>
        <w:numPr>
          <w:ilvl w:val="0"/>
          <w:numId w:val="3"/>
        </w:numPr>
        <w:pBdr>
          <w:top w:val="nil"/>
          <w:left w:val="nil"/>
          <w:bottom w:val="nil"/>
          <w:right w:val="nil"/>
          <w:between w:val="nil"/>
        </w:pBdr>
        <w:spacing w:after="0" w:line="240" w:lineRule="auto"/>
        <w:jc w:val="both"/>
        <w:rPr>
          <w:i/>
          <w:color w:val="000000" w:themeColor="text1"/>
        </w:rPr>
      </w:pPr>
      <w:r w:rsidRPr="00E91BAD">
        <w:rPr>
          <w:b/>
          <w:i/>
          <w:color w:val="000000" w:themeColor="text1"/>
        </w:rPr>
        <w:t xml:space="preserve">No es duplicidad, sino complementariedad lo que analizamos en la labor de la Veeduría distrital. </w:t>
      </w:r>
      <w:r w:rsidRPr="00E91BAD">
        <w:rPr>
          <w:i/>
          <w:color w:val="000000" w:themeColor="text1"/>
        </w:rPr>
        <w:t>Vemos en</w:t>
      </w:r>
      <w:r w:rsidRPr="00E91BAD">
        <w:rPr>
          <w:b/>
          <w:i/>
          <w:color w:val="000000" w:themeColor="text1"/>
        </w:rPr>
        <w:t xml:space="preserve"> </w:t>
      </w:r>
      <w:r w:rsidRPr="00E91BAD">
        <w:rPr>
          <w:i/>
          <w:color w:val="000000" w:themeColor="text1"/>
        </w:rPr>
        <w:t xml:space="preserve">su actuar, que es la única que ha demostrado la fuerza vinculante para desarrollar reales competencias en la ciudadanía capitalina, articular procesos de control ciudadano; mantenerlos y acompañarlos, construyendo una base sólida en el control social bajo la norma ISO 18091 que provee a la ciudadanía de una metodología clara y de fácil implementación para el control social. </w:t>
      </w:r>
    </w:p>
    <w:p w14:paraId="3989F197" w14:textId="1B5AEBBB" w:rsidR="00435392" w:rsidRPr="00E91BAD" w:rsidRDefault="00D1567E">
      <w:pPr>
        <w:pBdr>
          <w:top w:val="nil"/>
          <w:left w:val="nil"/>
          <w:bottom w:val="nil"/>
          <w:right w:val="nil"/>
          <w:between w:val="nil"/>
        </w:pBdr>
        <w:spacing w:after="0" w:line="240" w:lineRule="auto"/>
        <w:ind w:left="720"/>
        <w:jc w:val="both"/>
        <w:rPr>
          <w:i/>
          <w:color w:val="000000" w:themeColor="text1"/>
        </w:rPr>
      </w:pPr>
      <w:r w:rsidRPr="00E91BAD">
        <w:rPr>
          <w:i/>
          <w:color w:val="000000" w:themeColor="text1"/>
        </w:rPr>
        <w:t>Los ciudadanos que estamos en contacto con otros entes de control como las Gerencias locales de la Contraloría de Bogotá, podemos ver la dificultad que tienen para desarrollar competencias ciudadanas en torno al control social. Estas no han podido dejar de percibir al ciudadano como un insumo para su labor, a cambio de fortalecerlo para que sea él mismo quien adelante los procesos de control a la gestión pública.</w:t>
      </w:r>
    </w:p>
    <w:p w14:paraId="7C0611F5" w14:textId="77777777" w:rsidR="00435392" w:rsidRPr="00E91BAD" w:rsidRDefault="00D1567E">
      <w:pPr>
        <w:numPr>
          <w:ilvl w:val="0"/>
          <w:numId w:val="3"/>
        </w:numPr>
        <w:pBdr>
          <w:top w:val="nil"/>
          <w:left w:val="nil"/>
          <w:bottom w:val="nil"/>
          <w:right w:val="nil"/>
          <w:between w:val="nil"/>
        </w:pBdr>
        <w:spacing w:after="0" w:line="240" w:lineRule="auto"/>
        <w:jc w:val="both"/>
        <w:rPr>
          <w:i/>
          <w:color w:val="000000" w:themeColor="text1"/>
        </w:rPr>
      </w:pPr>
      <w:r w:rsidRPr="00E91BAD">
        <w:rPr>
          <w:b/>
          <w:i/>
          <w:color w:val="000000" w:themeColor="text1"/>
        </w:rPr>
        <w:t>Como elementos diferenciales</w:t>
      </w:r>
      <w:r w:rsidRPr="00E91BAD">
        <w:rPr>
          <w:i/>
          <w:color w:val="000000" w:themeColor="text1"/>
        </w:rPr>
        <w:t xml:space="preserve"> de la Veeduría distrital distinguimos: </w:t>
      </w:r>
    </w:p>
    <w:p w14:paraId="0FEBD79F" w14:textId="6F366DBA" w:rsidR="00435392" w:rsidRPr="00E91BAD" w:rsidRDefault="00D1567E">
      <w:pPr>
        <w:numPr>
          <w:ilvl w:val="1"/>
          <w:numId w:val="3"/>
        </w:numPr>
        <w:pBdr>
          <w:top w:val="nil"/>
          <w:left w:val="nil"/>
          <w:bottom w:val="nil"/>
          <w:right w:val="nil"/>
          <w:between w:val="nil"/>
        </w:pBdr>
        <w:spacing w:after="0" w:line="240" w:lineRule="auto"/>
        <w:ind w:left="1062" w:hanging="353"/>
        <w:jc w:val="both"/>
        <w:rPr>
          <w:i/>
          <w:color w:val="000000" w:themeColor="text1"/>
        </w:rPr>
      </w:pPr>
      <w:r w:rsidRPr="00E91BAD">
        <w:rPr>
          <w:b/>
          <w:i/>
          <w:color w:val="000000" w:themeColor="text1"/>
        </w:rPr>
        <w:t xml:space="preserve">Apoyo a los Observatorios Ciudadanos Locales: </w:t>
      </w:r>
      <w:r w:rsidRPr="00E91BAD">
        <w:rPr>
          <w:i/>
          <w:color w:val="000000" w:themeColor="text1"/>
        </w:rPr>
        <w:t xml:space="preserve">El proyecto de ley no contempla la labor que desde la Veeduría Distrital se adelanta para desarrollar los 18 OCL. La labor del ente de control trasciende ampliamente lo expuesto en el texto del proyecto de ley, ya que ofrece además de capacitación y actividades de carácter preventivo herramientas y procedimientos para el carácter correctivo, ya que mediante la ISO 18091 se hace análisis de la gestión de vigencias anteriores, se emiten recomendaciones, se invita a la construcción de planes de mejora y se adelantan acciones complementarias (veedurías y auditorías ciudadanas, mesas de trabajo, </w:t>
      </w:r>
      <w:proofErr w:type="spellStart"/>
      <w:r w:rsidRPr="00E91BAD">
        <w:rPr>
          <w:i/>
          <w:color w:val="000000" w:themeColor="text1"/>
        </w:rPr>
        <w:t>etc</w:t>
      </w:r>
      <w:proofErr w:type="spellEnd"/>
      <w:r w:rsidRPr="00E91BAD">
        <w:rPr>
          <w:i/>
          <w:color w:val="000000" w:themeColor="text1"/>
        </w:rPr>
        <w:t xml:space="preserve">) desde la ciudadanía, con el acompañamiento del ente de control; algo que </w:t>
      </w:r>
      <w:r w:rsidR="00F9304E" w:rsidRPr="00E91BAD">
        <w:rPr>
          <w:i/>
          <w:color w:val="000000" w:themeColor="text1"/>
        </w:rPr>
        <w:t xml:space="preserve">de igual forma </w:t>
      </w:r>
      <w:r w:rsidRPr="00E91BAD">
        <w:rPr>
          <w:i/>
          <w:color w:val="000000" w:themeColor="text1"/>
        </w:rPr>
        <w:t xml:space="preserve">no sucede en el vínculo de la ciudadanía con otros entes de control. Estas acciones de facilitación a los OCL juegan a favor de la función de la Veeduría Distrital como “entidad de apoyo a la gestión de la administración distrital”. </w:t>
      </w:r>
    </w:p>
    <w:p w14:paraId="65BBACBA" w14:textId="200028C5" w:rsidR="00435392" w:rsidRPr="00E91BAD" w:rsidRDefault="00D1567E">
      <w:pPr>
        <w:numPr>
          <w:ilvl w:val="1"/>
          <w:numId w:val="3"/>
        </w:numPr>
        <w:pBdr>
          <w:top w:val="nil"/>
          <w:left w:val="nil"/>
          <w:bottom w:val="nil"/>
          <w:right w:val="nil"/>
          <w:between w:val="nil"/>
        </w:pBdr>
        <w:spacing w:after="0" w:line="240" w:lineRule="auto"/>
        <w:ind w:left="1062" w:hanging="353"/>
        <w:jc w:val="both"/>
        <w:rPr>
          <w:i/>
          <w:color w:val="000000" w:themeColor="text1"/>
        </w:rPr>
      </w:pPr>
      <w:r w:rsidRPr="00E91BAD">
        <w:rPr>
          <w:b/>
          <w:i/>
          <w:color w:val="000000" w:themeColor="text1"/>
        </w:rPr>
        <w:t>Complementariedad</w:t>
      </w:r>
      <w:r w:rsidR="007B6CFF" w:rsidRPr="00E91BAD">
        <w:rPr>
          <w:b/>
          <w:i/>
          <w:color w:val="000000" w:themeColor="text1"/>
        </w:rPr>
        <w:t xml:space="preserve"> efectiva</w:t>
      </w:r>
      <w:r w:rsidRPr="00E91BAD">
        <w:rPr>
          <w:b/>
          <w:i/>
          <w:color w:val="000000" w:themeColor="text1"/>
        </w:rPr>
        <w:t>:</w:t>
      </w:r>
      <w:r w:rsidRPr="00E91BAD">
        <w:rPr>
          <w:i/>
          <w:color w:val="000000" w:themeColor="text1"/>
        </w:rPr>
        <w:t xml:space="preserve"> Más allá de suponer una duplicidad de funciones, podemos verlo como complementariedad, porque cada entidad desde su modo particular se suma en la búsqueda de la transparencia en una ciudad que como Bogotá requiere de esfuerzos adicionales, debido al gran tamaño de la ciudad. El territorio de la C</w:t>
      </w:r>
      <w:r w:rsidR="00C10F7E" w:rsidRPr="00E91BAD">
        <w:rPr>
          <w:i/>
          <w:color w:val="000000" w:themeColor="text1"/>
        </w:rPr>
        <w:t>i</w:t>
      </w:r>
      <w:r w:rsidRPr="00E91BAD">
        <w:rPr>
          <w:i/>
          <w:color w:val="000000" w:themeColor="text1"/>
        </w:rPr>
        <w:t>udad es tan grande y diverso, que una entidad de control preventivo juega perfectamente en un campo relacional con los demás entes e iniciativas de control.</w:t>
      </w:r>
    </w:p>
    <w:p w14:paraId="6BDE3DB9" w14:textId="4128BE45" w:rsidR="00435392" w:rsidRPr="00E91BAD" w:rsidRDefault="00D1567E">
      <w:pPr>
        <w:pBdr>
          <w:top w:val="nil"/>
          <w:left w:val="nil"/>
          <w:bottom w:val="nil"/>
          <w:right w:val="nil"/>
          <w:between w:val="nil"/>
        </w:pBdr>
        <w:spacing w:after="0" w:line="240" w:lineRule="auto"/>
        <w:ind w:left="1062"/>
        <w:jc w:val="both"/>
        <w:rPr>
          <w:i/>
          <w:color w:val="000000" w:themeColor="text1"/>
        </w:rPr>
      </w:pPr>
      <w:r w:rsidRPr="00E91BAD">
        <w:rPr>
          <w:i/>
          <w:color w:val="000000" w:themeColor="text1"/>
        </w:rPr>
        <w:t xml:space="preserve">Pero hay que comprender la diferencia. Otras entidades de control mencionadas en el proyecto cumplen una función ex post facto correctiva de carácter sancionatorio, muy </w:t>
      </w:r>
      <w:r w:rsidR="00EE3561" w:rsidRPr="00E91BAD">
        <w:rPr>
          <w:i/>
          <w:color w:val="000000" w:themeColor="text1"/>
        </w:rPr>
        <w:t>diferente,</w:t>
      </w:r>
      <w:r w:rsidRPr="00E91BAD">
        <w:rPr>
          <w:i/>
          <w:color w:val="000000" w:themeColor="text1"/>
        </w:rPr>
        <w:t xml:space="preserve"> aunque complementaria con la función preventiva de la Veeduría Distrital.</w:t>
      </w:r>
    </w:p>
    <w:p w14:paraId="47F2E076" w14:textId="77777777" w:rsidR="00435392" w:rsidRPr="00E91BAD" w:rsidRDefault="00D1567E">
      <w:pPr>
        <w:numPr>
          <w:ilvl w:val="1"/>
          <w:numId w:val="3"/>
        </w:numPr>
        <w:pBdr>
          <w:top w:val="nil"/>
          <w:left w:val="nil"/>
          <w:bottom w:val="nil"/>
          <w:right w:val="nil"/>
          <w:between w:val="nil"/>
        </w:pBdr>
        <w:spacing w:after="0" w:line="240" w:lineRule="auto"/>
        <w:ind w:left="1062" w:hanging="353"/>
        <w:jc w:val="both"/>
        <w:rPr>
          <w:i/>
          <w:color w:val="000000" w:themeColor="text1"/>
        </w:rPr>
      </w:pPr>
      <w:r w:rsidRPr="00E91BAD">
        <w:rPr>
          <w:b/>
          <w:i/>
          <w:color w:val="000000" w:themeColor="text1"/>
        </w:rPr>
        <w:t xml:space="preserve">Innovación Pública: </w:t>
      </w:r>
      <w:r w:rsidRPr="00E91BAD">
        <w:rPr>
          <w:i/>
          <w:color w:val="000000" w:themeColor="text1"/>
        </w:rPr>
        <w:t>No se menciona en el proyecto de ley que además de “capacitaciones y actividades de carácter preventivo”, la Veeduría Distrital en un marco de innovación pública, ha desarrollado:</w:t>
      </w:r>
    </w:p>
    <w:p w14:paraId="4B99EB41" w14:textId="77777777" w:rsidR="00435392" w:rsidRPr="00E91BAD" w:rsidRDefault="00D1567E">
      <w:pPr>
        <w:numPr>
          <w:ilvl w:val="2"/>
          <w:numId w:val="3"/>
        </w:numPr>
        <w:pBdr>
          <w:top w:val="nil"/>
          <w:left w:val="nil"/>
          <w:bottom w:val="nil"/>
          <w:right w:val="nil"/>
          <w:between w:val="nil"/>
        </w:pBdr>
        <w:spacing w:after="0" w:line="240" w:lineRule="auto"/>
        <w:jc w:val="both"/>
        <w:rPr>
          <w:i/>
          <w:color w:val="000000" w:themeColor="text1"/>
        </w:rPr>
      </w:pPr>
      <w:r w:rsidRPr="00E91BAD">
        <w:rPr>
          <w:b/>
          <w:i/>
          <w:color w:val="000000" w:themeColor="text1"/>
        </w:rPr>
        <w:t>Plataforma Colibrí</w:t>
      </w:r>
    </w:p>
    <w:p w14:paraId="6AE2F507" w14:textId="77777777" w:rsidR="00435392" w:rsidRPr="00E91BAD" w:rsidRDefault="00D1567E">
      <w:pPr>
        <w:numPr>
          <w:ilvl w:val="2"/>
          <w:numId w:val="3"/>
        </w:numPr>
        <w:pBdr>
          <w:top w:val="nil"/>
          <w:left w:val="nil"/>
          <w:bottom w:val="nil"/>
          <w:right w:val="nil"/>
          <w:between w:val="nil"/>
        </w:pBdr>
        <w:spacing w:after="0" w:line="240" w:lineRule="auto"/>
        <w:jc w:val="both"/>
        <w:rPr>
          <w:i/>
          <w:color w:val="000000" w:themeColor="text1"/>
        </w:rPr>
      </w:pPr>
      <w:r w:rsidRPr="00E91BAD">
        <w:rPr>
          <w:b/>
          <w:i/>
          <w:color w:val="000000" w:themeColor="text1"/>
        </w:rPr>
        <w:t>Tablero de Control Ciudadano</w:t>
      </w:r>
    </w:p>
    <w:p w14:paraId="1FDEF446" w14:textId="77777777" w:rsidR="00435392" w:rsidRPr="00E91BAD" w:rsidRDefault="00D1567E">
      <w:pPr>
        <w:numPr>
          <w:ilvl w:val="2"/>
          <w:numId w:val="3"/>
        </w:numPr>
        <w:pBdr>
          <w:top w:val="nil"/>
          <w:left w:val="nil"/>
          <w:bottom w:val="nil"/>
          <w:right w:val="nil"/>
          <w:between w:val="nil"/>
        </w:pBdr>
        <w:spacing w:after="0" w:line="240" w:lineRule="auto"/>
        <w:jc w:val="both"/>
        <w:rPr>
          <w:i/>
          <w:color w:val="000000" w:themeColor="text1"/>
        </w:rPr>
      </w:pPr>
      <w:r w:rsidRPr="00E91BAD">
        <w:rPr>
          <w:b/>
          <w:i/>
          <w:color w:val="000000" w:themeColor="text1"/>
        </w:rPr>
        <w:t>Laboratorio de Innovación</w:t>
      </w:r>
    </w:p>
    <w:p w14:paraId="474DD61B" w14:textId="77777777" w:rsidR="00435392" w:rsidRPr="00E91BAD" w:rsidRDefault="00D1567E">
      <w:pPr>
        <w:numPr>
          <w:ilvl w:val="2"/>
          <w:numId w:val="3"/>
        </w:numPr>
        <w:pBdr>
          <w:top w:val="nil"/>
          <w:left w:val="nil"/>
          <w:bottom w:val="nil"/>
          <w:right w:val="nil"/>
          <w:between w:val="nil"/>
        </w:pBdr>
        <w:spacing w:after="0" w:line="240" w:lineRule="auto"/>
        <w:jc w:val="both"/>
        <w:rPr>
          <w:i/>
          <w:color w:val="000000" w:themeColor="text1"/>
        </w:rPr>
      </w:pPr>
      <w:r w:rsidRPr="00E91BAD">
        <w:rPr>
          <w:b/>
          <w:i/>
          <w:color w:val="000000" w:themeColor="text1"/>
        </w:rPr>
        <w:t>Índice Institucional de Participación Ciudadana</w:t>
      </w:r>
    </w:p>
    <w:p w14:paraId="101B97E3" w14:textId="77777777" w:rsidR="00435392" w:rsidRPr="00E91BAD" w:rsidRDefault="00D1567E">
      <w:pPr>
        <w:numPr>
          <w:ilvl w:val="2"/>
          <w:numId w:val="3"/>
        </w:numPr>
        <w:pBdr>
          <w:top w:val="nil"/>
          <w:left w:val="nil"/>
          <w:bottom w:val="nil"/>
          <w:right w:val="nil"/>
          <w:between w:val="nil"/>
        </w:pBdr>
        <w:spacing w:after="0" w:line="240" w:lineRule="auto"/>
        <w:jc w:val="both"/>
        <w:rPr>
          <w:i/>
          <w:color w:val="000000" w:themeColor="text1"/>
        </w:rPr>
      </w:pPr>
      <w:r w:rsidRPr="00E91BAD">
        <w:rPr>
          <w:b/>
          <w:i/>
          <w:color w:val="000000" w:themeColor="text1"/>
        </w:rPr>
        <w:t>Índice de Transparencia de Bogotá</w:t>
      </w:r>
      <w:r w:rsidRPr="00E91BAD">
        <w:rPr>
          <w:i/>
          <w:color w:val="000000" w:themeColor="text1"/>
        </w:rPr>
        <w:t xml:space="preserve"> </w:t>
      </w:r>
    </w:p>
    <w:p w14:paraId="0D9E9D49" w14:textId="77777777" w:rsidR="00435392" w:rsidRPr="00E91BAD" w:rsidRDefault="00D1567E" w:rsidP="00EE3561">
      <w:pPr>
        <w:pBdr>
          <w:top w:val="nil"/>
          <w:left w:val="nil"/>
          <w:bottom w:val="nil"/>
          <w:right w:val="nil"/>
          <w:between w:val="nil"/>
        </w:pBdr>
        <w:spacing w:after="0" w:line="240" w:lineRule="auto"/>
        <w:ind w:left="1062"/>
        <w:jc w:val="both"/>
        <w:rPr>
          <w:i/>
          <w:color w:val="000000" w:themeColor="text1"/>
        </w:rPr>
      </w:pPr>
      <w:r w:rsidRPr="00E91BAD">
        <w:rPr>
          <w:i/>
          <w:color w:val="000000" w:themeColor="text1"/>
        </w:rPr>
        <w:lastRenderedPageBreak/>
        <w:t>Estas herramientas contribuyen efectivamente en la mejora del desempeño de entidades y funcionarios públicos, como lo hemos podido vivenciar desde los Observatorios Ciudadanos.</w:t>
      </w:r>
    </w:p>
    <w:p w14:paraId="1904A761" w14:textId="4357BA44" w:rsidR="00435392" w:rsidRPr="00E91BAD" w:rsidRDefault="00D1567E">
      <w:pPr>
        <w:numPr>
          <w:ilvl w:val="1"/>
          <w:numId w:val="3"/>
        </w:numPr>
        <w:pBdr>
          <w:top w:val="nil"/>
          <w:left w:val="nil"/>
          <w:bottom w:val="nil"/>
          <w:right w:val="nil"/>
          <w:between w:val="nil"/>
        </w:pBdr>
        <w:spacing w:after="0" w:line="240" w:lineRule="auto"/>
        <w:ind w:left="1062" w:hanging="353"/>
        <w:jc w:val="both"/>
        <w:rPr>
          <w:bCs/>
          <w:i/>
          <w:color w:val="000000" w:themeColor="text1"/>
        </w:rPr>
      </w:pPr>
      <w:r w:rsidRPr="00E91BAD">
        <w:rPr>
          <w:b/>
          <w:i/>
          <w:color w:val="000000" w:themeColor="text1"/>
        </w:rPr>
        <w:t xml:space="preserve">Observatorios Ciudadanos Locales: </w:t>
      </w:r>
      <w:r w:rsidRPr="00E91BAD">
        <w:rPr>
          <w:bCs/>
          <w:i/>
          <w:color w:val="000000" w:themeColor="text1"/>
        </w:rPr>
        <w:t>No se encuentra en la ciudad otro ejercicio con la cobertura y la capacidad de los OCL, que sea capaz de mantenerse a través de más de una década, impactando positivamente la sociedad y contribuy</w:t>
      </w:r>
      <w:r w:rsidR="00C10F7E" w:rsidRPr="00E91BAD">
        <w:rPr>
          <w:bCs/>
          <w:i/>
          <w:color w:val="000000" w:themeColor="text1"/>
        </w:rPr>
        <w:t>endo</w:t>
      </w:r>
      <w:r w:rsidRPr="00E91BAD">
        <w:rPr>
          <w:bCs/>
          <w:i/>
          <w:color w:val="000000" w:themeColor="text1"/>
        </w:rPr>
        <w:t xml:space="preserve"> al aseguramiento de unos mínimos de calidad en la </w:t>
      </w:r>
      <w:r w:rsidR="00E27D67" w:rsidRPr="00E91BAD">
        <w:rPr>
          <w:bCs/>
          <w:i/>
          <w:color w:val="000000" w:themeColor="text1"/>
        </w:rPr>
        <w:t xml:space="preserve">gestión de gobierno tras la </w:t>
      </w:r>
      <w:r w:rsidRPr="00E91BAD">
        <w:rPr>
          <w:bCs/>
          <w:i/>
          <w:color w:val="000000" w:themeColor="text1"/>
        </w:rPr>
        <w:t xml:space="preserve">implementación de las políticas públicas. </w:t>
      </w:r>
      <w:r w:rsidR="00EE3561" w:rsidRPr="00E91BAD">
        <w:rPr>
          <w:bCs/>
          <w:i/>
          <w:color w:val="000000" w:themeColor="text1"/>
        </w:rPr>
        <w:t>Debería reconocerse este logro a una</w:t>
      </w:r>
      <w:r w:rsidRPr="00E91BAD">
        <w:rPr>
          <w:bCs/>
          <w:i/>
          <w:color w:val="000000" w:themeColor="text1"/>
        </w:rPr>
        <w:t xml:space="preserve"> Veeduría Distrital </w:t>
      </w:r>
      <w:r w:rsidR="00EE3561" w:rsidRPr="00E91BAD">
        <w:rPr>
          <w:bCs/>
          <w:i/>
          <w:color w:val="000000" w:themeColor="text1"/>
        </w:rPr>
        <w:t>que ha sido dete</w:t>
      </w:r>
      <w:r w:rsidRPr="00E91BAD">
        <w:rPr>
          <w:bCs/>
          <w:i/>
          <w:color w:val="000000" w:themeColor="text1"/>
        </w:rPr>
        <w:t xml:space="preserve">rminante para el éxito de </w:t>
      </w:r>
      <w:r w:rsidR="00EE3561" w:rsidRPr="00E91BAD">
        <w:rPr>
          <w:bCs/>
          <w:i/>
          <w:color w:val="000000" w:themeColor="text1"/>
        </w:rPr>
        <w:t>l</w:t>
      </w:r>
      <w:r w:rsidRPr="00E91BAD">
        <w:rPr>
          <w:bCs/>
          <w:i/>
          <w:color w:val="000000" w:themeColor="text1"/>
        </w:rPr>
        <w:t>a iniciativa, debido entre otras cosas a que aún no se desarrolla en el gobierno una cultura de diálogo directo con la ciudadanía</w:t>
      </w:r>
      <w:r w:rsidR="00EE3561" w:rsidRPr="00E91BAD">
        <w:rPr>
          <w:bCs/>
          <w:i/>
          <w:color w:val="000000" w:themeColor="text1"/>
        </w:rPr>
        <w:t xml:space="preserve"> y la mediación permanente de la Veeduría resulta indispensable</w:t>
      </w:r>
      <w:r w:rsidRPr="00E91BAD">
        <w:rPr>
          <w:bCs/>
          <w:i/>
          <w:color w:val="000000" w:themeColor="text1"/>
        </w:rPr>
        <w:t xml:space="preserve"> para el éxito de </w:t>
      </w:r>
      <w:r w:rsidR="00EE3561" w:rsidRPr="00E91BAD">
        <w:rPr>
          <w:bCs/>
          <w:i/>
          <w:color w:val="000000" w:themeColor="text1"/>
        </w:rPr>
        <w:t>este y otros</w:t>
      </w:r>
      <w:r w:rsidRPr="00E91BAD">
        <w:rPr>
          <w:bCs/>
          <w:i/>
          <w:color w:val="000000" w:themeColor="text1"/>
        </w:rPr>
        <w:t xml:space="preserve"> ejercicios de control social. Es posible que desde el senado se pueda tener una visión diferente, por lo que nos atrevemos a poner sobre la mesa nuestra percepción desde el terreno de la práctica ciudadana del control.</w:t>
      </w:r>
    </w:p>
    <w:p w14:paraId="2CD89E4A" w14:textId="35ACEE53" w:rsidR="00435392" w:rsidRPr="00E91BAD" w:rsidRDefault="00D1567E">
      <w:pPr>
        <w:numPr>
          <w:ilvl w:val="1"/>
          <w:numId w:val="3"/>
        </w:numPr>
        <w:pBdr>
          <w:top w:val="nil"/>
          <w:left w:val="nil"/>
          <w:bottom w:val="nil"/>
          <w:right w:val="nil"/>
          <w:between w:val="nil"/>
        </w:pBdr>
        <w:spacing w:after="0" w:line="240" w:lineRule="auto"/>
        <w:ind w:left="1062" w:hanging="353"/>
        <w:jc w:val="both"/>
        <w:rPr>
          <w:i/>
          <w:color w:val="000000" w:themeColor="text1"/>
        </w:rPr>
      </w:pPr>
      <w:r w:rsidRPr="00E91BAD">
        <w:rPr>
          <w:i/>
          <w:color w:val="000000" w:themeColor="text1"/>
        </w:rPr>
        <w:t>Aborda la Veeduría Distrital su tarea de construir un ambiente de confianza desde distintos nodos de un gran campo relacional que es la sociedad.  Un primer nodo es la ciudadanía, a quien prepara y provee de herramientas para hacer un control social de calidad. Un segundo está en la preparación que se le da al funcionario público para que</w:t>
      </w:r>
      <w:r w:rsidR="00461631" w:rsidRPr="00E91BAD">
        <w:rPr>
          <w:i/>
          <w:color w:val="000000" w:themeColor="text1"/>
        </w:rPr>
        <w:t>,</w:t>
      </w:r>
      <w:r w:rsidRPr="00E91BAD">
        <w:rPr>
          <w:i/>
          <w:color w:val="000000" w:themeColor="text1"/>
        </w:rPr>
        <w:t xml:space="preserve"> desde su labor particular, se</w:t>
      </w:r>
      <w:r w:rsidR="00D6263C" w:rsidRPr="00E91BAD">
        <w:rPr>
          <w:i/>
          <w:color w:val="000000" w:themeColor="text1"/>
        </w:rPr>
        <w:t xml:space="preserve"> transforme en un </w:t>
      </w:r>
      <w:r w:rsidRPr="00E91BAD">
        <w:rPr>
          <w:i/>
          <w:color w:val="000000" w:themeColor="text1"/>
        </w:rPr>
        <w:t>adalid de la mitigación del riesgo de corrupción</w:t>
      </w:r>
      <w:r w:rsidR="00C44D32" w:rsidRPr="00E91BAD">
        <w:rPr>
          <w:i/>
          <w:color w:val="000000" w:themeColor="text1"/>
        </w:rPr>
        <w:t xml:space="preserve"> e impulse buenas prácticas</w:t>
      </w:r>
      <w:r w:rsidRPr="00E91BAD">
        <w:rPr>
          <w:i/>
          <w:color w:val="000000" w:themeColor="text1"/>
        </w:rPr>
        <w:t>. Un tercer nodo opera a nivel de entidades, a las que mantiene vigiladas y promueve hacia mejores ejercicios de transparencia en su gestión.</w:t>
      </w:r>
    </w:p>
    <w:p w14:paraId="0D3D5560" w14:textId="77777777" w:rsidR="00435392" w:rsidRPr="00E91BAD" w:rsidRDefault="00435392">
      <w:pPr>
        <w:pBdr>
          <w:top w:val="nil"/>
          <w:left w:val="nil"/>
          <w:bottom w:val="nil"/>
          <w:right w:val="nil"/>
          <w:between w:val="nil"/>
        </w:pBdr>
        <w:spacing w:after="0" w:line="240" w:lineRule="auto"/>
        <w:jc w:val="both"/>
        <w:rPr>
          <w:b/>
          <w:color w:val="000000" w:themeColor="text1"/>
        </w:rPr>
      </w:pPr>
    </w:p>
    <w:p w14:paraId="05010B36" w14:textId="77777777" w:rsidR="00435392" w:rsidRPr="00E91BAD" w:rsidRDefault="00D1567E">
      <w:pPr>
        <w:numPr>
          <w:ilvl w:val="0"/>
          <w:numId w:val="2"/>
        </w:numPr>
        <w:pBdr>
          <w:top w:val="nil"/>
          <w:left w:val="nil"/>
          <w:bottom w:val="nil"/>
          <w:right w:val="nil"/>
          <w:between w:val="nil"/>
        </w:pBdr>
        <w:spacing w:after="0" w:line="240" w:lineRule="auto"/>
        <w:jc w:val="both"/>
        <w:rPr>
          <w:color w:val="000000" w:themeColor="text1"/>
        </w:rPr>
      </w:pPr>
      <w:r w:rsidRPr="00E91BAD">
        <w:rPr>
          <w:b/>
          <w:color w:val="000000" w:themeColor="text1"/>
        </w:rPr>
        <w:t>EL MODELO INTEGRADO DE PLANEACIÓN Y GESTIÓN – MIPG, SUPRIME LA COMPETENCIA DE LA VEEDURÍA DISTRITAL</w:t>
      </w:r>
    </w:p>
    <w:p w14:paraId="1417C719" w14:textId="77777777" w:rsidR="00435392" w:rsidRPr="00E91BAD" w:rsidRDefault="00D1567E">
      <w:pPr>
        <w:pBdr>
          <w:top w:val="nil"/>
          <w:left w:val="nil"/>
          <w:bottom w:val="nil"/>
          <w:right w:val="nil"/>
          <w:between w:val="nil"/>
        </w:pBdr>
        <w:spacing w:after="0" w:line="240" w:lineRule="auto"/>
        <w:ind w:left="360"/>
        <w:jc w:val="both"/>
        <w:rPr>
          <w:color w:val="000000" w:themeColor="text1"/>
        </w:rPr>
      </w:pPr>
      <w:r w:rsidRPr="00E91BAD">
        <w:rPr>
          <w:color w:val="000000" w:themeColor="text1"/>
        </w:rPr>
        <w:t>El proyecto de ley aduce que en 1993 cuando fue creada la Veeduría, no existía un modelo o sistema de gestión integrado, y todo indica que a partir de 2003, al existir ese modelo, de una u otra forma suprime la competencia de la Veeduría.</w:t>
      </w:r>
    </w:p>
    <w:p w14:paraId="6F3DD190" w14:textId="77777777" w:rsidR="00435392" w:rsidRPr="00E91BAD" w:rsidRDefault="00435392">
      <w:pPr>
        <w:pBdr>
          <w:top w:val="nil"/>
          <w:left w:val="nil"/>
          <w:bottom w:val="nil"/>
          <w:right w:val="nil"/>
          <w:between w:val="nil"/>
        </w:pBdr>
        <w:spacing w:after="0" w:line="240" w:lineRule="auto"/>
        <w:ind w:left="360"/>
        <w:jc w:val="both"/>
        <w:rPr>
          <w:color w:val="000000" w:themeColor="text1"/>
        </w:rPr>
      </w:pPr>
    </w:p>
    <w:p w14:paraId="336E9C37" w14:textId="1713AFBD" w:rsidR="00E91BAD" w:rsidRPr="00E91BAD" w:rsidRDefault="00E91BAD" w:rsidP="00E91BAD">
      <w:pPr>
        <w:pBdr>
          <w:top w:val="nil"/>
          <w:left w:val="nil"/>
          <w:bottom w:val="nil"/>
          <w:right w:val="nil"/>
          <w:between w:val="nil"/>
        </w:pBdr>
        <w:spacing w:after="0" w:line="240" w:lineRule="auto"/>
        <w:ind w:left="360"/>
        <w:jc w:val="both"/>
        <w:rPr>
          <w:b/>
          <w:color w:val="000000" w:themeColor="text1"/>
        </w:rPr>
      </w:pPr>
      <w:r w:rsidRPr="00E91BAD">
        <w:rPr>
          <w:b/>
          <w:color w:val="000000" w:themeColor="text1"/>
        </w:rPr>
        <w:t>Leído este segundo argumento, analizamos desde el Observatorio Ciudadano de Fontibón que:</w:t>
      </w:r>
    </w:p>
    <w:p w14:paraId="7E626608" w14:textId="7014534B" w:rsidR="00435392" w:rsidRPr="00E91BAD" w:rsidRDefault="00D1567E">
      <w:pPr>
        <w:numPr>
          <w:ilvl w:val="0"/>
          <w:numId w:val="1"/>
        </w:numPr>
        <w:spacing w:after="0" w:line="240" w:lineRule="auto"/>
        <w:jc w:val="both"/>
        <w:rPr>
          <w:i/>
          <w:color w:val="000000" w:themeColor="text1"/>
        </w:rPr>
      </w:pPr>
      <w:r w:rsidRPr="00E91BAD">
        <w:rPr>
          <w:i/>
          <w:color w:val="000000" w:themeColor="text1"/>
        </w:rPr>
        <w:t>No encontramos dualidad excluyente entre el MIPG y las funciones de</w:t>
      </w:r>
      <w:r w:rsidR="005859E2" w:rsidRPr="00E91BAD">
        <w:rPr>
          <w:i/>
          <w:color w:val="000000" w:themeColor="text1"/>
        </w:rPr>
        <w:t xml:space="preserve"> </w:t>
      </w:r>
      <w:r w:rsidRPr="00E91BAD">
        <w:rPr>
          <w:i/>
          <w:color w:val="000000" w:themeColor="text1"/>
        </w:rPr>
        <w:t>l</w:t>
      </w:r>
      <w:r w:rsidR="005859E2" w:rsidRPr="00E91BAD">
        <w:rPr>
          <w:i/>
          <w:color w:val="000000" w:themeColor="text1"/>
        </w:rPr>
        <w:t>a Veeduría Distrital</w:t>
      </w:r>
      <w:r w:rsidRPr="00E91BAD">
        <w:rPr>
          <w:i/>
          <w:color w:val="000000" w:themeColor="text1"/>
        </w:rPr>
        <w:t>.</w:t>
      </w:r>
    </w:p>
    <w:p w14:paraId="1FF12D68" w14:textId="306175B0" w:rsidR="00435392" w:rsidRPr="00E91BAD" w:rsidRDefault="00D1567E">
      <w:pPr>
        <w:numPr>
          <w:ilvl w:val="0"/>
          <w:numId w:val="1"/>
        </w:numPr>
        <w:spacing w:after="0" w:line="240" w:lineRule="auto"/>
        <w:jc w:val="both"/>
        <w:rPr>
          <w:b/>
          <w:i/>
          <w:color w:val="000000" w:themeColor="text1"/>
        </w:rPr>
      </w:pPr>
      <w:r w:rsidRPr="00E91BAD">
        <w:rPr>
          <w:b/>
          <w:i/>
          <w:color w:val="000000" w:themeColor="text1"/>
        </w:rPr>
        <w:t xml:space="preserve">Hay que hacer especial comprensión </w:t>
      </w:r>
      <w:r w:rsidR="006863C6" w:rsidRPr="00E91BAD">
        <w:rPr>
          <w:b/>
          <w:i/>
          <w:color w:val="000000" w:themeColor="text1"/>
        </w:rPr>
        <w:t xml:space="preserve">en </w:t>
      </w:r>
      <w:r w:rsidRPr="00E91BAD">
        <w:rPr>
          <w:b/>
          <w:i/>
          <w:color w:val="000000" w:themeColor="text1"/>
        </w:rPr>
        <w:t xml:space="preserve">el </w:t>
      </w:r>
      <w:r w:rsidRPr="00E91BAD">
        <w:rPr>
          <w:b/>
          <w:i/>
          <w:color w:val="000000" w:themeColor="text1"/>
          <w:u w:val="single"/>
        </w:rPr>
        <w:t>carácter preventivo</w:t>
      </w:r>
      <w:r w:rsidRPr="00E91BAD">
        <w:rPr>
          <w:b/>
          <w:i/>
          <w:color w:val="000000" w:themeColor="text1"/>
        </w:rPr>
        <w:t xml:space="preserve"> del control que se aplica desde la Veeduría Distrital y de la gran diferencia que hace en la gestión pública la mitigación del riesgo de corrupción.</w:t>
      </w:r>
    </w:p>
    <w:p w14:paraId="0267A2DC" w14:textId="04037C83" w:rsidR="00435392" w:rsidRPr="00E91BAD" w:rsidRDefault="00D1567E">
      <w:pPr>
        <w:numPr>
          <w:ilvl w:val="0"/>
          <w:numId w:val="1"/>
        </w:numPr>
        <w:spacing w:after="0" w:line="240" w:lineRule="auto"/>
        <w:jc w:val="both"/>
        <w:rPr>
          <w:i/>
          <w:color w:val="000000" w:themeColor="text1"/>
        </w:rPr>
      </w:pPr>
      <w:r w:rsidRPr="00E91BAD">
        <w:rPr>
          <w:i/>
          <w:color w:val="000000" w:themeColor="text1"/>
        </w:rPr>
        <w:t>Las evidencias de mala gestión pública</w:t>
      </w:r>
      <w:r w:rsidR="007F697B" w:rsidRPr="00E91BAD">
        <w:rPr>
          <w:i/>
          <w:color w:val="000000" w:themeColor="text1"/>
        </w:rPr>
        <w:t xml:space="preserve"> (a pesar del MIPG)</w:t>
      </w:r>
      <w:r w:rsidRPr="00E91BAD">
        <w:rPr>
          <w:i/>
          <w:color w:val="000000" w:themeColor="text1"/>
        </w:rPr>
        <w:t xml:space="preserve"> juegan a favor de mantener y fortalecer el ente de control que propende por la mitigación del riesgo de corrupción.</w:t>
      </w:r>
    </w:p>
    <w:p w14:paraId="5CDF8E9D" w14:textId="77777777" w:rsidR="00435392" w:rsidRPr="00E91BAD" w:rsidRDefault="00D1567E">
      <w:pPr>
        <w:numPr>
          <w:ilvl w:val="0"/>
          <w:numId w:val="1"/>
        </w:numPr>
        <w:spacing w:after="0" w:line="240" w:lineRule="auto"/>
        <w:jc w:val="both"/>
        <w:rPr>
          <w:i/>
          <w:color w:val="000000" w:themeColor="text1"/>
        </w:rPr>
      </w:pPr>
      <w:r w:rsidRPr="00E91BAD">
        <w:rPr>
          <w:i/>
          <w:color w:val="000000" w:themeColor="text1"/>
        </w:rPr>
        <w:t>El MIPG por sí solo, no asegura la buena gestión, lo que hace más que pertinente el fortalecimiento del órgano de control preventivo que asegure su correcta implementación y fortalezca al funcionario público para convertirlo en actor primigenio.</w:t>
      </w:r>
    </w:p>
    <w:p w14:paraId="076EFBD3" w14:textId="77777777" w:rsidR="00435392" w:rsidRPr="00E91BAD" w:rsidRDefault="00D1567E">
      <w:pPr>
        <w:numPr>
          <w:ilvl w:val="0"/>
          <w:numId w:val="1"/>
        </w:numPr>
        <w:spacing w:after="0" w:line="240" w:lineRule="auto"/>
        <w:jc w:val="both"/>
        <w:rPr>
          <w:i/>
          <w:color w:val="000000" w:themeColor="text1"/>
        </w:rPr>
      </w:pPr>
      <w:r w:rsidRPr="00E91BAD">
        <w:rPr>
          <w:i/>
          <w:color w:val="000000" w:themeColor="text1"/>
        </w:rPr>
        <w:t>La Veeduría Distrital, se convierte así en un motor que alimenta el MIPG, jugando a favor de una buena gestión pública.</w:t>
      </w:r>
    </w:p>
    <w:p w14:paraId="47BF8F84" w14:textId="77777777" w:rsidR="00435392" w:rsidRPr="00E91BAD" w:rsidRDefault="00435392">
      <w:pPr>
        <w:pBdr>
          <w:top w:val="nil"/>
          <w:left w:val="nil"/>
          <w:bottom w:val="nil"/>
          <w:right w:val="nil"/>
          <w:between w:val="nil"/>
        </w:pBdr>
        <w:spacing w:after="0" w:line="240" w:lineRule="auto"/>
        <w:ind w:left="360"/>
        <w:jc w:val="both"/>
        <w:rPr>
          <w:color w:val="000000" w:themeColor="text1"/>
        </w:rPr>
      </w:pPr>
    </w:p>
    <w:p w14:paraId="1AFDBB1F" w14:textId="77777777" w:rsidR="00391282" w:rsidRDefault="00391282">
      <w:pPr>
        <w:rPr>
          <w:b/>
          <w:color w:val="000000" w:themeColor="text1"/>
        </w:rPr>
      </w:pPr>
      <w:r>
        <w:rPr>
          <w:b/>
          <w:color w:val="000000" w:themeColor="text1"/>
        </w:rPr>
        <w:br w:type="page"/>
      </w:r>
    </w:p>
    <w:p w14:paraId="1AF187D5" w14:textId="6D8ED13B" w:rsidR="00435392" w:rsidRPr="00E91BAD" w:rsidRDefault="00D1567E">
      <w:pPr>
        <w:numPr>
          <w:ilvl w:val="0"/>
          <w:numId w:val="2"/>
        </w:numPr>
        <w:pBdr>
          <w:top w:val="nil"/>
          <w:left w:val="nil"/>
          <w:bottom w:val="nil"/>
          <w:right w:val="nil"/>
          <w:between w:val="nil"/>
        </w:pBdr>
        <w:spacing w:after="0" w:line="240" w:lineRule="auto"/>
        <w:jc w:val="both"/>
        <w:rPr>
          <w:color w:val="000000" w:themeColor="text1"/>
        </w:rPr>
      </w:pPr>
      <w:r w:rsidRPr="00E91BAD">
        <w:rPr>
          <w:b/>
          <w:color w:val="000000" w:themeColor="text1"/>
        </w:rPr>
        <w:lastRenderedPageBreak/>
        <w:t>EJERCICIOS CIUDADANOS SIN LA VEEDURÍA DISTRITAL</w:t>
      </w:r>
    </w:p>
    <w:p w14:paraId="3EF4B7CB" w14:textId="77777777" w:rsidR="00435392" w:rsidRPr="00E91BAD" w:rsidRDefault="00D1567E">
      <w:pPr>
        <w:pBdr>
          <w:top w:val="nil"/>
          <w:left w:val="nil"/>
          <w:bottom w:val="nil"/>
          <w:right w:val="nil"/>
          <w:between w:val="nil"/>
        </w:pBdr>
        <w:spacing w:after="0" w:line="240" w:lineRule="auto"/>
        <w:ind w:left="360"/>
        <w:jc w:val="both"/>
        <w:rPr>
          <w:color w:val="000000" w:themeColor="text1"/>
        </w:rPr>
      </w:pPr>
      <w:r w:rsidRPr="00E91BAD">
        <w:rPr>
          <w:color w:val="000000" w:themeColor="text1"/>
        </w:rPr>
        <w:t>El proyecto de ley aduce que las competencias de representar al ciudadano, se contraponen con las normas que dicen que con o sin Veeduría Distrital, los ciudadanos pueden hacer el ejercicio, individual o colectivamente.</w:t>
      </w:r>
    </w:p>
    <w:p w14:paraId="4D3BB02D" w14:textId="77777777" w:rsidR="00435392" w:rsidRPr="00E91BAD" w:rsidRDefault="00435392">
      <w:pPr>
        <w:pBdr>
          <w:top w:val="nil"/>
          <w:left w:val="nil"/>
          <w:bottom w:val="nil"/>
          <w:right w:val="nil"/>
          <w:between w:val="nil"/>
        </w:pBdr>
        <w:spacing w:after="0" w:line="240" w:lineRule="auto"/>
        <w:ind w:left="360"/>
        <w:jc w:val="both"/>
        <w:rPr>
          <w:color w:val="000000" w:themeColor="text1"/>
        </w:rPr>
      </w:pPr>
    </w:p>
    <w:p w14:paraId="4C9D69A7" w14:textId="60FBB730" w:rsidR="00E91BAD" w:rsidRPr="00E91BAD" w:rsidRDefault="00E91BAD" w:rsidP="00E91BAD">
      <w:pPr>
        <w:pBdr>
          <w:top w:val="nil"/>
          <w:left w:val="nil"/>
          <w:bottom w:val="nil"/>
          <w:right w:val="nil"/>
          <w:between w:val="nil"/>
        </w:pBdr>
        <w:spacing w:after="0" w:line="240" w:lineRule="auto"/>
        <w:ind w:left="360"/>
        <w:jc w:val="both"/>
        <w:rPr>
          <w:b/>
          <w:color w:val="000000" w:themeColor="text1"/>
        </w:rPr>
      </w:pPr>
      <w:r w:rsidRPr="00E91BAD">
        <w:rPr>
          <w:b/>
          <w:color w:val="000000" w:themeColor="text1"/>
        </w:rPr>
        <w:t>Leído este tercer argumento, analizamos desde el Observatorio Ciudadano de Fontibón que:</w:t>
      </w:r>
    </w:p>
    <w:p w14:paraId="5E9AEA97" w14:textId="77777777" w:rsidR="00435392" w:rsidRPr="00E91BAD" w:rsidRDefault="00D1567E" w:rsidP="00720594">
      <w:pPr>
        <w:numPr>
          <w:ilvl w:val="0"/>
          <w:numId w:val="1"/>
        </w:numPr>
        <w:spacing w:after="0" w:line="240" w:lineRule="auto"/>
        <w:jc w:val="both"/>
        <w:rPr>
          <w:i/>
          <w:color w:val="000000" w:themeColor="text1"/>
        </w:rPr>
      </w:pPr>
      <w:r w:rsidRPr="00E91BAD">
        <w:rPr>
          <w:i/>
          <w:color w:val="000000" w:themeColor="text1"/>
        </w:rPr>
        <w:t>En una realidad matizada de colores y perspectivas, la Veeduría Distrital y las normas que favorecen la participación ciudadana, no son excluyentes.</w:t>
      </w:r>
    </w:p>
    <w:p w14:paraId="7826921F" w14:textId="32654F48" w:rsidR="00435392" w:rsidRPr="00E91BAD" w:rsidRDefault="00D1567E" w:rsidP="00720594">
      <w:pPr>
        <w:numPr>
          <w:ilvl w:val="0"/>
          <w:numId w:val="1"/>
        </w:numPr>
        <w:spacing w:after="0" w:line="240" w:lineRule="auto"/>
        <w:jc w:val="both"/>
        <w:rPr>
          <w:i/>
          <w:color w:val="000000" w:themeColor="text1"/>
        </w:rPr>
      </w:pPr>
      <w:r w:rsidRPr="00E91BAD">
        <w:rPr>
          <w:i/>
          <w:color w:val="000000" w:themeColor="text1"/>
        </w:rPr>
        <w:t>La veeduría se presenta como un ente de control que complementa y facilita la labor del ciudadano que encuentra en la labor del ente de control facilidades para acceder a diversos escenarios que</w:t>
      </w:r>
      <w:r w:rsidR="00413379" w:rsidRPr="00E91BAD">
        <w:rPr>
          <w:i/>
          <w:color w:val="000000" w:themeColor="text1"/>
        </w:rPr>
        <w:t>,</w:t>
      </w:r>
      <w:r w:rsidRPr="00E91BAD">
        <w:rPr>
          <w:i/>
          <w:color w:val="000000" w:themeColor="text1"/>
        </w:rPr>
        <w:t xml:space="preserve"> de otra forma le estarían vetados.</w:t>
      </w:r>
    </w:p>
    <w:p w14:paraId="2CD20F80" w14:textId="77777777" w:rsidR="007B69B6" w:rsidRPr="00E91BAD" w:rsidRDefault="00D1567E" w:rsidP="00720594">
      <w:pPr>
        <w:numPr>
          <w:ilvl w:val="0"/>
          <w:numId w:val="1"/>
        </w:numPr>
        <w:spacing w:after="0" w:line="240" w:lineRule="auto"/>
        <w:jc w:val="both"/>
        <w:rPr>
          <w:i/>
          <w:color w:val="000000" w:themeColor="text1"/>
        </w:rPr>
      </w:pPr>
      <w:r w:rsidRPr="00E91BAD">
        <w:rPr>
          <w:i/>
          <w:color w:val="000000" w:themeColor="text1"/>
        </w:rPr>
        <w:t xml:space="preserve">Vale la pena darle un vistazo a los logros de los OCL para entender que la Veeduría distrital ha superado en su apoyo a ejercicios ciudadanos a las demás entidades de control, al ofrecer un ambiente soportado en la ISO 18091 que cualifica el control social ciudadano, haciéndolo más ordenado y preciso; y ofreciendo escenarios de diálogo permanente entre la ciudadanía y el gobierno. Si algo como esto hubiese existido antes de la Veeduría Distrital, de seguro muchos ciudadanos se habrían acogido. </w:t>
      </w:r>
    </w:p>
    <w:p w14:paraId="7AC0A558" w14:textId="39EF4FB8" w:rsidR="00435392" w:rsidRPr="00E91BAD" w:rsidRDefault="00D1567E" w:rsidP="007B69B6">
      <w:pPr>
        <w:spacing w:after="0" w:line="240" w:lineRule="auto"/>
        <w:ind w:left="720"/>
        <w:jc w:val="both"/>
        <w:rPr>
          <w:i/>
          <w:color w:val="000000" w:themeColor="text1"/>
        </w:rPr>
      </w:pPr>
      <w:r w:rsidRPr="00E91BAD">
        <w:rPr>
          <w:b/>
          <w:bCs/>
          <w:i/>
          <w:color w:val="000000" w:themeColor="text1"/>
        </w:rPr>
        <w:t>Esta estrategia de la Veeduría Distrital ha cambiado por siempre la forma en que desde la ciudadanía se vigila lo público.</w:t>
      </w:r>
    </w:p>
    <w:p w14:paraId="4B942B5C" w14:textId="77777777" w:rsidR="00435392" w:rsidRPr="00E91BAD" w:rsidRDefault="00435392">
      <w:pPr>
        <w:spacing w:after="0" w:line="240" w:lineRule="auto"/>
        <w:jc w:val="both"/>
        <w:rPr>
          <w:i/>
          <w:color w:val="000000" w:themeColor="text1"/>
        </w:rPr>
      </w:pPr>
    </w:p>
    <w:p w14:paraId="0E505525" w14:textId="77777777" w:rsidR="00435392" w:rsidRPr="00E91BAD" w:rsidRDefault="00435392">
      <w:pPr>
        <w:spacing w:after="0" w:line="240" w:lineRule="auto"/>
        <w:jc w:val="both"/>
        <w:rPr>
          <w:i/>
          <w:color w:val="000000" w:themeColor="text1"/>
        </w:rPr>
      </w:pPr>
    </w:p>
    <w:p w14:paraId="3ADF356C" w14:textId="32CFEBC5" w:rsidR="00435392" w:rsidRPr="00E91BAD" w:rsidRDefault="00D1567E">
      <w:pPr>
        <w:spacing w:after="0" w:line="240" w:lineRule="auto"/>
        <w:jc w:val="both"/>
        <w:rPr>
          <w:color w:val="000000" w:themeColor="text1"/>
        </w:rPr>
      </w:pPr>
      <w:r w:rsidRPr="00E91BAD">
        <w:rPr>
          <w:b/>
          <w:color w:val="000000" w:themeColor="text1"/>
        </w:rPr>
        <w:t>Desde esta silla ciudadana</w:t>
      </w:r>
      <w:r w:rsidRPr="00E91BAD">
        <w:rPr>
          <w:color w:val="000000" w:themeColor="text1"/>
        </w:rPr>
        <w:t xml:space="preserve">, se entiende claramente la relevancia de la Veeduría Ciudadana en un ambiente colaborativo y no excluyente con otros actores </w:t>
      </w:r>
      <w:r w:rsidR="00720594" w:rsidRPr="00E91BAD">
        <w:rPr>
          <w:color w:val="000000" w:themeColor="text1"/>
        </w:rPr>
        <w:t xml:space="preserve">públicos </w:t>
      </w:r>
      <w:r w:rsidRPr="00E91BAD">
        <w:rPr>
          <w:color w:val="000000" w:themeColor="text1"/>
        </w:rPr>
        <w:t>y</w:t>
      </w:r>
      <w:r w:rsidR="00720594" w:rsidRPr="00E91BAD">
        <w:rPr>
          <w:color w:val="000000" w:themeColor="text1"/>
        </w:rPr>
        <w:t xml:space="preserve"> privados</w:t>
      </w:r>
      <w:r w:rsidRPr="00E91BAD">
        <w:rPr>
          <w:color w:val="000000" w:themeColor="text1"/>
        </w:rPr>
        <w:t>. Desde aquí se deja ver con claridad la importancia de mitigar el riesgo de esa corrupción que</w:t>
      </w:r>
      <w:r w:rsidR="005859E2" w:rsidRPr="00E91BAD">
        <w:rPr>
          <w:color w:val="000000" w:themeColor="text1"/>
        </w:rPr>
        <w:t>,</w:t>
      </w:r>
      <w:r w:rsidRPr="00E91BAD">
        <w:rPr>
          <w:color w:val="000000" w:themeColor="text1"/>
        </w:rPr>
        <w:t xml:space="preserve"> </w:t>
      </w:r>
      <w:r w:rsidR="00DD4B3F" w:rsidRPr="00E91BAD">
        <w:rPr>
          <w:color w:val="000000" w:themeColor="text1"/>
        </w:rPr>
        <w:t>en este</w:t>
      </w:r>
      <w:r w:rsidRPr="00E91BAD">
        <w:rPr>
          <w:color w:val="000000" w:themeColor="text1"/>
        </w:rPr>
        <w:t xml:space="preserve"> mismo</w:t>
      </w:r>
      <w:r w:rsidR="00DD4B3F" w:rsidRPr="00E91BAD">
        <w:rPr>
          <w:color w:val="000000" w:themeColor="text1"/>
        </w:rPr>
        <w:t xml:space="preserve"> momento</w:t>
      </w:r>
      <w:r w:rsidRPr="00E91BAD">
        <w:rPr>
          <w:color w:val="000000" w:themeColor="text1"/>
        </w:rPr>
        <w:t xml:space="preserve"> se está birlando unos cientos de millones del presupuesto nacional, aprovechando el tiempo</w:t>
      </w:r>
      <w:r w:rsidR="00DD4B3F" w:rsidRPr="00E91BAD">
        <w:rPr>
          <w:color w:val="000000" w:themeColor="text1"/>
        </w:rPr>
        <w:t xml:space="preserve"> que </w:t>
      </w:r>
      <w:r w:rsidR="005859E2" w:rsidRPr="00E91BAD">
        <w:rPr>
          <w:color w:val="000000" w:themeColor="text1"/>
        </w:rPr>
        <w:t>toma</w:t>
      </w:r>
      <w:r w:rsidRPr="00E91BAD">
        <w:rPr>
          <w:color w:val="000000" w:themeColor="text1"/>
        </w:rPr>
        <w:t xml:space="preserve"> este debate.</w:t>
      </w:r>
    </w:p>
    <w:p w14:paraId="201146EE" w14:textId="77777777" w:rsidR="00435392" w:rsidRPr="00E91BAD" w:rsidRDefault="00435392">
      <w:pPr>
        <w:spacing w:after="0" w:line="240" w:lineRule="auto"/>
        <w:jc w:val="both"/>
        <w:rPr>
          <w:color w:val="000000" w:themeColor="text1"/>
        </w:rPr>
      </w:pPr>
    </w:p>
    <w:p w14:paraId="51DAD201" w14:textId="77777777" w:rsidR="00435392" w:rsidRPr="00E91BAD" w:rsidRDefault="00435392">
      <w:pPr>
        <w:spacing w:after="0" w:line="240" w:lineRule="auto"/>
        <w:jc w:val="both"/>
        <w:rPr>
          <w:color w:val="000000" w:themeColor="text1"/>
        </w:rPr>
      </w:pPr>
    </w:p>
    <w:p w14:paraId="52B75D62" w14:textId="77777777" w:rsidR="00435392" w:rsidRPr="00E91BAD" w:rsidRDefault="00D1567E">
      <w:pPr>
        <w:pBdr>
          <w:top w:val="nil"/>
          <w:left w:val="nil"/>
          <w:bottom w:val="nil"/>
          <w:right w:val="nil"/>
          <w:between w:val="nil"/>
        </w:pBdr>
        <w:spacing w:after="0" w:line="240" w:lineRule="auto"/>
        <w:jc w:val="both"/>
        <w:rPr>
          <w:b/>
          <w:color w:val="000000" w:themeColor="text1"/>
        </w:rPr>
      </w:pPr>
      <w:r w:rsidRPr="00E91BAD">
        <w:rPr>
          <w:b/>
          <w:color w:val="000000" w:themeColor="text1"/>
        </w:rPr>
        <w:t>Cordialmente,</w:t>
      </w:r>
    </w:p>
    <w:tbl>
      <w:tblPr>
        <w:tblStyle w:val="a1"/>
        <w:tblW w:w="3231"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3231"/>
      </w:tblGrid>
      <w:tr w:rsidR="00E91BAD" w:rsidRPr="00E91BAD" w14:paraId="40BC17B6" w14:textId="77777777">
        <w:trPr>
          <w:jc w:val="center"/>
        </w:trPr>
        <w:tc>
          <w:tcPr>
            <w:tcW w:w="3231" w:type="dxa"/>
          </w:tcPr>
          <w:p w14:paraId="5F865D74" w14:textId="77777777" w:rsidR="00435392" w:rsidRPr="00E91BAD" w:rsidRDefault="00D1567E">
            <w:pPr>
              <w:pBdr>
                <w:left w:val="nil"/>
                <w:bottom w:val="nil"/>
                <w:right w:val="nil"/>
                <w:between w:val="nil"/>
              </w:pBdr>
              <w:jc w:val="center"/>
              <w:rPr>
                <w:b/>
                <w:color w:val="000000" w:themeColor="text1"/>
              </w:rPr>
            </w:pPr>
            <w:r w:rsidRPr="00E91BAD">
              <w:rPr>
                <w:b/>
                <w:noProof/>
                <w:color w:val="000000" w:themeColor="text1"/>
              </w:rPr>
              <w:drawing>
                <wp:inline distT="114300" distB="114300" distL="114300" distR="114300" wp14:anchorId="47907A16" wp14:editId="0CA88253">
                  <wp:extent cx="972502" cy="642219"/>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972502" cy="642219"/>
                          </a:xfrm>
                          <a:prstGeom prst="rect">
                            <a:avLst/>
                          </a:prstGeom>
                          <a:ln/>
                        </pic:spPr>
                      </pic:pic>
                    </a:graphicData>
                  </a:graphic>
                </wp:inline>
              </w:drawing>
            </w:r>
          </w:p>
        </w:tc>
      </w:tr>
      <w:tr w:rsidR="00E91BAD" w:rsidRPr="00E91BAD" w14:paraId="482A2D9D" w14:textId="77777777">
        <w:trPr>
          <w:jc w:val="center"/>
        </w:trPr>
        <w:tc>
          <w:tcPr>
            <w:tcW w:w="3231" w:type="dxa"/>
          </w:tcPr>
          <w:p w14:paraId="0AE68287" w14:textId="77777777" w:rsidR="00435392" w:rsidRPr="00E91BAD" w:rsidRDefault="00D1567E">
            <w:pPr>
              <w:pBdr>
                <w:top w:val="single" w:sz="4" w:space="1" w:color="000000"/>
                <w:left w:val="nil"/>
                <w:bottom w:val="nil"/>
                <w:right w:val="nil"/>
                <w:between w:val="nil"/>
              </w:pBdr>
              <w:jc w:val="center"/>
              <w:rPr>
                <w:b/>
                <w:color w:val="000000" w:themeColor="text1"/>
              </w:rPr>
            </w:pPr>
            <w:r w:rsidRPr="00E91BAD">
              <w:rPr>
                <w:b/>
                <w:color w:val="000000" w:themeColor="text1"/>
              </w:rPr>
              <w:t>Alvaro Hernando Toquica Bravo</w:t>
            </w:r>
          </w:p>
        </w:tc>
      </w:tr>
      <w:tr w:rsidR="00435392" w:rsidRPr="00E91BAD" w14:paraId="2CB4E9C6" w14:textId="77777777">
        <w:trPr>
          <w:jc w:val="center"/>
        </w:trPr>
        <w:tc>
          <w:tcPr>
            <w:tcW w:w="3231" w:type="dxa"/>
          </w:tcPr>
          <w:p w14:paraId="1524BF32" w14:textId="3F44DDCF" w:rsidR="00435392" w:rsidRPr="004D07A7" w:rsidRDefault="00D1567E">
            <w:pPr>
              <w:pBdr>
                <w:top w:val="nil"/>
                <w:left w:val="nil"/>
                <w:bottom w:val="nil"/>
                <w:right w:val="nil"/>
                <w:between w:val="nil"/>
              </w:pBdr>
              <w:jc w:val="center"/>
              <w:rPr>
                <w:bCs/>
                <w:color w:val="000000" w:themeColor="text1"/>
              </w:rPr>
            </w:pPr>
            <w:r w:rsidRPr="004D07A7">
              <w:rPr>
                <w:bCs/>
                <w:color w:val="000000" w:themeColor="text1"/>
              </w:rPr>
              <w:t>C.C.79.122.626</w:t>
            </w:r>
          </w:p>
          <w:p w14:paraId="4FFE177A" w14:textId="321C1D92" w:rsidR="004D07A7" w:rsidRPr="00E91BAD" w:rsidRDefault="004D07A7">
            <w:pPr>
              <w:pBdr>
                <w:top w:val="nil"/>
                <w:left w:val="nil"/>
                <w:bottom w:val="nil"/>
                <w:right w:val="nil"/>
                <w:between w:val="nil"/>
              </w:pBdr>
              <w:jc w:val="center"/>
              <w:rPr>
                <w:b/>
                <w:color w:val="000000" w:themeColor="text1"/>
              </w:rPr>
            </w:pPr>
            <w:r w:rsidRPr="004D07A7">
              <w:rPr>
                <w:bCs/>
                <w:color w:val="000000" w:themeColor="text1"/>
              </w:rPr>
              <w:t>Cel.3015707189</w:t>
            </w:r>
          </w:p>
          <w:p w14:paraId="3DC7AEDD" w14:textId="77777777" w:rsidR="00435392" w:rsidRPr="00E91BAD" w:rsidRDefault="00D1567E">
            <w:pPr>
              <w:pBdr>
                <w:top w:val="nil"/>
                <w:left w:val="nil"/>
                <w:bottom w:val="nil"/>
                <w:right w:val="nil"/>
                <w:between w:val="nil"/>
              </w:pBdr>
              <w:jc w:val="center"/>
              <w:rPr>
                <w:b/>
                <w:color w:val="000000" w:themeColor="text1"/>
              </w:rPr>
            </w:pPr>
            <w:r w:rsidRPr="00E91BAD">
              <w:rPr>
                <w:b/>
                <w:color w:val="000000" w:themeColor="text1"/>
              </w:rPr>
              <w:t>Coordinador general</w:t>
            </w:r>
          </w:p>
          <w:p w14:paraId="308C3BFD" w14:textId="77777777" w:rsidR="00435392" w:rsidRPr="00E91BAD" w:rsidRDefault="00D1567E">
            <w:pPr>
              <w:pBdr>
                <w:top w:val="nil"/>
                <w:left w:val="nil"/>
                <w:bottom w:val="nil"/>
                <w:right w:val="nil"/>
                <w:between w:val="nil"/>
              </w:pBdr>
              <w:jc w:val="center"/>
              <w:rPr>
                <w:b/>
                <w:color w:val="000000" w:themeColor="text1"/>
                <w:sz w:val="24"/>
                <w:szCs w:val="24"/>
              </w:rPr>
            </w:pPr>
            <w:r w:rsidRPr="00E91BAD">
              <w:rPr>
                <w:b/>
                <w:color w:val="000000" w:themeColor="text1"/>
                <w:sz w:val="24"/>
                <w:szCs w:val="24"/>
              </w:rPr>
              <w:t>OCL Fontibón</w:t>
            </w:r>
          </w:p>
          <w:p w14:paraId="0EE61B60" w14:textId="77777777" w:rsidR="00435392" w:rsidRPr="00E91BAD" w:rsidRDefault="00D1567E">
            <w:pPr>
              <w:pBdr>
                <w:top w:val="nil"/>
                <w:left w:val="nil"/>
                <w:bottom w:val="nil"/>
                <w:right w:val="nil"/>
                <w:between w:val="nil"/>
              </w:pBdr>
              <w:jc w:val="center"/>
              <w:rPr>
                <w:i/>
                <w:color w:val="000000" w:themeColor="text1"/>
              </w:rPr>
            </w:pPr>
            <w:r w:rsidRPr="00E91BAD">
              <w:rPr>
                <w:i/>
                <w:color w:val="000000" w:themeColor="text1"/>
              </w:rPr>
              <w:t>Observación y acción</w:t>
            </w:r>
          </w:p>
        </w:tc>
      </w:tr>
    </w:tbl>
    <w:p w14:paraId="337917BD" w14:textId="77777777" w:rsidR="00435392" w:rsidRPr="00E91BAD" w:rsidRDefault="00435392">
      <w:pPr>
        <w:pBdr>
          <w:top w:val="nil"/>
          <w:left w:val="nil"/>
          <w:bottom w:val="nil"/>
          <w:right w:val="nil"/>
          <w:between w:val="nil"/>
        </w:pBdr>
        <w:spacing w:after="0" w:line="240" w:lineRule="auto"/>
        <w:jc w:val="both"/>
        <w:rPr>
          <w:b/>
          <w:color w:val="000000" w:themeColor="text1"/>
        </w:rPr>
      </w:pPr>
    </w:p>
    <w:sectPr w:rsidR="00435392" w:rsidRPr="00E91BAD">
      <w:headerReference w:type="default" r:id="rId9"/>
      <w:footerReference w:type="default" r:id="rId10"/>
      <w:pgSz w:w="12240" w:h="15840"/>
      <w:pgMar w:top="3544" w:right="1039" w:bottom="1455" w:left="1346"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78B5D" w14:textId="77777777" w:rsidR="003A1FFF" w:rsidRDefault="003A1FFF">
      <w:pPr>
        <w:spacing w:after="0" w:line="240" w:lineRule="auto"/>
      </w:pPr>
      <w:r>
        <w:separator/>
      </w:r>
    </w:p>
  </w:endnote>
  <w:endnote w:type="continuationSeparator" w:id="0">
    <w:p w14:paraId="4A797874" w14:textId="77777777" w:rsidR="003A1FFF" w:rsidRDefault="003A1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D3AE9" w14:textId="77777777" w:rsidR="00435392" w:rsidRDefault="00D1567E">
    <w:pPr>
      <w:pBdr>
        <w:top w:val="nil"/>
        <w:left w:val="nil"/>
        <w:bottom w:val="nil"/>
        <w:right w:val="nil"/>
        <w:between w:val="nil"/>
      </w:pBdr>
      <w:tabs>
        <w:tab w:val="center" w:pos="4419"/>
        <w:tab w:val="right" w:pos="8838"/>
      </w:tabs>
      <w:spacing w:after="0" w:line="240" w:lineRule="auto"/>
      <w:jc w:val="center"/>
      <w:rPr>
        <w:color w:val="000000"/>
      </w:rPr>
    </w:pPr>
    <w:r>
      <w:rPr>
        <w:noProof/>
        <w:color w:val="000000"/>
      </w:rPr>
      <w:drawing>
        <wp:inline distT="0" distB="0" distL="0" distR="0" wp14:anchorId="358D8A04" wp14:editId="11F49093">
          <wp:extent cx="5933334" cy="419048"/>
          <wp:effectExtent l="0" t="0" r="0" b="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933334" cy="419048"/>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9DDAB" w14:textId="77777777" w:rsidR="003A1FFF" w:rsidRDefault="003A1FFF">
      <w:pPr>
        <w:spacing w:after="0" w:line="240" w:lineRule="auto"/>
      </w:pPr>
      <w:r>
        <w:separator/>
      </w:r>
    </w:p>
  </w:footnote>
  <w:footnote w:type="continuationSeparator" w:id="0">
    <w:p w14:paraId="1D4E470C" w14:textId="77777777" w:rsidR="003A1FFF" w:rsidRDefault="003A1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88C20" w14:textId="77777777" w:rsidR="00435392" w:rsidRDefault="00435392">
    <w:pPr>
      <w:widowControl w:val="0"/>
      <w:pBdr>
        <w:top w:val="nil"/>
        <w:left w:val="nil"/>
        <w:bottom w:val="nil"/>
        <w:right w:val="nil"/>
        <w:between w:val="nil"/>
      </w:pBdr>
      <w:spacing w:after="0" w:line="276" w:lineRule="auto"/>
      <w:rPr>
        <w:b/>
      </w:rPr>
    </w:pPr>
  </w:p>
  <w:tbl>
    <w:tblPr>
      <w:tblStyle w:val="a2"/>
      <w:tblW w:w="9576"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1966"/>
      <w:gridCol w:w="770"/>
      <w:gridCol w:w="4104"/>
      <w:gridCol w:w="2736"/>
    </w:tblGrid>
    <w:tr w:rsidR="00435392" w14:paraId="7E6C9F41" w14:textId="77777777">
      <w:tc>
        <w:tcPr>
          <w:tcW w:w="1966" w:type="dxa"/>
          <w:vAlign w:val="bottom"/>
        </w:tcPr>
        <w:p w14:paraId="54549D43" w14:textId="77777777" w:rsidR="00435392" w:rsidRDefault="00D1567E">
          <w:pPr>
            <w:pBdr>
              <w:top w:val="nil"/>
              <w:left w:val="nil"/>
              <w:bottom w:val="nil"/>
              <w:right w:val="nil"/>
              <w:between w:val="nil"/>
            </w:pBdr>
            <w:tabs>
              <w:tab w:val="center" w:pos="4419"/>
              <w:tab w:val="right" w:pos="8838"/>
            </w:tabs>
            <w:jc w:val="left"/>
            <w:rPr>
              <w:color w:val="000000"/>
              <w:sz w:val="18"/>
              <w:szCs w:val="18"/>
            </w:rPr>
          </w:pPr>
          <w:r>
            <w:rPr>
              <w:color w:val="000000"/>
              <w:sz w:val="18"/>
              <w:szCs w:val="18"/>
            </w:rPr>
            <w:t>Quien observa y quien es observado, son una sola parte, cuando ambos están movidos por el deseo de alcanzar el desarrollo</w:t>
          </w:r>
        </w:p>
        <w:p w14:paraId="4D21F3EC" w14:textId="77777777" w:rsidR="00435392" w:rsidRDefault="00D1567E">
          <w:pPr>
            <w:pBdr>
              <w:top w:val="nil"/>
              <w:left w:val="nil"/>
              <w:bottom w:val="nil"/>
              <w:right w:val="nil"/>
              <w:between w:val="nil"/>
            </w:pBdr>
            <w:tabs>
              <w:tab w:val="center" w:pos="4419"/>
              <w:tab w:val="right" w:pos="8838"/>
            </w:tabs>
            <w:jc w:val="left"/>
            <w:rPr>
              <w:color w:val="000000"/>
            </w:rPr>
          </w:pPr>
          <w:r>
            <w:rPr>
              <w:color w:val="000000"/>
              <w:sz w:val="12"/>
              <w:szCs w:val="12"/>
            </w:rPr>
            <w:t>AHTB</w:t>
          </w:r>
        </w:p>
      </w:tc>
      <w:tc>
        <w:tcPr>
          <w:tcW w:w="770" w:type="dxa"/>
          <w:vAlign w:val="center"/>
        </w:tcPr>
        <w:p w14:paraId="2A9783BF" w14:textId="77777777" w:rsidR="00435392" w:rsidRDefault="00435392">
          <w:pPr>
            <w:pBdr>
              <w:top w:val="nil"/>
              <w:left w:val="nil"/>
              <w:bottom w:val="nil"/>
              <w:right w:val="nil"/>
              <w:between w:val="nil"/>
            </w:pBdr>
            <w:tabs>
              <w:tab w:val="center" w:pos="4419"/>
              <w:tab w:val="right" w:pos="8838"/>
            </w:tabs>
            <w:jc w:val="left"/>
            <w:rPr>
              <w:color w:val="000000"/>
            </w:rPr>
          </w:pPr>
        </w:p>
      </w:tc>
      <w:tc>
        <w:tcPr>
          <w:tcW w:w="4104" w:type="dxa"/>
        </w:tcPr>
        <w:p w14:paraId="11A5F627" w14:textId="77777777" w:rsidR="00435392" w:rsidRDefault="00D1567E">
          <w:pPr>
            <w:pBdr>
              <w:top w:val="nil"/>
              <w:left w:val="nil"/>
              <w:bottom w:val="nil"/>
              <w:right w:val="nil"/>
              <w:between w:val="nil"/>
            </w:pBdr>
            <w:tabs>
              <w:tab w:val="center" w:pos="4419"/>
              <w:tab w:val="right" w:pos="8838"/>
            </w:tabs>
            <w:jc w:val="center"/>
            <w:rPr>
              <w:color w:val="000000"/>
            </w:rPr>
          </w:pPr>
          <w:r>
            <w:rPr>
              <w:noProof/>
              <w:color w:val="000000"/>
            </w:rPr>
            <w:drawing>
              <wp:inline distT="0" distB="0" distL="0" distR="0" wp14:anchorId="3D3BAC82" wp14:editId="3555BF02">
                <wp:extent cx="1758006" cy="1276453"/>
                <wp:effectExtent l="0" t="0" r="0" b="0"/>
                <wp:docPr id="1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758006" cy="1276453"/>
                        </a:xfrm>
                        <a:prstGeom prst="rect">
                          <a:avLst/>
                        </a:prstGeom>
                        <a:ln/>
                      </pic:spPr>
                    </pic:pic>
                  </a:graphicData>
                </a:graphic>
              </wp:inline>
            </w:drawing>
          </w:r>
        </w:p>
      </w:tc>
      <w:tc>
        <w:tcPr>
          <w:tcW w:w="2736" w:type="dxa"/>
          <w:vAlign w:val="bottom"/>
        </w:tcPr>
        <w:p w14:paraId="26E0FFC0" w14:textId="77777777" w:rsidR="00435392" w:rsidRDefault="00435392">
          <w:pPr>
            <w:pBdr>
              <w:top w:val="nil"/>
              <w:left w:val="nil"/>
              <w:bottom w:val="nil"/>
              <w:right w:val="nil"/>
              <w:between w:val="nil"/>
            </w:pBdr>
            <w:tabs>
              <w:tab w:val="center" w:pos="4419"/>
              <w:tab w:val="right" w:pos="8838"/>
            </w:tabs>
            <w:jc w:val="right"/>
            <w:rPr>
              <w:color w:val="000000"/>
            </w:rPr>
          </w:pPr>
        </w:p>
        <w:p w14:paraId="20C02A77" w14:textId="77777777" w:rsidR="00435392" w:rsidRDefault="00435392">
          <w:pPr>
            <w:pBdr>
              <w:top w:val="nil"/>
              <w:left w:val="nil"/>
              <w:bottom w:val="nil"/>
              <w:right w:val="nil"/>
              <w:between w:val="nil"/>
            </w:pBdr>
            <w:tabs>
              <w:tab w:val="center" w:pos="4419"/>
              <w:tab w:val="right" w:pos="8838"/>
            </w:tabs>
            <w:jc w:val="right"/>
            <w:rPr>
              <w:color w:val="000000"/>
            </w:rPr>
          </w:pPr>
        </w:p>
        <w:p w14:paraId="0729D62D" w14:textId="77777777" w:rsidR="00435392" w:rsidRDefault="00435392">
          <w:pPr>
            <w:pBdr>
              <w:top w:val="nil"/>
              <w:left w:val="nil"/>
              <w:bottom w:val="nil"/>
              <w:right w:val="nil"/>
              <w:between w:val="nil"/>
            </w:pBdr>
            <w:tabs>
              <w:tab w:val="center" w:pos="4419"/>
              <w:tab w:val="right" w:pos="8838"/>
            </w:tabs>
            <w:jc w:val="right"/>
            <w:rPr>
              <w:color w:val="000000"/>
            </w:rPr>
          </w:pPr>
        </w:p>
        <w:p w14:paraId="6B0A1FA3" w14:textId="77777777" w:rsidR="00435392" w:rsidRDefault="00D1567E">
          <w:pPr>
            <w:pBdr>
              <w:top w:val="nil"/>
              <w:left w:val="nil"/>
              <w:bottom w:val="nil"/>
              <w:right w:val="nil"/>
              <w:between w:val="nil"/>
            </w:pBdr>
            <w:jc w:val="right"/>
            <w:rPr>
              <w:color w:val="000000"/>
              <w:sz w:val="20"/>
              <w:szCs w:val="20"/>
            </w:rPr>
          </w:pPr>
          <w:r>
            <w:rPr>
              <w:color w:val="000000"/>
              <w:sz w:val="20"/>
              <w:szCs w:val="20"/>
            </w:rPr>
            <w:t>Localidad novena</w:t>
          </w:r>
        </w:p>
      </w:tc>
    </w:tr>
  </w:tbl>
  <w:p w14:paraId="2826884F" w14:textId="77777777" w:rsidR="00435392" w:rsidRDefault="00435392">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C6E8A"/>
    <w:multiLevelType w:val="multilevel"/>
    <w:tmpl w:val="C734AF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AFE3A54"/>
    <w:multiLevelType w:val="multilevel"/>
    <w:tmpl w:val="F35EF2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34172FA"/>
    <w:multiLevelType w:val="multilevel"/>
    <w:tmpl w:val="7C880D38"/>
    <w:lvl w:ilvl="0">
      <w:start w:val="1"/>
      <w:numFmt w:val="decimal"/>
      <w:lvlText w:val="%1."/>
      <w:lvlJc w:val="left"/>
      <w:pPr>
        <w:ind w:left="360" w:hanging="360"/>
      </w:pPr>
      <w:rPr>
        <w:b/>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392"/>
    <w:rsid w:val="00391282"/>
    <w:rsid w:val="003A1FFF"/>
    <w:rsid w:val="00413379"/>
    <w:rsid w:val="00435392"/>
    <w:rsid w:val="00461631"/>
    <w:rsid w:val="004C46CB"/>
    <w:rsid w:val="004D07A7"/>
    <w:rsid w:val="004F7BF7"/>
    <w:rsid w:val="005859E2"/>
    <w:rsid w:val="006863C6"/>
    <w:rsid w:val="006E7385"/>
    <w:rsid w:val="00720594"/>
    <w:rsid w:val="007B69B6"/>
    <w:rsid w:val="007B6CFF"/>
    <w:rsid w:val="007F697B"/>
    <w:rsid w:val="00A255F5"/>
    <w:rsid w:val="00C10F7E"/>
    <w:rsid w:val="00C44D32"/>
    <w:rsid w:val="00D1567E"/>
    <w:rsid w:val="00D6263C"/>
    <w:rsid w:val="00DD4B3F"/>
    <w:rsid w:val="00DD6EDB"/>
    <w:rsid w:val="00E27D67"/>
    <w:rsid w:val="00E91BAD"/>
    <w:rsid w:val="00EE3561"/>
    <w:rsid w:val="00F930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714A6"/>
  <w15:docId w15:val="{80991D5D-2E97-48F0-A337-9B17C2B2C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Prrafodelista">
    <w:name w:val="List Paragraph"/>
    <w:basedOn w:val="Normal"/>
    <w:uiPriority w:val="34"/>
    <w:qFormat/>
    <w:rsid w:val="000B50A9"/>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A128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28C6"/>
  </w:style>
  <w:style w:type="paragraph" w:styleId="Piedepgina">
    <w:name w:val="footer"/>
    <w:basedOn w:val="Normal"/>
    <w:link w:val="PiedepginaCar"/>
    <w:uiPriority w:val="99"/>
    <w:unhideWhenUsed/>
    <w:rsid w:val="00A128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28C6"/>
  </w:style>
  <w:style w:type="table" w:styleId="Tablaconcuadrcula">
    <w:name w:val="Table Grid"/>
    <w:basedOn w:val="Tablanormal"/>
    <w:uiPriority w:val="39"/>
    <w:rsid w:val="00A128C6"/>
    <w:pPr>
      <w:spacing w:after="0" w:line="240" w:lineRule="auto"/>
      <w:jc w:val="both"/>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128C6"/>
    <w:pPr>
      <w:spacing w:after="0" w:line="240" w:lineRule="auto"/>
      <w:jc w:val="both"/>
    </w:pPr>
    <w:rPr>
      <w:rFonts w:asciiTheme="minorHAnsi" w:eastAsiaTheme="minorHAnsi" w:hAnsiTheme="minorHAnsi" w:cstheme="minorBidi"/>
      <w:lang w:eastAsia="en-US"/>
    </w:rPr>
  </w:style>
  <w:style w:type="table" w:customStyle="1" w:styleId="a">
    <w:basedOn w:val="TableNormal2"/>
    <w:pPr>
      <w:spacing w:after="0" w:line="240" w:lineRule="auto"/>
      <w:jc w:val="both"/>
    </w:pPr>
    <w:tblPr>
      <w:tblStyleRowBandSize w:val="1"/>
      <w:tblStyleColBandSize w:val="1"/>
      <w:tblCellMar>
        <w:left w:w="108" w:type="dxa"/>
        <w:right w:w="108" w:type="dxa"/>
      </w:tblCellMar>
    </w:tblPr>
  </w:style>
  <w:style w:type="table" w:customStyle="1" w:styleId="a0">
    <w:basedOn w:val="TableNormal1"/>
    <w:pPr>
      <w:spacing w:after="0" w:line="240" w:lineRule="auto"/>
      <w:jc w:val="both"/>
    </w:pPr>
    <w:tblPr>
      <w:tblStyleRowBandSize w:val="1"/>
      <w:tblStyleColBandSize w:val="1"/>
      <w:tblCellMar>
        <w:left w:w="108" w:type="dxa"/>
        <w:right w:w="108" w:type="dxa"/>
      </w:tblCellMar>
    </w:tblPr>
  </w:style>
  <w:style w:type="table" w:customStyle="1" w:styleId="a1">
    <w:basedOn w:val="TableNormal0"/>
    <w:pPr>
      <w:spacing w:after="0" w:line="240" w:lineRule="auto"/>
      <w:jc w:val="both"/>
    </w:pPr>
    <w:tblPr>
      <w:tblStyleRowBandSize w:val="1"/>
      <w:tblStyleColBandSize w:val="1"/>
      <w:tblCellMar>
        <w:left w:w="108" w:type="dxa"/>
        <w:right w:w="108" w:type="dxa"/>
      </w:tblCellMar>
    </w:tblPr>
  </w:style>
  <w:style w:type="table" w:customStyle="1" w:styleId="a2">
    <w:basedOn w:val="TableNormal0"/>
    <w:pPr>
      <w:spacing w:after="0" w:line="240" w:lineRule="auto"/>
      <w:jc w:val="both"/>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ajyYtTuRg/caROJxRBWpDmGi+g==">AMUW2mVgP6BU6p5Go2G1aGJM72xukNDtewpXuvfsEBGGblS+YWd2LcRbVuehbh+adaaMnkAAPsBlrXWht9QmuFd95oNLaWZtRFdw0dfPOzG2zt+UOFIzkIo=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1547</Words>
  <Characters>8509</Characters>
  <Application>Microsoft Office Word</Application>
  <DocSecurity>0</DocSecurity>
  <Lines>70</Lines>
  <Paragraphs>20</Paragraphs>
  <ScaleCrop>false</ScaleCrop>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 Hernando Toquica Bravo</dc:creator>
  <cp:lastModifiedBy>Alvaro Hernando Toquica Bravo</cp:lastModifiedBy>
  <cp:revision>23</cp:revision>
  <dcterms:created xsi:type="dcterms:W3CDTF">2022-06-02T12:35:00Z</dcterms:created>
  <dcterms:modified xsi:type="dcterms:W3CDTF">2022-06-03T19:02:00Z</dcterms:modified>
</cp:coreProperties>
</file>