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78B3" w14:textId="77777777" w:rsidR="00EF7E6D" w:rsidRPr="00935A79" w:rsidRDefault="001E2E9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Bogotá, D.C., noviembre de 2021</w:t>
      </w:r>
    </w:p>
    <w:p w14:paraId="017C355C" w14:textId="77777777" w:rsidR="00EF7E6D" w:rsidRPr="00935A79" w:rsidRDefault="00EF7E6D">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1517C518" w14:textId="77777777" w:rsidR="00EF7E6D" w:rsidRPr="00935A79" w:rsidRDefault="001E2E9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Honorable Representante</w:t>
      </w:r>
    </w:p>
    <w:p w14:paraId="4BF0E5D0" w14:textId="77777777" w:rsidR="00EF7E6D" w:rsidRPr="00935A79" w:rsidRDefault="001E2E90">
      <w:pPr>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935A79">
        <w:rPr>
          <w:rFonts w:ascii="Times New Roman" w:eastAsia="Arial" w:hAnsi="Times New Roman" w:cs="Times New Roman"/>
          <w:b/>
          <w:sz w:val="24"/>
          <w:szCs w:val="24"/>
        </w:rPr>
        <w:t>JAIRO HUMBERTO CRISTO CORREA</w:t>
      </w:r>
    </w:p>
    <w:p w14:paraId="73AD3576" w14:textId="77777777" w:rsidR="00EF7E6D" w:rsidRPr="00935A79" w:rsidRDefault="001E2E9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Presidente Comisión Séptima Constitucional</w:t>
      </w:r>
    </w:p>
    <w:p w14:paraId="56E8F0BE" w14:textId="77777777" w:rsidR="00EF7E6D" w:rsidRPr="00935A79" w:rsidRDefault="001E2E90">
      <w:pPr>
        <w:pBdr>
          <w:top w:val="nil"/>
          <w:left w:val="nil"/>
          <w:bottom w:val="nil"/>
          <w:right w:val="nil"/>
          <w:between w:val="nil"/>
        </w:pBdr>
        <w:tabs>
          <w:tab w:val="center" w:pos="4252"/>
        </w:tabs>
        <w:spacing w:after="0" w:line="240" w:lineRule="auto"/>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Cámara de Representantes  </w:t>
      </w:r>
      <w:r w:rsidRPr="00935A79">
        <w:rPr>
          <w:rFonts w:ascii="Times New Roman" w:eastAsia="Arial" w:hAnsi="Times New Roman" w:cs="Times New Roman"/>
          <w:sz w:val="24"/>
          <w:szCs w:val="24"/>
        </w:rPr>
        <w:tab/>
      </w:r>
    </w:p>
    <w:p w14:paraId="4168930C" w14:textId="63168B56" w:rsidR="00EF7E6D" w:rsidRPr="00935A79" w:rsidRDefault="001E2E90" w:rsidP="00935A79">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b/>
      </w:r>
    </w:p>
    <w:p w14:paraId="63DE0E05" w14:textId="77777777" w:rsidR="00EF7E6D" w:rsidRPr="00935A79" w:rsidRDefault="00EF7E6D">
      <w:pPr>
        <w:pBdr>
          <w:top w:val="nil"/>
          <w:left w:val="nil"/>
          <w:bottom w:val="nil"/>
          <w:right w:val="nil"/>
          <w:between w:val="nil"/>
        </w:pBdr>
        <w:spacing w:after="0" w:line="240" w:lineRule="auto"/>
        <w:jc w:val="center"/>
        <w:rPr>
          <w:rFonts w:ascii="Times New Roman" w:eastAsia="Arial" w:hAnsi="Times New Roman" w:cs="Times New Roman"/>
          <w:sz w:val="24"/>
          <w:szCs w:val="24"/>
        </w:rPr>
      </w:pPr>
    </w:p>
    <w:p w14:paraId="58CCCDC7" w14:textId="77777777" w:rsidR="00EF7E6D" w:rsidRPr="00935A79" w:rsidRDefault="00EF7E6D">
      <w:pPr>
        <w:pBdr>
          <w:top w:val="nil"/>
          <w:left w:val="nil"/>
          <w:bottom w:val="nil"/>
          <w:right w:val="nil"/>
          <w:between w:val="nil"/>
        </w:pBdr>
        <w:spacing w:after="0" w:line="240" w:lineRule="auto"/>
        <w:jc w:val="center"/>
        <w:rPr>
          <w:rFonts w:ascii="Times New Roman" w:eastAsia="Arial" w:hAnsi="Times New Roman" w:cs="Times New Roman"/>
          <w:sz w:val="24"/>
          <w:szCs w:val="24"/>
        </w:rPr>
      </w:pPr>
    </w:p>
    <w:p w14:paraId="43FF1DB7" w14:textId="7EBF5AB4" w:rsidR="00EF7E6D" w:rsidRPr="00935A79" w:rsidRDefault="001E2E90">
      <w:pPr>
        <w:pBdr>
          <w:top w:val="nil"/>
          <w:left w:val="nil"/>
          <w:bottom w:val="nil"/>
          <w:right w:val="nil"/>
          <w:between w:val="nil"/>
        </w:pBdr>
        <w:spacing w:after="0" w:line="240" w:lineRule="auto"/>
        <w:ind w:left="708" w:right="49"/>
        <w:jc w:val="both"/>
        <w:rPr>
          <w:rFonts w:ascii="Times New Roman" w:eastAsia="Arial" w:hAnsi="Times New Roman" w:cs="Times New Roman"/>
          <w:i/>
          <w:sz w:val="24"/>
          <w:szCs w:val="24"/>
        </w:rPr>
      </w:pPr>
      <w:r w:rsidRPr="00935A79">
        <w:rPr>
          <w:rFonts w:ascii="Times New Roman" w:eastAsia="Arial" w:hAnsi="Times New Roman" w:cs="Times New Roman"/>
          <w:b/>
          <w:sz w:val="24"/>
          <w:szCs w:val="24"/>
        </w:rPr>
        <w:t>Asunto:</w:t>
      </w:r>
      <w:r w:rsidRPr="00935A79">
        <w:rPr>
          <w:rFonts w:ascii="Times New Roman" w:eastAsia="Arial" w:hAnsi="Times New Roman" w:cs="Times New Roman"/>
          <w:sz w:val="24"/>
          <w:szCs w:val="24"/>
        </w:rPr>
        <w:t> </w:t>
      </w:r>
      <w:r w:rsidR="00935A79">
        <w:rPr>
          <w:rFonts w:ascii="Times New Roman" w:eastAsia="Arial" w:hAnsi="Times New Roman" w:cs="Times New Roman"/>
          <w:iCs/>
          <w:sz w:val="24"/>
          <w:szCs w:val="24"/>
        </w:rPr>
        <w:t>I</w:t>
      </w:r>
      <w:r w:rsidR="00935A79" w:rsidRPr="00935A79">
        <w:rPr>
          <w:rFonts w:ascii="Times New Roman" w:eastAsia="Arial" w:hAnsi="Times New Roman" w:cs="Times New Roman"/>
          <w:iCs/>
          <w:sz w:val="24"/>
          <w:szCs w:val="24"/>
        </w:rPr>
        <w:t>nforme de ponencia para primer debate al proyecto de ley 079 de 2021 cámara</w:t>
      </w:r>
      <w:r w:rsidR="00935A79" w:rsidRPr="00935A79">
        <w:rPr>
          <w:rFonts w:ascii="Times New Roman" w:eastAsia="Arial" w:hAnsi="Times New Roman" w:cs="Times New Roman"/>
          <w:i/>
          <w:sz w:val="24"/>
          <w:szCs w:val="24"/>
        </w:rPr>
        <w:t xml:space="preserve"> "por el cual se dictan normas para la prestación de servicios personales del talento humano en el sector de la salud y se dictan otras disposiciones" </w:t>
      </w:r>
      <w:r w:rsidR="00935A79" w:rsidRPr="00935A79">
        <w:rPr>
          <w:rFonts w:ascii="Times New Roman" w:eastAsia="Arial" w:hAnsi="Times New Roman" w:cs="Times New Roman"/>
          <w:iCs/>
          <w:sz w:val="24"/>
          <w:szCs w:val="24"/>
        </w:rPr>
        <w:t>acumulado con el proyecto de ley no. 220 de 2021 cámara</w:t>
      </w:r>
      <w:r w:rsidR="00935A79" w:rsidRPr="00935A79">
        <w:rPr>
          <w:rFonts w:ascii="Times New Roman" w:eastAsia="Arial" w:hAnsi="Times New Roman" w:cs="Times New Roman"/>
          <w:i/>
          <w:sz w:val="24"/>
          <w:szCs w:val="24"/>
        </w:rPr>
        <w:t xml:space="preserve"> "por medio del cual se fomenta el trabajo digno del talento humano y la sostenibilidad del sistema de salud y se dictan otras disposiciones"</w:t>
      </w:r>
      <w:r w:rsidR="00935A79" w:rsidRPr="00935A79">
        <w:rPr>
          <w:rFonts w:ascii="Times New Roman" w:eastAsia="Arial" w:hAnsi="Times New Roman" w:cs="Times New Roman"/>
          <w:sz w:val="24"/>
          <w:szCs w:val="24"/>
        </w:rPr>
        <w:t>.</w:t>
      </w:r>
    </w:p>
    <w:p w14:paraId="2D23C7D4" w14:textId="77777777" w:rsidR="00EF7E6D" w:rsidRPr="00935A79" w:rsidRDefault="00EF7E6D">
      <w:pPr>
        <w:spacing w:after="0" w:line="240" w:lineRule="auto"/>
        <w:ind w:left="3600"/>
        <w:jc w:val="both"/>
        <w:rPr>
          <w:rFonts w:ascii="Times New Roman" w:eastAsia="Arial" w:hAnsi="Times New Roman" w:cs="Times New Roman"/>
          <w:i/>
          <w:sz w:val="24"/>
          <w:szCs w:val="24"/>
        </w:rPr>
      </w:pPr>
    </w:p>
    <w:p w14:paraId="50B5DB65" w14:textId="77777777" w:rsidR="00EF7E6D" w:rsidRPr="00935A79" w:rsidRDefault="00EF7E6D">
      <w:pPr>
        <w:pBdr>
          <w:top w:val="nil"/>
          <w:left w:val="nil"/>
          <w:bottom w:val="nil"/>
          <w:right w:val="nil"/>
          <w:between w:val="nil"/>
        </w:pBdr>
        <w:spacing w:after="0" w:line="240" w:lineRule="auto"/>
        <w:ind w:left="708" w:right="49"/>
        <w:jc w:val="both"/>
        <w:rPr>
          <w:rFonts w:ascii="Times New Roman" w:eastAsia="Arial" w:hAnsi="Times New Roman" w:cs="Times New Roman"/>
          <w:b/>
          <w:sz w:val="24"/>
          <w:szCs w:val="24"/>
        </w:rPr>
      </w:pPr>
    </w:p>
    <w:p w14:paraId="6BAE8130" w14:textId="77777777" w:rsidR="00EF7E6D" w:rsidRPr="00935A79" w:rsidRDefault="00EF7E6D">
      <w:pPr>
        <w:pBdr>
          <w:top w:val="nil"/>
          <w:left w:val="nil"/>
          <w:bottom w:val="nil"/>
          <w:right w:val="nil"/>
          <w:between w:val="nil"/>
        </w:pBdr>
        <w:spacing w:after="0" w:line="240" w:lineRule="auto"/>
        <w:ind w:right="49"/>
        <w:jc w:val="both"/>
        <w:rPr>
          <w:rFonts w:ascii="Times New Roman" w:eastAsia="Arial" w:hAnsi="Times New Roman" w:cs="Times New Roman"/>
          <w:sz w:val="24"/>
          <w:szCs w:val="24"/>
        </w:rPr>
      </w:pPr>
    </w:p>
    <w:p w14:paraId="209F03ED" w14:textId="77777777" w:rsidR="00EF7E6D" w:rsidRPr="00935A79" w:rsidRDefault="001E2E90">
      <w:pPr>
        <w:pBdr>
          <w:top w:val="nil"/>
          <w:left w:val="nil"/>
          <w:bottom w:val="nil"/>
          <w:right w:val="nil"/>
          <w:between w:val="nil"/>
        </w:pBdr>
        <w:spacing w:after="0"/>
        <w:ind w:right="49"/>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Respetado Presidente</w:t>
      </w:r>
    </w:p>
    <w:p w14:paraId="0F666DBF" w14:textId="77777777" w:rsidR="00EF7E6D" w:rsidRPr="00935A79" w:rsidRDefault="00EF7E6D">
      <w:pPr>
        <w:pBdr>
          <w:top w:val="nil"/>
          <w:left w:val="nil"/>
          <w:bottom w:val="nil"/>
          <w:right w:val="nil"/>
          <w:between w:val="nil"/>
        </w:pBdr>
        <w:spacing w:after="0"/>
        <w:ind w:right="49"/>
        <w:jc w:val="both"/>
        <w:rPr>
          <w:rFonts w:ascii="Times New Roman" w:eastAsia="Arial" w:hAnsi="Times New Roman" w:cs="Times New Roman"/>
          <w:sz w:val="24"/>
          <w:szCs w:val="24"/>
        </w:rPr>
      </w:pPr>
    </w:p>
    <w:p w14:paraId="678CF946" w14:textId="1E9BD9B6" w:rsidR="00EF7E6D" w:rsidRPr="00935A79" w:rsidRDefault="001E2E90">
      <w:pPr>
        <w:pBdr>
          <w:top w:val="nil"/>
          <w:left w:val="nil"/>
          <w:bottom w:val="nil"/>
          <w:right w:val="nil"/>
          <w:between w:val="nil"/>
        </w:pBdr>
        <w:spacing w:after="0"/>
        <w:ind w:right="49"/>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De conformidad con lo dispuesto por la Ley 5ª de 1992 y dando cumplimiento a la designación realizada por la Mesa Directiva de la Comisión Séptima de la Cámara de Representantes, como ponentes de esta iniciativa legislativa, nos permitimos rendir Informe de Ponencia para primer </w:t>
      </w:r>
      <w:r w:rsidR="00935A79" w:rsidRPr="00935A79">
        <w:rPr>
          <w:rFonts w:ascii="Times New Roman" w:eastAsia="Arial" w:hAnsi="Times New Roman" w:cs="Times New Roman"/>
          <w:sz w:val="24"/>
          <w:szCs w:val="24"/>
        </w:rPr>
        <w:t>debate al proyecto de ley 079 de 2021</w:t>
      </w:r>
      <w:r w:rsidR="00935A79" w:rsidRPr="00935A79">
        <w:rPr>
          <w:rFonts w:ascii="Times New Roman" w:eastAsia="Arial" w:hAnsi="Times New Roman" w:cs="Times New Roman"/>
          <w:i/>
          <w:sz w:val="24"/>
          <w:szCs w:val="24"/>
        </w:rPr>
        <w:t xml:space="preserve"> </w:t>
      </w:r>
      <w:r w:rsidR="00935A79" w:rsidRPr="00935A79">
        <w:rPr>
          <w:rFonts w:ascii="Times New Roman" w:eastAsia="Arial" w:hAnsi="Times New Roman" w:cs="Times New Roman"/>
          <w:iCs/>
          <w:sz w:val="24"/>
          <w:szCs w:val="24"/>
        </w:rPr>
        <w:t xml:space="preserve">cámara </w:t>
      </w:r>
      <w:r w:rsidR="00935A79" w:rsidRPr="00935A79">
        <w:rPr>
          <w:rFonts w:ascii="Times New Roman" w:eastAsia="Arial" w:hAnsi="Times New Roman" w:cs="Times New Roman"/>
          <w:i/>
          <w:sz w:val="24"/>
          <w:szCs w:val="24"/>
        </w:rPr>
        <w:t xml:space="preserve">"por el cual se dictan normas para la prestación de servicios personales del talento humano en el sector de la salud y se dictan otras disposiciones" </w:t>
      </w:r>
      <w:r w:rsidR="00935A79" w:rsidRPr="00935A79">
        <w:rPr>
          <w:rFonts w:ascii="Times New Roman" w:eastAsia="Arial" w:hAnsi="Times New Roman" w:cs="Times New Roman"/>
          <w:iCs/>
          <w:sz w:val="24"/>
          <w:szCs w:val="24"/>
        </w:rPr>
        <w:t>acumulado con el proyecto de ley  220 de 2021 cámara</w:t>
      </w:r>
      <w:r w:rsidR="00935A79" w:rsidRPr="00935A79">
        <w:rPr>
          <w:rFonts w:ascii="Times New Roman" w:eastAsia="Arial" w:hAnsi="Times New Roman" w:cs="Times New Roman"/>
          <w:i/>
          <w:sz w:val="24"/>
          <w:szCs w:val="24"/>
        </w:rPr>
        <w:t xml:space="preserve"> "por medio del cual se fomenta el trabajo digno del talento humano y la sostenibilidad del sistema de salud y se dictan otras disposiciones"</w:t>
      </w:r>
      <w:r w:rsidR="00935A79" w:rsidRPr="00935A79">
        <w:rPr>
          <w:rFonts w:ascii="Times New Roman" w:eastAsia="Arial" w:hAnsi="Times New Roman" w:cs="Times New Roman"/>
          <w:sz w:val="24"/>
          <w:szCs w:val="24"/>
        </w:rPr>
        <w:t>, en los siguientes términos:</w:t>
      </w:r>
    </w:p>
    <w:p w14:paraId="2643D7CF" w14:textId="77777777" w:rsidR="00EF7E6D" w:rsidRPr="00935A79" w:rsidRDefault="00EF7E6D">
      <w:pPr>
        <w:pBdr>
          <w:top w:val="nil"/>
          <w:left w:val="nil"/>
          <w:bottom w:val="nil"/>
          <w:right w:val="nil"/>
          <w:between w:val="nil"/>
        </w:pBdr>
        <w:spacing w:after="0"/>
        <w:ind w:right="49"/>
        <w:jc w:val="both"/>
        <w:rPr>
          <w:rFonts w:ascii="Times New Roman" w:eastAsia="Arial" w:hAnsi="Times New Roman" w:cs="Times New Roman"/>
          <w:sz w:val="24"/>
          <w:szCs w:val="24"/>
        </w:rPr>
      </w:pPr>
    </w:p>
    <w:p w14:paraId="13BAF0D3" w14:textId="77777777" w:rsidR="00EF7E6D" w:rsidRPr="00935A79" w:rsidRDefault="001E2E90">
      <w:pPr>
        <w:numPr>
          <w:ilvl w:val="0"/>
          <w:numId w:val="5"/>
        </w:numPr>
        <w:pBdr>
          <w:top w:val="nil"/>
          <w:left w:val="nil"/>
          <w:bottom w:val="nil"/>
          <w:right w:val="nil"/>
          <w:between w:val="nil"/>
        </w:pBdr>
        <w:spacing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Objeto y trámite del proyecto </w:t>
      </w:r>
    </w:p>
    <w:p w14:paraId="05B59337" w14:textId="77777777" w:rsidR="00EF7E6D" w:rsidRPr="00935A79" w:rsidRDefault="001E2E90">
      <w:pPr>
        <w:numPr>
          <w:ilvl w:val="0"/>
          <w:numId w:val="5"/>
        </w:numPr>
        <w:pBdr>
          <w:top w:val="nil"/>
          <w:left w:val="nil"/>
          <w:bottom w:val="nil"/>
          <w:right w:val="nil"/>
          <w:between w:val="nil"/>
        </w:pBdr>
        <w:spacing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Contenido de la iniciativa legislativa</w:t>
      </w:r>
    </w:p>
    <w:p w14:paraId="21DD602D" w14:textId="77777777" w:rsidR="00EF7E6D" w:rsidRPr="00935A79" w:rsidRDefault="001E2E90">
      <w:pPr>
        <w:numPr>
          <w:ilvl w:val="0"/>
          <w:numId w:val="5"/>
        </w:numPr>
        <w:pBdr>
          <w:top w:val="nil"/>
          <w:left w:val="nil"/>
          <w:bottom w:val="nil"/>
          <w:right w:val="nil"/>
          <w:between w:val="nil"/>
        </w:pBdr>
        <w:spacing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Antecedentes</w:t>
      </w:r>
    </w:p>
    <w:p w14:paraId="44BF64DB" w14:textId="38D22D82" w:rsidR="00EF7E6D" w:rsidRDefault="001E2E90">
      <w:pPr>
        <w:numPr>
          <w:ilvl w:val="0"/>
          <w:numId w:val="5"/>
        </w:numPr>
        <w:pBdr>
          <w:top w:val="nil"/>
          <w:left w:val="nil"/>
          <w:bottom w:val="nil"/>
          <w:right w:val="nil"/>
          <w:between w:val="nil"/>
        </w:pBdr>
        <w:spacing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Justificación </w:t>
      </w:r>
    </w:p>
    <w:p w14:paraId="7228AFA3" w14:textId="75F8AF82" w:rsidR="00B02CAA" w:rsidRPr="00935A79" w:rsidRDefault="00B02CAA">
      <w:pPr>
        <w:numPr>
          <w:ilvl w:val="0"/>
          <w:numId w:val="5"/>
        </w:numPr>
        <w:pBdr>
          <w:top w:val="nil"/>
          <w:left w:val="nil"/>
          <w:bottom w:val="nil"/>
          <w:right w:val="nil"/>
          <w:between w:val="nil"/>
        </w:pBd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Análisis del impacto fiscal</w:t>
      </w:r>
    </w:p>
    <w:p w14:paraId="7D8CFC79" w14:textId="77777777" w:rsidR="00EF7E6D" w:rsidRPr="00935A79" w:rsidRDefault="001E2E90">
      <w:pPr>
        <w:numPr>
          <w:ilvl w:val="0"/>
          <w:numId w:val="5"/>
        </w:numPr>
        <w:pBdr>
          <w:top w:val="nil"/>
          <w:left w:val="nil"/>
          <w:bottom w:val="nil"/>
          <w:right w:val="nil"/>
          <w:between w:val="nil"/>
        </w:pBdr>
        <w:spacing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Pliego de modificaciones</w:t>
      </w:r>
    </w:p>
    <w:p w14:paraId="24BEA2C6" w14:textId="77777777" w:rsidR="00EF7E6D" w:rsidRPr="00935A79" w:rsidRDefault="001E2E90">
      <w:pPr>
        <w:pBdr>
          <w:top w:val="nil"/>
          <w:left w:val="nil"/>
          <w:bottom w:val="nil"/>
          <w:right w:val="nil"/>
          <w:between w:val="nil"/>
        </w:pBdr>
        <w:spacing w:after="0"/>
        <w:ind w:left="144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 </w:t>
      </w:r>
    </w:p>
    <w:p w14:paraId="4077404D" w14:textId="77777777" w:rsidR="00EF7E6D" w:rsidRPr="00935A79" w:rsidRDefault="00EF7E6D">
      <w:pPr>
        <w:pBdr>
          <w:top w:val="nil"/>
          <w:left w:val="nil"/>
          <w:bottom w:val="nil"/>
          <w:right w:val="nil"/>
          <w:between w:val="nil"/>
        </w:pBdr>
        <w:spacing w:after="0"/>
        <w:ind w:left="720"/>
        <w:jc w:val="both"/>
        <w:rPr>
          <w:rFonts w:ascii="Times New Roman" w:eastAsia="Arial" w:hAnsi="Times New Roman" w:cs="Times New Roman"/>
          <w:sz w:val="24"/>
          <w:szCs w:val="24"/>
        </w:rPr>
      </w:pPr>
    </w:p>
    <w:p w14:paraId="39EA908E" w14:textId="5BFBE7C4" w:rsidR="00EF7E6D" w:rsidRDefault="00EF7E6D">
      <w:pPr>
        <w:pBdr>
          <w:top w:val="nil"/>
          <w:left w:val="nil"/>
          <w:bottom w:val="nil"/>
          <w:right w:val="nil"/>
          <w:between w:val="nil"/>
        </w:pBdr>
        <w:spacing w:after="0"/>
        <w:ind w:left="720"/>
        <w:jc w:val="both"/>
        <w:rPr>
          <w:rFonts w:ascii="Times New Roman" w:eastAsia="Arial" w:hAnsi="Times New Roman" w:cs="Times New Roman"/>
          <w:sz w:val="24"/>
          <w:szCs w:val="24"/>
        </w:rPr>
      </w:pPr>
    </w:p>
    <w:p w14:paraId="69F7436F" w14:textId="4DE2F57B" w:rsidR="00935A79" w:rsidRDefault="00935A79">
      <w:pPr>
        <w:pBdr>
          <w:top w:val="nil"/>
          <w:left w:val="nil"/>
          <w:bottom w:val="nil"/>
          <w:right w:val="nil"/>
          <w:between w:val="nil"/>
        </w:pBdr>
        <w:spacing w:after="0"/>
        <w:ind w:left="720"/>
        <w:jc w:val="both"/>
        <w:rPr>
          <w:rFonts w:ascii="Times New Roman" w:eastAsia="Arial" w:hAnsi="Times New Roman" w:cs="Times New Roman"/>
          <w:sz w:val="24"/>
          <w:szCs w:val="24"/>
        </w:rPr>
      </w:pPr>
    </w:p>
    <w:p w14:paraId="16F048B4" w14:textId="1B21CCC7" w:rsidR="00935A79" w:rsidRDefault="00935A79">
      <w:pPr>
        <w:pBdr>
          <w:top w:val="nil"/>
          <w:left w:val="nil"/>
          <w:bottom w:val="nil"/>
          <w:right w:val="nil"/>
          <w:between w:val="nil"/>
        </w:pBdr>
        <w:spacing w:after="0"/>
        <w:ind w:left="720"/>
        <w:jc w:val="both"/>
        <w:rPr>
          <w:rFonts w:ascii="Times New Roman" w:eastAsia="Arial" w:hAnsi="Times New Roman" w:cs="Times New Roman"/>
          <w:sz w:val="24"/>
          <w:szCs w:val="24"/>
        </w:rPr>
      </w:pPr>
    </w:p>
    <w:p w14:paraId="7AB9A849" w14:textId="77777777" w:rsidR="00935A79" w:rsidRPr="00935A79" w:rsidRDefault="00935A79">
      <w:pPr>
        <w:pBdr>
          <w:top w:val="nil"/>
          <w:left w:val="nil"/>
          <w:bottom w:val="nil"/>
          <w:right w:val="nil"/>
          <w:between w:val="nil"/>
        </w:pBdr>
        <w:spacing w:after="0"/>
        <w:ind w:left="720"/>
        <w:jc w:val="both"/>
        <w:rPr>
          <w:rFonts w:ascii="Times New Roman" w:eastAsia="Arial" w:hAnsi="Times New Roman" w:cs="Times New Roman"/>
          <w:sz w:val="24"/>
          <w:szCs w:val="24"/>
        </w:rPr>
      </w:pPr>
    </w:p>
    <w:p w14:paraId="76B87578" w14:textId="77777777" w:rsidR="00EF7E6D" w:rsidRPr="00935A79" w:rsidRDefault="00EF7E6D">
      <w:pPr>
        <w:pBdr>
          <w:top w:val="nil"/>
          <w:left w:val="nil"/>
          <w:bottom w:val="nil"/>
          <w:right w:val="nil"/>
          <w:between w:val="nil"/>
        </w:pBdr>
        <w:spacing w:after="0"/>
        <w:ind w:left="720"/>
        <w:jc w:val="both"/>
        <w:rPr>
          <w:rFonts w:ascii="Times New Roman" w:eastAsia="Arial" w:hAnsi="Times New Roman" w:cs="Times New Roman"/>
          <w:sz w:val="24"/>
          <w:szCs w:val="24"/>
        </w:rPr>
      </w:pPr>
    </w:p>
    <w:p w14:paraId="1D7F6D4A" w14:textId="5C96AEAC" w:rsidR="00EF7E6D" w:rsidRPr="00935A79" w:rsidRDefault="001E2E90">
      <w:pPr>
        <w:pBdr>
          <w:top w:val="nil"/>
          <w:left w:val="nil"/>
          <w:bottom w:val="nil"/>
          <w:right w:val="nil"/>
          <w:between w:val="nil"/>
        </w:pBdr>
        <w:spacing w:after="0"/>
        <w:ind w:left="720"/>
        <w:jc w:val="center"/>
        <w:rPr>
          <w:rFonts w:ascii="Times New Roman" w:eastAsia="Arial" w:hAnsi="Times New Roman" w:cs="Times New Roman"/>
          <w:i/>
          <w:sz w:val="24"/>
          <w:szCs w:val="24"/>
        </w:rPr>
      </w:pPr>
      <w:r w:rsidRPr="00935A79">
        <w:rPr>
          <w:rFonts w:ascii="Times New Roman" w:eastAsia="Arial" w:hAnsi="Times New Roman" w:cs="Times New Roman"/>
          <w:b/>
          <w:sz w:val="24"/>
          <w:szCs w:val="24"/>
        </w:rPr>
        <w:lastRenderedPageBreak/>
        <w:t xml:space="preserve">PONENCIA PARA PRIMER DEBATE PARA EL PROYECTO DE LEY </w:t>
      </w:r>
      <w:r w:rsidRPr="00935A79">
        <w:rPr>
          <w:rFonts w:ascii="Times New Roman" w:eastAsia="Arial" w:hAnsi="Times New Roman" w:cs="Times New Roman"/>
          <w:b/>
          <w:i/>
          <w:sz w:val="24"/>
          <w:szCs w:val="24"/>
        </w:rPr>
        <w:t>079 de 2021 cámara "POR EL CUAL SE DICTAN NORMAS PARA LA PRESTACIÓN DE SERVICIOS PERSONALES DEL TALENTO HUMANO EN EL SECTOR DE LA SALUD Y SE DICTAN OTRAS DISPOSICIONES" acumulado con el proyecto de ley 220 de 2021 cámara "POR MEDIO DEL CUAL SE FOMENTA EL TRABAJO DIGNO DEL TALENTO HUMANO Y LA SOSTENIBILIDAD DEL SISTEMA DE SALUD Y SE DICTAN OTRAS DISPOSICIONES"</w:t>
      </w:r>
      <w:r w:rsidRPr="00935A79">
        <w:rPr>
          <w:rFonts w:ascii="Times New Roman" w:eastAsia="Arial" w:hAnsi="Times New Roman" w:cs="Times New Roman"/>
          <w:sz w:val="24"/>
          <w:szCs w:val="24"/>
        </w:rPr>
        <w:t>.</w:t>
      </w:r>
    </w:p>
    <w:p w14:paraId="3C906A8D" w14:textId="77777777" w:rsidR="00EF7E6D" w:rsidRPr="00935A79" w:rsidRDefault="00EF7E6D">
      <w:pPr>
        <w:pBdr>
          <w:top w:val="nil"/>
          <w:left w:val="nil"/>
          <w:bottom w:val="nil"/>
          <w:right w:val="nil"/>
          <w:between w:val="nil"/>
        </w:pBdr>
        <w:spacing w:after="0"/>
        <w:ind w:left="720"/>
        <w:jc w:val="center"/>
        <w:rPr>
          <w:rFonts w:ascii="Times New Roman" w:eastAsia="Arial" w:hAnsi="Times New Roman" w:cs="Times New Roman"/>
          <w:b/>
          <w:sz w:val="24"/>
          <w:szCs w:val="24"/>
        </w:rPr>
      </w:pPr>
    </w:p>
    <w:p w14:paraId="0B5485AF" w14:textId="77777777" w:rsidR="00EF7E6D" w:rsidRPr="00935A79" w:rsidRDefault="00EF7E6D">
      <w:pPr>
        <w:pBdr>
          <w:top w:val="nil"/>
          <w:left w:val="nil"/>
          <w:bottom w:val="nil"/>
          <w:right w:val="nil"/>
          <w:between w:val="nil"/>
        </w:pBdr>
        <w:spacing w:after="0"/>
        <w:ind w:left="720"/>
        <w:jc w:val="both"/>
        <w:rPr>
          <w:rFonts w:ascii="Times New Roman" w:eastAsia="Arial" w:hAnsi="Times New Roman" w:cs="Times New Roman"/>
          <w:sz w:val="24"/>
          <w:szCs w:val="24"/>
        </w:rPr>
      </w:pPr>
    </w:p>
    <w:p w14:paraId="4499319D" w14:textId="77777777" w:rsidR="00EF7E6D" w:rsidRPr="00935A79" w:rsidRDefault="001E2E90">
      <w:pPr>
        <w:numPr>
          <w:ilvl w:val="0"/>
          <w:numId w:val="2"/>
        </w:numPr>
        <w:pBdr>
          <w:top w:val="nil"/>
          <w:left w:val="nil"/>
          <w:bottom w:val="nil"/>
          <w:right w:val="nil"/>
          <w:between w:val="nil"/>
        </w:pBdr>
        <w:spacing w:after="0"/>
        <w:ind w:right="49"/>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t>OBJETO Y TRÁMITE DEL PROYECTO</w:t>
      </w:r>
    </w:p>
    <w:p w14:paraId="44111FDD" w14:textId="77777777" w:rsidR="00EF7E6D" w:rsidRPr="00935A79" w:rsidRDefault="001E2E90">
      <w:pPr>
        <w:shd w:val="clear" w:color="auto" w:fill="FFFFFF"/>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Los proyectos de ley sometidos a consideración tienen como objeto fomentar el trabajo digno del talento humano en el sector de la salud, a través de la implementación de distintas medidas a lo largo del articulado. Por un lado, se encuentra el proyecto de ley de autoría del Representante César Augusto Zorro, el cual  fue concertado, en sus aspectos fundamentales, con múltiples asociaciones del sector salud, tales como Médicos Unidos de Colombia, Bacteriólogos en Acción, Asociación de Prestadores de Salud Oral Colombiana, Sindicato Gremial Nacional de Optometría – SIGNO, Asociación Colombiana de Profesionales en Atención Pre Hospitalaria – ACOTAPH, Sindicato Nacional de Profesionales en Fonoaudiología, Fisioterapia y Terapia Ocupacional –SINALPROFFT, Acción Odontológica, Colegio Colombiano de Terapia Ocupacional, Asociación Colombiana de Facultades de Terapia Respiratoria – ACOLFATER, Psicólogos Unidos de Colombia, Agremiación de Cirujanos del Valle – ASCIVAL y  Asociación de Fonoaudiólogos Especialistas en Seguridad Salud y Trabajo.</w:t>
      </w:r>
    </w:p>
    <w:p w14:paraId="6000343B" w14:textId="77777777" w:rsidR="00EF7E6D" w:rsidRPr="00935A79" w:rsidRDefault="001E2E90">
      <w:pPr>
        <w:shd w:val="clear" w:color="auto" w:fill="FFFFFF"/>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Esta iniciativa tiene por objeto establecer que toda vinculación de los trabajadores de la salud, deberá hacerse por regla general mediante contrato laboral de trabajo y/o relación reglamentaria, por parte de las Empresas Promotoras de Salud (EPS), Instituciones Prestadoras de Salud y Empresas de Transporte Especial de Pacientes, sean públicas, privadas, mixtas, comunitarias o solidarias.</w:t>
      </w:r>
    </w:p>
    <w:p w14:paraId="02E09833" w14:textId="1BB7E217" w:rsidR="00EF7E6D"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Por otro lado, encontramos el proyecto de ley de autoría del Representante </w:t>
      </w:r>
      <w:proofErr w:type="spellStart"/>
      <w:r w:rsidRPr="00935A79">
        <w:rPr>
          <w:rFonts w:ascii="Times New Roman" w:eastAsia="Arial" w:hAnsi="Times New Roman" w:cs="Times New Roman"/>
          <w:sz w:val="24"/>
          <w:szCs w:val="24"/>
        </w:rPr>
        <w:t>Hernan</w:t>
      </w:r>
      <w:proofErr w:type="spellEnd"/>
      <w:r w:rsidRPr="00935A79">
        <w:rPr>
          <w:rFonts w:ascii="Times New Roman" w:eastAsia="Arial" w:hAnsi="Times New Roman" w:cs="Times New Roman"/>
          <w:sz w:val="24"/>
          <w:szCs w:val="24"/>
        </w:rPr>
        <w:t xml:space="preserve"> </w:t>
      </w:r>
      <w:proofErr w:type="spellStart"/>
      <w:r w:rsidRPr="00935A79">
        <w:rPr>
          <w:rFonts w:ascii="Times New Roman" w:eastAsia="Arial" w:hAnsi="Times New Roman" w:cs="Times New Roman"/>
          <w:sz w:val="24"/>
          <w:szCs w:val="24"/>
        </w:rPr>
        <w:t>Banguero</w:t>
      </w:r>
      <w:proofErr w:type="spellEnd"/>
      <w:r w:rsidRPr="00935A79">
        <w:rPr>
          <w:rFonts w:ascii="Times New Roman" w:eastAsia="Arial" w:hAnsi="Times New Roman" w:cs="Times New Roman"/>
          <w:sz w:val="24"/>
          <w:szCs w:val="24"/>
        </w:rPr>
        <w:t>. Esta iniciativa además de dictar medidas que dignifican el Talento Humano en Salud, establece medidas para la sostenibilidad del sistema.</w:t>
      </w:r>
    </w:p>
    <w:p w14:paraId="78694B84" w14:textId="7A830BDF" w:rsidR="00935A79" w:rsidRDefault="00935A79">
      <w:pPr>
        <w:shd w:val="clear" w:color="auto" w:fill="FFFFFF"/>
        <w:spacing w:before="240" w:after="160"/>
        <w:jc w:val="both"/>
        <w:rPr>
          <w:rFonts w:ascii="Times New Roman" w:eastAsia="Arial" w:hAnsi="Times New Roman" w:cs="Times New Roman"/>
          <w:sz w:val="24"/>
          <w:szCs w:val="24"/>
        </w:rPr>
      </w:pPr>
    </w:p>
    <w:p w14:paraId="106B7335" w14:textId="77777777" w:rsidR="00935A79" w:rsidRPr="00935A79" w:rsidRDefault="00935A79">
      <w:pPr>
        <w:shd w:val="clear" w:color="auto" w:fill="FFFFFF"/>
        <w:spacing w:before="240" w:after="160"/>
        <w:jc w:val="both"/>
        <w:rPr>
          <w:rFonts w:ascii="Times New Roman" w:eastAsia="Arial" w:hAnsi="Times New Roman" w:cs="Times New Roman"/>
          <w:sz w:val="24"/>
          <w:szCs w:val="24"/>
        </w:rPr>
      </w:pPr>
    </w:p>
    <w:p w14:paraId="7D3B8B0E" w14:textId="77777777" w:rsidR="00EF7E6D" w:rsidRPr="00935A79" w:rsidRDefault="00EF7E6D">
      <w:pPr>
        <w:spacing w:after="0"/>
        <w:jc w:val="both"/>
        <w:rPr>
          <w:rFonts w:ascii="Times New Roman" w:eastAsia="Arial" w:hAnsi="Times New Roman" w:cs="Times New Roman"/>
          <w:b/>
          <w:sz w:val="24"/>
          <w:szCs w:val="24"/>
        </w:rPr>
      </w:pPr>
    </w:p>
    <w:p w14:paraId="2A8124F4" w14:textId="09506D10" w:rsidR="00EF7E6D" w:rsidRPr="00935A79" w:rsidRDefault="001E2E90" w:rsidP="00935A79">
      <w:pPr>
        <w:numPr>
          <w:ilvl w:val="0"/>
          <w:numId w:val="2"/>
        </w:numPr>
        <w:spacing w:after="0"/>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lastRenderedPageBreak/>
        <w:t>CONTENIDO DE LA INICIATIVA LEGISLATIVA</w:t>
      </w:r>
    </w:p>
    <w:p w14:paraId="37737E7B"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Ambos proyectos establecen de manera expresa la prohibición de la celebración de contratos de prestación de servicios personales directos, las órdenes de prestación de servicios OPS, la intermediación y la tercerización laboral, en la vinculación del talento humano al servicio de la salud, salvo o excepto para los contratos de prestación de servicios personales, que exclusivamente tengan origen en relaciones de negocios jurídicos estrictamente comerciales, administrativos o civiles, sin que, para ese efecto probatorio, sea suficiente la sola exhibición del contrato correspondiente, conforme al principio constitucional de la primacía de la realidad sobre la formalidad.</w:t>
      </w:r>
    </w:p>
    <w:p w14:paraId="64C8065A"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Los autores aseguran que es de conocimiento público que la totalidad de las OPS del sector salud, son en esencia relaciones laborales que burlan las prestaciones económicas y sociales a las cuales tiene derecho la inmensa mayoría del talento humano al servicio de la salud, pasando por alto los derechos constitucionales, legales y prestacionales consagrados en las normas laborales vigentes.</w:t>
      </w:r>
    </w:p>
    <w:p w14:paraId="68A8AA72"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 lo largo de la exposición de motivos, las iniciativas ofrecen argumentos para eliminar el contrato de prestación de servicios personales y las órdenes de prestación de servicios personales, por parte de los empleadores del sector salud en Colombia. En tal sentido, explican que durante los últimos años la justicia colombiana y en especial las altas cortes, mediante diversos fallos que se constituyen en precedentes jurisprudenciales de obligatorio acatamiento, han desenmascarado el engaño de los contratos de prestación de servicios personales, no solamente contra el trabajador laboral, sino también, la violación a los preceptos constitucionales y legales, que protegen el derecho al trabajo digno, estable, con prestaciones económicas y sociales.</w:t>
      </w:r>
    </w:p>
    <w:p w14:paraId="299FCC01"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La administración de justicia ha proferido numerosos fallos que reconocen el contrato como una realidad laboral en relación con los contratos u órdenes de prestación de servicios, en tanto se demostró que el trabajador, estuvo sometido al cumplimiento del horario de atención de la entidad; que no delegó su prestación de servicio en terceras personas; que ejerció sus labores en las instalaciones del empleador o contratante; que tenía una remuneración periódica y; que su labor estaba subordinada bajo los condicionamientos fijados por el empleador de acuerdo con las necesidades del servicio. En la cosa juzgada de los fallos se invocó siempre el principio de la primacía de la realidad sobre las formalidades, para sustentar la transgresión de los derechos de los trabajadores, que fueron vinculados en forma ilegal mediante OPS o CPS.</w:t>
      </w:r>
    </w:p>
    <w:p w14:paraId="72620E1D"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En cuanto a la dignificación del talento humano, uno de los proyectos  busca reconocer un mínimo vital profesional para todos los trabajadores de la salud a nivel técnico, tecnólogo y </w:t>
      </w:r>
      <w:r w:rsidRPr="00935A79">
        <w:rPr>
          <w:rFonts w:ascii="Times New Roman" w:eastAsia="Arial" w:hAnsi="Times New Roman" w:cs="Times New Roman"/>
          <w:sz w:val="24"/>
          <w:szCs w:val="24"/>
        </w:rPr>
        <w:lastRenderedPageBreak/>
        <w:t xml:space="preserve">universitario, en recompensa a su esfuerzo económico y emocional en su formación académica. </w:t>
      </w:r>
    </w:p>
    <w:p w14:paraId="26C55269" w14:textId="6D74ABD8" w:rsidR="00EF7E6D" w:rsidRPr="00935A79" w:rsidRDefault="001E2E90" w:rsidP="00935A79">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En la misma línea, uno de los textos propone un piso mínimo de ingreso salarial, equivalente al setenta por ciento (70%) del salario mínimo legal mensual vigente SMLMV, por cada semestre de formación académica técnica, tecnológica y universitaria en </w:t>
      </w:r>
      <w:proofErr w:type="spellStart"/>
      <w:r w:rsidRPr="00935A79">
        <w:rPr>
          <w:rFonts w:ascii="Times New Roman" w:eastAsia="Arial" w:hAnsi="Times New Roman" w:cs="Times New Roman"/>
          <w:sz w:val="24"/>
          <w:szCs w:val="24"/>
        </w:rPr>
        <w:t>pregrado.Y</w:t>
      </w:r>
      <w:proofErr w:type="spellEnd"/>
      <w:r w:rsidRPr="00935A79">
        <w:rPr>
          <w:rFonts w:ascii="Times New Roman" w:eastAsia="Arial" w:hAnsi="Times New Roman" w:cs="Times New Roman"/>
          <w:sz w:val="24"/>
          <w:szCs w:val="24"/>
        </w:rPr>
        <w:t xml:space="preserve"> en ese mismo sentido, el proyecto reconoce un bono del diez por ciento (10%) adicional a su ingreso a los trabajadores de la salud, que prestan su servicio laboral en zonas de conflicto del país, para atender la población civil en medio del fuego y amenazas, con lo cual pone en peligro su integridad física. Dicho apoyo económico no será en ningún caso factor salarial para calcular prestaciones económicas y sociales. </w:t>
      </w:r>
    </w:p>
    <w:p w14:paraId="7AF7423C" w14:textId="77777777" w:rsidR="00EF7E6D" w:rsidRPr="00935A79" w:rsidRDefault="00EF7E6D">
      <w:pPr>
        <w:pBdr>
          <w:top w:val="nil"/>
          <w:left w:val="nil"/>
          <w:bottom w:val="nil"/>
          <w:right w:val="nil"/>
          <w:between w:val="nil"/>
        </w:pBdr>
        <w:spacing w:after="0"/>
        <w:jc w:val="both"/>
        <w:rPr>
          <w:rFonts w:ascii="Times New Roman" w:eastAsia="Arial" w:hAnsi="Times New Roman" w:cs="Times New Roman"/>
          <w:sz w:val="24"/>
          <w:szCs w:val="24"/>
        </w:rPr>
      </w:pPr>
    </w:p>
    <w:p w14:paraId="7AB4EB8F" w14:textId="77777777" w:rsidR="00EF7E6D" w:rsidRPr="00935A79" w:rsidRDefault="001E2E90">
      <w:pPr>
        <w:numPr>
          <w:ilvl w:val="0"/>
          <w:numId w:val="2"/>
        </w:numPr>
        <w:pBdr>
          <w:top w:val="nil"/>
          <w:left w:val="nil"/>
          <w:bottom w:val="nil"/>
          <w:right w:val="nil"/>
          <w:between w:val="nil"/>
        </w:pBdr>
        <w:spacing w:after="0"/>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t xml:space="preserve">ANTECEDENTES </w:t>
      </w:r>
    </w:p>
    <w:p w14:paraId="09BDBF38"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En la exposición de motivos, se argumenta que antes de la expedición de la Constitución de 1991, el panorama del THS era distinto a la situación actual, había estabilidad laboral, cláusulas de reintegro, restricciones a la contratación a término fijo o empleo temporal, pago de horas extras y compensatorios, retroactividad de las cesantías, entre otros.</w:t>
      </w:r>
    </w:p>
    <w:p w14:paraId="4F5D7AF8"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Luego con la Ley 100 de 1993 se modifican sustancialmente las reglas del sistema de salud, principalmente con el retiro del Estado en la prestación directa de los servicios y el establecimiento de la libre concurrencia regulada entre el sector privado y público en la prestación del servicio de salud. Además, se crean las entidades intermediarias del sector salud.</w:t>
      </w:r>
    </w:p>
    <w:p w14:paraId="50435BB4"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Actualmente, y en esta coyuntura de la pandemia del Coronavirus, es necesario reconfigurar algunas reglas del sistema en aras de garantizar una vinculación laboral estable.</w:t>
      </w:r>
    </w:p>
    <w:p w14:paraId="4321D98A"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Ahora, frente a la intermediación y tercerización laboral en el sector salud, el Gobierno Nacional a partir del año 2000 inició el proceso de tercerización laboral del talento humano, abriendo las puertas a las cooperativas de trabajo asociado, y también a las empresas temporales de servicios.</w:t>
      </w:r>
    </w:p>
    <w:p w14:paraId="04A3521C"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El Congreso de la República al expedir la ley 1164 de 2007, no se refirió a la modalidad de contratación del talento humano al servicio de la salud, ni tampoco a un ingreso salarial digno, dejando un vacío legal que permite otras modalidades de vinculación de los trabajadores de la salud, que son diferentes y opuestas a las disposiciones legales que rigen las relaciones laborales. Más adelante, la Ley 1429 de 2010 señaló que el talento humano misional permanente no se podía vincular a través de precooperativas y cooperativas de trabajo asociado.</w:t>
      </w:r>
    </w:p>
    <w:p w14:paraId="0891C0E3"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En el año 2011 se expidió la Ley 1438 que permitió la tercerización de servicios completos en las empresas sociales del estado, desmontando así, una de las principales responsabilidades públicas en la prestación de servicios de salud, mandato que fue condicionado por la Corte Constitucional para actividades no misionales.</w:t>
      </w:r>
    </w:p>
    <w:p w14:paraId="5AA1673B"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Años más tarde, el Congreso de la República expidió la Ley Estatutaria 1741 de 2015, por medio de la cual se regula el derecho fundamental a la salud. Esta Ley en su artículo 18 señala que, el talento humano en salud, debe ampararse por condiciones laborales justas, dignas y con estabilidad.</w:t>
      </w:r>
    </w:p>
    <w:p w14:paraId="7D02270F" w14:textId="77777777" w:rsidR="00EF7E6D" w:rsidRPr="00935A79" w:rsidRDefault="001E2E90">
      <w:pPr>
        <w:shd w:val="clear" w:color="auto" w:fill="FFFFFF"/>
        <w:spacing w:before="240" w:after="3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El Decreto 583 de 2016 se encargó de reglamentar el artículo 63 de la Ley 1429 de 2010. Esta normatividad buscó darle piso legal a la tercerización laboral para los eventos que no se tratará de actividades misionales de las entidades públicas y privadas del sector salud, desconociendo los avances en esta materia. Además, dispuso que esas entidades podían tercerizar las actividades misionales permanentes, siempre que fuera respetadas las normas laborales vigentes, entrando en abierta contradicción con el mandato de Ley 1429 de 2010 en estos asuntos, es decir que, en vez de reglamentar la Ley, lo que hizo este decreto fue modificarla sustancialmente. </w:t>
      </w:r>
    </w:p>
    <w:p w14:paraId="0931FE3E" w14:textId="2FF15DAE" w:rsidR="00EF7E6D" w:rsidRPr="00935A79" w:rsidRDefault="001E2E90" w:rsidP="00935A79">
      <w:pPr>
        <w:shd w:val="clear" w:color="auto" w:fill="FFFFFF"/>
        <w:spacing w:before="240" w:after="3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Por último, aseguran los autores, que a pesar de que existen diferentes proyectos de ley en trámite, ninguno de ellos hace expresa la prohibición de los contratos y órdenes de prestación de servicios para la vinculación permanente del talento humano. En consecuencia, no se ha podido reglamentar a través del legislador condiciones laborales dignas y justas para los trabajadores de la salud en el país, simplemente se vienen impulsando unos acuerdos de formalización laboral con entidades públicas y privadas, que no tienen un impacto normativo real. </w:t>
      </w:r>
    </w:p>
    <w:p w14:paraId="5DF355E8" w14:textId="77777777" w:rsidR="00EF7E6D" w:rsidRPr="00935A79" w:rsidRDefault="00EF7E6D">
      <w:pPr>
        <w:pBdr>
          <w:top w:val="nil"/>
          <w:left w:val="nil"/>
          <w:bottom w:val="nil"/>
          <w:right w:val="nil"/>
          <w:between w:val="nil"/>
        </w:pBdr>
        <w:spacing w:after="0"/>
        <w:jc w:val="center"/>
        <w:rPr>
          <w:rFonts w:ascii="Times New Roman" w:eastAsia="Arial" w:hAnsi="Times New Roman" w:cs="Times New Roman"/>
          <w:b/>
          <w:sz w:val="24"/>
          <w:szCs w:val="24"/>
        </w:rPr>
      </w:pPr>
    </w:p>
    <w:p w14:paraId="5B3386C3" w14:textId="59A39861" w:rsidR="00EF7E6D" w:rsidRPr="00935A79" w:rsidRDefault="001E2E90" w:rsidP="00935A79">
      <w:pPr>
        <w:numPr>
          <w:ilvl w:val="0"/>
          <w:numId w:val="2"/>
        </w:numPr>
        <w:pBdr>
          <w:top w:val="nil"/>
          <w:left w:val="nil"/>
          <w:bottom w:val="nil"/>
          <w:right w:val="nil"/>
          <w:between w:val="nil"/>
        </w:pBdr>
        <w:spacing w:after="0"/>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t>JUSTIFICACIÓN</w:t>
      </w:r>
    </w:p>
    <w:p w14:paraId="62C5CCBE" w14:textId="77777777" w:rsidR="00EF7E6D" w:rsidRPr="00935A79" w:rsidRDefault="00EF7E6D">
      <w:pPr>
        <w:widowControl w:val="0"/>
        <w:spacing w:after="0"/>
        <w:rPr>
          <w:rFonts w:ascii="Times New Roman" w:eastAsia="Arial" w:hAnsi="Times New Roman" w:cs="Times New Roman"/>
          <w:b/>
          <w:sz w:val="24"/>
          <w:szCs w:val="24"/>
        </w:rPr>
      </w:pPr>
    </w:p>
    <w:p w14:paraId="594C700F" w14:textId="77777777" w:rsidR="00EF7E6D" w:rsidRPr="00935A79" w:rsidRDefault="001E2E90">
      <w:pPr>
        <w:widowControl w:val="0"/>
        <w:spacing w:after="0"/>
        <w:ind w:right="537"/>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De acuerdo a la exposición de motivos, Colombia tiene un sistema de salud incluyente; mucho mejor que otros sistemas de orden internacional. El sistema colombiano cuenta con mayores posibilidades financieras y a pesar de los cerca de veinticinco billones de pesos ($25.000.000.000.000) anuales que cuesta sólo el Régimen Subsidiado, nuestra Unidad de Pago por Capitación (UPC) es menor que la de países con similitudes con el nuestro, dentro de los cuales citaría inicialmente Chile y México.</w:t>
      </w:r>
    </w:p>
    <w:p w14:paraId="6473E3E3" w14:textId="77777777" w:rsidR="00EF7E6D" w:rsidRPr="00935A79" w:rsidRDefault="00EF7E6D">
      <w:pPr>
        <w:widowControl w:val="0"/>
        <w:spacing w:before="11" w:after="0"/>
        <w:jc w:val="both"/>
        <w:rPr>
          <w:rFonts w:ascii="Times New Roman" w:eastAsia="Arial" w:hAnsi="Times New Roman" w:cs="Times New Roman"/>
          <w:sz w:val="24"/>
          <w:szCs w:val="24"/>
        </w:rPr>
      </w:pPr>
    </w:p>
    <w:p w14:paraId="4CFA5FA5" w14:textId="77777777"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Y aunque tal vez la menor capitación pueda incidir en bajos salarios del personal asistencial y/o en imposibilidades para que sobre todo los Hospitales Públicos hayan podido formalizar contractualmente a los médicos y demás personal asistencial, a juicio </w:t>
      </w:r>
      <w:r w:rsidRPr="00935A79">
        <w:rPr>
          <w:rFonts w:ascii="Times New Roman" w:eastAsia="Arial" w:hAnsi="Times New Roman" w:cs="Times New Roman"/>
          <w:sz w:val="24"/>
          <w:szCs w:val="24"/>
        </w:rPr>
        <w:lastRenderedPageBreak/>
        <w:t>de los autores hay cuatro (4) problemas mucho más neurálgicos que no han permitido que el sistema sea mejor: Aseguramiento en el Régimen Subsidiado en Salud, Hospitales públicos, Déficit de especialistas y Giro directo de la UPC.</w:t>
      </w:r>
    </w:p>
    <w:p w14:paraId="3C341129" w14:textId="77777777" w:rsidR="00EF7E6D" w:rsidRPr="00935A79" w:rsidRDefault="00EF7E6D">
      <w:pPr>
        <w:widowControl w:val="0"/>
        <w:spacing w:after="0"/>
        <w:ind w:left="482" w:right="535"/>
        <w:jc w:val="both"/>
        <w:rPr>
          <w:rFonts w:ascii="Times New Roman" w:eastAsia="Arial" w:hAnsi="Times New Roman" w:cs="Times New Roman"/>
          <w:sz w:val="24"/>
          <w:szCs w:val="24"/>
        </w:rPr>
      </w:pPr>
    </w:p>
    <w:p w14:paraId="34833207" w14:textId="5E8A6832" w:rsidR="00EF7E6D" w:rsidRPr="00935A79" w:rsidRDefault="001B16EC" w:rsidP="001B16EC">
      <w:pPr>
        <w:widowControl w:val="0"/>
        <w:spacing w:after="0"/>
        <w:ind w:right="535"/>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1. </w:t>
      </w:r>
      <w:r w:rsidR="001E2E90" w:rsidRPr="00935A79">
        <w:rPr>
          <w:rFonts w:ascii="Times New Roman" w:eastAsia="Arial" w:hAnsi="Times New Roman" w:cs="Times New Roman"/>
          <w:b/>
          <w:sz w:val="24"/>
          <w:szCs w:val="24"/>
        </w:rPr>
        <w:t>Aseguramiento en el Régimen Subsidiado en Salud.</w:t>
      </w:r>
      <w:r w:rsidR="001E2E90" w:rsidRPr="00935A79">
        <w:rPr>
          <w:rFonts w:ascii="Times New Roman" w:eastAsia="Arial" w:hAnsi="Times New Roman" w:cs="Times New Roman"/>
          <w:sz w:val="24"/>
          <w:szCs w:val="24"/>
        </w:rPr>
        <w:t xml:space="preserve"> El Aseguramiento en el Régimen Subsidiado en Salud hizo agua y todos los estamentos del país, incluidas la Presidencia de la República, el Ministerio de Salud, la Superintendencia Nacional de Salud, la Fiscalía General de la Nación, la Contraloría General de la República, la Procuraduría General de la Nación, la Defensoría del Pueblo, las Altas Cortes y desafortunadamente el Congreso mismo, asistimos impávidos a irregularidades diarias que han causado que se empeore el estado de salud de los colombianos y que se mueran muchos más colombianos de lo debido en un entorno de aseguramiento universal como el que hoy tenemos, sin contar con las multimillonarias deudas que año a año acumulan las Empresas Administradoras de Planes de Beneficio (EAPB) amen de otra multimillonaria cantidad ya incobrable en cabeza de las que también año a año han sido y seguirán siendo liquidadas por ilíquidas e insolventes.</w:t>
      </w:r>
    </w:p>
    <w:p w14:paraId="2823121B" w14:textId="77777777" w:rsidR="00EF7E6D" w:rsidRPr="00935A79" w:rsidRDefault="00EF7E6D">
      <w:pPr>
        <w:widowControl w:val="0"/>
        <w:spacing w:after="0"/>
        <w:ind w:left="360" w:right="535"/>
        <w:jc w:val="both"/>
        <w:rPr>
          <w:rFonts w:ascii="Times New Roman" w:eastAsia="Arial" w:hAnsi="Times New Roman" w:cs="Times New Roman"/>
          <w:sz w:val="24"/>
          <w:szCs w:val="24"/>
        </w:rPr>
      </w:pPr>
    </w:p>
    <w:p w14:paraId="647A6E4C" w14:textId="77777777" w:rsidR="00EF7E6D" w:rsidRPr="00935A79" w:rsidRDefault="001E2E90" w:rsidP="001B16EC">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Sea oportuno además mencionar lo costoso y lo ineficaz que resulta para el sistema de salud, la intermediación financiera de las EPS:</w:t>
      </w:r>
    </w:p>
    <w:p w14:paraId="47E6474E" w14:textId="77777777" w:rsidR="00EF7E6D" w:rsidRPr="00935A79" w:rsidRDefault="001E2E90">
      <w:pPr>
        <w:widowControl w:val="0"/>
        <w:numPr>
          <w:ilvl w:val="0"/>
          <w:numId w:val="1"/>
        </w:numPr>
        <w:spacing w:after="0"/>
        <w:ind w:left="1080"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En primer lugar mediante el 8% de intermediación, que equivale a más de dos billones de pesos ($2.000.000.000.000) anuales.</w:t>
      </w:r>
    </w:p>
    <w:p w14:paraId="684A522D" w14:textId="77777777" w:rsidR="00EF7E6D" w:rsidRPr="00935A79" w:rsidRDefault="001E2E90">
      <w:pPr>
        <w:widowControl w:val="0"/>
        <w:numPr>
          <w:ilvl w:val="0"/>
          <w:numId w:val="1"/>
        </w:numPr>
        <w:spacing w:after="0"/>
        <w:ind w:left="1080"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En segundo lugar mediante el 30% que destinan para integración vertical, que equivale a cerca de siete billones y medio de pesos ($7.500.000.000.000) anuales.</w:t>
      </w:r>
    </w:p>
    <w:p w14:paraId="063F7632" w14:textId="77777777" w:rsidR="00EF7E6D" w:rsidRPr="00935A79" w:rsidRDefault="001E2E90">
      <w:pPr>
        <w:widowControl w:val="0"/>
        <w:numPr>
          <w:ilvl w:val="0"/>
          <w:numId w:val="1"/>
        </w:numPr>
        <w:spacing w:after="0"/>
        <w:ind w:left="1080"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En tercer lugar el valor de la UPCS diferencial que aunque la reciben no se la trasladan a los prestadores, reteniendo entonces por esa vía cerca de cinco billones de pesos ($5.000.000.000.000) anuales más.</w:t>
      </w:r>
    </w:p>
    <w:p w14:paraId="4BA61A94" w14:textId="1E56C754" w:rsidR="00EF7E6D" w:rsidRPr="00935A79" w:rsidRDefault="001E2E90">
      <w:pPr>
        <w:widowControl w:val="0"/>
        <w:numPr>
          <w:ilvl w:val="0"/>
          <w:numId w:val="1"/>
        </w:numPr>
        <w:spacing w:after="0"/>
        <w:ind w:left="1080"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En cuarto </w:t>
      </w:r>
      <w:r w:rsidR="001B16EC" w:rsidRPr="00935A79">
        <w:rPr>
          <w:rFonts w:ascii="Times New Roman" w:eastAsia="Arial" w:hAnsi="Times New Roman" w:cs="Times New Roman"/>
          <w:sz w:val="24"/>
          <w:szCs w:val="24"/>
        </w:rPr>
        <w:t>lugar,</w:t>
      </w:r>
      <w:r w:rsidRPr="00935A79">
        <w:rPr>
          <w:rFonts w:ascii="Times New Roman" w:eastAsia="Arial" w:hAnsi="Times New Roman" w:cs="Times New Roman"/>
          <w:sz w:val="24"/>
          <w:szCs w:val="24"/>
        </w:rPr>
        <w:t xml:space="preserve"> el valor del aumento de la UPCS anual del que trasladan a los prestadores aproximadamente solo el 50%, significando otro medio billón de pesos ($500.000.000.000) anuales adicionales.</w:t>
      </w:r>
    </w:p>
    <w:p w14:paraId="3E56855E"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18474CAE" w14:textId="2F70DD68"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Así las </w:t>
      </w:r>
      <w:r w:rsidR="001B16EC" w:rsidRPr="00935A79">
        <w:rPr>
          <w:rFonts w:ascii="Times New Roman" w:eastAsia="Arial" w:hAnsi="Times New Roman" w:cs="Times New Roman"/>
          <w:sz w:val="24"/>
          <w:szCs w:val="24"/>
        </w:rPr>
        <w:t>cosas,</w:t>
      </w:r>
      <w:r w:rsidRPr="00935A79">
        <w:rPr>
          <w:rFonts w:ascii="Times New Roman" w:eastAsia="Arial" w:hAnsi="Times New Roman" w:cs="Times New Roman"/>
          <w:sz w:val="24"/>
          <w:szCs w:val="24"/>
        </w:rPr>
        <w:t xml:space="preserve"> pueden ser hasta quince billones de pesos ($15.000.000.000.000), el sesenta por ciento (60%) de los veinticinco billones de pesos ($25.000.000.000.000) que cuesta el régimen subsidiado, el porcentaje que debiendo llegar a la prestación de servicios en los Hospitales Públicos de todos los rincones de nuestro país, no llega; no llega donde está la gente que más lo necesita, que lo necesita oportunamente y sin dilaciones, aprobaciones, ni ninguna otra condición adicional.</w:t>
      </w:r>
    </w:p>
    <w:p w14:paraId="02556769"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216CE377" w14:textId="417F9437"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El ministro de Salud y Protección Social</w:t>
      </w:r>
      <w:r w:rsidR="001B16EC">
        <w:rPr>
          <w:rFonts w:ascii="Times New Roman" w:eastAsia="Arial" w:hAnsi="Times New Roman" w:cs="Times New Roman"/>
          <w:sz w:val="24"/>
          <w:szCs w:val="24"/>
        </w:rPr>
        <w:t>,</w:t>
      </w:r>
      <w:r w:rsidRPr="00935A79">
        <w:rPr>
          <w:rFonts w:ascii="Times New Roman" w:eastAsia="Arial" w:hAnsi="Times New Roman" w:cs="Times New Roman"/>
          <w:sz w:val="24"/>
          <w:szCs w:val="24"/>
        </w:rPr>
        <w:t xml:space="preserve"> Fernando Ruiz</w:t>
      </w:r>
      <w:r w:rsidR="001B16EC">
        <w:rPr>
          <w:rFonts w:ascii="Times New Roman" w:eastAsia="Arial" w:hAnsi="Times New Roman" w:cs="Times New Roman"/>
          <w:sz w:val="24"/>
          <w:szCs w:val="24"/>
        </w:rPr>
        <w:t>,</w:t>
      </w:r>
      <w:r w:rsidRPr="00935A79">
        <w:rPr>
          <w:rFonts w:ascii="Times New Roman" w:eastAsia="Arial" w:hAnsi="Times New Roman" w:cs="Times New Roman"/>
          <w:sz w:val="24"/>
          <w:szCs w:val="24"/>
        </w:rPr>
        <w:t xml:space="preserve"> en su artículo Modelo Integral de Atención en Salud (MIAS), en Agenda de Salud 2018 afirmó: “Ante este panorama </w:t>
      </w:r>
      <w:r w:rsidRPr="00935A79">
        <w:rPr>
          <w:rFonts w:ascii="Times New Roman" w:eastAsia="Arial" w:hAnsi="Times New Roman" w:cs="Times New Roman"/>
          <w:sz w:val="24"/>
          <w:szCs w:val="24"/>
        </w:rPr>
        <w:lastRenderedPageBreak/>
        <w:t>y la magnitud de la deuda, habría de esperarse que el proceso de RECUPERACIÓN de las EPS, dejara depuradas al final de largo periodo las EPS que quedarían operando en el país. Sin embargo el plan a 10 años, de los cuales van 3, parece ser muy lento si no se toman medidas radicales cuando las EPS no cumplan con el compromiso anual. La laxitud y debilidad en estas acciones es contraproducente. La depuración debería correr más rápido”.</w:t>
      </w:r>
    </w:p>
    <w:p w14:paraId="695F082C"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7DC97CD0" w14:textId="74950E22" w:rsidR="00EF7E6D" w:rsidRPr="00935A79" w:rsidRDefault="001B16EC" w:rsidP="001B16EC">
      <w:pPr>
        <w:widowControl w:val="0"/>
        <w:spacing w:after="0"/>
        <w:ind w:right="535"/>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2. </w:t>
      </w:r>
      <w:r w:rsidR="001E2E90" w:rsidRPr="00935A79">
        <w:rPr>
          <w:rFonts w:ascii="Times New Roman" w:eastAsia="Arial" w:hAnsi="Times New Roman" w:cs="Times New Roman"/>
          <w:b/>
          <w:sz w:val="24"/>
          <w:szCs w:val="24"/>
        </w:rPr>
        <w:t>Hospitales públicos.</w:t>
      </w:r>
      <w:r w:rsidR="001E2E90" w:rsidRPr="00935A79">
        <w:rPr>
          <w:rFonts w:ascii="Times New Roman" w:eastAsia="Arial" w:hAnsi="Times New Roman" w:cs="Times New Roman"/>
          <w:sz w:val="24"/>
          <w:szCs w:val="24"/>
        </w:rPr>
        <w:t xml:space="preserve"> Los Hospitales Públicos y mucho más en esta pandemia, son los que han llevado el mayor peso en la resolución de salud de los más pobres del país, bien sea:</w:t>
      </w:r>
    </w:p>
    <w:p w14:paraId="35C628EE" w14:textId="77777777" w:rsidR="00EF7E6D" w:rsidRPr="00935A79" w:rsidRDefault="00EF7E6D">
      <w:pPr>
        <w:widowControl w:val="0"/>
        <w:spacing w:after="0"/>
        <w:ind w:left="720"/>
        <w:jc w:val="both"/>
        <w:rPr>
          <w:rFonts w:ascii="Times New Roman" w:eastAsia="Arial" w:hAnsi="Times New Roman" w:cs="Times New Roman"/>
          <w:sz w:val="24"/>
          <w:szCs w:val="24"/>
        </w:rPr>
      </w:pPr>
    </w:p>
    <w:p w14:paraId="0E1D058F" w14:textId="77777777" w:rsidR="00EF7E6D" w:rsidRPr="00935A79" w:rsidRDefault="001E2E90">
      <w:pPr>
        <w:widowControl w:val="0"/>
        <w:numPr>
          <w:ilvl w:val="0"/>
          <w:numId w:val="4"/>
        </w:numPr>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Tomando oportunamente las pruebas </w:t>
      </w:r>
      <w:proofErr w:type="spellStart"/>
      <w:r w:rsidRPr="00935A79">
        <w:rPr>
          <w:rFonts w:ascii="Times New Roman" w:eastAsia="Arial" w:hAnsi="Times New Roman" w:cs="Times New Roman"/>
          <w:sz w:val="24"/>
          <w:szCs w:val="24"/>
        </w:rPr>
        <w:t>Covid</w:t>
      </w:r>
      <w:proofErr w:type="spellEnd"/>
      <w:r w:rsidRPr="00935A79">
        <w:rPr>
          <w:rFonts w:ascii="Times New Roman" w:eastAsia="Arial" w:hAnsi="Times New Roman" w:cs="Times New Roman"/>
          <w:sz w:val="24"/>
          <w:szCs w:val="24"/>
        </w:rPr>
        <w:t xml:space="preserve"> 19 con su correspondiente costo de educación y especialización del personal.</w:t>
      </w:r>
    </w:p>
    <w:p w14:paraId="0A6B034A" w14:textId="77777777" w:rsidR="00EF7E6D" w:rsidRPr="00935A79" w:rsidRDefault="001E2E90">
      <w:pPr>
        <w:widowControl w:val="0"/>
        <w:numPr>
          <w:ilvl w:val="0"/>
          <w:numId w:val="4"/>
        </w:numPr>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Abriendo Unidades de Cuidados Intensivos (UCI), que a pesar del apoyo del gobierno nacional, ha implicado nuevos costos de adecuación de infraestructura y equipos</w:t>
      </w:r>
    </w:p>
    <w:p w14:paraId="4669D42C" w14:textId="77777777" w:rsidR="00EF7E6D" w:rsidRPr="00935A79" w:rsidRDefault="001E2E90">
      <w:pPr>
        <w:widowControl w:val="0"/>
        <w:numPr>
          <w:ilvl w:val="0"/>
          <w:numId w:val="4"/>
        </w:numPr>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Coadyuvando con la vacunación, para lo cual de nuevo fue necesario incurrir en costos de adecuación y educación del personal, y sobre todo</w:t>
      </w:r>
    </w:p>
    <w:p w14:paraId="64FD6EDA" w14:textId="77777777" w:rsidR="00EF7E6D" w:rsidRPr="00935A79" w:rsidRDefault="001E2E90">
      <w:pPr>
        <w:widowControl w:val="0"/>
        <w:numPr>
          <w:ilvl w:val="0"/>
          <w:numId w:val="4"/>
        </w:numPr>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Asumiendo inmensos sobrecostos de los Elementos de Protección Personal, elementos de los cuales además ha aumentado la variedad, calidad y periodicidad requerida.</w:t>
      </w:r>
    </w:p>
    <w:p w14:paraId="38AB5EB6"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215D3DDE" w14:textId="1B92D327" w:rsidR="00EF7E6D" w:rsidRPr="00935A79" w:rsidRDefault="001B16EC" w:rsidP="001B16EC">
      <w:pPr>
        <w:widowControl w:val="0"/>
        <w:spacing w:after="0"/>
        <w:ind w:right="535"/>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3. </w:t>
      </w:r>
      <w:r w:rsidR="001E2E90" w:rsidRPr="00935A79">
        <w:rPr>
          <w:rFonts w:ascii="Times New Roman" w:eastAsia="Arial" w:hAnsi="Times New Roman" w:cs="Times New Roman"/>
          <w:b/>
          <w:sz w:val="24"/>
          <w:szCs w:val="24"/>
        </w:rPr>
        <w:t>Déficit de especialistas.</w:t>
      </w:r>
      <w:r w:rsidR="001E2E90" w:rsidRPr="00935A79">
        <w:rPr>
          <w:rFonts w:ascii="Times New Roman" w:eastAsia="Arial" w:hAnsi="Times New Roman" w:cs="Times New Roman"/>
          <w:sz w:val="24"/>
          <w:szCs w:val="24"/>
        </w:rPr>
        <w:t xml:space="preserve"> En Colombia solo hay cerca de 27.000 especialistas de los 40.000 que necesita nuestro país, y hasta ahora las Instituciones de Educación Superior que ofrecen especialidades clínicas, quirúrgicas y diagnósticas en medicina, siguen abriendo promociones a cuenta gotas de apenas 2 o 3 especialistas por promoción, paso al que nunca vamos a llegar a la cobertura que logre aumentar nuestro nivel de calidad de vida y por ende disminuya la posibilidad de enfermar y de morir.</w:t>
      </w:r>
    </w:p>
    <w:p w14:paraId="111B27A5"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59CCAF0B" w14:textId="77777777"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Al respecto es importante traer a colación algunos pronunciamientos. Gustavo Quintero, presidente de la junta directiva de la Asociación Colombiana de Facultades de Medicina (ASCOFAME) asegura que:</w:t>
      </w:r>
    </w:p>
    <w:p w14:paraId="1C642B7D" w14:textId="77777777" w:rsidR="00EF7E6D" w:rsidRPr="00935A79" w:rsidRDefault="00EF7E6D">
      <w:pPr>
        <w:shd w:val="clear" w:color="auto" w:fill="FFFFFF"/>
        <w:spacing w:after="0"/>
        <w:jc w:val="both"/>
        <w:rPr>
          <w:rFonts w:ascii="Times New Roman" w:eastAsia="Montserrat" w:hAnsi="Times New Roman" w:cs="Times New Roman"/>
          <w:sz w:val="24"/>
          <w:szCs w:val="24"/>
        </w:rPr>
      </w:pPr>
    </w:p>
    <w:p w14:paraId="49E522DE" w14:textId="3621580C" w:rsidR="00EF7E6D" w:rsidRPr="001B16EC" w:rsidRDefault="001E2E90">
      <w:pPr>
        <w:widowControl w:val="0"/>
        <w:spacing w:after="0"/>
        <w:ind w:left="708" w:right="1071"/>
        <w:jc w:val="both"/>
        <w:rPr>
          <w:rFonts w:ascii="Times New Roman" w:eastAsia="Arial" w:hAnsi="Times New Roman" w:cs="Times New Roman"/>
          <w:i/>
          <w:iCs/>
          <w:sz w:val="24"/>
          <w:szCs w:val="24"/>
        </w:rPr>
      </w:pPr>
      <w:r w:rsidRPr="001B16EC">
        <w:rPr>
          <w:rFonts w:ascii="Times New Roman" w:eastAsia="Arial" w:hAnsi="Times New Roman" w:cs="Times New Roman"/>
          <w:i/>
          <w:iCs/>
          <w:sz w:val="24"/>
          <w:szCs w:val="24"/>
        </w:rPr>
        <w:t xml:space="preserve">“…el déficit de profesionales especializados en las distintas ramas de la medicina, incluyendo enfermeras y auxiliares de enfermería, es un problema que se ha intensificado con la coyuntura actual, sin embargo, tiene años latente en el país. Hoy, de los 110 mil médicos que hacen vida en el territorio nacional, 27 mil son especialistas y apenas 1.200 son intensivistas. Una desproporcionada cantidad frente a los 50 millones de colombianos que habitan el </w:t>
      </w:r>
      <w:proofErr w:type="gramStart"/>
      <w:r w:rsidRPr="001B16EC">
        <w:rPr>
          <w:rFonts w:ascii="Times New Roman" w:eastAsia="Arial" w:hAnsi="Times New Roman" w:cs="Times New Roman"/>
          <w:i/>
          <w:iCs/>
          <w:sz w:val="24"/>
          <w:szCs w:val="24"/>
        </w:rPr>
        <w:t>país</w:t>
      </w:r>
      <w:r w:rsidR="001B16EC">
        <w:rPr>
          <w:rFonts w:ascii="Times New Roman" w:eastAsia="Arial" w:hAnsi="Times New Roman" w:cs="Times New Roman"/>
          <w:i/>
          <w:iCs/>
          <w:sz w:val="24"/>
          <w:szCs w:val="24"/>
        </w:rPr>
        <w:t>(</w:t>
      </w:r>
      <w:proofErr w:type="gramEnd"/>
      <w:r w:rsidR="001B16EC">
        <w:rPr>
          <w:rFonts w:ascii="Times New Roman" w:eastAsia="Arial" w:hAnsi="Times New Roman" w:cs="Times New Roman"/>
          <w:i/>
          <w:iCs/>
          <w:sz w:val="24"/>
          <w:szCs w:val="24"/>
        </w:rPr>
        <w:t>…)</w:t>
      </w:r>
    </w:p>
    <w:p w14:paraId="76776AEC"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5E4DDC7D" w14:textId="77777777" w:rsidR="00EF7E6D" w:rsidRPr="001B16EC" w:rsidRDefault="001E2E90">
      <w:pPr>
        <w:widowControl w:val="0"/>
        <w:spacing w:after="0"/>
        <w:ind w:left="708" w:right="1071"/>
        <w:jc w:val="both"/>
        <w:rPr>
          <w:rFonts w:ascii="Times New Roman" w:eastAsia="Arial" w:hAnsi="Times New Roman" w:cs="Times New Roman"/>
          <w:i/>
          <w:iCs/>
          <w:sz w:val="24"/>
          <w:szCs w:val="24"/>
        </w:rPr>
      </w:pPr>
      <w:r w:rsidRPr="001B16EC">
        <w:rPr>
          <w:rFonts w:ascii="Times New Roman" w:eastAsia="Arial" w:hAnsi="Times New Roman" w:cs="Times New Roman"/>
          <w:i/>
          <w:iCs/>
          <w:sz w:val="24"/>
          <w:szCs w:val="24"/>
        </w:rPr>
        <w:t>Antes de la pandemia, explica el doctor Quintero, un intensivista lideraba hasta tres Unidades de Cuidados Intensivos al mismo tiempo. Hoy, la responsabilidad se multiplica, pues, formar a un especialista en esta rama requiere de, al menos, tres años de formación académica y práctica...”</w:t>
      </w:r>
    </w:p>
    <w:p w14:paraId="6C1091E2"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52B96936" w14:textId="77777777"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Juan José Rey Serrano, decano de la Facultad de Ciencias de la Salud de la UNAB afirma:</w:t>
      </w:r>
    </w:p>
    <w:p w14:paraId="2E061BDA"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3B674EDD" w14:textId="340D2A36" w:rsidR="00EF7E6D" w:rsidRPr="001B16EC" w:rsidRDefault="001E2E90">
      <w:pPr>
        <w:widowControl w:val="0"/>
        <w:spacing w:after="0"/>
        <w:ind w:left="708" w:right="1071"/>
        <w:jc w:val="both"/>
        <w:rPr>
          <w:rFonts w:ascii="Times New Roman" w:eastAsia="Arial" w:hAnsi="Times New Roman" w:cs="Times New Roman"/>
          <w:i/>
          <w:iCs/>
          <w:sz w:val="24"/>
          <w:szCs w:val="24"/>
        </w:rPr>
      </w:pPr>
      <w:r w:rsidRPr="001B16EC">
        <w:rPr>
          <w:rFonts w:ascii="Times New Roman" w:eastAsia="Arial" w:hAnsi="Times New Roman" w:cs="Times New Roman"/>
          <w:i/>
          <w:iCs/>
          <w:sz w:val="24"/>
          <w:szCs w:val="24"/>
        </w:rPr>
        <w:t>“</w:t>
      </w:r>
      <w:r w:rsidR="001B16EC">
        <w:rPr>
          <w:rFonts w:ascii="Times New Roman" w:eastAsia="Arial" w:hAnsi="Times New Roman" w:cs="Times New Roman"/>
          <w:i/>
          <w:iCs/>
          <w:sz w:val="24"/>
          <w:szCs w:val="24"/>
        </w:rPr>
        <w:t>(</w:t>
      </w:r>
      <w:r w:rsidRPr="001B16EC">
        <w:rPr>
          <w:rFonts w:ascii="Times New Roman" w:eastAsia="Arial" w:hAnsi="Times New Roman" w:cs="Times New Roman"/>
          <w:i/>
          <w:iCs/>
          <w:sz w:val="24"/>
          <w:szCs w:val="24"/>
        </w:rPr>
        <w:t>…</w:t>
      </w:r>
      <w:r w:rsidR="001B16EC">
        <w:rPr>
          <w:rFonts w:ascii="Times New Roman" w:eastAsia="Arial" w:hAnsi="Times New Roman" w:cs="Times New Roman"/>
          <w:i/>
          <w:iCs/>
          <w:sz w:val="24"/>
          <w:szCs w:val="24"/>
        </w:rPr>
        <w:t xml:space="preserve">) </w:t>
      </w:r>
      <w:r w:rsidRPr="001B16EC">
        <w:rPr>
          <w:rFonts w:ascii="Times New Roman" w:eastAsia="Arial" w:hAnsi="Times New Roman" w:cs="Times New Roman"/>
          <w:i/>
          <w:iCs/>
          <w:sz w:val="24"/>
          <w:szCs w:val="24"/>
        </w:rPr>
        <w:t>En cifras redondas, en Colombia hay alrededor de 100 mil médicos generales y cada año se gradúan alrededor de cinco mil. La relación médico general con el especialista es más o menos de cinco a uno. “De cada cinco generales uno es especialista y de cada cinco generales que se gradúa hay cupo para uno en cualquier de las especialidades. Hay un cuello en los cupos, se explica porque la formación para el tema de las especialidades médico-quirúrgicas se apropia como residencia, la formación requiere de educación personalizada, práctica total y un acompañamiento muy cercano</w:t>
      </w:r>
      <w:r w:rsidR="001B16EC">
        <w:rPr>
          <w:rFonts w:ascii="Times New Roman" w:eastAsia="Arial" w:hAnsi="Times New Roman" w:cs="Times New Roman"/>
          <w:i/>
          <w:iCs/>
          <w:sz w:val="24"/>
          <w:szCs w:val="24"/>
        </w:rPr>
        <w:t xml:space="preserve"> (</w:t>
      </w:r>
      <w:r w:rsidRPr="001B16EC">
        <w:rPr>
          <w:rFonts w:ascii="Times New Roman" w:eastAsia="Arial" w:hAnsi="Times New Roman" w:cs="Times New Roman"/>
          <w:i/>
          <w:iCs/>
          <w:sz w:val="24"/>
          <w:szCs w:val="24"/>
        </w:rPr>
        <w:t>…</w:t>
      </w:r>
      <w:r w:rsidR="001B16EC">
        <w:rPr>
          <w:rFonts w:ascii="Times New Roman" w:eastAsia="Arial" w:hAnsi="Times New Roman" w:cs="Times New Roman"/>
          <w:i/>
          <w:iCs/>
          <w:sz w:val="24"/>
          <w:szCs w:val="24"/>
        </w:rPr>
        <w:t>)</w:t>
      </w:r>
      <w:r w:rsidRPr="001B16EC">
        <w:rPr>
          <w:rFonts w:ascii="Times New Roman" w:eastAsia="Arial" w:hAnsi="Times New Roman" w:cs="Times New Roman"/>
          <w:i/>
          <w:iCs/>
          <w:sz w:val="24"/>
          <w:szCs w:val="24"/>
        </w:rPr>
        <w:t>”</w:t>
      </w:r>
    </w:p>
    <w:p w14:paraId="054957DE"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69BCA27B" w14:textId="77777777"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La doctora Clemencia Mayorga, presidenta del Sindicato Nacional de Pediatras de Colombia (SICOLPED), afirmó en su momento que:</w:t>
      </w:r>
    </w:p>
    <w:p w14:paraId="04B249CA"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46C57C96" w14:textId="626C8B0B" w:rsidR="00EF7E6D" w:rsidRPr="001B16EC" w:rsidRDefault="001E2E90">
      <w:pPr>
        <w:widowControl w:val="0"/>
        <w:spacing w:after="0"/>
        <w:ind w:left="708" w:right="1071"/>
        <w:jc w:val="both"/>
        <w:rPr>
          <w:rFonts w:ascii="Times New Roman" w:eastAsia="Arial" w:hAnsi="Times New Roman" w:cs="Times New Roman"/>
          <w:i/>
          <w:iCs/>
          <w:sz w:val="24"/>
          <w:szCs w:val="24"/>
        </w:rPr>
      </w:pPr>
      <w:r w:rsidRPr="001B16EC">
        <w:rPr>
          <w:rFonts w:ascii="Times New Roman" w:eastAsia="Arial" w:hAnsi="Times New Roman" w:cs="Times New Roman"/>
          <w:i/>
          <w:iCs/>
          <w:sz w:val="24"/>
          <w:szCs w:val="24"/>
        </w:rPr>
        <w:t>“</w:t>
      </w:r>
      <w:r w:rsidR="001B16EC" w:rsidRPr="001B16EC">
        <w:rPr>
          <w:rFonts w:ascii="Times New Roman" w:eastAsia="Arial" w:hAnsi="Times New Roman" w:cs="Times New Roman"/>
          <w:i/>
          <w:iCs/>
          <w:sz w:val="24"/>
          <w:szCs w:val="24"/>
        </w:rPr>
        <w:t>(</w:t>
      </w:r>
      <w:r w:rsidRPr="001B16EC">
        <w:rPr>
          <w:rFonts w:ascii="Times New Roman" w:eastAsia="Arial" w:hAnsi="Times New Roman" w:cs="Times New Roman"/>
          <w:i/>
          <w:iCs/>
          <w:sz w:val="24"/>
          <w:szCs w:val="24"/>
        </w:rPr>
        <w:t>…</w:t>
      </w:r>
      <w:r w:rsidR="001B16EC" w:rsidRPr="001B16EC">
        <w:rPr>
          <w:rFonts w:ascii="Times New Roman" w:eastAsia="Arial" w:hAnsi="Times New Roman" w:cs="Times New Roman"/>
          <w:i/>
          <w:iCs/>
          <w:sz w:val="24"/>
          <w:szCs w:val="24"/>
        </w:rPr>
        <w:t xml:space="preserve">) </w:t>
      </w:r>
      <w:r w:rsidRPr="001B16EC">
        <w:rPr>
          <w:rFonts w:ascii="Times New Roman" w:eastAsia="Arial" w:hAnsi="Times New Roman" w:cs="Times New Roman"/>
          <w:i/>
          <w:iCs/>
          <w:sz w:val="24"/>
          <w:szCs w:val="24"/>
        </w:rPr>
        <w:t>La administración nacional no permite que un mayor número de médicos generales se especialice y pueda trabajar en zonas apartadas. “Desde hace décadas se mantiene la desproporción que indica que solo uno de cada tres médicos generales ingresa a la residencia. Cada semestre miles aspiran a un cupo en la universidad para hacer un posgrado, pero muy pocos son admitidos, aun cuando están dispuestos a pagar las matrículas más costosas de todo el continente y no reciben ningún tipo de remuneración durante la especialización, cosa que no ocurre en ningún otro país del hemisferio”. Para la pediatra, si la nación no ha podido formar a los especialistas que necesita es porque el sistema es ineficiente. Los indicadores de la Organización Mundial de la Salud (OMS) revelan que Bogotá cuenta con 1.6 médicos por cada mil habitantes y que el promedio en Colombia está en 1.4 médicos por mil habitantes. En tanto, países de la región en condiciones similares tienen una media de 2.5 médicos por mil habitantes</w:t>
      </w:r>
      <w:r w:rsidR="001B16EC" w:rsidRPr="001B16EC">
        <w:rPr>
          <w:rFonts w:ascii="Times New Roman" w:eastAsia="Arial" w:hAnsi="Times New Roman" w:cs="Times New Roman"/>
          <w:i/>
          <w:iCs/>
          <w:sz w:val="24"/>
          <w:szCs w:val="24"/>
        </w:rPr>
        <w:t xml:space="preserve"> (</w:t>
      </w:r>
      <w:r w:rsidRPr="001B16EC">
        <w:rPr>
          <w:rFonts w:ascii="Times New Roman" w:eastAsia="Arial" w:hAnsi="Times New Roman" w:cs="Times New Roman"/>
          <w:i/>
          <w:iCs/>
          <w:sz w:val="24"/>
          <w:szCs w:val="24"/>
        </w:rPr>
        <w:t>…</w:t>
      </w:r>
      <w:r w:rsidR="001B16EC" w:rsidRPr="001B16EC">
        <w:rPr>
          <w:rFonts w:ascii="Times New Roman" w:eastAsia="Arial" w:hAnsi="Times New Roman" w:cs="Times New Roman"/>
          <w:i/>
          <w:iCs/>
          <w:sz w:val="24"/>
          <w:szCs w:val="24"/>
        </w:rPr>
        <w:t>)</w:t>
      </w:r>
      <w:r w:rsidRPr="001B16EC">
        <w:rPr>
          <w:rFonts w:ascii="Times New Roman" w:eastAsia="Arial" w:hAnsi="Times New Roman" w:cs="Times New Roman"/>
          <w:i/>
          <w:iCs/>
          <w:sz w:val="24"/>
          <w:szCs w:val="24"/>
        </w:rPr>
        <w:t>”</w:t>
      </w:r>
    </w:p>
    <w:p w14:paraId="214954CB" w14:textId="77777777" w:rsidR="00EF7E6D" w:rsidRPr="00935A79" w:rsidRDefault="00EF7E6D">
      <w:pPr>
        <w:widowControl w:val="0"/>
        <w:spacing w:after="0"/>
        <w:ind w:right="535"/>
        <w:jc w:val="both"/>
        <w:rPr>
          <w:rFonts w:ascii="Times New Roman" w:eastAsia="Arial" w:hAnsi="Times New Roman" w:cs="Times New Roman"/>
          <w:sz w:val="24"/>
          <w:szCs w:val="24"/>
        </w:rPr>
      </w:pPr>
    </w:p>
    <w:p w14:paraId="1546C278" w14:textId="77777777"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El doctor José </w:t>
      </w:r>
      <w:proofErr w:type="spellStart"/>
      <w:r w:rsidRPr="00935A79">
        <w:rPr>
          <w:rFonts w:ascii="Times New Roman" w:eastAsia="Arial" w:hAnsi="Times New Roman" w:cs="Times New Roman"/>
          <w:sz w:val="24"/>
          <w:szCs w:val="24"/>
        </w:rPr>
        <w:t>Felix</w:t>
      </w:r>
      <w:proofErr w:type="spellEnd"/>
      <w:r w:rsidRPr="00935A79">
        <w:rPr>
          <w:rFonts w:ascii="Times New Roman" w:eastAsia="Arial" w:hAnsi="Times New Roman" w:cs="Times New Roman"/>
          <w:sz w:val="24"/>
          <w:szCs w:val="24"/>
        </w:rPr>
        <w:t xml:space="preserve"> Patiño Restrepo, miembro de la Comisión para la Transformación de la Educación Médica, a su turno afirmó que:</w:t>
      </w:r>
    </w:p>
    <w:p w14:paraId="36054609" w14:textId="0EA20BB9" w:rsidR="00EF7E6D" w:rsidRPr="001B16EC" w:rsidRDefault="001E2E90" w:rsidP="001B16EC">
      <w:pPr>
        <w:widowControl w:val="0"/>
        <w:spacing w:after="0"/>
        <w:ind w:left="482" w:right="535" w:firstLine="708"/>
        <w:jc w:val="both"/>
        <w:rPr>
          <w:rFonts w:ascii="Times New Roman" w:eastAsia="Arial" w:hAnsi="Times New Roman" w:cs="Times New Roman"/>
          <w:i/>
          <w:iCs/>
          <w:sz w:val="24"/>
          <w:szCs w:val="24"/>
        </w:rPr>
      </w:pPr>
      <w:r w:rsidRPr="001B16EC">
        <w:rPr>
          <w:rFonts w:ascii="Times New Roman" w:eastAsia="Arial" w:hAnsi="Times New Roman" w:cs="Times New Roman"/>
          <w:i/>
          <w:iCs/>
          <w:sz w:val="24"/>
          <w:szCs w:val="24"/>
        </w:rPr>
        <w:lastRenderedPageBreak/>
        <w:t>“El sistema de salud es responsable del deterioro de la educación médica. Es necesario acabar con el negocio de las aseguradoras para mejorar la educación médica y la atención a la salud.</w:t>
      </w:r>
      <w:r w:rsidR="001B16EC">
        <w:rPr>
          <w:rFonts w:ascii="Times New Roman" w:eastAsia="Arial" w:hAnsi="Times New Roman" w:cs="Times New Roman"/>
          <w:i/>
          <w:iCs/>
          <w:sz w:val="24"/>
          <w:szCs w:val="24"/>
        </w:rPr>
        <w:t xml:space="preserve"> </w:t>
      </w:r>
      <w:r w:rsidRPr="001B16EC">
        <w:rPr>
          <w:rFonts w:ascii="Times New Roman" w:eastAsia="Arial" w:hAnsi="Times New Roman" w:cs="Times New Roman"/>
          <w:i/>
          <w:iCs/>
          <w:sz w:val="24"/>
          <w:szCs w:val="24"/>
        </w:rPr>
        <w:t>La burocracia de las EPS acabó con la salud y la educación.”</w:t>
      </w:r>
    </w:p>
    <w:p w14:paraId="035C9845" w14:textId="77777777" w:rsidR="00EF7E6D" w:rsidRPr="00935A79" w:rsidRDefault="00EF7E6D">
      <w:pPr>
        <w:widowControl w:val="0"/>
        <w:spacing w:after="0"/>
        <w:ind w:left="482" w:right="535"/>
        <w:jc w:val="both"/>
        <w:rPr>
          <w:rFonts w:ascii="Times New Roman" w:eastAsia="Arial" w:hAnsi="Times New Roman" w:cs="Times New Roman"/>
          <w:sz w:val="24"/>
          <w:szCs w:val="24"/>
        </w:rPr>
      </w:pPr>
    </w:p>
    <w:p w14:paraId="124A501B" w14:textId="0A397D9A" w:rsidR="00EF7E6D" w:rsidRPr="00935A79" w:rsidRDefault="001E2E90" w:rsidP="001B16EC">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b/>
          <w:sz w:val="24"/>
          <w:szCs w:val="24"/>
        </w:rPr>
        <w:t>4. Giro directo de la UPC.</w:t>
      </w:r>
      <w:r w:rsidRPr="00935A79">
        <w:rPr>
          <w:rFonts w:ascii="Times New Roman" w:eastAsia="Arial" w:hAnsi="Times New Roman" w:cs="Times New Roman"/>
          <w:sz w:val="24"/>
          <w:szCs w:val="24"/>
        </w:rPr>
        <w:t xml:space="preserve"> El pago anticipado del 50% para modalidades de contratación</w:t>
      </w:r>
      <w:r w:rsidR="001B16EC">
        <w:rPr>
          <w:rFonts w:ascii="Times New Roman" w:eastAsia="Arial" w:hAnsi="Times New Roman" w:cs="Times New Roman"/>
          <w:sz w:val="24"/>
          <w:szCs w:val="24"/>
        </w:rPr>
        <w:t>,</w:t>
      </w:r>
      <w:r w:rsidRPr="00935A79">
        <w:rPr>
          <w:rFonts w:ascii="Times New Roman" w:eastAsia="Arial" w:hAnsi="Times New Roman" w:cs="Times New Roman"/>
          <w:sz w:val="24"/>
          <w:szCs w:val="24"/>
        </w:rPr>
        <w:t xml:space="preserve"> tales como el pago por evento</w:t>
      </w:r>
      <w:r w:rsidR="001B16EC">
        <w:rPr>
          <w:rFonts w:ascii="Times New Roman" w:eastAsia="Arial" w:hAnsi="Times New Roman" w:cs="Times New Roman"/>
          <w:sz w:val="24"/>
          <w:szCs w:val="24"/>
        </w:rPr>
        <w:t>, vienen</w:t>
      </w:r>
      <w:r w:rsidRPr="00935A79">
        <w:rPr>
          <w:rFonts w:ascii="Times New Roman" w:eastAsia="Arial" w:hAnsi="Times New Roman" w:cs="Times New Roman"/>
          <w:sz w:val="24"/>
          <w:szCs w:val="24"/>
        </w:rPr>
        <w:t xml:space="preserve"> funciona</w:t>
      </w:r>
      <w:r w:rsidR="001B16EC">
        <w:rPr>
          <w:rFonts w:ascii="Times New Roman" w:eastAsia="Arial" w:hAnsi="Times New Roman" w:cs="Times New Roman"/>
          <w:sz w:val="24"/>
          <w:szCs w:val="24"/>
        </w:rPr>
        <w:t>ndo</w:t>
      </w:r>
      <w:r w:rsidRPr="00935A79">
        <w:rPr>
          <w:rFonts w:ascii="Times New Roman" w:eastAsia="Arial" w:hAnsi="Times New Roman" w:cs="Times New Roman"/>
          <w:sz w:val="24"/>
          <w:szCs w:val="24"/>
        </w:rPr>
        <w:t xml:space="preserve"> irregularmente. Algunas EPS no lo hacen, otras privilegian solo a su propia red, otras lo hacen incompleto y otras lo hacen pero no sobre el valor de lo facturado en el mes anterior como debe ser; sino que mediante esa modalidad y con la permisividad de todos los organismos de control lo hacen pero sobre lo facturado hasta 6 o más meses atrás, mientras que para el restante 50% del pago tampoco hay garantía alguna de cuando se haga, haciendo que hoy se acumulen miles de millones de pesos, ya incobrables para los Hospitales Públicos, pero de dineros que ellos ya usaron para pagar a su personal y proveedores, entre otras obligaciones, y que hacen parte de la grave crisis hospitalaria, que está a punto de tocar fondo y volverse un problema de salud pública nacional.</w:t>
      </w:r>
    </w:p>
    <w:p w14:paraId="47EFE8C3" w14:textId="77777777" w:rsidR="00EF7E6D" w:rsidRPr="00935A79" w:rsidRDefault="00EF7E6D">
      <w:pPr>
        <w:widowControl w:val="0"/>
        <w:spacing w:after="0"/>
        <w:ind w:left="482" w:right="535"/>
        <w:jc w:val="both"/>
        <w:rPr>
          <w:rFonts w:ascii="Times New Roman" w:eastAsia="Arial" w:hAnsi="Times New Roman" w:cs="Times New Roman"/>
          <w:sz w:val="24"/>
          <w:szCs w:val="24"/>
        </w:rPr>
      </w:pPr>
    </w:p>
    <w:p w14:paraId="59C14938" w14:textId="77777777"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Ahora bien, volviendo al tema que nos ocupa en esta ponencia, en una encuesta presentada por la Contraloría General de la República (CGR) en donde se sondeó a 12.230 profesionales de la Salud en medio la emergencia por el Covid-19 dio a conocer precarias condiciones laborales, sueldos irrelevantes, pagos impuntuales y horarios extensos es el diario vivir del talento humano en salud en Colombia. Los resultados fueron revelados en un encuentro virtual convocado por la CGR a manera de Mesa de Trabajo, en desarrollo del Programa “Transparencia para la Emergencia”, en donde participaron 12 sociedades científicas, junto a los Ministerios de Salud, Trabajo y Hacienda, así como la Federación de Aseguradores Colombianos “FASECOLDA”.</w:t>
      </w:r>
    </w:p>
    <w:p w14:paraId="6722D503" w14:textId="77777777" w:rsidR="00EF7E6D" w:rsidRPr="00935A79" w:rsidRDefault="00EF7E6D">
      <w:pPr>
        <w:widowControl w:val="0"/>
        <w:spacing w:before="5" w:after="0"/>
        <w:jc w:val="both"/>
        <w:rPr>
          <w:rFonts w:ascii="Times New Roman" w:eastAsia="Arial" w:hAnsi="Times New Roman" w:cs="Times New Roman"/>
          <w:sz w:val="24"/>
          <w:szCs w:val="24"/>
        </w:rPr>
      </w:pPr>
    </w:p>
    <w:p w14:paraId="3E52D4F8" w14:textId="77777777" w:rsidR="00EF7E6D" w:rsidRPr="00935A79" w:rsidRDefault="001E2E90">
      <w:pPr>
        <w:widowControl w:val="0"/>
        <w:spacing w:after="0"/>
        <w:ind w:right="535"/>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En 2019 el Colegio Médico Colombiano (CMC) recopiló las respuestas de 8.249 médicos y profesionales de la salud en todo el país para conocer de primera mano la realidad de la situación laboral del Talento Humano en Salud, encontrando que el 80% de los médicos generales, el 81% de los especialistas, el 52% de los rurales y el 75% de otros profesionales de la salud se ha visto afectado en el ámbito laboral. En otras palabras, tres de cada cinco médicos o profesionales de la salud reportan haber tenido inconvenientes en el trabajo. Las principales causas han sido los cambios en las condiciones del trabajo, constricción del ejercicio profesional y acoso laboral.</w:t>
      </w:r>
    </w:p>
    <w:p w14:paraId="0AC0F1C2" w14:textId="5A9420C2" w:rsidR="00EF7E6D" w:rsidRDefault="00EF7E6D">
      <w:pPr>
        <w:shd w:val="clear" w:color="auto" w:fill="FFFFFF"/>
        <w:spacing w:before="240" w:after="160"/>
        <w:jc w:val="both"/>
        <w:rPr>
          <w:rFonts w:ascii="Times New Roman" w:eastAsia="Arial" w:hAnsi="Times New Roman" w:cs="Times New Roman"/>
          <w:sz w:val="24"/>
          <w:szCs w:val="24"/>
        </w:rPr>
      </w:pPr>
    </w:p>
    <w:p w14:paraId="7FB9ABEF" w14:textId="77777777" w:rsidR="001B16EC" w:rsidRPr="00935A79" w:rsidRDefault="001B16EC">
      <w:pPr>
        <w:shd w:val="clear" w:color="auto" w:fill="FFFFFF"/>
        <w:spacing w:before="240" w:after="160"/>
        <w:jc w:val="both"/>
        <w:rPr>
          <w:rFonts w:ascii="Times New Roman" w:eastAsia="Arial" w:hAnsi="Times New Roman" w:cs="Times New Roman"/>
          <w:sz w:val="24"/>
          <w:szCs w:val="24"/>
        </w:rPr>
      </w:pPr>
    </w:p>
    <w:p w14:paraId="270753C7" w14:textId="77777777" w:rsidR="00EF7E6D" w:rsidRPr="00935A79" w:rsidRDefault="001E2E90">
      <w:pPr>
        <w:numPr>
          <w:ilvl w:val="0"/>
          <w:numId w:val="2"/>
        </w:numPr>
        <w:shd w:val="clear" w:color="auto" w:fill="FFFFFF"/>
        <w:spacing w:before="240" w:after="160"/>
        <w:jc w:val="center"/>
        <w:rPr>
          <w:rFonts w:ascii="Times New Roman" w:eastAsia="Arial" w:hAnsi="Times New Roman" w:cs="Times New Roman"/>
          <w:b/>
          <w:sz w:val="24"/>
          <w:szCs w:val="24"/>
        </w:rPr>
      </w:pPr>
      <w:r w:rsidRPr="00935A79">
        <w:rPr>
          <w:rFonts w:ascii="Times New Roman" w:eastAsia="Arial" w:hAnsi="Times New Roman" w:cs="Times New Roman"/>
          <w:sz w:val="24"/>
          <w:szCs w:val="24"/>
        </w:rPr>
        <w:lastRenderedPageBreak/>
        <w:t xml:space="preserve"> </w:t>
      </w:r>
      <w:r w:rsidRPr="00935A79">
        <w:rPr>
          <w:rFonts w:ascii="Times New Roman" w:eastAsia="Arial" w:hAnsi="Times New Roman" w:cs="Times New Roman"/>
          <w:b/>
          <w:sz w:val="24"/>
          <w:szCs w:val="24"/>
        </w:rPr>
        <w:t>ANÁLISIS DE IMPACTO FISCAL</w:t>
      </w:r>
    </w:p>
    <w:p w14:paraId="5F25CAE3" w14:textId="77777777" w:rsidR="00EF7E6D" w:rsidRPr="00935A79" w:rsidRDefault="001E2E90">
      <w:pPr>
        <w:shd w:val="clear" w:color="auto" w:fill="FFFFFF"/>
        <w:spacing w:before="240" w:after="16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Para dar cumplimiento a lo dispuesto por el artículo 7° de la Ley 819 de 2003, en cuanto al análisis del impacto fiscal del presente proyecto de Ley con relación al Marco Fiscal de Mediano Plazo, podemos decir que no lo desborda, como quiera que se trata de implementar una prohibición expresa de las OPS y contratos de prestación de servicios personales, para vincular laboralmente el talento humano al servicio de la salud. Esta prohibición se encuentra implícita en diferentes disposiciones legales aquí citadas, y que se debieron tener en cuenta al momento de expedir el documento del Marco Fiscal de Mediano Plazo vigente.</w:t>
      </w:r>
    </w:p>
    <w:p w14:paraId="47E55F40" w14:textId="77777777" w:rsidR="00EF7E6D" w:rsidRPr="00935A79" w:rsidRDefault="001E2E90">
      <w:pPr>
        <w:shd w:val="clear" w:color="auto" w:fill="FFFFFF"/>
        <w:spacing w:before="240" w:after="160"/>
        <w:jc w:val="both"/>
        <w:rPr>
          <w:rFonts w:ascii="Times New Roman" w:eastAsia="Arial" w:hAnsi="Times New Roman" w:cs="Times New Roman"/>
          <w:i/>
          <w:sz w:val="24"/>
          <w:szCs w:val="24"/>
        </w:rPr>
      </w:pPr>
      <w:r w:rsidRPr="00935A79">
        <w:rPr>
          <w:rFonts w:ascii="Times New Roman" w:eastAsia="Arial" w:hAnsi="Times New Roman" w:cs="Times New Roman"/>
          <w:sz w:val="24"/>
          <w:szCs w:val="24"/>
        </w:rPr>
        <w:t xml:space="preserve">Basta con que se analice la prestación personal directa del talento humano y la falta de autonomía por cuenta de la subordinación del trabajador, por cuenta del contratante en desarrollo de su objeto empresarial, para estimar que el vínculo es de carácter laboral y no civil o comercial. Así lo evidenció la Corte Suprema de Justicia, mediante la </w:t>
      </w:r>
      <w:hyperlink r:id="rId8">
        <w:r w:rsidRPr="00935A79">
          <w:rPr>
            <w:rFonts w:ascii="Times New Roman" w:eastAsia="Arial" w:hAnsi="Times New Roman" w:cs="Times New Roman"/>
            <w:sz w:val="24"/>
            <w:szCs w:val="24"/>
            <w:u w:val="single"/>
          </w:rPr>
          <w:t>sentencia SL 6621 de 2017</w:t>
        </w:r>
      </w:hyperlink>
      <w:r w:rsidRPr="00935A79">
        <w:rPr>
          <w:rFonts w:ascii="Times New Roman" w:eastAsia="Arial" w:hAnsi="Times New Roman" w:cs="Times New Roman"/>
          <w:sz w:val="24"/>
          <w:szCs w:val="24"/>
        </w:rPr>
        <w:t xml:space="preserve">, en la cual se realizó un análisis frente al caso de un médico que estuvo vinculado por prestación de servicios en una clínica, durante 26 años, bajo diferentes modalidades de contratación comercial. La Corte señaló que en virtud de que la labor del médico fue permanente y que hubo de por medio una necesidad de la prestación de servicios, existió siempre un contrato de trabajo. </w:t>
      </w:r>
      <w:r w:rsidRPr="00935A79">
        <w:rPr>
          <w:rFonts w:ascii="Times New Roman" w:eastAsia="Arial" w:hAnsi="Times New Roman" w:cs="Times New Roman"/>
          <w:i/>
          <w:sz w:val="24"/>
          <w:szCs w:val="24"/>
        </w:rPr>
        <w:t>“por ningún motivo la prestación del servicio puede ser de manera permanente, y que, de serlo, tendrá que realizar peticiones ante el contratante en las que exponga el carácter laboral”.</w:t>
      </w:r>
    </w:p>
    <w:p w14:paraId="711874F5" w14:textId="77777777" w:rsidR="00EF7E6D" w:rsidRPr="00935A79" w:rsidRDefault="001E2E90">
      <w:pPr>
        <w:spacing w:before="240" w:after="24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La figura del contrato de trabajo no es una propuesta nueva, ya que la misma existe incluso desde antes de la aprobación de la constitución de 1991. Por lo tanto, el marco fiscal de mediano plazo tuvo en cuenta los gastos de salarios y prestaciones sociales de todos los trabajadores de la salud en el marco fiscal de mediano plazo. La legislación laboral colombiana no permite vincular al sector salud al talento humano con otras modalidades contractuales comercial, civil o de contratación administrativa, porque son ilegales cuando se burlan y desconocen las prestaciones económicas y sociales a que tienen derecho.</w:t>
      </w:r>
    </w:p>
    <w:p w14:paraId="3517975A" w14:textId="77777777" w:rsidR="00EF7E6D" w:rsidRPr="00935A79" w:rsidRDefault="001E2E90">
      <w:pPr>
        <w:spacing w:before="240" w:after="24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La Corte Constitucional en la sentencia C.886 d 2010, sobre el análisis del impacto fiscal dijo:</w:t>
      </w:r>
    </w:p>
    <w:p w14:paraId="65162E03" w14:textId="77777777" w:rsidR="00EF7E6D" w:rsidRPr="00935A79" w:rsidRDefault="001E2E90">
      <w:pPr>
        <w:spacing w:before="240" w:after="240"/>
        <w:jc w:val="both"/>
        <w:rPr>
          <w:rFonts w:ascii="Times New Roman" w:eastAsia="Arial" w:hAnsi="Times New Roman" w:cs="Times New Roman"/>
          <w:sz w:val="24"/>
          <w:szCs w:val="24"/>
        </w:rPr>
      </w:pPr>
      <w:r w:rsidRPr="00935A79">
        <w:rPr>
          <w:rFonts w:ascii="Times New Roman" w:eastAsia="Arial" w:hAnsi="Times New Roman" w:cs="Times New Roman"/>
          <w:i/>
          <w:sz w:val="24"/>
          <w:szCs w:val="24"/>
        </w:rPr>
        <w:t>(…) ANÁLISIS DE IMPACTO FISCAL DE LAS NORMAS-</w:t>
      </w:r>
      <w:r w:rsidRPr="00935A79">
        <w:rPr>
          <w:rFonts w:ascii="Times New Roman" w:eastAsia="Arial" w:hAnsi="Times New Roman" w:cs="Times New Roman"/>
          <w:sz w:val="24"/>
          <w:szCs w:val="24"/>
        </w:rPr>
        <w:t>Subreglas</w:t>
      </w:r>
    </w:p>
    <w:p w14:paraId="1EF00C86" w14:textId="77777777" w:rsidR="00EF7E6D" w:rsidRPr="00935A79" w:rsidRDefault="001E2E90">
      <w:pPr>
        <w:spacing w:before="240" w:after="240"/>
        <w:jc w:val="both"/>
        <w:rPr>
          <w:rFonts w:ascii="Times New Roman" w:eastAsia="Arial" w:hAnsi="Times New Roman" w:cs="Times New Roman"/>
          <w:i/>
          <w:sz w:val="24"/>
          <w:szCs w:val="24"/>
        </w:rPr>
      </w:pPr>
      <w:r w:rsidRPr="00935A79">
        <w:rPr>
          <w:rFonts w:ascii="Times New Roman" w:eastAsia="Arial" w:hAnsi="Times New Roman" w:cs="Times New Roman"/>
          <w:i/>
          <w:sz w:val="24"/>
          <w:szCs w:val="24"/>
        </w:rPr>
        <w:t xml:space="preserve">En hilo de lo expuesto, es posible deducir las siguientes subreglas sobre el alcance del artículo 7º de la Ley 819 de 2003: (i) las obligaciones previstas en el artículo 7º de la Ley 819 de 2003 constituyen un parámetro de racionalidad legislativa, que cumple fines constitucionalmente relevantes como el orden de las finanzas públicas y la estabilidad macroeconómica; (ii) el cumplimiento de lo dispuesto en el artículo 7º de la Ley 819 de 2003 corresponde al Congreso, pero principalmente al Ministro de Hacienda y Crédito Público, </w:t>
      </w:r>
      <w:r w:rsidRPr="00935A79">
        <w:rPr>
          <w:rFonts w:ascii="Times New Roman" w:eastAsia="Arial" w:hAnsi="Times New Roman" w:cs="Times New Roman"/>
          <w:i/>
          <w:sz w:val="24"/>
          <w:szCs w:val="24"/>
        </w:rPr>
        <w:lastRenderedPageBreak/>
        <w:t xml:space="preserve">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(iii) 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 (iv) </w:t>
      </w:r>
      <w:r w:rsidRPr="00935A79">
        <w:rPr>
          <w:rFonts w:ascii="Times New Roman" w:eastAsia="Arial" w:hAnsi="Times New Roman" w:cs="Times New Roman"/>
          <w:i/>
          <w:sz w:val="24"/>
          <w:szCs w:val="24"/>
          <w:u w:val="single"/>
        </w:rPr>
        <w:t>el informe presentado por el Ministro de Hacienda y Crédito Público no obliga a las células legislativas a acoger su posición, sin embargo, sí genera una obligación en cabeza del Congreso de valorarlo y analizarlo.</w:t>
      </w:r>
      <w:r w:rsidRPr="00935A79">
        <w:rPr>
          <w:rFonts w:ascii="Times New Roman" w:eastAsia="Arial" w:hAnsi="Times New Roman" w:cs="Times New Roman"/>
          <w:i/>
          <w:sz w:val="24"/>
          <w:szCs w:val="24"/>
        </w:rPr>
        <w:t xml:space="preserve"> Sólo así se garantiza una debida colaboración entre las ramas del poder público y se armoniza el principio democrático con la estabilidad macroeconómica.</w:t>
      </w:r>
    </w:p>
    <w:p w14:paraId="6A08D0D5" w14:textId="50B72526" w:rsidR="00400B4A" w:rsidRPr="00400B4A" w:rsidRDefault="00400B4A" w:rsidP="00400B4A">
      <w:pPr>
        <w:spacing w:before="240" w:after="24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Dicho lo anterior, </w:t>
      </w:r>
      <w:r w:rsidRPr="00400B4A">
        <w:rPr>
          <w:rFonts w:ascii="Times New Roman" w:eastAsia="Arial" w:hAnsi="Times New Roman" w:cs="Times New Roman"/>
          <w:sz w:val="24"/>
          <w:szCs w:val="24"/>
        </w:rPr>
        <w:t xml:space="preserve">los proyectos de ley a consideración no están creando nuevas prestaciones económicas y sociales de los trabajadores de la salud, en tanto ya se encuentran reconocidas en nuestra Constitución y en </w:t>
      </w:r>
      <w:r>
        <w:rPr>
          <w:rFonts w:ascii="Times New Roman" w:eastAsia="Arial" w:hAnsi="Times New Roman" w:cs="Times New Roman"/>
          <w:sz w:val="24"/>
          <w:szCs w:val="24"/>
        </w:rPr>
        <w:t>l</w:t>
      </w:r>
      <w:r w:rsidRPr="00400B4A">
        <w:rPr>
          <w:rFonts w:ascii="Times New Roman" w:eastAsia="Arial" w:hAnsi="Times New Roman" w:cs="Times New Roman"/>
          <w:sz w:val="24"/>
          <w:szCs w:val="24"/>
        </w:rPr>
        <w:t xml:space="preserve">a legislación laboral. </w:t>
      </w:r>
    </w:p>
    <w:p w14:paraId="4B3781BF" w14:textId="77777777" w:rsidR="00EF7E6D" w:rsidRPr="00935A79" w:rsidRDefault="001E2E90">
      <w:pPr>
        <w:numPr>
          <w:ilvl w:val="0"/>
          <w:numId w:val="2"/>
        </w:numPr>
        <w:shd w:val="clear" w:color="auto" w:fill="FFFFFF"/>
        <w:spacing w:before="240" w:after="160" w:line="240" w:lineRule="auto"/>
        <w:jc w:val="both"/>
        <w:rPr>
          <w:rFonts w:ascii="Times New Roman" w:eastAsia="Arial" w:hAnsi="Times New Roman" w:cs="Times New Roman"/>
          <w:b/>
          <w:sz w:val="24"/>
          <w:szCs w:val="24"/>
        </w:rPr>
      </w:pPr>
      <w:r w:rsidRPr="00935A79">
        <w:rPr>
          <w:rFonts w:ascii="Times New Roman" w:eastAsia="Arial" w:hAnsi="Times New Roman" w:cs="Times New Roman"/>
          <w:b/>
          <w:sz w:val="24"/>
          <w:szCs w:val="24"/>
        </w:rPr>
        <w:t xml:space="preserve">PLIEGO DE MODIFICACIONES </w:t>
      </w:r>
    </w:p>
    <w:p w14:paraId="2B795447" w14:textId="77777777" w:rsidR="00EF7E6D" w:rsidRPr="00935A79" w:rsidRDefault="001E2E90" w:rsidP="00202D66">
      <w:pPr>
        <w:shd w:val="clear" w:color="auto" w:fill="FFFFFF"/>
        <w:spacing w:before="240" w:after="160"/>
        <w:jc w:val="both"/>
        <w:rPr>
          <w:rFonts w:ascii="Times New Roman" w:eastAsia="Arial" w:hAnsi="Times New Roman" w:cs="Times New Roman"/>
          <w:b/>
          <w:sz w:val="24"/>
          <w:szCs w:val="24"/>
        </w:rPr>
      </w:pPr>
      <w:r w:rsidRPr="00935A79">
        <w:rPr>
          <w:rFonts w:ascii="Times New Roman" w:eastAsia="Arial" w:hAnsi="Times New Roman" w:cs="Times New Roman"/>
          <w:sz w:val="24"/>
          <w:szCs w:val="24"/>
        </w:rPr>
        <w:t xml:space="preserve">Luego de distintas mesas de trabajo, se decidieron realizar algunos cambios en aras de no caer en ambigüedades entre los 2 articulados que se unificaron. </w:t>
      </w:r>
    </w:p>
    <w:p w14:paraId="50E15141" w14:textId="77777777" w:rsidR="00EF7E6D" w:rsidRPr="00935A79" w:rsidRDefault="00EF7E6D">
      <w:pPr>
        <w:pBdr>
          <w:top w:val="nil"/>
          <w:left w:val="nil"/>
          <w:bottom w:val="nil"/>
          <w:right w:val="nil"/>
          <w:between w:val="nil"/>
        </w:pBdr>
        <w:spacing w:after="0" w:line="240" w:lineRule="auto"/>
        <w:ind w:right="49"/>
        <w:rPr>
          <w:rFonts w:ascii="Times New Roman" w:eastAsia="Arial" w:hAnsi="Times New Roman" w:cs="Times New Roman"/>
          <w:b/>
          <w:sz w:val="24"/>
          <w:szCs w:val="24"/>
        </w:rPr>
      </w:pPr>
    </w:p>
    <w:tbl>
      <w:tblPr>
        <w:tblStyle w:val="ab"/>
        <w:tblW w:w="10491"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3261"/>
        <w:gridCol w:w="3544"/>
        <w:gridCol w:w="3686"/>
      </w:tblGrid>
      <w:tr w:rsidR="00935A79" w:rsidRPr="00935A79" w14:paraId="04C4EFC5" w14:textId="77777777" w:rsidTr="00CA0258">
        <w:trPr>
          <w:trHeight w:val="4070"/>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71575"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PROYECTO DE LEY 079 2021 </w:t>
            </w:r>
            <w:r w:rsidRPr="00202D66">
              <w:rPr>
                <w:rFonts w:ascii="Times New Roman" w:eastAsia="Arial" w:hAnsi="Times New Roman" w:cs="Times New Roman"/>
                <w:i/>
                <w:iCs/>
                <w:sz w:val="24"/>
                <w:szCs w:val="24"/>
              </w:rPr>
              <w:t>“Por el cual se dictan normas para la prestación de servicios personales del talento humano en el sector de la salud y se dictan otras disposiciones</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FF2A75"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PROYECTO DE LEY 220 DE 2021 </w:t>
            </w:r>
            <w:r w:rsidRPr="00202D66">
              <w:rPr>
                <w:rFonts w:ascii="Times New Roman" w:eastAsia="Arial" w:hAnsi="Times New Roman" w:cs="Times New Roman"/>
                <w:i/>
                <w:iCs/>
                <w:sz w:val="24"/>
                <w:szCs w:val="24"/>
              </w:rPr>
              <w:t>“Por medio del cual se fomenta el trabajo digno del talento humano y la sostenibilidad del sistema de salud y se dictan otras disposiciones”</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0C9535" w14:textId="77777777" w:rsidR="00EF7E6D" w:rsidRPr="00935A79" w:rsidRDefault="001E2E90">
            <w:pPr>
              <w:spacing w:before="240" w:after="0"/>
              <w:jc w:val="both"/>
              <w:rPr>
                <w:rFonts w:ascii="Times New Roman" w:eastAsia="Arial" w:hAnsi="Times New Roman" w:cs="Times New Roman"/>
                <w:i/>
                <w:sz w:val="24"/>
                <w:szCs w:val="24"/>
                <w:u w:val="single"/>
              </w:rPr>
            </w:pPr>
            <w:r w:rsidRPr="00935A79">
              <w:rPr>
                <w:rFonts w:ascii="Times New Roman" w:eastAsia="Arial" w:hAnsi="Times New Roman" w:cs="Times New Roman"/>
                <w:sz w:val="24"/>
                <w:szCs w:val="24"/>
              </w:rPr>
              <w:t xml:space="preserve">TEXTO PROPUESTO PRIMER DEBATE DEL PROYECTO DE LEY 079 DE 2021 ACUMULADO CON EL PROYECTO DE LEY 220 DE 2021 </w:t>
            </w:r>
            <w:r w:rsidRPr="00935A79">
              <w:rPr>
                <w:rFonts w:ascii="Times New Roman" w:eastAsia="Arial" w:hAnsi="Times New Roman" w:cs="Times New Roman"/>
                <w:i/>
                <w:sz w:val="24"/>
                <w:szCs w:val="24"/>
                <w:u w:val="single"/>
              </w:rPr>
              <w:t>“Por medio del cual se fomenta el trabajo digno del talento humano en salud en el sector público y se dictan otras disposiciones”</w:t>
            </w:r>
          </w:p>
        </w:tc>
      </w:tr>
      <w:tr w:rsidR="00935A79" w:rsidRPr="00935A79" w14:paraId="53DFEF5F" w14:textId="77777777" w:rsidTr="00CA0258">
        <w:trPr>
          <w:trHeight w:val="653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2F000F" w14:textId="77777777" w:rsidR="00EF7E6D" w:rsidRPr="00935A79" w:rsidRDefault="001E2E90">
            <w:pPr>
              <w:spacing w:before="240" w:after="0"/>
              <w:jc w:val="both"/>
              <w:rPr>
                <w:rFonts w:ascii="Times New Roman" w:eastAsia="Arial" w:hAnsi="Times New Roman" w:cs="Times New Roman"/>
                <w:b/>
                <w:sz w:val="24"/>
                <w:szCs w:val="24"/>
              </w:rPr>
            </w:pPr>
            <w:r w:rsidRPr="00935A79">
              <w:rPr>
                <w:rFonts w:ascii="Times New Roman" w:eastAsia="Arial" w:hAnsi="Times New Roman" w:cs="Times New Roman"/>
                <w:b/>
                <w:sz w:val="24"/>
                <w:szCs w:val="24"/>
              </w:rPr>
              <w:lastRenderedPageBreak/>
              <w:t xml:space="preserve"> </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3021E85D"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Artículo 1. Fomento del trabajo digno del talento humano en salud. De conformidad con el artículo 18 de la Ley 1751 de 2015, para la dignificación del talento humano en salud, se deberá garantizar la formalización laboral con respeto de todos los derechos salariales y prestacionales del 100% del personal asistencial de todos los hospitales públicos del país, antes del 1 de enero de 2023, para lo cual el gobierno nacional deberá garantizar los recursos necesarios, sin detrimento de los actuales recursos de los Hospitales Públicos.</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1FDBF202" w14:textId="6512CA90"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Artículo 1. Fomento del trabajo digno del talento humano en salud. De conformidad con el artículo 18 de la Ley 1751 de 2015, para la dignificación del talento humano en salud, se deberá garantizar la formalización laboral con respeto de todos los derechos salariales y prestacionales </w:t>
            </w:r>
            <w:r w:rsidRPr="00935A79">
              <w:rPr>
                <w:rFonts w:ascii="Times New Roman" w:eastAsia="Arial" w:hAnsi="Times New Roman" w:cs="Times New Roman"/>
                <w:strike/>
                <w:sz w:val="24"/>
                <w:szCs w:val="24"/>
              </w:rPr>
              <w:t>del 100%</w:t>
            </w:r>
            <w:r w:rsidRPr="00935A79">
              <w:rPr>
                <w:rFonts w:ascii="Times New Roman" w:eastAsia="Arial" w:hAnsi="Times New Roman" w:cs="Times New Roman"/>
                <w:sz w:val="24"/>
                <w:szCs w:val="24"/>
              </w:rPr>
              <w:t xml:space="preserve"> del </w:t>
            </w:r>
            <w:r w:rsidRPr="00AB05ED">
              <w:rPr>
                <w:rFonts w:ascii="Times New Roman" w:eastAsia="Arial" w:hAnsi="Times New Roman" w:cs="Times New Roman"/>
                <w:b/>
                <w:bCs/>
                <w:sz w:val="24"/>
                <w:szCs w:val="24"/>
                <w:u w:val="single"/>
              </w:rPr>
              <w:t>Talento Humano en Salud</w:t>
            </w:r>
            <w:r w:rsidRPr="00935A79">
              <w:rPr>
                <w:rFonts w:ascii="Times New Roman" w:eastAsia="Arial" w:hAnsi="Times New Roman" w:cs="Times New Roman"/>
                <w:sz w:val="24"/>
                <w:szCs w:val="24"/>
              </w:rPr>
              <w:t xml:space="preserve"> </w:t>
            </w:r>
            <w:r w:rsidRPr="00935A79">
              <w:rPr>
                <w:rFonts w:ascii="Times New Roman" w:eastAsia="Arial" w:hAnsi="Times New Roman" w:cs="Times New Roman"/>
                <w:strike/>
                <w:sz w:val="24"/>
                <w:szCs w:val="24"/>
              </w:rPr>
              <w:t>personal asistencial</w:t>
            </w:r>
            <w:r w:rsidRPr="00935A79">
              <w:rPr>
                <w:rFonts w:ascii="Times New Roman" w:eastAsia="Arial" w:hAnsi="Times New Roman" w:cs="Times New Roman"/>
                <w:sz w:val="24"/>
                <w:szCs w:val="24"/>
              </w:rPr>
              <w:t xml:space="preserve"> de todos los hospitales públicos del país, </w:t>
            </w:r>
            <w:r w:rsidRPr="00935A79">
              <w:rPr>
                <w:rFonts w:ascii="Times New Roman" w:eastAsia="Arial" w:hAnsi="Times New Roman" w:cs="Times New Roman"/>
                <w:sz w:val="24"/>
                <w:szCs w:val="24"/>
                <w:highlight w:val="white"/>
              </w:rPr>
              <w:t>antes del 1 de enero de 2023,</w:t>
            </w:r>
            <w:r w:rsidRPr="00935A79">
              <w:rPr>
                <w:rFonts w:ascii="Times New Roman" w:eastAsia="Arial" w:hAnsi="Times New Roman" w:cs="Times New Roman"/>
                <w:sz w:val="24"/>
                <w:szCs w:val="24"/>
              </w:rPr>
              <w:t xml:space="preserve"> para lo cual el gobierno nacional deberá garantizar los recursos necesarios, sin detrimento de los actuales recursos</w:t>
            </w:r>
            <w:r w:rsidR="008D03E1">
              <w:rPr>
                <w:rFonts w:ascii="Times New Roman" w:eastAsia="Arial" w:hAnsi="Times New Roman" w:cs="Times New Roman"/>
                <w:sz w:val="24"/>
                <w:szCs w:val="24"/>
              </w:rPr>
              <w:t xml:space="preserve"> </w:t>
            </w:r>
            <w:r w:rsidR="008D03E1" w:rsidRPr="00AB05ED">
              <w:rPr>
                <w:rFonts w:ascii="Times New Roman" w:eastAsia="Arial" w:hAnsi="Times New Roman" w:cs="Times New Roman"/>
                <w:b/>
                <w:sz w:val="24"/>
                <w:szCs w:val="24"/>
                <w:u w:val="single"/>
              </w:rPr>
              <w:t>con los que cuentan los</w:t>
            </w:r>
            <w:r w:rsidR="008D03E1" w:rsidRPr="00AB05ED">
              <w:rPr>
                <w:rFonts w:ascii="Times New Roman" w:eastAsia="Arial" w:hAnsi="Times New Roman" w:cs="Times New Roman"/>
                <w:sz w:val="24"/>
                <w:szCs w:val="24"/>
              </w:rPr>
              <w:t xml:space="preserve"> </w:t>
            </w:r>
            <w:r w:rsidRPr="00AB05ED">
              <w:rPr>
                <w:rFonts w:ascii="Times New Roman" w:eastAsia="Arial" w:hAnsi="Times New Roman" w:cs="Times New Roman"/>
                <w:sz w:val="24"/>
                <w:szCs w:val="24"/>
              </w:rPr>
              <w:t xml:space="preserve"> </w:t>
            </w:r>
            <w:r w:rsidRPr="00AB05ED">
              <w:rPr>
                <w:rFonts w:ascii="Times New Roman" w:eastAsia="Arial" w:hAnsi="Times New Roman" w:cs="Times New Roman"/>
                <w:strike/>
                <w:sz w:val="24"/>
                <w:szCs w:val="24"/>
              </w:rPr>
              <w:t>de los</w:t>
            </w:r>
            <w:r w:rsidRPr="00AB05ED">
              <w:rPr>
                <w:rFonts w:ascii="Times New Roman" w:eastAsia="Arial" w:hAnsi="Times New Roman" w:cs="Times New Roman"/>
                <w:sz w:val="24"/>
                <w:szCs w:val="24"/>
              </w:rPr>
              <w:t xml:space="preserve"> Hospitales Públicos</w:t>
            </w:r>
            <w:r w:rsidR="008D03E1" w:rsidRPr="00AB05ED">
              <w:rPr>
                <w:rFonts w:ascii="Times New Roman" w:eastAsia="Arial" w:hAnsi="Times New Roman" w:cs="Times New Roman"/>
                <w:sz w:val="24"/>
                <w:szCs w:val="24"/>
              </w:rPr>
              <w:t xml:space="preserve"> </w:t>
            </w:r>
            <w:r w:rsidR="008D03E1" w:rsidRPr="00AB05ED">
              <w:rPr>
                <w:rFonts w:ascii="Times New Roman" w:eastAsia="Arial" w:hAnsi="Times New Roman" w:cs="Times New Roman"/>
                <w:b/>
                <w:sz w:val="24"/>
                <w:szCs w:val="24"/>
                <w:u w:val="single"/>
              </w:rPr>
              <w:t>del país</w:t>
            </w:r>
            <w:r w:rsidRPr="00AB05ED">
              <w:rPr>
                <w:rFonts w:ascii="Times New Roman" w:eastAsia="Arial" w:hAnsi="Times New Roman" w:cs="Times New Roman"/>
                <w:sz w:val="24"/>
                <w:szCs w:val="24"/>
              </w:rPr>
              <w:t>.</w:t>
            </w:r>
          </w:p>
        </w:tc>
      </w:tr>
      <w:tr w:rsidR="00935A79" w:rsidRPr="00935A79" w14:paraId="1907B293" w14:textId="77777777" w:rsidTr="00CA0258">
        <w:trPr>
          <w:trHeight w:val="947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EEF5A3" w14:textId="77777777" w:rsidR="00EF7E6D" w:rsidRPr="00935A79" w:rsidRDefault="001E2E90">
            <w:pPr>
              <w:spacing w:before="240" w:after="0"/>
              <w:jc w:val="both"/>
              <w:rPr>
                <w:rFonts w:ascii="Times New Roman" w:eastAsia="Arial" w:hAnsi="Times New Roman" w:cs="Times New Roman"/>
                <w:b/>
                <w:sz w:val="24"/>
                <w:szCs w:val="24"/>
              </w:rPr>
            </w:pPr>
            <w:r w:rsidRPr="00935A79">
              <w:rPr>
                <w:rFonts w:ascii="Times New Roman" w:eastAsia="Arial" w:hAnsi="Times New Roman" w:cs="Times New Roman"/>
                <w:b/>
                <w:sz w:val="24"/>
                <w:szCs w:val="24"/>
              </w:rPr>
              <w:lastRenderedPageBreak/>
              <w:t xml:space="preserve"> </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0C4809EF" w14:textId="5234FAB8" w:rsidR="00CA0258"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Artículo 2. Empresas Sociales del Estado. Los hospitales públicos continuarán funcionando como Empresas Sociales del Estado (ESE) y deberán funcionar en redes integrales de servicios que podrán ser de naturaleza pública o mixta y podrán participar en varias de ellas.</w:t>
            </w:r>
          </w:p>
          <w:p w14:paraId="55833996" w14:textId="77777777" w:rsidR="00AB05ED" w:rsidRPr="00935A79" w:rsidRDefault="00AB05ED">
            <w:pPr>
              <w:spacing w:before="240" w:after="0"/>
              <w:jc w:val="both"/>
              <w:rPr>
                <w:rFonts w:ascii="Times New Roman" w:eastAsia="Arial" w:hAnsi="Times New Roman" w:cs="Times New Roman"/>
                <w:sz w:val="24"/>
                <w:szCs w:val="24"/>
              </w:rPr>
            </w:pPr>
          </w:p>
          <w:p w14:paraId="3E63BBB4" w14:textId="315EBD20" w:rsidR="00CA0258"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Parágrafo 1. En los municipios más pequeños del país donde con la venta de servicios no se financie totalmente la prestación de servicios, el Estado concurrirá, con subsidio de oferta.</w:t>
            </w:r>
          </w:p>
          <w:p w14:paraId="3B377BB0" w14:textId="2A51E805"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Parágrafo 2. Para la conformación de las redes integrales de servicios las Empresas Sociales del Estado podrán optar por la Unión Temporal o cualquiera otra de las modalidades de asociación contempladas en nuestra legislación.</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22A1FF7C" w14:textId="014F3167" w:rsidR="00CA0258"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Artículo 2. Empresas Sociales del Estado. Los hospitales públicos continuarán funcionando como Empresas Sociales del Estado (ESE) y deberán funcionar en redes integrales de servicios </w:t>
            </w:r>
            <w:r w:rsidR="005C2A96" w:rsidRPr="00AB05ED">
              <w:rPr>
                <w:rFonts w:ascii="Times New Roman" w:eastAsia="Arial" w:hAnsi="Times New Roman" w:cs="Times New Roman"/>
                <w:strike/>
                <w:sz w:val="24"/>
                <w:szCs w:val="24"/>
              </w:rPr>
              <w:t>que</w:t>
            </w:r>
            <w:r w:rsidR="005C2A96" w:rsidRPr="00AB05ED">
              <w:rPr>
                <w:rFonts w:ascii="Times New Roman" w:eastAsia="Arial" w:hAnsi="Times New Roman" w:cs="Times New Roman"/>
                <w:sz w:val="24"/>
                <w:szCs w:val="24"/>
              </w:rPr>
              <w:t>,</w:t>
            </w:r>
            <w:r w:rsidR="005C2A96" w:rsidRPr="00AB05ED">
              <w:rPr>
                <w:rFonts w:ascii="Times New Roman" w:eastAsia="Arial" w:hAnsi="Times New Roman" w:cs="Times New Roman"/>
                <w:b/>
                <w:sz w:val="24"/>
                <w:szCs w:val="24"/>
                <w:u w:val="single"/>
              </w:rPr>
              <w:t xml:space="preserve"> las cuales </w:t>
            </w:r>
            <w:r w:rsidRPr="00AB05ED">
              <w:rPr>
                <w:rFonts w:ascii="Times New Roman" w:eastAsia="Arial" w:hAnsi="Times New Roman" w:cs="Times New Roman"/>
                <w:sz w:val="24"/>
                <w:szCs w:val="24"/>
              </w:rPr>
              <w:t xml:space="preserve">podrán ser de </w:t>
            </w:r>
            <w:r w:rsidRPr="00935A79">
              <w:rPr>
                <w:rFonts w:ascii="Times New Roman" w:eastAsia="Arial" w:hAnsi="Times New Roman" w:cs="Times New Roman"/>
                <w:sz w:val="24"/>
                <w:szCs w:val="24"/>
              </w:rPr>
              <w:t>naturaleza pública o mixta y podrán participar en varias de ellas.</w:t>
            </w:r>
          </w:p>
          <w:p w14:paraId="4404D6B6" w14:textId="08ADDF3C" w:rsidR="00AB05E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Parágrafo 1. En los municipios más pequeños del país donde con la venta de servicios no se financie totalmente la prestación de servicios, el Estado concurrirá</w:t>
            </w:r>
            <w:r w:rsidRPr="00AB05ED">
              <w:rPr>
                <w:rFonts w:ascii="Times New Roman" w:eastAsia="Arial" w:hAnsi="Times New Roman" w:cs="Times New Roman"/>
                <w:strike/>
                <w:sz w:val="24"/>
                <w:szCs w:val="24"/>
              </w:rPr>
              <w:t>,</w:t>
            </w:r>
            <w:r w:rsidRPr="005C2A96">
              <w:rPr>
                <w:rFonts w:ascii="Times New Roman" w:eastAsia="Arial" w:hAnsi="Times New Roman" w:cs="Times New Roman"/>
                <w:color w:val="FF0000"/>
                <w:sz w:val="24"/>
                <w:szCs w:val="24"/>
              </w:rPr>
              <w:t xml:space="preserve"> </w:t>
            </w:r>
            <w:r w:rsidRPr="00935A79">
              <w:rPr>
                <w:rFonts w:ascii="Times New Roman" w:eastAsia="Arial" w:hAnsi="Times New Roman" w:cs="Times New Roman"/>
                <w:sz w:val="24"/>
                <w:szCs w:val="24"/>
              </w:rPr>
              <w:t>con subsidio de oferta.</w:t>
            </w:r>
          </w:p>
          <w:p w14:paraId="536306C6" w14:textId="509791CD" w:rsidR="00EF7E6D" w:rsidRPr="005C2A96" w:rsidRDefault="00CA0258">
            <w:pPr>
              <w:spacing w:before="240" w:after="0"/>
              <w:jc w:val="both"/>
              <w:rPr>
                <w:rFonts w:ascii="Times New Roman" w:eastAsia="Arial" w:hAnsi="Times New Roman" w:cs="Times New Roman"/>
                <w:b/>
                <w:color w:val="FF0000"/>
                <w:sz w:val="24"/>
                <w:szCs w:val="24"/>
                <w:u w:val="single"/>
              </w:rPr>
            </w:pPr>
            <w:r>
              <w:rPr>
                <w:rFonts w:ascii="Times New Roman" w:eastAsia="Arial" w:hAnsi="Times New Roman" w:cs="Times New Roman"/>
                <w:sz w:val="24"/>
                <w:szCs w:val="24"/>
              </w:rPr>
              <w:t>Parágrafo 2. Para la co</w:t>
            </w:r>
            <w:r w:rsidR="001E2E90" w:rsidRPr="00935A79">
              <w:rPr>
                <w:rFonts w:ascii="Times New Roman" w:eastAsia="Arial" w:hAnsi="Times New Roman" w:cs="Times New Roman"/>
                <w:sz w:val="24"/>
                <w:szCs w:val="24"/>
              </w:rPr>
              <w:t>nformación de las redes integrales de servicios</w:t>
            </w:r>
            <w:r w:rsidR="005C2A96" w:rsidRPr="00AB05ED">
              <w:rPr>
                <w:rFonts w:ascii="Times New Roman" w:eastAsia="Arial" w:hAnsi="Times New Roman" w:cs="Times New Roman"/>
                <w:sz w:val="24"/>
                <w:szCs w:val="24"/>
              </w:rPr>
              <w:t>,</w:t>
            </w:r>
            <w:r w:rsidR="001E2E90" w:rsidRPr="00935A79">
              <w:rPr>
                <w:rFonts w:ascii="Times New Roman" w:eastAsia="Arial" w:hAnsi="Times New Roman" w:cs="Times New Roman"/>
                <w:sz w:val="24"/>
                <w:szCs w:val="24"/>
              </w:rPr>
              <w:t xml:space="preserve"> las Empresas Sociales del Estado podrán optar por la Unión Temporal o cualquiera otra de las modalidades de asociación contempladas en </w:t>
            </w:r>
            <w:r w:rsidR="001E2E90" w:rsidRPr="005C2A96">
              <w:rPr>
                <w:rFonts w:ascii="Times New Roman" w:eastAsia="Arial" w:hAnsi="Times New Roman" w:cs="Times New Roman"/>
                <w:strike/>
                <w:sz w:val="24"/>
                <w:szCs w:val="24"/>
              </w:rPr>
              <w:t>nuestra legisla</w:t>
            </w:r>
            <w:r w:rsidR="001E2E90" w:rsidRPr="00AB05ED">
              <w:rPr>
                <w:rFonts w:ascii="Times New Roman" w:eastAsia="Arial" w:hAnsi="Times New Roman" w:cs="Times New Roman"/>
                <w:strike/>
                <w:sz w:val="24"/>
                <w:szCs w:val="24"/>
              </w:rPr>
              <w:t>ción.</w:t>
            </w:r>
            <w:r w:rsidR="005C2A96" w:rsidRPr="00AB05ED">
              <w:rPr>
                <w:rFonts w:ascii="Times New Roman" w:eastAsia="Arial" w:hAnsi="Times New Roman" w:cs="Times New Roman"/>
                <w:strike/>
                <w:sz w:val="24"/>
                <w:szCs w:val="24"/>
              </w:rPr>
              <w:t xml:space="preserve"> </w:t>
            </w:r>
            <w:r w:rsidR="005C2A96" w:rsidRPr="00AB05ED">
              <w:rPr>
                <w:rFonts w:ascii="Times New Roman" w:eastAsia="Arial" w:hAnsi="Times New Roman" w:cs="Times New Roman"/>
                <w:b/>
                <w:sz w:val="24"/>
                <w:szCs w:val="24"/>
                <w:u w:val="single"/>
              </w:rPr>
              <w:t>la legislación colombiana.</w:t>
            </w:r>
          </w:p>
        </w:tc>
      </w:tr>
      <w:tr w:rsidR="00935A79" w:rsidRPr="00935A79" w14:paraId="6003DFE1" w14:textId="77777777" w:rsidTr="00CA0258">
        <w:trPr>
          <w:trHeight w:val="599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5A604E" w14:textId="77777777" w:rsidR="00EF7E6D" w:rsidRPr="00935A79" w:rsidRDefault="001E2E90">
            <w:pPr>
              <w:spacing w:before="240" w:after="0"/>
              <w:jc w:val="both"/>
              <w:rPr>
                <w:rFonts w:ascii="Times New Roman" w:eastAsia="Arial" w:hAnsi="Times New Roman" w:cs="Times New Roman"/>
                <w:b/>
                <w:sz w:val="24"/>
                <w:szCs w:val="24"/>
              </w:rPr>
            </w:pPr>
            <w:r w:rsidRPr="00935A79">
              <w:rPr>
                <w:rFonts w:ascii="Times New Roman" w:eastAsia="Arial" w:hAnsi="Times New Roman" w:cs="Times New Roman"/>
                <w:b/>
                <w:sz w:val="24"/>
                <w:szCs w:val="24"/>
              </w:rPr>
              <w:lastRenderedPageBreak/>
              <w:t xml:space="preserve"> </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412D854D"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Artículo 3. Oferta de programas de especialidades clínicas, quirúrgicas y diagnósticas en medicina. Las Instituciones de Educación Superior que ofrezcan especialidades clínicas, quirúrgicas y diagnósticas en medicina, recibirán incentivos para el establecimiento de compromisos de formación de especialistas, siempre y cuando con dicha oferta se impacté real y positivamente aquellas disciplinas con mayor déficit de especialistas en el país.</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0A5FA335" w14:textId="774706BE" w:rsidR="00EF7E6D" w:rsidRPr="008D03E1" w:rsidRDefault="008D03E1" w:rsidP="008D03E1">
            <w:pPr>
              <w:spacing w:before="240" w:after="0"/>
              <w:jc w:val="both"/>
              <w:rPr>
                <w:rFonts w:ascii="Times New Roman" w:eastAsia="Arial" w:hAnsi="Times New Roman" w:cs="Times New Roman"/>
                <w:strike/>
                <w:sz w:val="24"/>
                <w:szCs w:val="24"/>
              </w:rPr>
            </w:pPr>
            <w:r w:rsidRPr="008D03E1">
              <w:rPr>
                <w:rFonts w:ascii="Times New Roman" w:eastAsia="Arial" w:hAnsi="Times New Roman" w:cs="Times New Roman"/>
                <w:strike/>
                <w:sz w:val="24"/>
                <w:szCs w:val="24"/>
              </w:rPr>
              <w:t>Artículo 3. Oferta de programas de especialidades clínicas, quirúrgicas y diagnósticas en medicina. Las Instituciones de Educación Superior que ofrezcan especialidades clínicas, quirúrgicas y diagnósticas en medicina, recibirán incentivos para el establecimiento de compromisos de formación de especialistas, siempre y cuando con dicha oferta se impacté real y positivamente aquellas disciplinas con mayor déficit de especialistas en el país.</w:t>
            </w:r>
          </w:p>
          <w:p w14:paraId="1204DFA1" w14:textId="4770B5EB" w:rsidR="00EF7E6D" w:rsidRPr="00935A79" w:rsidRDefault="00EF7E6D">
            <w:pPr>
              <w:spacing w:before="240" w:after="0"/>
              <w:jc w:val="center"/>
              <w:rPr>
                <w:rFonts w:ascii="Times New Roman" w:eastAsia="Arial" w:hAnsi="Times New Roman" w:cs="Times New Roman"/>
                <w:sz w:val="24"/>
                <w:szCs w:val="24"/>
              </w:rPr>
            </w:pPr>
          </w:p>
        </w:tc>
      </w:tr>
      <w:tr w:rsidR="00935A79" w:rsidRPr="00935A79" w14:paraId="0D32758B" w14:textId="77777777" w:rsidTr="00CA0258">
        <w:trPr>
          <w:trHeight w:val="323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B0A404" w14:textId="77777777" w:rsidR="00EF7E6D" w:rsidRPr="00935A79" w:rsidRDefault="001E2E90">
            <w:pPr>
              <w:spacing w:before="240" w:after="0"/>
              <w:jc w:val="both"/>
              <w:rPr>
                <w:rFonts w:ascii="Times New Roman" w:eastAsia="Arial" w:hAnsi="Times New Roman" w:cs="Times New Roman"/>
                <w:b/>
                <w:sz w:val="24"/>
                <w:szCs w:val="24"/>
              </w:rPr>
            </w:pPr>
            <w:r w:rsidRPr="00935A79">
              <w:rPr>
                <w:rFonts w:ascii="Times New Roman" w:eastAsia="Arial" w:hAnsi="Times New Roman" w:cs="Times New Roman"/>
                <w:b/>
                <w:sz w:val="24"/>
                <w:szCs w:val="24"/>
              </w:rPr>
              <w:t xml:space="preserve"> </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0690E8CD"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Artículo 4. Giro directo de la UPC. El pago anticipado en el caso de los contratos de capitación deberá ser del 100%, y del 80% para las otras modalidades de contratación tales como el pago por evento de acuerdo con la Ley 1122 de 2007.</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26184C43" w14:textId="042CAD17" w:rsidR="008D03E1" w:rsidRPr="005C2A96" w:rsidRDefault="005C2A96" w:rsidP="005C2A96">
            <w:pPr>
              <w:spacing w:before="240" w:after="0"/>
              <w:jc w:val="both"/>
              <w:rPr>
                <w:rFonts w:ascii="Times New Roman" w:eastAsia="Arial" w:hAnsi="Times New Roman" w:cs="Times New Roman"/>
                <w:strike/>
                <w:sz w:val="24"/>
                <w:szCs w:val="24"/>
                <w:highlight w:val="white"/>
              </w:rPr>
            </w:pPr>
            <w:r w:rsidRPr="005C2A96">
              <w:rPr>
                <w:rFonts w:ascii="Times New Roman" w:eastAsia="Arial" w:hAnsi="Times New Roman" w:cs="Times New Roman"/>
                <w:strike/>
                <w:sz w:val="24"/>
                <w:szCs w:val="24"/>
              </w:rPr>
              <w:t>Artículo 4. Giro directo de la UPC. El pago anticipado en el caso de los contratos de capitación deberá ser del 100%, y del 80% para las otras modalidades de contratación tales como el pago por evento de acuerdo con la Ley 1122 de 2007.</w:t>
            </w:r>
          </w:p>
        </w:tc>
      </w:tr>
      <w:tr w:rsidR="00935A79" w:rsidRPr="00935A79" w14:paraId="412C6B4C" w14:textId="77777777" w:rsidTr="00CA0258">
        <w:trPr>
          <w:trHeight w:val="923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8851AF" w14:textId="0ABD35B9"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ARTICULO PRIMERO. PROHIBICION DE CONTRATOS DE PRESTACION DE SERVICIOS PERSONALES PARA VINCULAR A TRABAJADORES DE LA SALUD. Queda expresamente prohibidos los contratos de prestación de servicios personales u órdenes de prestación de servicios personales OPS, de carácter comercial, civil y/o administrativo, para la vinculación directa o indirecta del talento humano en todo el sector de la salud.</w:t>
            </w:r>
          </w:p>
          <w:p w14:paraId="3AB29AB7"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PARÁGRAFO. Se exceptúan los contratos que tengan origen en relaciones de negocios jurídicos estrictamente comerciales, civiles o administrativos, sin que sea suficiente mérito probatorio la sola exhibición del contrato correspondiente.</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70E626C9"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486AD1B9" w14:textId="7E9D429B" w:rsidR="00EF7E6D" w:rsidRDefault="001E2E90">
            <w:pPr>
              <w:spacing w:before="240" w:after="0"/>
              <w:jc w:val="both"/>
              <w:rPr>
                <w:rFonts w:ascii="Times New Roman" w:eastAsia="Arial" w:hAnsi="Times New Roman" w:cs="Times New Roman"/>
                <w:sz w:val="24"/>
                <w:szCs w:val="24"/>
                <w:highlight w:val="white"/>
              </w:rPr>
            </w:pPr>
            <w:r w:rsidRPr="00935A79">
              <w:rPr>
                <w:rFonts w:ascii="Times New Roman" w:eastAsia="Arial" w:hAnsi="Times New Roman" w:cs="Times New Roman"/>
                <w:b/>
                <w:sz w:val="24"/>
                <w:szCs w:val="24"/>
              </w:rPr>
              <w:t xml:space="preserve">Artículo </w:t>
            </w:r>
            <w:r w:rsidRPr="00935A79">
              <w:rPr>
                <w:rFonts w:ascii="Times New Roman" w:eastAsia="Arial" w:hAnsi="Times New Roman" w:cs="Times New Roman"/>
                <w:b/>
                <w:sz w:val="24"/>
                <w:szCs w:val="24"/>
                <w:u w:val="single"/>
              </w:rPr>
              <w:t>3</w:t>
            </w:r>
            <w:r w:rsidRPr="00935A79">
              <w:rPr>
                <w:rFonts w:ascii="Times New Roman" w:eastAsia="Arial" w:hAnsi="Times New Roman" w:cs="Times New Roman"/>
                <w:b/>
                <w:sz w:val="24"/>
                <w:szCs w:val="24"/>
              </w:rPr>
              <w:t>. Prohibición de contratos de prestación de servicios personales para vincular a trabajadores de la salud.</w:t>
            </w:r>
            <w:r w:rsidRPr="00935A79">
              <w:rPr>
                <w:rFonts w:ascii="Times New Roman" w:eastAsia="Arial" w:hAnsi="Times New Roman" w:cs="Times New Roman"/>
                <w:sz w:val="24"/>
                <w:szCs w:val="24"/>
              </w:rPr>
              <w:t xml:space="preserve"> Queda</w:t>
            </w:r>
            <w:r w:rsidRPr="00935A79">
              <w:rPr>
                <w:rFonts w:ascii="Times New Roman" w:eastAsia="Arial" w:hAnsi="Times New Roman" w:cs="Times New Roman"/>
                <w:b/>
                <w:sz w:val="24"/>
                <w:szCs w:val="24"/>
                <w:u w:val="single"/>
              </w:rPr>
              <w:t>n</w:t>
            </w:r>
            <w:r w:rsidRPr="00935A79">
              <w:rPr>
                <w:rFonts w:ascii="Times New Roman" w:eastAsia="Arial" w:hAnsi="Times New Roman" w:cs="Times New Roman"/>
                <w:sz w:val="24"/>
                <w:szCs w:val="24"/>
              </w:rPr>
              <w:t xml:space="preserve"> expresamente prohibidos los contratos de prestación de servicios personales u órdenes de prestación de servicios personales OPS, de carácter comercial, civil y/o administrativo, para la vinculación directa o indirecta del talento </w:t>
            </w:r>
            <w:r w:rsidRPr="00935A79">
              <w:rPr>
                <w:rFonts w:ascii="Times New Roman" w:eastAsia="Arial" w:hAnsi="Times New Roman" w:cs="Times New Roman"/>
                <w:sz w:val="24"/>
                <w:szCs w:val="24"/>
                <w:highlight w:val="white"/>
              </w:rPr>
              <w:t xml:space="preserve">humano en </w:t>
            </w:r>
            <w:r w:rsidRPr="00935A79">
              <w:rPr>
                <w:rFonts w:ascii="Times New Roman" w:eastAsia="Arial" w:hAnsi="Times New Roman" w:cs="Times New Roman"/>
                <w:strike/>
                <w:sz w:val="24"/>
                <w:szCs w:val="24"/>
                <w:highlight w:val="white"/>
              </w:rPr>
              <w:t>todo el sector de la</w:t>
            </w:r>
            <w:r w:rsidRPr="00935A79">
              <w:rPr>
                <w:rFonts w:ascii="Times New Roman" w:eastAsia="Arial" w:hAnsi="Times New Roman" w:cs="Times New Roman"/>
                <w:sz w:val="24"/>
                <w:szCs w:val="24"/>
                <w:highlight w:val="white"/>
              </w:rPr>
              <w:t xml:space="preserve"> salud.</w:t>
            </w:r>
          </w:p>
          <w:p w14:paraId="72111DF4" w14:textId="15B71E57" w:rsidR="00CA0258" w:rsidRDefault="00CA0258">
            <w:pPr>
              <w:spacing w:before="240" w:after="0"/>
              <w:jc w:val="both"/>
              <w:rPr>
                <w:rFonts w:ascii="Times New Roman" w:eastAsia="Arial" w:hAnsi="Times New Roman" w:cs="Times New Roman"/>
                <w:sz w:val="24"/>
                <w:szCs w:val="24"/>
                <w:highlight w:val="white"/>
              </w:rPr>
            </w:pPr>
          </w:p>
          <w:p w14:paraId="2D13BD75" w14:textId="695800C7" w:rsidR="00CA0258" w:rsidRDefault="00CA0258">
            <w:pPr>
              <w:spacing w:before="240" w:after="0"/>
              <w:jc w:val="both"/>
              <w:rPr>
                <w:rFonts w:ascii="Times New Roman" w:eastAsia="Arial" w:hAnsi="Times New Roman" w:cs="Times New Roman"/>
                <w:sz w:val="24"/>
                <w:szCs w:val="24"/>
                <w:highlight w:val="white"/>
              </w:rPr>
            </w:pPr>
          </w:p>
          <w:p w14:paraId="564207BA" w14:textId="3E2F5A97" w:rsidR="00CA0258" w:rsidRDefault="00CA0258">
            <w:pPr>
              <w:spacing w:before="240" w:after="0"/>
              <w:jc w:val="both"/>
              <w:rPr>
                <w:rFonts w:ascii="Times New Roman" w:eastAsia="Arial" w:hAnsi="Times New Roman" w:cs="Times New Roman"/>
                <w:sz w:val="24"/>
                <w:szCs w:val="24"/>
                <w:highlight w:val="white"/>
              </w:rPr>
            </w:pPr>
          </w:p>
          <w:p w14:paraId="1434C0AA" w14:textId="7F74ECD5" w:rsidR="00CA0258" w:rsidRDefault="001E2E90" w:rsidP="00CA0258">
            <w:pPr>
              <w:spacing w:before="240" w:after="0"/>
              <w:jc w:val="both"/>
              <w:rPr>
                <w:rFonts w:ascii="Times New Roman" w:eastAsia="Arial" w:hAnsi="Times New Roman" w:cs="Times New Roman"/>
                <w:color w:val="FF0000"/>
                <w:sz w:val="24"/>
                <w:szCs w:val="24"/>
                <w:u w:val="single"/>
              </w:rPr>
            </w:pPr>
            <w:r w:rsidRPr="00935A79">
              <w:rPr>
                <w:rFonts w:ascii="Times New Roman" w:eastAsia="Arial" w:hAnsi="Times New Roman" w:cs="Times New Roman"/>
                <w:b/>
                <w:sz w:val="24"/>
                <w:szCs w:val="24"/>
              </w:rPr>
              <w:t>Parágrafo 1.</w:t>
            </w:r>
            <w:r w:rsidRPr="00935A79">
              <w:rPr>
                <w:rFonts w:ascii="Times New Roman" w:eastAsia="Arial" w:hAnsi="Times New Roman" w:cs="Times New Roman"/>
                <w:sz w:val="24"/>
                <w:szCs w:val="24"/>
              </w:rPr>
              <w:t xml:space="preserve"> Se exceptúan los contratos que tengan origen en relaciones de negocios jurídicos estrictamente comerciales, civiles o administrativos, sin que sea suficiente mérito probatorio la sola exhibición del contrato correspondiente.</w:t>
            </w:r>
            <w:r w:rsidR="00CA0258">
              <w:rPr>
                <w:rFonts w:ascii="Times New Roman" w:eastAsia="Arial" w:hAnsi="Times New Roman" w:cs="Times New Roman"/>
                <w:sz w:val="24"/>
                <w:szCs w:val="24"/>
              </w:rPr>
              <w:t xml:space="preserve"> </w:t>
            </w:r>
          </w:p>
          <w:p w14:paraId="268115C2" w14:textId="22F20364" w:rsidR="00EF7E6D" w:rsidRPr="00935A79" w:rsidRDefault="001E2E90" w:rsidP="00CA0258">
            <w:pPr>
              <w:spacing w:before="240" w:after="0"/>
              <w:jc w:val="both"/>
              <w:rPr>
                <w:rFonts w:ascii="Times New Roman" w:eastAsia="Arial" w:hAnsi="Times New Roman" w:cs="Times New Roman"/>
                <w:b/>
                <w:sz w:val="24"/>
                <w:szCs w:val="24"/>
                <w:u w:val="single"/>
              </w:rPr>
            </w:pPr>
            <w:r w:rsidRPr="00935A79">
              <w:rPr>
                <w:rFonts w:ascii="Times New Roman" w:eastAsia="Arial" w:hAnsi="Times New Roman" w:cs="Times New Roman"/>
                <w:b/>
                <w:sz w:val="24"/>
                <w:szCs w:val="24"/>
                <w:u w:val="single"/>
              </w:rPr>
              <w:t>Parágrafo 2. La vinculación laboral de los especialistas de las ciencias de la salud podrá realizarse a través de las distintas modalidades que permita el ordenamiento jurídico colombiano para la contratación de servicios profesionales, incluidas las modalidades establecidas en el Código Sustantivo del Trabajo.</w:t>
            </w:r>
          </w:p>
        </w:tc>
      </w:tr>
      <w:tr w:rsidR="00935A79" w:rsidRPr="00935A79" w14:paraId="405DB101" w14:textId="77777777" w:rsidTr="00CA0258">
        <w:trPr>
          <w:trHeight w:val="1520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B3841C" w14:textId="3963206D"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ARTICULO SEGUNDO. CONTRATO DE TRABAJO Y RELACIÓN REGLAMENTARIA. A partir de la vigencia de la presente ley, los empleadores públicos, privados, mixtos, comunitarios y solidarios, deberán celebrar contratos de trabajo y/o relación reglamentaria, para vincular al talento humano en la prestación personal y directa del servicio de salud, respetando los derechos constitucionales, legales y prestacionales consagrados en las normas laborales vigentes.</w:t>
            </w:r>
          </w:p>
          <w:p w14:paraId="6BF1534D" w14:textId="2975CF4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PARÁGRAFO 1. Se exceptúan los contratos que tengan origen en relaciones de negocios jurídicos comerciales, civiles o administrativos, de que trata el parágrafo único del artículo anterior.</w:t>
            </w:r>
          </w:p>
          <w:p w14:paraId="24159D79"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PARÁGRAFO 2. Para garantizar el pago oportuno al talento humano de la salud vinculado por contrato de trabajo laboral, no se requerirá de la autorización por parte de la Empresa Promotora de Salud EPS, para proceder al giro directo a las Institución Prestadora de Servicios de salud IPS, basta la presentación de la Planilla Integrada de Liquidación de Aportes al </w:t>
            </w:r>
            <w:r w:rsidRPr="00935A79">
              <w:rPr>
                <w:rFonts w:ascii="Times New Roman" w:eastAsia="Arial" w:hAnsi="Times New Roman" w:cs="Times New Roman"/>
                <w:sz w:val="24"/>
                <w:szCs w:val="24"/>
              </w:rPr>
              <w:lastRenderedPageBreak/>
              <w:t>Sistema de Seguridad Social Integral y Parafiscales PILA, que tenga origen exclusivamente en las relaciones contractuales de carácter laboral.</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6C46DF08"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757BAAA1" w14:textId="463CDC05" w:rsidR="003015A2"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Artículo</w:t>
            </w:r>
            <w:r w:rsidRPr="00935A79">
              <w:rPr>
                <w:rFonts w:ascii="Times New Roman" w:eastAsia="Arial" w:hAnsi="Times New Roman" w:cs="Times New Roman"/>
                <w:b/>
                <w:sz w:val="24"/>
                <w:szCs w:val="24"/>
              </w:rPr>
              <w:t xml:space="preserve"> </w:t>
            </w:r>
            <w:r w:rsidRPr="00935A79">
              <w:rPr>
                <w:rFonts w:ascii="Times New Roman" w:eastAsia="Arial" w:hAnsi="Times New Roman" w:cs="Times New Roman"/>
                <w:b/>
                <w:sz w:val="24"/>
                <w:szCs w:val="24"/>
                <w:u w:val="single"/>
              </w:rPr>
              <w:t>4</w:t>
            </w:r>
            <w:r w:rsidRPr="00935A79">
              <w:rPr>
                <w:rFonts w:ascii="Times New Roman" w:eastAsia="Arial" w:hAnsi="Times New Roman" w:cs="Times New Roman"/>
                <w:sz w:val="24"/>
                <w:szCs w:val="24"/>
              </w:rPr>
              <w:t>. Contrato de trabajo y relaci</w:t>
            </w:r>
            <w:r w:rsidR="003015A2">
              <w:rPr>
                <w:rFonts w:ascii="Times New Roman" w:eastAsia="Arial" w:hAnsi="Times New Roman" w:cs="Times New Roman"/>
                <w:sz w:val="24"/>
                <w:szCs w:val="24"/>
              </w:rPr>
              <w:t>ón regla</w:t>
            </w:r>
            <w:r w:rsidR="003015A2" w:rsidRPr="00AB05ED">
              <w:rPr>
                <w:rFonts w:ascii="Times New Roman" w:eastAsia="Arial" w:hAnsi="Times New Roman" w:cs="Times New Roman"/>
                <w:sz w:val="24"/>
                <w:szCs w:val="24"/>
              </w:rPr>
              <w:t xml:space="preserve">mentaria. A partir </w:t>
            </w:r>
            <w:r w:rsidR="00CA0258" w:rsidRPr="00AB05ED">
              <w:rPr>
                <w:rFonts w:ascii="Times New Roman" w:eastAsia="Arial" w:hAnsi="Times New Roman" w:cs="Times New Roman"/>
                <w:sz w:val="24"/>
                <w:szCs w:val="24"/>
              </w:rPr>
              <w:t xml:space="preserve">de </w:t>
            </w:r>
            <w:r w:rsidR="00CA0258" w:rsidRPr="00AB05ED">
              <w:rPr>
                <w:rFonts w:ascii="Times New Roman" w:eastAsia="Arial" w:hAnsi="Times New Roman" w:cs="Times New Roman"/>
                <w:b/>
                <w:sz w:val="24"/>
                <w:szCs w:val="24"/>
                <w:u w:val="single"/>
              </w:rPr>
              <w:t>la</w:t>
            </w:r>
            <w:r w:rsidR="003015A2" w:rsidRPr="00AB05ED">
              <w:rPr>
                <w:rFonts w:ascii="Times New Roman" w:eastAsia="Arial" w:hAnsi="Times New Roman" w:cs="Times New Roman"/>
                <w:b/>
                <w:sz w:val="24"/>
                <w:szCs w:val="24"/>
                <w:u w:val="single"/>
              </w:rPr>
              <w:t xml:space="preserve"> entrada en</w:t>
            </w:r>
            <w:r w:rsidRPr="00AB05ED">
              <w:rPr>
                <w:rFonts w:ascii="Times New Roman" w:eastAsia="Arial" w:hAnsi="Times New Roman" w:cs="Times New Roman"/>
                <w:sz w:val="24"/>
                <w:szCs w:val="24"/>
              </w:rPr>
              <w:t xml:space="preserve"> vigencia </w:t>
            </w:r>
            <w:r w:rsidRPr="00935A79">
              <w:rPr>
                <w:rFonts w:ascii="Times New Roman" w:eastAsia="Arial" w:hAnsi="Times New Roman" w:cs="Times New Roman"/>
                <w:sz w:val="24"/>
                <w:szCs w:val="24"/>
              </w:rPr>
              <w:t xml:space="preserve">de la presente ley, los empleadores públicos, privados, mixtos, comunitarios y solidarios, deberán celebrar contratos de </w:t>
            </w:r>
            <w:r w:rsidRPr="00935A79">
              <w:rPr>
                <w:rFonts w:ascii="Times New Roman" w:eastAsia="Arial" w:hAnsi="Times New Roman" w:cs="Times New Roman"/>
                <w:b/>
                <w:sz w:val="24"/>
                <w:szCs w:val="24"/>
                <w:u w:val="single"/>
              </w:rPr>
              <w:t xml:space="preserve">trabajo a término fijo </w:t>
            </w:r>
            <w:r w:rsidRPr="00935A79">
              <w:rPr>
                <w:rFonts w:ascii="Times New Roman" w:eastAsia="Arial" w:hAnsi="Times New Roman" w:cs="Times New Roman"/>
                <w:sz w:val="24"/>
                <w:szCs w:val="24"/>
              </w:rPr>
              <w:t>y/o relación reglamentaria, para vincular al talento humano en la prestación personal y directa del servicio de salud, respetando los derechos constitucionales, legales y prestacionales consagrados en las normas laborales vigentes.</w:t>
            </w:r>
            <w:r w:rsidR="003F1003">
              <w:rPr>
                <w:rFonts w:ascii="Times New Roman" w:eastAsia="Arial" w:hAnsi="Times New Roman" w:cs="Times New Roman"/>
                <w:sz w:val="24"/>
                <w:szCs w:val="24"/>
              </w:rPr>
              <w:t xml:space="preserve"> </w:t>
            </w:r>
          </w:p>
          <w:p w14:paraId="64E76099" w14:textId="34891DE5" w:rsidR="003015A2" w:rsidRDefault="001E2E90">
            <w:pPr>
              <w:spacing w:before="240" w:after="0"/>
              <w:jc w:val="both"/>
              <w:rPr>
                <w:rFonts w:ascii="Times New Roman" w:eastAsia="Arial" w:hAnsi="Times New Roman" w:cs="Times New Roman"/>
                <w:b/>
                <w:color w:val="FF0000"/>
                <w:sz w:val="24"/>
                <w:szCs w:val="24"/>
                <w:u w:val="single"/>
              </w:rPr>
            </w:pPr>
            <w:r w:rsidRPr="00935A79">
              <w:rPr>
                <w:rFonts w:ascii="Times New Roman" w:eastAsia="Arial" w:hAnsi="Times New Roman" w:cs="Times New Roman"/>
                <w:b/>
                <w:sz w:val="24"/>
                <w:szCs w:val="24"/>
              </w:rPr>
              <w:t>PARÁGRAFO 1.</w:t>
            </w:r>
            <w:r w:rsidRPr="00935A79">
              <w:rPr>
                <w:rFonts w:ascii="Times New Roman" w:eastAsia="Arial" w:hAnsi="Times New Roman" w:cs="Times New Roman"/>
                <w:sz w:val="24"/>
                <w:szCs w:val="24"/>
              </w:rPr>
              <w:t xml:space="preserve"> Se exceptúan los contratos que tengan origen en relaciones de negocios jurídicos comerciales, civiles o administrativos, de que trata el parágrafo </w:t>
            </w:r>
            <w:r w:rsidRPr="00CA0258">
              <w:rPr>
                <w:rFonts w:ascii="Times New Roman" w:eastAsia="Arial" w:hAnsi="Times New Roman" w:cs="Times New Roman"/>
                <w:strike/>
                <w:sz w:val="24"/>
                <w:szCs w:val="24"/>
              </w:rPr>
              <w:t>único</w:t>
            </w:r>
            <w:r w:rsidRPr="00935A79">
              <w:rPr>
                <w:rFonts w:ascii="Times New Roman" w:eastAsia="Arial" w:hAnsi="Times New Roman" w:cs="Times New Roman"/>
                <w:sz w:val="24"/>
                <w:szCs w:val="24"/>
              </w:rPr>
              <w:t xml:space="preserve"> </w:t>
            </w:r>
            <w:r w:rsidR="00CA0258" w:rsidRPr="00AB05ED">
              <w:rPr>
                <w:rFonts w:ascii="Times New Roman" w:eastAsia="Arial" w:hAnsi="Times New Roman" w:cs="Times New Roman"/>
                <w:b/>
                <w:sz w:val="24"/>
                <w:szCs w:val="24"/>
                <w:u w:val="single"/>
              </w:rPr>
              <w:t xml:space="preserve">primero </w:t>
            </w:r>
            <w:r w:rsidRPr="00AB05ED">
              <w:rPr>
                <w:rFonts w:ascii="Times New Roman" w:eastAsia="Arial" w:hAnsi="Times New Roman" w:cs="Times New Roman"/>
                <w:sz w:val="24"/>
                <w:szCs w:val="24"/>
              </w:rPr>
              <w:t>d</w:t>
            </w:r>
            <w:r w:rsidRPr="00935A79">
              <w:rPr>
                <w:rFonts w:ascii="Times New Roman" w:eastAsia="Arial" w:hAnsi="Times New Roman" w:cs="Times New Roman"/>
                <w:sz w:val="24"/>
                <w:szCs w:val="24"/>
              </w:rPr>
              <w:t>el artículo anterior.</w:t>
            </w:r>
            <w:r w:rsidR="003015A2">
              <w:rPr>
                <w:rFonts w:ascii="Times New Roman" w:eastAsia="Arial" w:hAnsi="Times New Roman" w:cs="Times New Roman"/>
                <w:sz w:val="24"/>
                <w:szCs w:val="24"/>
              </w:rPr>
              <w:t xml:space="preserve"> </w:t>
            </w:r>
            <w:r w:rsidR="006052AB">
              <w:rPr>
                <w:rFonts w:ascii="Times New Roman" w:eastAsia="Arial" w:hAnsi="Times New Roman" w:cs="Times New Roman"/>
                <w:sz w:val="24"/>
                <w:szCs w:val="24"/>
              </w:rPr>
              <w:t xml:space="preserve"> </w:t>
            </w:r>
          </w:p>
          <w:p w14:paraId="0B4C9CA8" w14:textId="77777777" w:rsidR="003F1003" w:rsidRPr="001F0042" w:rsidRDefault="003F1003">
            <w:pPr>
              <w:spacing w:before="240" w:after="0"/>
              <w:jc w:val="both"/>
              <w:rPr>
                <w:rFonts w:ascii="Times New Roman" w:eastAsia="Arial" w:hAnsi="Times New Roman" w:cs="Times New Roman"/>
                <w:b/>
                <w:color w:val="FF0000"/>
                <w:sz w:val="24"/>
                <w:szCs w:val="24"/>
                <w:u w:val="single"/>
              </w:rPr>
            </w:pPr>
          </w:p>
          <w:p w14:paraId="5A203AE4" w14:textId="77777777" w:rsidR="003F1003" w:rsidRPr="00AB05ED" w:rsidRDefault="001E2E90" w:rsidP="003F1003">
            <w:pPr>
              <w:spacing w:after="0"/>
              <w:ind w:right="49"/>
              <w:jc w:val="both"/>
              <w:rPr>
                <w:rFonts w:ascii="Times New Roman" w:eastAsia="Arial" w:hAnsi="Times New Roman" w:cs="Times New Roman"/>
                <w:b/>
                <w:sz w:val="24"/>
                <w:szCs w:val="24"/>
                <w:u w:val="single"/>
              </w:rPr>
            </w:pPr>
            <w:r w:rsidRPr="00935A79">
              <w:rPr>
                <w:rFonts w:ascii="Times New Roman" w:eastAsia="Arial" w:hAnsi="Times New Roman" w:cs="Times New Roman"/>
                <w:b/>
                <w:sz w:val="24"/>
                <w:szCs w:val="24"/>
              </w:rPr>
              <w:t>PARÁGRAFO 2.</w:t>
            </w:r>
            <w:r w:rsidRPr="00935A79">
              <w:rPr>
                <w:rFonts w:ascii="Times New Roman" w:eastAsia="Arial" w:hAnsi="Times New Roman" w:cs="Times New Roman"/>
                <w:sz w:val="24"/>
                <w:szCs w:val="24"/>
              </w:rPr>
              <w:t xml:space="preserve"> Para garantizar el pago oportuno al talento humano de la salud vinculado por contrato de trabajo laboral, no se requerirá de la autorización por parte de la Empresa Promotora de Salud EPS, para proceder al giro directo a las Institución Prestadora de Servicios de salud IPS, basta la presentación de la Planilla Integrada de Liquidación de Aportes al Sistema de Seguridad Social Integral y Parafiscales PILA</w:t>
            </w:r>
            <w:r w:rsidR="00CF0576">
              <w:rPr>
                <w:rFonts w:ascii="Times New Roman" w:eastAsia="Arial" w:hAnsi="Times New Roman" w:cs="Times New Roman"/>
                <w:sz w:val="24"/>
                <w:szCs w:val="24"/>
              </w:rPr>
              <w:t xml:space="preserve"> </w:t>
            </w:r>
            <w:r w:rsidR="003015A2">
              <w:rPr>
                <w:rFonts w:ascii="Times New Roman" w:eastAsia="Arial" w:hAnsi="Times New Roman" w:cs="Times New Roman"/>
                <w:b/>
                <w:color w:val="FF0000"/>
                <w:sz w:val="24"/>
                <w:szCs w:val="24"/>
              </w:rPr>
              <w:t xml:space="preserve"> </w:t>
            </w:r>
            <w:r w:rsidRPr="00935A79">
              <w:rPr>
                <w:rFonts w:ascii="Times New Roman" w:eastAsia="Arial" w:hAnsi="Times New Roman" w:cs="Times New Roman"/>
                <w:sz w:val="24"/>
                <w:szCs w:val="24"/>
              </w:rPr>
              <w:t>, que tenga origen exclusivamente en las relaciones co</w:t>
            </w:r>
            <w:r w:rsidR="00CF0576">
              <w:rPr>
                <w:rFonts w:ascii="Times New Roman" w:eastAsia="Arial" w:hAnsi="Times New Roman" w:cs="Times New Roman"/>
                <w:sz w:val="24"/>
                <w:szCs w:val="24"/>
              </w:rPr>
              <w:t>n</w:t>
            </w:r>
            <w:r w:rsidR="003F1003">
              <w:rPr>
                <w:rFonts w:ascii="Times New Roman" w:eastAsia="Arial" w:hAnsi="Times New Roman" w:cs="Times New Roman"/>
                <w:sz w:val="24"/>
                <w:szCs w:val="24"/>
              </w:rPr>
              <w:t xml:space="preserve">tractuales de carácter </w:t>
            </w:r>
            <w:r w:rsidR="003F1003">
              <w:rPr>
                <w:rFonts w:ascii="Times New Roman" w:eastAsia="Arial" w:hAnsi="Times New Roman" w:cs="Times New Roman"/>
                <w:sz w:val="24"/>
                <w:szCs w:val="24"/>
              </w:rPr>
              <w:lastRenderedPageBreak/>
              <w:t xml:space="preserve">laboral, </w:t>
            </w:r>
            <w:r w:rsidR="003F1003" w:rsidRPr="00AB05ED">
              <w:rPr>
                <w:rFonts w:ascii="Times New Roman" w:eastAsia="Arial" w:hAnsi="Times New Roman" w:cs="Times New Roman"/>
                <w:b/>
                <w:sz w:val="24"/>
                <w:szCs w:val="24"/>
                <w:u w:val="single"/>
              </w:rPr>
              <w:t xml:space="preserve">pagada con base en los ingresos efectivamente percibidos derivados de las mismas. </w:t>
            </w:r>
          </w:p>
          <w:p w14:paraId="1AF8948D" w14:textId="5A9325DB" w:rsidR="003F1003" w:rsidRPr="003F1003" w:rsidRDefault="003F1003" w:rsidP="003F1003">
            <w:pPr>
              <w:spacing w:after="0"/>
              <w:ind w:right="49"/>
              <w:jc w:val="both"/>
              <w:rPr>
                <w:rFonts w:ascii="Times New Roman" w:eastAsia="Arial" w:hAnsi="Times New Roman" w:cs="Times New Roman"/>
                <w:b/>
                <w:color w:val="FF0000"/>
                <w:sz w:val="24"/>
                <w:szCs w:val="24"/>
                <w:u w:val="single"/>
              </w:rPr>
            </w:pPr>
          </w:p>
          <w:p w14:paraId="3CD48777" w14:textId="7834C1B7" w:rsidR="00EF7E6D" w:rsidRPr="00CF0576" w:rsidRDefault="00EF7E6D" w:rsidP="00814AF1">
            <w:pPr>
              <w:spacing w:before="240" w:after="0"/>
              <w:jc w:val="both"/>
              <w:rPr>
                <w:rFonts w:ascii="Times New Roman" w:eastAsia="Arial" w:hAnsi="Times New Roman" w:cs="Times New Roman"/>
                <w:color w:val="FF0000"/>
                <w:sz w:val="24"/>
                <w:szCs w:val="24"/>
                <w:u w:val="single"/>
              </w:rPr>
            </w:pPr>
          </w:p>
        </w:tc>
      </w:tr>
      <w:tr w:rsidR="00935A79" w:rsidRPr="00935A79" w14:paraId="30D307DC" w14:textId="77777777" w:rsidTr="00CA0258">
        <w:trPr>
          <w:trHeight w:val="1163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F0E23D" w14:textId="44F17B2E"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highlight w:val="white"/>
              </w:rPr>
              <w:lastRenderedPageBreak/>
              <w:t>Artículo 5. Conversión de contratos.</w:t>
            </w:r>
            <w:r w:rsidRPr="00935A79">
              <w:rPr>
                <w:rFonts w:ascii="Times New Roman" w:eastAsia="Arial" w:hAnsi="Times New Roman" w:cs="Times New Roman"/>
                <w:sz w:val="24"/>
                <w:szCs w:val="24"/>
              </w:rPr>
              <w:t xml:space="preserve"> A partir de la entrada en vigencia de la presente ley, los contratos de prestación de servicios personales u órdenes de prestación de servicios personales del talento humano en el sector de la salud que se encuentren en ejecución, tendrán un término improrrogable de dos (2) meses, para que las partes que lo suscribieron procedan de mutuo acuerdo a la conversión de los mismos en contratos individuales de trabajo.</w:t>
            </w:r>
          </w:p>
          <w:p w14:paraId="3BF0A9BF" w14:textId="4273141C"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Una vez vencido el término establecido en el inciso anterior, sin que se hubiere logrado un acuerdo, se entenderá de pleno derecho la conversión de estos contratos de prestación de servicios personales a contrato de trabajo en el sector público y privado.</w:t>
            </w:r>
          </w:p>
          <w:p w14:paraId="1AACD024"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PARÁGRAFO: Este artículo no se aplicará para los actuales contratos de prestación de servicios que tengan origen estrictamente en negocios jurídicos de carácter comercial, civil o administrativo.</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72B9C10D" w14:textId="77777777" w:rsidR="00EF7E6D" w:rsidRPr="00935A79" w:rsidRDefault="001E2E90">
            <w:pPr>
              <w:spacing w:before="240" w:after="0"/>
              <w:jc w:val="both"/>
              <w:rPr>
                <w:rFonts w:ascii="Times New Roman" w:eastAsia="Arial" w:hAnsi="Times New Roman" w:cs="Times New Roman"/>
                <w:sz w:val="24"/>
                <w:szCs w:val="24"/>
                <w:highlight w:val="white"/>
              </w:rPr>
            </w:pPr>
            <w:r w:rsidRPr="00935A79">
              <w:rPr>
                <w:rFonts w:ascii="Times New Roman" w:eastAsia="Arial" w:hAnsi="Times New Roman" w:cs="Times New Roman"/>
                <w:sz w:val="24"/>
                <w:szCs w:val="24"/>
                <w:highlight w:val="white"/>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5B3016F8" w14:textId="38ADBB61" w:rsidR="00EF7E6D" w:rsidRPr="00935A79" w:rsidRDefault="001E2E90">
            <w:pPr>
              <w:spacing w:before="240" w:after="0"/>
              <w:jc w:val="both"/>
              <w:rPr>
                <w:rFonts w:ascii="Times New Roman" w:eastAsia="Arial" w:hAnsi="Times New Roman" w:cs="Times New Roman"/>
                <w:sz w:val="24"/>
                <w:szCs w:val="24"/>
                <w:highlight w:val="white"/>
                <w:u w:val="single"/>
              </w:rPr>
            </w:pPr>
            <w:r w:rsidRPr="00935A79">
              <w:rPr>
                <w:rFonts w:ascii="Times New Roman" w:eastAsia="Arial" w:hAnsi="Times New Roman" w:cs="Times New Roman"/>
                <w:sz w:val="24"/>
                <w:szCs w:val="24"/>
                <w:highlight w:val="white"/>
              </w:rPr>
              <w:t xml:space="preserve">Artículo </w:t>
            </w:r>
            <w:r w:rsidRPr="00935A79">
              <w:rPr>
                <w:rFonts w:ascii="Times New Roman" w:eastAsia="Arial" w:hAnsi="Times New Roman" w:cs="Times New Roman"/>
                <w:b/>
                <w:sz w:val="24"/>
                <w:szCs w:val="24"/>
                <w:highlight w:val="white"/>
                <w:u w:val="single"/>
              </w:rPr>
              <w:t>5.</w:t>
            </w:r>
            <w:r w:rsidRPr="00935A79">
              <w:rPr>
                <w:rFonts w:ascii="Times New Roman" w:eastAsia="Arial" w:hAnsi="Times New Roman" w:cs="Times New Roman"/>
                <w:sz w:val="24"/>
                <w:szCs w:val="24"/>
                <w:highlight w:val="white"/>
              </w:rPr>
              <w:t xml:space="preserve"> Conversión de contratos. A partir de la entrada en vigencia de la presente </w:t>
            </w:r>
            <w:r w:rsidR="00AB05ED">
              <w:rPr>
                <w:rFonts w:ascii="Times New Roman" w:eastAsia="Arial" w:hAnsi="Times New Roman" w:cs="Times New Roman"/>
                <w:sz w:val="24"/>
                <w:szCs w:val="24"/>
                <w:highlight w:val="white"/>
              </w:rPr>
              <w:t>L</w:t>
            </w:r>
            <w:r w:rsidRPr="00935A79">
              <w:rPr>
                <w:rFonts w:ascii="Times New Roman" w:eastAsia="Arial" w:hAnsi="Times New Roman" w:cs="Times New Roman"/>
                <w:sz w:val="24"/>
                <w:szCs w:val="24"/>
                <w:highlight w:val="white"/>
              </w:rPr>
              <w:t>ey, los contratos de prestación de servicios personales u órdenes de prestación de servicios personales del talento humano en el sector de la salud que se encuentren en ejecución</w:t>
            </w:r>
            <w:r w:rsidRPr="00AB05ED">
              <w:rPr>
                <w:rFonts w:ascii="Times New Roman" w:eastAsia="Arial" w:hAnsi="Times New Roman" w:cs="Times New Roman"/>
                <w:b/>
                <w:bCs/>
                <w:sz w:val="24"/>
                <w:szCs w:val="24"/>
                <w:highlight w:val="white"/>
              </w:rPr>
              <w:t xml:space="preserve">, </w:t>
            </w:r>
            <w:r w:rsidRPr="00AB05ED">
              <w:rPr>
                <w:rFonts w:ascii="Times New Roman" w:eastAsia="Arial" w:hAnsi="Times New Roman" w:cs="Times New Roman"/>
                <w:b/>
                <w:bCs/>
                <w:sz w:val="24"/>
                <w:szCs w:val="24"/>
                <w:highlight w:val="white"/>
                <w:u w:val="single"/>
              </w:rPr>
              <w:t>no podrán prorrogarse bajo la misma modalidad.</w:t>
            </w:r>
            <w:r w:rsidRPr="00935A79">
              <w:rPr>
                <w:rFonts w:ascii="Times New Roman" w:eastAsia="Arial" w:hAnsi="Times New Roman" w:cs="Times New Roman"/>
                <w:sz w:val="24"/>
                <w:szCs w:val="24"/>
                <w:highlight w:val="white"/>
              </w:rPr>
              <w:t xml:space="preserve"> </w:t>
            </w:r>
            <w:r w:rsidRPr="00935A79">
              <w:rPr>
                <w:rFonts w:ascii="Times New Roman" w:eastAsia="Arial" w:hAnsi="Times New Roman" w:cs="Times New Roman"/>
                <w:strike/>
                <w:sz w:val="24"/>
                <w:szCs w:val="24"/>
                <w:highlight w:val="white"/>
              </w:rPr>
              <w:t>tendrán un término improrrogable de dos (2) meses, para que</w:t>
            </w:r>
            <w:r w:rsidRPr="00935A79">
              <w:rPr>
                <w:rFonts w:ascii="Times New Roman" w:eastAsia="Arial" w:hAnsi="Times New Roman" w:cs="Times New Roman"/>
                <w:sz w:val="24"/>
                <w:szCs w:val="24"/>
                <w:highlight w:val="white"/>
              </w:rPr>
              <w:t>.</w:t>
            </w:r>
            <w:r w:rsidR="00F70905" w:rsidRPr="00F70905">
              <w:rPr>
                <w:rFonts w:ascii="Times New Roman" w:eastAsia="Arial" w:hAnsi="Times New Roman" w:cs="Times New Roman"/>
                <w:sz w:val="24"/>
                <w:szCs w:val="24"/>
                <w:highlight w:val="white"/>
              </w:rPr>
              <w:t xml:space="preserve"> </w:t>
            </w:r>
            <w:r w:rsidR="00F70905" w:rsidRPr="00AB05ED">
              <w:rPr>
                <w:rFonts w:ascii="Times New Roman" w:eastAsia="Arial" w:hAnsi="Times New Roman" w:cs="Times New Roman"/>
                <w:b/>
                <w:bCs/>
                <w:sz w:val="24"/>
                <w:szCs w:val="24"/>
                <w:highlight w:val="white"/>
                <w:u w:val="single"/>
              </w:rPr>
              <w:t>En los casos en que sea procedente</w:t>
            </w:r>
            <w:r w:rsidRPr="00AB05ED">
              <w:rPr>
                <w:rFonts w:ascii="Times New Roman" w:eastAsia="Arial" w:hAnsi="Times New Roman" w:cs="Times New Roman"/>
                <w:b/>
                <w:bCs/>
                <w:sz w:val="24"/>
                <w:szCs w:val="24"/>
                <w:highlight w:val="white"/>
                <w:u w:val="single"/>
              </w:rPr>
              <w:t>,</w:t>
            </w:r>
            <w:r w:rsidRPr="00AB05ED">
              <w:rPr>
                <w:rFonts w:ascii="Times New Roman" w:eastAsia="Arial" w:hAnsi="Times New Roman" w:cs="Times New Roman"/>
                <w:sz w:val="24"/>
                <w:szCs w:val="24"/>
                <w:highlight w:val="white"/>
              </w:rPr>
              <w:t xml:space="preserve"> </w:t>
            </w:r>
            <w:r w:rsidRPr="00935A79">
              <w:rPr>
                <w:rFonts w:ascii="Times New Roman" w:eastAsia="Arial" w:hAnsi="Times New Roman" w:cs="Times New Roman"/>
                <w:sz w:val="24"/>
                <w:szCs w:val="24"/>
                <w:highlight w:val="white"/>
              </w:rPr>
              <w:t>las partes que lo suscribieron proced</w:t>
            </w:r>
            <w:r w:rsidRPr="00AB05ED">
              <w:rPr>
                <w:rFonts w:ascii="Times New Roman" w:eastAsia="Arial" w:hAnsi="Times New Roman" w:cs="Times New Roman"/>
                <w:b/>
                <w:bCs/>
                <w:sz w:val="24"/>
                <w:szCs w:val="24"/>
                <w:highlight w:val="white"/>
                <w:u w:val="single"/>
              </w:rPr>
              <w:t>erán</w:t>
            </w:r>
            <w:r w:rsidRPr="00935A79">
              <w:rPr>
                <w:rFonts w:ascii="Times New Roman" w:eastAsia="Arial" w:hAnsi="Times New Roman" w:cs="Times New Roman"/>
                <w:sz w:val="24"/>
                <w:szCs w:val="24"/>
                <w:highlight w:val="white"/>
              </w:rPr>
              <w:t xml:space="preserve"> de mutuo acuerdo a la conversión de los mismos en contratos</w:t>
            </w:r>
            <w:r w:rsidRPr="00935A79">
              <w:rPr>
                <w:rFonts w:ascii="Times New Roman" w:eastAsia="Arial" w:hAnsi="Times New Roman" w:cs="Times New Roman"/>
                <w:strike/>
                <w:sz w:val="24"/>
                <w:szCs w:val="24"/>
                <w:highlight w:val="white"/>
              </w:rPr>
              <w:t xml:space="preserve"> individuales</w:t>
            </w:r>
            <w:r w:rsidRPr="00935A79">
              <w:rPr>
                <w:rFonts w:ascii="Times New Roman" w:eastAsia="Arial" w:hAnsi="Times New Roman" w:cs="Times New Roman"/>
                <w:sz w:val="24"/>
                <w:szCs w:val="24"/>
                <w:highlight w:val="white"/>
              </w:rPr>
              <w:t xml:space="preserve"> de trabajo </w:t>
            </w:r>
            <w:r w:rsidRPr="00AB05ED">
              <w:rPr>
                <w:rFonts w:ascii="Times New Roman" w:eastAsia="Arial" w:hAnsi="Times New Roman" w:cs="Times New Roman"/>
                <w:b/>
                <w:bCs/>
                <w:sz w:val="24"/>
                <w:szCs w:val="24"/>
                <w:highlight w:val="white"/>
                <w:u w:val="single"/>
              </w:rPr>
              <w:t>a término fijo.</w:t>
            </w:r>
          </w:p>
          <w:p w14:paraId="5EEDFCB0" w14:textId="77777777" w:rsidR="00EF7E6D" w:rsidRPr="00935A79" w:rsidRDefault="001E2E90">
            <w:pPr>
              <w:spacing w:before="240" w:after="0"/>
              <w:jc w:val="both"/>
              <w:rPr>
                <w:rFonts w:ascii="Times New Roman" w:eastAsia="Arial" w:hAnsi="Times New Roman" w:cs="Times New Roman"/>
                <w:strike/>
                <w:sz w:val="24"/>
                <w:szCs w:val="24"/>
              </w:rPr>
            </w:pPr>
            <w:r w:rsidRPr="00935A79">
              <w:rPr>
                <w:rFonts w:ascii="Times New Roman" w:eastAsia="Arial" w:hAnsi="Times New Roman" w:cs="Times New Roman"/>
                <w:strike/>
                <w:sz w:val="24"/>
                <w:szCs w:val="24"/>
              </w:rPr>
              <w:t>Una vez vencido el término establecido en el inciso anterior, sin que se hubiere logrado un acuerdo, se entenderá de pleno derecho la conversión de estos contratos de prestación de servicios personales a contrato de trabajo en el sector público y privado</w:t>
            </w:r>
          </w:p>
          <w:p w14:paraId="6B03C88C" w14:textId="77777777" w:rsidR="00EF7E6D" w:rsidRPr="00935A79" w:rsidRDefault="00EF7E6D">
            <w:pPr>
              <w:spacing w:before="240" w:after="0"/>
              <w:jc w:val="both"/>
              <w:rPr>
                <w:rFonts w:ascii="Times New Roman" w:eastAsia="Arial" w:hAnsi="Times New Roman" w:cs="Times New Roman"/>
                <w:strike/>
                <w:sz w:val="24"/>
                <w:szCs w:val="24"/>
              </w:rPr>
            </w:pPr>
          </w:p>
          <w:p w14:paraId="0B31902F" w14:textId="01CE87CD" w:rsidR="00EF7E6D" w:rsidRPr="00935A79" w:rsidRDefault="00AB05ED">
            <w:pPr>
              <w:spacing w:before="240" w:after="24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Parágrafo</w:t>
            </w:r>
            <w:r>
              <w:rPr>
                <w:rFonts w:ascii="Times New Roman" w:eastAsia="Arial" w:hAnsi="Times New Roman" w:cs="Times New Roman"/>
                <w:sz w:val="24"/>
                <w:szCs w:val="24"/>
              </w:rPr>
              <w:t>.</w:t>
            </w:r>
            <w:r w:rsidRPr="00935A79">
              <w:rPr>
                <w:rFonts w:ascii="Times New Roman" w:eastAsia="Arial" w:hAnsi="Times New Roman" w:cs="Times New Roman"/>
                <w:sz w:val="24"/>
                <w:szCs w:val="24"/>
              </w:rPr>
              <w:t xml:space="preserve"> </w:t>
            </w:r>
            <w:r w:rsidR="001E2E90" w:rsidRPr="00935A79">
              <w:rPr>
                <w:rFonts w:ascii="Times New Roman" w:eastAsia="Arial" w:hAnsi="Times New Roman" w:cs="Times New Roman"/>
                <w:sz w:val="24"/>
                <w:szCs w:val="24"/>
              </w:rPr>
              <w:t>Este artículo no se aplicará para los actuales contratos de prestación de servicios que tengan origen estrictamente en negocios jurídicos de carácter comercial, civil o administrativo.</w:t>
            </w:r>
          </w:p>
          <w:p w14:paraId="07750F27" w14:textId="77777777" w:rsidR="00EF7E6D" w:rsidRPr="00935A79" w:rsidRDefault="00EF7E6D">
            <w:pPr>
              <w:spacing w:before="240" w:after="0"/>
              <w:jc w:val="both"/>
              <w:rPr>
                <w:rFonts w:ascii="Times New Roman" w:eastAsia="Arial" w:hAnsi="Times New Roman" w:cs="Times New Roman"/>
                <w:strike/>
                <w:sz w:val="24"/>
                <w:szCs w:val="24"/>
              </w:rPr>
            </w:pPr>
          </w:p>
        </w:tc>
      </w:tr>
      <w:tr w:rsidR="00935A79" w:rsidRPr="00935A79" w14:paraId="2F7210CB" w14:textId="77777777" w:rsidTr="00CA0258">
        <w:trPr>
          <w:trHeight w:val="8195"/>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E161B5"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ARTÍCULO CUARTO. PROHIBICIÓN DE INTERMEDIACIÓN O TERCERIZACIÓN LABORAL. Queda expresamente prohibida cualquier forma de intermediación laboral incluyendo el contrato sindical o la tercerización laboral, para vincular talento humano en el sector salud, a las Empresas Promotoras de Salud EPS, Instituciones Prestadoras de Servicios de Salud IPS, Empresa Social del Estado y Empresas de Transporte Especial de Pacientes, sean de carácter públicas, privadas, mixtas, comunitarias o solidarias, siempre y cuando, los equipos y/o instalaciones sean de propiedad de la empresa promotora de salud, prestadora de salud o de transporte especial de pacientes.</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236E2DFA"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54E6A5C3" w14:textId="77777777" w:rsidR="00EF7E6D" w:rsidRPr="00935A79" w:rsidRDefault="001E2E90">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Artículo 6. Prohibición de intermediación o tercerización laboral. Queda expresamente prohibida cualquier forma de intermediación laboral incluyendo el contrato sindical o la tercerización laboral, para vincular talento humano en el sector salud, a las Empresas Promotoras de Salud EPS, Instituciones Prestadoras de Servicios de Salud IPS, Empresa Social del Estado y Empresas de Transporte Especial de Pacientes, sean de carácter públicas, privadas, mixtas, comunitarias o solidarias, siempre y cuando, los equipos y/o instalaciones sean de propiedad de la empresa promotora de salud, prestadora de salud o de transporte especial de pacientes.</w:t>
            </w:r>
          </w:p>
        </w:tc>
      </w:tr>
      <w:tr w:rsidR="001F0042" w:rsidRPr="00935A79" w14:paraId="373437FC" w14:textId="77777777" w:rsidTr="00CA0258">
        <w:trPr>
          <w:trHeight w:val="1355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FB0540"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ARTÍCULO QUINTO: MÍNIMO VITAL PROFESIONAL DEL TALENTO HUMANO EN SALUD. La dignificación del talento humano al servicio de la salud en todo el territorio del país, tendrá un piso mínimo de ingreso salarial, equivalente setenta por ciento (70%) del salario mínimo legal mensual vigente SMLMV, por cada semestre de formación académica técnica, tecnológica y universitaria en pregrado.</w:t>
            </w:r>
          </w:p>
          <w:p w14:paraId="4A05495B"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 </w:t>
            </w:r>
          </w:p>
          <w:p w14:paraId="47DC117C"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PARÁGRAFO 1°. Este artículo solo tendrá aplicación para los contratos laborales que se rigen por el código sustantivo del trabajo y para los empleos públicos que sean desempeñados por servidores públicos que presten sus servicios en el sector de la salud.</w:t>
            </w:r>
          </w:p>
          <w:p w14:paraId="60978B53"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 </w:t>
            </w:r>
          </w:p>
          <w:p w14:paraId="30C8E1B8"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PARÁGRAFO 2°. Las Empresas Promotoras de Salud EPS, Instituciones Prestadoras de Salud IPS y Empresas de Transporte Especial de Pacientes, sean de carácter públicas, privadas, mixtas, comunitarias o solidarias, </w:t>
            </w:r>
            <w:r w:rsidRPr="00935A79">
              <w:rPr>
                <w:rFonts w:ascii="Times New Roman" w:eastAsia="Arial" w:hAnsi="Times New Roman" w:cs="Times New Roman"/>
                <w:sz w:val="24"/>
                <w:szCs w:val="24"/>
              </w:rPr>
              <w:lastRenderedPageBreak/>
              <w:t>contaran con un término de seis (6) meses a partir de la vigencia de la presente ley, para que se dé estricto cumplimiento al presente artículo.</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25881F45"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5800F8A3" w14:textId="77777777" w:rsidR="001F0042" w:rsidRPr="001F0042" w:rsidRDefault="001F0042" w:rsidP="001F0042">
            <w:pPr>
              <w:spacing w:before="240" w:after="0"/>
              <w:jc w:val="both"/>
              <w:rPr>
                <w:rFonts w:ascii="Times New Roman" w:eastAsia="Arial" w:hAnsi="Times New Roman" w:cs="Times New Roman"/>
                <w:strike/>
                <w:sz w:val="24"/>
                <w:szCs w:val="24"/>
              </w:rPr>
            </w:pPr>
            <w:r w:rsidRPr="001F0042">
              <w:rPr>
                <w:rFonts w:ascii="Times New Roman" w:eastAsia="Arial" w:hAnsi="Times New Roman" w:cs="Times New Roman"/>
                <w:strike/>
                <w:sz w:val="24"/>
                <w:szCs w:val="24"/>
              </w:rPr>
              <w:t>ARTÍCULO QUINTO: MÍNIMO VITAL PROFESIONAL DEL TALENTO HUMANO EN SALUD. La dignificación del talento humano al servicio de la salud en todo el territorio del país, tendrá un piso mínimo de ingreso salarial, equivalente setenta por ciento (70%) del salario mínimo legal mensual vigente SMLMV, por cada semestre de formación académica técnica, tecnológica y universitaria en pregrado.</w:t>
            </w:r>
          </w:p>
          <w:p w14:paraId="384F7C6D" w14:textId="77777777" w:rsidR="001F0042" w:rsidRPr="001F0042" w:rsidRDefault="001F0042" w:rsidP="001F0042">
            <w:pPr>
              <w:spacing w:before="240" w:after="0"/>
              <w:jc w:val="both"/>
              <w:rPr>
                <w:rFonts w:ascii="Times New Roman" w:eastAsia="Arial" w:hAnsi="Times New Roman" w:cs="Times New Roman"/>
                <w:strike/>
                <w:sz w:val="24"/>
                <w:szCs w:val="24"/>
              </w:rPr>
            </w:pPr>
            <w:r w:rsidRPr="001F0042">
              <w:rPr>
                <w:rFonts w:ascii="Times New Roman" w:eastAsia="Arial" w:hAnsi="Times New Roman" w:cs="Times New Roman"/>
                <w:strike/>
                <w:sz w:val="24"/>
                <w:szCs w:val="24"/>
              </w:rPr>
              <w:t xml:space="preserve"> </w:t>
            </w:r>
          </w:p>
          <w:p w14:paraId="5C653B10" w14:textId="77777777" w:rsidR="001F0042" w:rsidRPr="001F0042" w:rsidRDefault="001F0042" w:rsidP="001F0042">
            <w:pPr>
              <w:spacing w:before="240" w:after="0"/>
              <w:jc w:val="both"/>
              <w:rPr>
                <w:rFonts w:ascii="Times New Roman" w:eastAsia="Arial" w:hAnsi="Times New Roman" w:cs="Times New Roman"/>
                <w:strike/>
                <w:sz w:val="24"/>
                <w:szCs w:val="24"/>
              </w:rPr>
            </w:pPr>
            <w:r w:rsidRPr="001F0042">
              <w:rPr>
                <w:rFonts w:ascii="Times New Roman" w:eastAsia="Arial" w:hAnsi="Times New Roman" w:cs="Times New Roman"/>
                <w:strike/>
                <w:sz w:val="24"/>
                <w:szCs w:val="24"/>
              </w:rPr>
              <w:t>PARÁGRAFO 1°. Este artículo solo tendrá aplicación para los contratos laborales que se rigen por el código sustantivo del trabajo y para los empleos públicos que sean desempeñados por servidores públicos que presten sus servicios en el sector de la salud.</w:t>
            </w:r>
          </w:p>
          <w:p w14:paraId="3297AA02" w14:textId="77777777" w:rsidR="001F0042" w:rsidRPr="001F0042" w:rsidRDefault="001F0042" w:rsidP="001F0042">
            <w:pPr>
              <w:spacing w:before="240" w:after="0"/>
              <w:jc w:val="both"/>
              <w:rPr>
                <w:rFonts w:ascii="Times New Roman" w:eastAsia="Arial" w:hAnsi="Times New Roman" w:cs="Times New Roman"/>
                <w:strike/>
                <w:sz w:val="24"/>
                <w:szCs w:val="24"/>
              </w:rPr>
            </w:pPr>
            <w:r w:rsidRPr="001F0042">
              <w:rPr>
                <w:rFonts w:ascii="Times New Roman" w:eastAsia="Arial" w:hAnsi="Times New Roman" w:cs="Times New Roman"/>
                <w:strike/>
                <w:sz w:val="24"/>
                <w:szCs w:val="24"/>
              </w:rPr>
              <w:t xml:space="preserve"> </w:t>
            </w:r>
          </w:p>
          <w:p w14:paraId="78D8FB79" w14:textId="7F61D65B" w:rsidR="001F0042" w:rsidRPr="001F0042" w:rsidRDefault="001F0042" w:rsidP="001F0042">
            <w:pPr>
              <w:spacing w:before="240" w:after="0"/>
              <w:jc w:val="both"/>
              <w:rPr>
                <w:rFonts w:ascii="Times New Roman" w:eastAsia="Arial" w:hAnsi="Times New Roman" w:cs="Times New Roman"/>
                <w:strike/>
                <w:sz w:val="24"/>
                <w:szCs w:val="24"/>
              </w:rPr>
            </w:pPr>
            <w:r w:rsidRPr="001F0042">
              <w:rPr>
                <w:rFonts w:ascii="Times New Roman" w:eastAsia="Arial" w:hAnsi="Times New Roman" w:cs="Times New Roman"/>
                <w:strike/>
                <w:sz w:val="24"/>
                <w:szCs w:val="24"/>
              </w:rPr>
              <w:t>PARÁGRAFO 2°. Las Empresas Promotoras de Salud EPS, Instituciones Prestadoras de Salud IPS y Empresas de Transporte Especial de Pacientes, sean de carácter públicas, privadas, mixtas, comunitarias o solidarias, contaran con un término de seis (6) meses a partir de la vigencia de la presente ley, para que se dé estricto cumplimiento al presente artículo.</w:t>
            </w:r>
          </w:p>
        </w:tc>
      </w:tr>
      <w:tr w:rsidR="001F0042" w:rsidRPr="00935A79" w14:paraId="2083B478" w14:textId="77777777" w:rsidTr="00CA0258">
        <w:trPr>
          <w:trHeight w:val="407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548F18"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ARTÍCULO SEXTO. BONO ESPECIAL MENSUAL OBLIGATORIO. Todo el talento humano en salud que preste sus servicios en zonas de conflicto, recibirá adicionalmente una remuneración mensual correspondiente al 10% de su salario, el cual no constituirá factor salarial para la liquidación de prestaciones y cesantías.</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6C026FAC"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3482FF2A"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Artículo </w:t>
            </w:r>
            <w:r w:rsidRPr="00935A79">
              <w:rPr>
                <w:rFonts w:ascii="Times New Roman" w:eastAsia="Arial" w:hAnsi="Times New Roman" w:cs="Times New Roman"/>
                <w:b/>
                <w:sz w:val="24"/>
                <w:szCs w:val="24"/>
                <w:u w:val="single"/>
              </w:rPr>
              <w:t>7</w:t>
            </w:r>
            <w:r w:rsidRPr="00935A79">
              <w:rPr>
                <w:rFonts w:ascii="Times New Roman" w:eastAsia="Arial" w:hAnsi="Times New Roman" w:cs="Times New Roman"/>
                <w:sz w:val="24"/>
                <w:szCs w:val="24"/>
              </w:rPr>
              <w:t>. Bono especial mensual obligatorio. Todo el talento humano en salud que preste sus servicios en zonas de conflicto, recibirá adicionalmente una remuneración mensual correspondiente al 10% de su salario, el cual no constituirá factor salarial para la liquidación de prestaciones y cesantías.</w:t>
            </w:r>
          </w:p>
        </w:tc>
      </w:tr>
      <w:tr w:rsidR="001F0042" w:rsidRPr="00935A79" w14:paraId="50732F4D" w14:textId="77777777" w:rsidTr="00CA0258">
        <w:trPr>
          <w:trHeight w:val="269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AF1AA2" w14:textId="77777777" w:rsidR="001F0042" w:rsidRPr="00F70905" w:rsidRDefault="001F0042" w:rsidP="001F0042">
            <w:pPr>
              <w:spacing w:before="240" w:after="0"/>
              <w:jc w:val="both"/>
              <w:rPr>
                <w:rFonts w:ascii="Times New Roman" w:eastAsia="Arial" w:hAnsi="Times New Roman" w:cs="Times New Roman"/>
                <w:bCs/>
                <w:sz w:val="24"/>
                <w:szCs w:val="24"/>
              </w:rPr>
            </w:pPr>
            <w:r w:rsidRPr="00F70905">
              <w:rPr>
                <w:rFonts w:ascii="Times New Roman" w:eastAsia="Arial" w:hAnsi="Times New Roman" w:cs="Times New Roman"/>
                <w:bCs/>
                <w:sz w:val="24"/>
                <w:szCs w:val="24"/>
              </w:rPr>
              <w:t>ARTÍCULO SÉPTIMO. VIGILANCIA Y CONTROL. El Ministerio del Trabajo y la Superintendencia Nacional de Salud, ejercerán especial vigilancia para el cumplimiento de la presente ley.</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139DBE27" w14:textId="77777777" w:rsidR="001F0042" w:rsidRPr="00935A79" w:rsidRDefault="001F0042" w:rsidP="001F0042">
            <w:pPr>
              <w:spacing w:before="240" w:after="0"/>
              <w:jc w:val="both"/>
              <w:rPr>
                <w:rFonts w:ascii="Times New Roman" w:eastAsia="Arial" w:hAnsi="Times New Roman" w:cs="Times New Roman"/>
                <w:b/>
                <w:sz w:val="24"/>
                <w:szCs w:val="24"/>
              </w:rPr>
            </w:pPr>
            <w:r w:rsidRPr="00935A79">
              <w:rPr>
                <w:rFonts w:ascii="Times New Roman" w:eastAsia="Arial" w:hAnsi="Times New Roman" w:cs="Times New Roman"/>
                <w:b/>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2594970A" w14:textId="3B42EF64" w:rsidR="00103EAB" w:rsidRPr="00103EAB" w:rsidRDefault="00103EAB" w:rsidP="00103EAB">
            <w:pPr>
              <w:spacing w:before="240" w:after="0"/>
              <w:jc w:val="both"/>
              <w:rPr>
                <w:rFonts w:ascii="Times New Roman" w:eastAsia="Arial" w:hAnsi="Times New Roman" w:cs="Times New Roman"/>
                <w:bCs/>
                <w:sz w:val="24"/>
                <w:szCs w:val="24"/>
              </w:rPr>
            </w:pPr>
            <w:r>
              <w:rPr>
                <w:rFonts w:ascii="Times New Roman" w:eastAsia="Arial" w:hAnsi="Times New Roman" w:cs="Times New Roman"/>
                <w:bCs/>
                <w:sz w:val="24"/>
                <w:szCs w:val="24"/>
              </w:rPr>
              <w:t>Artículo</w:t>
            </w:r>
            <w:r w:rsidRPr="00AB05ED">
              <w:rPr>
                <w:rFonts w:ascii="Times New Roman" w:eastAsia="Arial" w:hAnsi="Times New Roman" w:cs="Times New Roman"/>
                <w:bCs/>
                <w:sz w:val="24"/>
                <w:szCs w:val="24"/>
              </w:rPr>
              <w:t xml:space="preserve"> </w:t>
            </w:r>
            <w:r w:rsidRPr="00AB05ED">
              <w:rPr>
                <w:rFonts w:ascii="Times New Roman" w:eastAsia="Arial" w:hAnsi="Times New Roman" w:cs="Times New Roman"/>
                <w:b/>
                <w:bCs/>
                <w:sz w:val="24"/>
                <w:szCs w:val="24"/>
                <w:u w:val="single"/>
              </w:rPr>
              <w:t>8</w:t>
            </w:r>
            <w:r w:rsidRPr="00F70905">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 Vigilancia y Control. </w:t>
            </w:r>
            <w:r w:rsidRPr="00F70905">
              <w:rPr>
                <w:rFonts w:ascii="Times New Roman" w:eastAsia="Arial" w:hAnsi="Times New Roman" w:cs="Times New Roman"/>
                <w:bCs/>
                <w:sz w:val="24"/>
                <w:szCs w:val="24"/>
              </w:rPr>
              <w:t>El Ministerio del Trabajo y la Superintendencia Nacional de Salud, ejercerán especial vigilancia para el cumplimiento de la presente ley.</w:t>
            </w:r>
          </w:p>
        </w:tc>
      </w:tr>
      <w:tr w:rsidR="001F0042" w:rsidRPr="00935A79" w14:paraId="0BEE5A21" w14:textId="77777777" w:rsidTr="00CA0258">
        <w:trPr>
          <w:trHeight w:val="5435"/>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3A5CA1" w14:textId="6114B645"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lastRenderedPageBreak/>
              <w:t>Artículo 9. Oferta de programas de especialidades clínicas, quirúrgicas y diagnósticas en medicina.  Las Instituciones de Educación Superior que ofrezcan especialidades clínicas, quirúrgicas y diagnósticas en medicina, recibirán incentivos para el establecimiento de compromisos de formación de especialistas, siempre y cuando con dicha oferta se impacté real y positivamente aquellas disciplinas con mayor déficit de especialistas en el país.</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24006D26"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3F68216C" w14:textId="77777777" w:rsidR="001F0042" w:rsidRPr="00935A79" w:rsidRDefault="001F0042" w:rsidP="001F0042">
            <w:pPr>
              <w:spacing w:before="240" w:after="0"/>
              <w:jc w:val="center"/>
              <w:rPr>
                <w:rFonts w:ascii="Times New Roman" w:eastAsia="Arial" w:hAnsi="Times New Roman" w:cs="Times New Roman"/>
                <w:sz w:val="24"/>
                <w:szCs w:val="24"/>
              </w:rPr>
            </w:pPr>
          </w:p>
          <w:p w14:paraId="18D7052D" w14:textId="340C040C" w:rsidR="001F0042" w:rsidRPr="001F0042" w:rsidRDefault="001F0042" w:rsidP="001F0042">
            <w:pPr>
              <w:spacing w:before="240" w:after="0"/>
              <w:jc w:val="both"/>
              <w:rPr>
                <w:rFonts w:ascii="Times New Roman" w:eastAsia="Arial" w:hAnsi="Times New Roman" w:cs="Times New Roman"/>
                <w:strike/>
                <w:sz w:val="24"/>
                <w:szCs w:val="24"/>
              </w:rPr>
            </w:pPr>
            <w:r w:rsidRPr="001F0042">
              <w:rPr>
                <w:rFonts w:ascii="Times New Roman" w:eastAsia="Arial" w:hAnsi="Times New Roman" w:cs="Times New Roman"/>
                <w:strike/>
                <w:sz w:val="24"/>
                <w:szCs w:val="24"/>
              </w:rPr>
              <w:t>Artículo 9. Oferta de programas de especialidades clínicas, quirúrgicas y diagnósticas en medicina.  Las Instituciones de Educación Superior que ofrezcan especialidades clínicas, quirúrgicas y diagnósticas en medicina, recibirán incentivos para el establecimiento de compromisos de formación de especialistas, siempre y cuando con dicha oferta se impacté real y positivamente aquellas disciplinas con mayor déficit de especialistas en el país</w:t>
            </w:r>
          </w:p>
        </w:tc>
      </w:tr>
      <w:tr w:rsidR="001F0042" w:rsidRPr="00935A79" w14:paraId="540165B7" w14:textId="77777777" w:rsidTr="00CA0258">
        <w:trPr>
          <w:trHeight w:val="296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04621A" w14:textId="77777777" w:rsidR="001F0042" w:rsidRPr="00935A79" w:rsidRDefault="001F0042" w:rsidP="001F0042">
            <w:pPr>
              <w:spacing w:before="240" w:after="0"/>
              <w:rPr>
                <w:rFonts w:ascii="Times New Roman" w:eastAsia="Arial" w:hAnsi="Times New Roman" w:cs="Times New Roman"/>
                <w:b/>
                <w:sz w:val="24"/>
                <w:szCs w:val="24"/>
              </w:rPr>
            </w:pPr>
            <w:r w:rsidRPr="00935A79">
              <w:rPr>
                <w:rFonts w:ascii="Times New Roman" w:eastAsia="Arial" w:hAnsi="Times New Roman" w:cs="Times New Roman"/>
                <w:b/>
                <w:sz w:val="24"/>
                <w:szCs w:val="24"/>
              </w:rPr>
              <w:t xml:space="preserve"> </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0D346F8B" w14:textId="77777777"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b/>
                <w:sz w:val="24"/>
                <w:szCs w:val="24"/>
              </w:rPr>
              <w:t>Artículo 4. Giro directo de la UPC. E</w:t>
            </w:r>
            <w:r w:rsidRPr="00935A79">
              <w:rPr>
                <w:rFonts w:ascii="Times New Roman" w:eastAsia="Arial" w:hAnsi="Times New Roman" w:cs="Times New Roman"/>
                <w:sz w:val="24"/>
                <w:szCs w:val="24"/>
              </w:rPr>
              <w:t>l pago anticipado en el caso de los contratos de capitación deberá ser del 100%, y del 80% para las otras modalidades de contratación tales como el pago por evento de acuerdo con la Ley 1122 de 2007.</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2FA7D0C8" w14:textId="06AF1EB6" w:rsidR="001F0042" w:rsidRPr="001F0042" w:rsidRDefault="001F0042" w:rsidP="001F0042">
            <w:pPr>
              <w:spacing w:before="240" w:after="0"/>
              <w:jc w:val="both"/>
              <w:rPr>
                <w:rFonts w:ascii="Times New Roman" w:eastAsia="Arial" w:hAnsi="Times New Roman" w:cs="Times New Roman"/>
                <w:strike/>
                <w:sz w:val="24"/>
                <w:szCs w:val="24"/>
              </w:rPr>
            </w:pPr>
            <w:r w:rsidRPr="001F0042">
              <w:rPr>
                <w:rFonts w:ascii="Times New Roman" w:eastAsia="Arial" w:hAnsi="Times New Roman" w:cs="Times New Roman"/>
                <w:b/>
                <w:strike/>
                <w:sz w:val="24"/>
                <w:szCs w:val="24"/>
              </w:rPr>
              <w:t>Artículo 4. Giro directo de la UPC. E</w:t>
            </w:r>
            <w:r w:rsidRPr="001F0042">
              <w:rPr>
                <w:rFonts w:ascii="Times New Roman" w:eastAsia="Arial" w:hAnsi="Times New Roman" w:cs="Times New Roman"/>
                <w:strike/>
                <w:sz w:val="24"/>
                <w:szCs w:val="24"/>
              </w:rPr>
              <w:t>l pago anticipado en el caso de los contratos de capitación deberá ser del 100%, y del 80% para las otras modalidades de contratación tales como el pago por evento de acuerdo con la Ley 1122 de 2007.</w:t>
            </w:r>
          </w:p>
        </w:tc>
      </w:tr>
      <w:tr w:rsidR="001F0042" w:rsidRPr="00935A79" w14:paraId="24C6831B" w14:textId="77777777" w:rsidTr="00CA0258">
        <w:trPr>
          <w:trHeight w:val="2135"/>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78A58F" w14:textId="77777777" w:rsidR="001F0042" w:rsidRPr="00935A79" w:rsidRDefault="001F0042" w:rsidP="001F0042">
            <w:pPr>
              <w:spacing w:before="240" w:after="0"/>
              <w:rPr>
                <w:rFonts w:ascii="Times New Roman" w:eastAsia="Arial" w:hAnsi="Times New Roman" w:cs="Times New Roman"/>
                <w:b/>
                <w:sz w:val="24"/>
                <w:szCs w:val="24"/>
              </w:rPr>
            </w:pPr>
            <w:r w:rsidRPr="00935A79">
              <w:rPr>
                <w:rFonts w:ascii="Times New Roman" w:eastAsia="Arial" w:hAnsi="Times New Roman" w:cs="Times New Roman"/>
                <w:b/>
                <w:sz w:val="24"/>
                <w:szCs w:val="24"/>
              </w:rPr>
              <w:t xml:space="preserve"> </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0C741D4B" w14:textId="77777777" w:rsidR="001F0042" w:rsidRPr="00935A79" w:rsidRDefault="001F0042" w:rsidP="001F0042">
            <w:pPr>
              <w:spacing w:before="240" w:after="0"/>
              <w:jc w:val="both"/>
              <w:rPr>
                <w:rFonts w:ascii="Times New Roman" w:eastAsia="Arial" w:hAnsi="Times New Roman" w:cs="Times New Roman"/>
                <w:b/>
                <w:sz w:val="24"/>
                <w:szCs w:val="24"/>
              </w:rPr>
            </w:pPr>
            <w:r w:rsidRPr="00935A79">
              <w:rPr>
                <w:rFonts w:ascii="Times New Roman" w:eastAsia="Arial" w:hAnsi="Times New Roman" w:cs="Times New Roman"/>
                <w:b/>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5D947E84" w14:textId="11E69C35" w:rsidR="001F0042" w:rsidRPr="00935A79" w:rsidRDefault="001F0042" w:rsidP="001F0042">
            <w:pPr>
              <w:spacing w:before="240" w:after="0"/>
              <w:jc w:val="both"/>
              <w:rPr>
                <w:rFonts w:ascii="Times New Roman" w:eastAsia="Arial" w:hAnsi="Times New Roman" w:cs="Times New Roman"/>
                <w:sz w:val="24"/>
                <w:szCs w:val="24"/>
              </w:rPr>
            </w:pPr>
            <w:r w:rsidRPr="00935A79">
              <w:rPr>
                <w:rFonts w:ascii="Times New Roman" w:eastAsia="Arial" w:hAnsi="Times New Roman" w:cs="Times New Roman"/>
                <w:b/>
                <w:sz w:val="24"/>
                <w:szCs w:val="24"/>
              </w:rPr>
              <w:t xml:space="preserve">Artículo </w:t>
            </w:r>
            <w:r w:rsidRPr="00935A79">
              <w:rPr>
                <w:rFonts w:ascii="Times New Roman" w:eastAsia="Arial" w:hAnsi="Times New Roman" w:cs="Times New Roman"/>
                <w:b/>
                <w:sz w:val="24"/>
                <w:szCs w:val="24"/>
                <w:u w:val="single"/>
              </w:rPr>
              <w:t>9</w:t>
            </w:r>
            <w:r w:rsidRPr="00935A79">
              <w:rPr>
                <w:rFonts w:ascii="Times New Roman" w:eastAsia="Arial" w:hAnsi="Times New Roman" w:cs="Times New Roman"/>
                <w:b/>
                <w:sz w:val="24"/>
                <w:szCs w:val="24"/>
              </w:rPr>
              <w:t xml:space="preserve"> Vigencia y derogatoria</w:t>
            </w:r>
            <w:r w:rsidR="00103EAB" w:rsidRPr="00AB05ED">
              <w:rPr>
                <w:rFonts w:ascii="Times New Roman" w:eastAsia="Arial" w:hAnsi="Times New Roman" w:cs="Times New Roman"/>
                <w:b/>
                <w:sz w:val="24"/>
                <w:szCs w:val="24"/>
                <w:u w:val="single"/>
              </w:rPr>
              <w:t>s</w:t>
            </w:r>
            <w:r w:rsidRPr="00AB05ED">
              <w:rPr>
                <w:rFonts w:ascii="Times New Roman" w:eastAsia="Arial" w:hAnsi="Times New Roman" w:cs="Times New Roman"/>
                <w:b/>
                <w:sz w:val="24"/>
                <w:szCs w:val="24"/>
              </w:rPr>
              <w:t>.</w:t>
            </w:r>
            <w:r w:rsidRPr="00AB05ED">
              <w:rPr>
                <w:rFonts w:ascii="Times New Roman" w:eastAsia="Arial" w:hAnsi="Times New Roman" w:cs="Times New Roman"/>
                <w:sz w:val="24"/>
                <w:szCs w:val="24"/>
              </w:rPr>
              <w:t xml:space="preserve"> </w:t>
            </w:r>
            <w:r w:rsidRPr="00935A79">
              <w:rPr>
                <w:rFonts w:ascii="Times New Roman" w:eastAsia="Arial" w:hAnsi="Times New Roman" w:cs="Times New Roman"/>
                <w:sz w:val="24"/>
                <w:szCs w:val="24"/>
              </w:rPr>
              <w:t>La presente ley rige a partir de la fecha de su promulgación y deroga todas las disposiciones que le sean contrarias.</w:t>
            </w:r>
          </w:p>
        </w:tc>
      </w:tr>
    </w:tbl>
    <w:p w14:paraId="6EA0693D" w14:textId="77777777" w:rsidR="00EF7E6D" w:rsidRPr="00935A79" w:rsidRDefault="00EF7E6D">
      <w:pPr>
        <w:pBdr>
          <w:top w:val="nil"/>
          <w:left w:val="nil"/>
          <w:bottom w:val="nil"/>
          <w:right w:val="nil"/>
          <w:between w:val="nil"/>
        </w:pBdr>
        <w:spacing w:after="0" w:line="240" w:lineRule="auto"/>
        <w:ind w:right="49"/>
        <w:rPr>
          <w:rFonts w:ascii="Times New Roman" w:eastAsia="Arial" w:hAnsi="Times New Roman" w:cs="Times New Roman"/>
          <w:b/>
          <w:sz w:val="24"/>
          <w:szCs w:val="24"/>
        </w:rPr>
      </w:pPr>
    </w:p>
    <w:p w14:paraId="1AF23F79" w14:textId="10A4362F" w:rsidR="00EF7E6D" w:rsidRDefault="00EF7E6D">
      <w:pPr>
        <w:pBdr>
          <w:top w:val="nil"/>
          <w:left w:val="nil"/>
          <w:bottom w:val="nil"/>
          <w:right w:val="nil"/>
          <w:between w:val="nil"/>
        </w:pBdr>
        <w:spacing w:after="0" w:line="240" w:lineRule="auto"/>
        <w:ind w:right="49"/>
        <w:jc w:val="both"/>
        <w:rPr>
          <w:rFonts w:ascii="Times New Roman" w:eastAsia="Arial" w:hAnsi="Times New Roman" w:cs="Times New Roman"/>
          <w:sz w:val="24"/>
          <w:szCs w:val="24"/>
        </w:rPr>
      </w:pPr>
    </w:p>
    <w:p w14:paraId="06BF6C24" w14:textId="78A443FE" w:rsidR="00C00409" w:rsidRDefault="00C00409">
      <w:pPr>
        <w:pBdr>
          <w:top w:val="nil"/>
          <w:left w:val="nil"/>
          <w:bottom w:val="nil"/>
          <w:right w:val="nil"/>
          <w:between w:val="nil"/>
        </w:pBdr>
        <w:spacing w:after="0" w:line="240" w:lineRule="auto"/>
        <w:ind w:right="49"/>
        <w:jc w:val="both"/>
        <w:rPr>
          <w:rFonts w:ascii="Times New Roman" w:eastAsia="Arial" w:hAnsi="Times New Roman" w:cs="Times New Roman"/>
          <w:sz w:val="24"/>
          <w:szCs w:val="24"/>
        </w:rPr>
      </w:pPr>
    </w:p>
    <w:p w14:paraId="50D159D7" w14:textId="0A705C9C" w:rsidR="00C00409" w:rsidRDefault="00C00409">
      <w:pPr>
        <w:pBdr>
          <w:top w:val="nil"/>
          <w:left w:val="nil"/>
          <w:bottom w:val="nil"/>
          <w:right w:val="nil"/>
          <w:between w:val="nil"/>
        </w:pBdr>
        <w:spacing w:after="0" w:line="240" w:lineRule="auto"/>
        <w:ind w:right="49"/>
        <w:jc w:val="both"/>
        <w:rPr>
          <w:rFonts w:ascii="Times New Roman" w:eastAsia="Arial" w:hAnsi="Times New Roman" w:cs="Times New Roman"/>
          <w:sz w:val="24"/>
          <w:szCs w:val="24"/>
        </w:rPr>
      </w:pPr>
    </w:p>
    <w:p w14:paraId="139D7570" w14:textId="77777777" w:rsidR="00C00409" w:rsidRPr="00935A79" w:rsidRDefault="00C00409">
      <w:pPr>
        <w:pBdr>
          <w:top w:val="nil"/>
          <w:left w:val="nil"/>
          <w:bottom w:val="nil"/>
          <w:right w:val="nil"/>
          <w:between w:val="nil"/>
        </w:pBdr>
        <w:spacing w:after="0" w:line="240" w:lineRule="auto"/>
        <w:ind w:right="49"/>
        <w:jc w:val="both"/>
        <w:rPr>
          <w:rFonts w:ascii="Times New Roman" w:eastAsia="Arial" w:hAnsi="Times New Roman" w:cs="Times New Roman"/>
          <w:sz w:val="24"/>
          <w:szCs w:val="24"/>
        </w:rPr>
      </w:pPr>
    </w:p>
    <w:p w14:paraId="5A79D79A" w14:textId="77777777" w:rsidR="00EF7E6D" w:rsidRPr="00935A79" w:rsidRDefault="001E2E90">
      <w:pPr>
        <w:pBdr>
          <w:top w:val="nil"/>
          <w:left w:val="nil"/>
          <w:bottom w:val="nil"/>
          <w:right w:val="nil"/>
          <w:between w:val="nil"/>
        </w:pBdr>
        <w:spacing w:after="0" w:line="240" w:lineRule="auto"/>
        <w:ind w:left="720" w:right="49"/>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lastRenderedPageBreak/>
        <w:t>PROPOSICIÓN</w:t>
      </w:r>
    </w:p>
    <w:p w14:paraId="0F511633" w14:textId="77777777" w:rsidR="00EF7E6D" w:rsidRPr="00935A79" w:rsidRDefault="00EF7E6D">
      <w:pPr>
        <w:pBdr>
          <w:top w:val="nil"/>
          <w:left w:val="nil"/>
          <w:bottom w:val="nil"/>
          <w:right w:val="nil"/>
          <w:between w:val="nil"/>
        </w:pBdr>
        <w:spacing w:after="0" w:line="240" w:lineRule="auto"/>
        <w:ind w:left="1003" w:right="49"/>
        <w:jc w:val="both"/>
        <w:rPr>
          <w:rFonts w:ascii="Times New Roman" w:eastAsia="Arial" w:hAnsi="Times New Roman" w:cs="Times New Roman"/>
          <w:b/>
          <w:sz w:val="24"/>
          <w:szCs w:val="24"/>
        </w:rPr>
      </w:pPr>
    </w:p>
    <w:p w14:paraId="34CD618B" w14:textId="5FB4D5F5" w:rsidR="00EF7E6D" w:rsidRPr="00935A79" w:rsidRDefault="00400B4A" w:rsidP="00AB05ED">
      <w:pPr>
        <w:spacing w:after="0"/>
        <w:jc w:val="both"/>
        <w:rPr>
          <w:rFonts w:ascii="Times New Roman" w:eastAsia="Arial" w:hAnsi="Times New Roman" w:cs="Times New Roman"/>
          <w:sz w:val="24"/>
          <w:szCs w:val="24"/>
        </w:rPr>
      </w:pPr>
      <w:r>
        <w:rPr>
          <w:rFonts w:ascii="Times New Roman" w:eastAsia="Times New Roman" w:hAnsi="Times New Roman" w:cs="Times New Roman"/>
          <w:sz w:val="24"/>
          <w:szCs w:val="24"/>
        </w:rPr>
        <w:t>C</w:t>
      </w:r>
      <w:r w:rsidRPr="00935A79">
        <w:rPr>
          <w:rFonts w:ascii="Times New Roman" w:eastAsia="Times New Roman" w:hAnsi="Times New Roman" w:cs="Times New Roman"/>
          <w:sz w:val="24"/>
          <w:szCs w:val="24"/>
        </w:rPr>
        <w:t xml:space="preserve">on base en las consideraciones anteriores, solicitamos a los </w:t>
      </w:r>
      <w:r w:rsidR="00AB05ED">
        <w:rPr>
          <w:rFonts w:ascii="Times New Roman" w:eastAsia="Times New Roman" w:hAnsi="Times New Roman" w:cs="Times New Roman"/>
          <w:sz w:val="24"/>
          <w:szCs w:val="24"/>
        </w:rPr>
        <w:t>H</w:t>
      </w:r>
      <w:r w:rsidRPr="00935A79">
        <w:rPr>
          <w:rFonts w:ascii="Times New Roman" w:eastAsia="Times New Roman" w:hAnsi="Times New Roman" w:cs="Times New Roman"/>
          <w:sz w:val="24"/>
          <w:szCs w:val="24"/>
        </w:rPr>
        <w:t xml:space="preserve">onorables </w:t>
      </w:r>
      <w:r w:rsidR="00AB05ED">
        <w:rPr>
          <w:rFonts w:ascii="Times New Roman" w:eastAsia="Times New Roman" w:hAnsi="Times New Roman" w:cs="Times New Roman"/>
          <w:sz w:val="24"/>
          <w:szCs w:val="24"/>
        </w:rPr>
        <w:t>R</w:t>
      </w:r>
      <w:r w:rsidRPr="00935A79">
        <w:rPr>
          <w:rFonts w:ascii="Times New Roman" w:eastAsia="Times New Roman" w:hAnsi="Times New Roman" w:cs="Times New Roman"/>
          <w:sz w:val="24"/>
          <w:szCs w:val="24"/>
        </w:rPr>
        <w:t xml:space="preserve">epresentantes de la </w:t>
      </w:r>
      <w:r w:rsidR="00AB05ED">
        <w:rPr>
          <w:rFonts w:ascii="Times New Roman" w:eastAsia="Times New Roman" w:hAnsi="Times New Roman" w:cs="Times New Roman"/>
          <w:sz w:val="24"/>
          <w:szCs w:val="24"/>
        </w:rPr>
        <w:t>C</w:t>
      </w:r>
      <w:r w:rsidRPr="00935A79">
        <w:rPr>
          <w:rFonts w:ascii="Times New Roman" w:eastAsia="Times New Roman" w:hAnsi="Times New Roman" w:cs="Times New Roman"/>
          <w:sz w:val="24"/>
          <w:szCs w:val="24"/>
        </w:rPr>
        <w:t xml:space="preserve">omisión </w:t>
      </w:r>
      <w:r w:rsidR="00AB05ED">
        <w:rPr>
          <w:rFonts w:ascii="Times New Roman" w:eastAsia="Times New Roman" w:hAnsi="Times New Roman" w:cs="Times New Roman"/>
          <w:sz w:val="24"/>
          <w:szCs w:val="24"/>
        </w:rPr>
        <w:t>S</w:t>
      </w:r>
      <w:r w:rsidRPr="00935A79">
        <w:rPr>
          <w:rFonts w:ascii="Times New Roman" w:eastAsia="Times New Roman" w:hAnsi="Times New Roman" w:cs="Times New Roman"/>
          <w:sz w:val="24"/>
          <w:szCs w:val="24"/>
        </w:rPr>
        <w:t xml:space="preserve">éptima de la </w:t>
      </w:r>
      <w:r w:rsidR="00AB05ED">
        <w:rPr>
          <w:rFonts w:ascii="Times New Roman" w:eastAsia="Times New Roman" w:hAnsi="Times New Roman" w:cs="Times New Roman"/>
          <w:sz w:val="24"/>
          <w:szCs w:val="24"/>
        </w:rPr>
        <w:t>C</w:t>
      </w:r>
      <w:r w:rsidRPr="00935A79">
        <w:rPr>
          <w:rFonts w:ascii="Times New Roman" w:eastAsia="Times New Roman" w:hAnsi="Times New Roman" w:cs="Times New Roman"/>
          <w:sz w:val="24"/>
          <w:szCs w:val="24"/>
        </w:rPr>
        <w:t xml:space="preserve">ámara de </w:t>
      </w:r>
      <w:r w:rsidR="00AB05ED">
        <w:rPr>
          <w:rFonts w:ascii="Times New Roman" w:eastAsia="Times New Roman" w:hAnsi="Times New Roman" w:cs="Times New Roman"/>
          <w:sz w:val="24"/>
          <w:szCs w:val="24"/>
        </w:rPr>
        <w:t>R</w:t>
      </w:r>
      <w:r w:rsidRPr="00935A79">
        <w:rPr>
          <w:rFonts w:ascii="Times New Roman" w:eastAsia="Times New Roman" w:hAnsi="Times New Roman" w:cs="Times New Roman"/>
          <w:sz w:val="24"/>
          <w:szCs w:val="24"/>
        </w:rPr>
        <w:t xml:space="preserve">epresentantes dar primer debate al </w:t>
      </w:r>
      <w:r w:rsidRPr="00935A79">
        <w:rPr>
          <w:rFonts w:ascii="Times New Roman" w:eastAsia="Arial" w:hAnsi="Times New Roman" w:cs="Times New Roman"/>
          <w:sz w:val="24"/>
          <w:szCs w:val="24"/>
        </w:rPr>
        <w:t>proyecto de ley</w:t>
      </w:r>
      <w:r w:rsidRPr="00F70905">
        <w:rPr>
          <w:rFonts w:ascii="Times New Roman" w:eastAsia="Arial" w:hAnsi="Times New Roman" w:cs="Times New Roman"/>
          <w:iCs/>
          <w:sz w:val="24"/>
          <w:szCs w:val="24"/>
        </w:rPr>
        <w:t xml:space="preserve"> 079 de 2021 </w:t>
      </w:r>
      <w:r w:rsidRPr="00935A79">
        <w:rPr>
          <w:rFonts w:ascii="Times New Roman" w:eastAsia="Arial" w:hAnsi="Times New Roman" w:cs="Times New Roman"/>
          <w:i/>
          <w:sz w:val="24"/>
          <w:szCs w:val="24"/>
        </w:rPr>
        <w:t xml:space="preserve">"por el cual se dictan normas para la prestación de servicios personales del talento humano en el sector de la salud y se dictan otras disposiciones" </w:t>
      </w:r>
      <w:r w:rsidRPr="00F70905">
        <w:rPr>
          <w:rFonts w:ascii="Times New Roman" w:eastAsia="Arial" w:hAnsi="Times New Roman" w:cs="Times New Roman"/>
          <w:iCs/>
          <w:sz w:val="24"/>
          <w:szCs w:val="24"/>
        </w:rPr>
        <w:t xml:space="preserve">acumulado con el proyecto de ley 220 de 2021 </w:t>
      </w:r>
      <w:r w:rsidRPr="00935A79">
        <w:rPr>
          <w:rFonts w:ascii="Times New Roman" w:eastAsia="Arial" w:hAnsi="Times New Roman" w:cs="Times New Roman"/>
          <w:i/>
          <w:sz w:val="24"/>
          <w:szCs w:val="24"/>
        </w:rPr>
        <w:t>"por medio del cual se fomenta el trabajo digno del talento humano y la sostenibilidad del sistema de salud y se dictan otras disposiciones</w:t>
      </w:r>
      <w:r w:rsidRPr="00935A79">
        <w:rPr>
          <w:rFonts w:ascii="Times New Roman" w:eastAsia="Arial" w:hAnsi="Times New Roman" w:cs="Times New Roman"/>
          <w:sz w:val="24"/>
          <w:szCs w:val="24"/>
        </w:rPr>
        <w:t>”</w:t>
      </w:r>
      <w:r w:rsidRPr="00935A79">
        <w:rPr>
          <w:rFonts w:ascii="Times New Roman" w:eastAsia="Arial" w:hAnsi="Times New Roman" w:cs="Times New Roman"/>
          <w:i/>
          <w:sz w:val="24"/>
          <w:szCs w:val="24"/>
        </w:rPr>
        <w:t>,</w:t>
      </w:r>
      <w:r w:rsidRPr="00935A79">
        <w:rPr>
          <w:rFonts w:ascii="Times New Roman" w:eastAsia="Arial" w:hAnsi="Times New Roman" w:cs="Times New Roman"/>
          <w:sz w:val="24"/>
          <w:szCs w:val="24"/>
        </w:rPr>
        <w:t xml:space="preserve"> de conformidad con el texto adjunto.</w:t>
      </w:r>
    </w:p>
    <w:p w14:paraId="4623E21E" w14:textId="77777777" w:rsidR="00EF7E6D" w:rsidRPr="00935A79" w:rsidRDefault="00EF7E6D">
      <w:pPr>
        <w:spacing w:after="0" w:line="240" w:lineRule="auto"/>
        <w:jc w:val="both"/>
        <w:rPr>
          <w:rFonts w:ascii="Times New Roman" w:eastAsia="Arial" w:hAnsi="Times New Roman" w:cs="Times New Roman"/>
          <w:sz w:val="24"/>
          <w:szCs w:val="24"/>
        </w:rPr>
      </w:pPr>
    </w:p>
    <w:p w14:paraId="69A683D2" w14:textId="77777777" w:rsidR="00EF7E6D" w:rsidRPr="00935A79" w:rsidRDefault="00EF7E6D">
      <w:pPr>
        <w:spacing w:after="0" w:line="240" w:lineRule="auto"/>
        <w:jc w:val="both"/>
        <w:rPr>
          <w:rFonts w:ascii="Times New Roman" w:eastAsia="Arial" w:hAnsi="Times New Roman" w:cs="Times New Roman"/>
          <w:sz w:val="24"/>
          <w:szCs w:val="24"/>
        </w:rPr>
      </w:pPr>
    </w:p>
    <w:p w14:paraId="2D308FEB" w14:textId="77777777" w:rsidR="00400B4A" w:rsidRDefault="001E2E90">
      <w:pPr>
        <w:spacing w:after="0" w:line="240" w:lineRule="auto"/>
        <w:ind w:right="49"/>
        <w:rPr>
          <w:rFonts w:ascii="Times New Roman" w:eastAsia="Arial" w:hAnsi="Times New Roman" w:cs="Times New Roman"/>
          <w:sz w:val="24"/>
          <w:szCs w:val="24"/>
        </w:rPr>
      </w:pPr>
      <w:r w:rsidRPr="00935A79">
        <w:rPr>
          <w:rFonts w:ascii="Times New Roman" w:eastAsia="Arial" w:hAnsi="Times New Roman" w:cs="Times New Roman"/>
          <w:sz w:val="24"/>
          <w:szCs w:val="24"/>
        </w:rPr>
        <w:t>De los Honorables Representantes,</w:t>
      </w:r>
      <w:r w:rsidRPr="00935A79">
        <w:rPr>
          <w:rFonts w:ascii="Times New Roman" w:eastAsia="Arial" w:hAnsi="Times New Roman" w:cs="Times New Roman"/>
          <w:sz w:val="24"/>
          <w:szCs w:val="24"/>
        </w:rPr>
        <w:tab/>
      </w:r>
    </w:p>
    <w:p w14:paraId="1EFEB441" w14:textId="77777777" w:rsidR="00400B4A" w:rsidRDefault="00400B4A">
      <w:pPr>
        <w:spacing w:after="0" w:line="240" w:lineRule="auto"/>
        <w:ind w:right="49"/>
        <w:rPr>
          <w:rFonts w:ascii="Times New Roman" w:eastAsia="Arial"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00B4A" w14:paraId="6E70317E" w14:textId="77777777" w:rsidTr="00400B4A">
        <w:tc>
          <w:tcPr>
            <w:tcW w:w="4414" w:type="dxa"/>
          </w:tcPr>
          <w:p w14:paraId="451F0DFB" w14:textId="194F8BCF" w:rsidR="00400B4A" w:rsidRDefault="00400B4A" w:rsidP="00903BCC">
            <w:pPr>
              <w:rPr>
                <w:rFonts w:ascii="Times New Roman" w:eastAsia="Arial" w:hAnsi="Times New Roman" w:cs="Times New Roman"/>
                <w:sz w:val="24"/>
                <w:szCs w:val="24"/>
              </w:rPr>
            </w:pPr>
          </w:p>
          <w:p w14:paraId="1A843659" w14:textId="48C0FA7D" w:rsidR="00400B4A" w:rsidRDefault="00400B4A" w:rsidP="00903BCC">
            <w:pPr>
              <w:rPr>
                <w:rFonts w:ascii="Times New Roman" w:eastAsia="Arial" w:hAnsi="Times New Roman" w:cs="Times New Roman"/>
                <w:sz w:val="24"/>
                <w:szCs w:val="24"/>
              </w:rPr>
            </w:pPr>
          </w:p>
          <w:p w14:paraId="2E565A96" w14:textId="77777777" w:rsidR="00400B4A" w:rsidRDefault="00400B4A" w:rsidP="00400B4A">
            <w:pPr>
              <w:jc w:val="center"/>
              <w:rPr>
                <w:rFonts w:ascii="Times New Roman" w:eastAsia="Arial" w:hAnsi="Times New Roman" w:cs="Times New Roman"/>
                <w:sz w:val="24"/>
                <w:szCs w:val="24"/>
              </w:rPr>
            </w:pPr>
          </w:p>
          <w:p w14:paraId="0C5DD6F0" w14:textId="37810699" w:rsidR="00400B4A" w:rsidRDefault="00400B4A" w:rsidP="00400B4A">
            <w:pPr>
              <w:jc w:val="center"/>
              <w:rPr>
                <w:rFonts w:ascii="Times New Roman" w:eastAsia="Arial" w:hAnsi="Times New Roman" w:cs="Times New Roman"/>
                <w:sz w:val="24"/>
                <w:szCs w:val="24"/>
              </w:rPr>
            </w:pPr>
          </w:p>
          <w:p w14:paraId="6BE6F951" w14:textId="16F77B2F" w:rsidR="00903BCC" w:rsidRDefault="00903BCC" w:rsidP="00400B4A">
            <w:pPr>
              <w:jc w:val="center"/>
              <w:rPr>
                <w:rFonts w:ascii="Times New Roman" w:eastAsia="Arial" w:hAnsi="Times New Roman" w:cs="Times New Roman"/>
                <w:sz w:val="24"/>
                <w:szCs w:val="24"/>
              </w:rPr>
            </w:pPr>
          </w:p>
          <w:p w14:paraId="2F3D7D23" w14:textId="64F670FE" w:rsidR="00903BCC" w:rsidRDefault="00903BCC" w:rsidP="00400B4A">
            <w:pPr>
              <w:jc w:val="center"/>
              <w:rPr>
                <w:rFonts w:ascii="Times New Roman" w:eastAsia="Arial" w:hAnsi="Times New Roman" w:cs="Times New Roman"/>
                <w:sz w:val="24"/>
                <w:szCs w:val="24"/>
              </w:rPr>
            </w:pPr>
          </w:p>
          <w:p w14:paraId="5D59B2D6" w14:textId="552EB187" w:rsidR="00903BCC" w:rsidRDefault="00903BCC" w:rsidP="00400B4A">
            <w:pPr>
              <w:jc w:val="center"/>
              <w:rPr>
                <w:rFonts w:ascii="Times New Roman" w:eastAsia="Arial" w:hAnsi="Times New Roman" w:cs="Times New Roman"/>
                <w:sz w:val="24"/>
                <w:szCs w:val="24"/>
              </w:rPr>
            </w:pPr>
          </w:p>
          <w:p w14:paraId="7B5D768F" w14:textId="77777777" w:rsidR="00903BCC" w:rsidRPr="00935A79" w:rsidRDefault="00903BCC" w:rsidP="00400B4A">
            <w:pPr>
              <w:jc w:val="center"/>
              <w:rPr>
                <w:rFonts w:ascii="Times New Roman" w:eastAsia="Arial" w:hAnsi="Times New Roman" w:cs="Times New Roman"/>
                <w:sz w:val="24"/>
                <w:szCs w:val="24"/>
              </w:rPr>
            </w:pPr>
          </w:p>
          <w:p w14:paraId="5368344B" w14:textId="77777777" w:rsidR="00400B4A" w:rsidRPr="00935A79" w:rsidRDefault="00400B4A" w:rsidP="00400B4A">
            <w:pPr>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t>HENRY FERNANDO CORREAL</w:t>
            </w:r>
          </w:p>
          <w:p w14:paraId="4BD3DB82" w14:textId="5FAB007A" w:rsidR="00400B4A" w:rsidRDefault="00400B4A" w:rsidP="00400B4A">
            <w:pPr>
              <w:ind w:right="49"/>
              <w:jc w:val="center"/>
              <w:rPr>
                <w:rFonts w:ascii="Times New Roman" w:eastAsia="Arial" w:hAnsi="Times New Roman" w:cs="Times New Roman"/>
                <w:sz w:val="24"/>
                <w:szCs w:val="24"/>
              </w:rPr>
            </w:pPr>
            <w:r w:rsidRPr="00935A79">
              <w:rPr>
                <w:rFonts w:ascii="Times New Roman" w:eastAsia="Arial" w:hAnsi="Times New Roman" w:cs="Times New Roman"/>
                <w:sz w:val="24"/>
                <w:szCs w:val="24"/>
              </w:rPr>
              <w:t>Coordinador Ponente</w:t>
            </w:r>
          </w:p>
          <w:p w14:paraId="188F3312" w14:textId="77777777" w:rsidR="00400B4A" w:rsidRDefault="00400B4A">
            <w:pPr>
              <w:ind w:right="49"/>
              <w:rPr>
                <w:rFonts w:ascii="Times New Roman" w:eastAsia="Arial" w:hAnsi="Times New Roman" w:cs="Times New Roman"/>
                <w:sz w:val="24"/>
                <w:szCs w:val="24"/>
              </w:rPr>
            </w:pPr>
          </w:p>
          <w:p w14:paraId="38A3ABBB" w14:textId="1998DE27" w:rsidR="00400B4A" w:rsidRDefault="00400B4A">
            <w:pPr>
              <w:ind w:right="49"/>
              <w:rPr>
                <w:rFonts w:ascii="Times New Roman" w:eastAsia="Arial" w:hAnsi="Times New Roman" w:cs="Times New Roman"/>
                <w:sz w:val="24"/>
                <w:szCs w:val="24"/>
              </w:rPr>
            </w:pPr>
          </w:p>
        </w:tc>
        <w:tc>
          <w:tcPr>
            <w:tcW w:w="4414" w:type="dxa"/>
          </w:tcPr>
          <w:p w14:paraId="5D983DF6" w14:textId="48CFD276" w:rsidR="00400B4A" w:rsidRDefault="00400B4A">
            <w:pPr>
              <w:ind w:right="49"/>
              <w:rPr>
                <w:rFonts w:ascii="Times New Roman" w:eastAsia="Arial" w:hAnsi="Times New Roman" w:cs="Times New Roman"/>
                <w:sz w:val="24"/>
                <w:szCs w:val="24"/>
              </w:rPr>
            </w:pPr>
          </w:p>
          <w:p w14:paraId="67C9E7AF" w14:textId="77777777" w:rsidR="00AB05ED" w:rsidRDefault="00AB05ED">
            <w:pPr>
              <w:ind w:right="49"/>
              <w:rPr>
                <w:rFonts w:ascii="Times New Roman" w:eastAsia="Arial" w:hAnsi="Times New Roman" w:cs="Times New Roman"/>
                <w:sz w:val="24"/>
                <w:szCs w:val="24"/>
              </w:rPr>
            </w:pPr>
          </w:p>
          <w:p w14:paraId="42C51894" w14:textId="13419338" w:rsidR="00400B4A" w:rsidRDefault="00400B4A" w:rsidP="00903BCC">
            <w:pPr>
              <w:ind w:right="49"/>
              <w:jc w:val="center"/>
              <w:rPr>
                <w:rFonts w:ascii="Times New Roman" w:eastAsia="Arial" w:hAnsi="Times New Roman" w:cs="Times New Roman"/>
                <w:noProof/>
                <w:sz w:val="24"/>
                <w:szCs w:val="24"/>
                <w:lang w:val="es-CO"/>
              </w:rPr>
            </w:pPr>
          </w:p>
          <w:p w14:paraId="55B987E3" w14:textId="77777777" w:rsidR="00661750" w:rsidRDefault="00661750" w:rsidP="00903BCC">
            <w:pPr>
              <w:ind w:right="49"/>
              <w:jc w:val="center"/>
              <w:rPr>
                <w:rFonts w:ascii="Times New Roman" w:eastAsia="Arial" w:hAnsi="Times New Roman" w:cs="Times New Roman"/>
                <w:sz w:val="24"/>
                <w:szCs w:val="24"/>
              </w:rPr>
            </w:pPr>
          </w:p>
          <w:p w14:paraId="03A414DC" w14:textId="77777777" w:rsidR="00400B4A" w:rsidRDefault="00400B4A">
            <w:pPr>
              <w:ind w:right="49"/>
              <w:rPr>
                <w:rFonts w:ascii="Times New Roman" w:eastAsia="Arial" w:hAnsi="Times New Roman" w:cs="Times New Roman"/>
                <w:sz w:val="24"/>
                <w:szCs w:val="24"/>
              </w:rPr>
            </w:pPr>
          </w:p>
          <w:p w14:paraId="5EBAEED6" w14:textId="77777777" w:rsidR="00400B4A" w:rsidRPr="00935A79" w:rsidRDefault="00400B4A" w:rsidP="00400B4A">
            <w:pPr>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t>FABER ALBERTO MUÑOZ CERÓN</w:t>
            </w:r>
          </w:p>
          <w:p w14:paraId="44697C1B" w14:textId="77777777" w:rsidR="00400B4A" w:rsidRPr="00935A79" w:rsidRDefault="00400B4A" w:rsidP="00400B4A">
            <w:pPr>
              <w:jc w:val="center"/>
              <w:rPr>
                <w:rFonts w:ascii="Times New Roman" w:eastAsia="Arial" w:hAnsi="Times New Roman" w:cs="Times New Roman"/>
                <w:sz w:val="24"/>
                <w:szCs w:val="24"/>
              </w:rPr>
            </w:pPr>
            <w:r w:rsidRPr="00935A79">
              <w:rPr>
                <w:rFonts w:ascii="Times New Roman" w:eastAsia="Arial" w:hAnsi="Times New Roman" w:cs="Times New Roman"/>
                <w:sz w:val="24"/>
                <w:szCs w:val="24"/>
              </w:rPr>
              <w:t>Ponente</w:t>
            </w:r>
          </w:p>
          <w:p w14:paraId="7A000942" w14:textId="02BCB493" w:rsidR="00400B4A" w:rsidRDefault="00400B4A">
            <w:pPr>
              <w:ind w:right="49"/>
              <w:rPr>
                <w:rFonts w:ascii="Times New Roman" w:eastAsia="Arial" w:hAnsi="Times New Roman" w:cs="Times New Roman"/>
                <w:sz w:val="24"/>
                <w:szCs w:val="24"/>
              </w:rPr>
            </w:pPr>
          </w:p>
        </w:tc>
      </w:tr>
    </w:tbl>
    <w:p w14:paraId="4DCF8F86" w14:textId="3B0DE45E" w:rsidR="00EF7E6D" w:rsidRPr="00935A79" w:rsidRDefault="001E2E90">
      <w:pPr>
        <w:spacing w:after="0" w:line="240" w:lineRule="auto"/>
        <w:ind w:right="49"/>
        <w:rPr>
          <w:rFonts w:ascii="Times New Roman" w:eastAsia="Arial" w:hAnsi="Times New Roman" w:cs="Times New Roman"/>
          <w:sz w:val="24"/>
          <w:szCs w:val="24"/>
        </w:rPr>
      </w:pPr>
      <w:r w:rsidRPr="00935A79">
        <w:rPr>
          <w:rFonts w:ascii="Times New Roman" w:eastAsia="Arial" w:hAnsi="Times New Roman" w:cs="Times New Roman"/>
          <w:sz w:val="24"/>
          <w:szCs w:val="24"/>
        </w:rPr>
        <w:tab/>
      </w:r>
      <w:r w:rsidRPr="00935A79">
        <w:rPr>
          <w:rFonts w:ascii="Times New Roman" w:eastAsia="Arial" w:hAnsi="Times New Roman" w:cs="Times New Roman"/>
          <w:sz w:val="24"/>
          <w:szCs w:val="24"/>
        </w:rPr>
        <w:tab/>
        <w:t xml:space="preserve">                                </w:t>
      </w:r>
    </w:p>
    <w:p w14:paraId="488EDCBE" w14:textId="1DCAF506" w:rsidR="00EF7E6D" w:rsidRDefault="00EF7E6D">
      <w:pPr>
        <w:pBdr>
          <w:top w:val="nil"/>
          <w:left w:val="nil"/>
          <w:bottom w:val="nil"/>
          <w:right w:val="nil"/>
          <w:between w:val="nil"/>
        </w:pBdr>
        <w:spacing w:after="0" w:line="240" w:lineRule="auto"/>
        <w:rPr>
          <w:rFonts w:ascii="Times New Roman" w:eastAsia="Arial" w:hAnsi="Times New Roman" w:cs="Times New Roman"/>
          <w:b/>
          <w:sz w:val="24"/>
          <w:szCs w:val="24"/>
        </w:rPr>
      </w:pPr>
    </w:p>
    <w:p w14:paraId="0E269929" w14:textId="334F9463" w:rsidR="00400B4A" w:rsidRDefault="00400B4A">
      <w:pPr>
        <w:pBdr>
          <w:top w:val="nil"/>
          <w:left w:val="nil"/>
          <w:bottom w:val="nil"/>
          <w:right w:val="nil"/>
          <w:between w:val="nil"/>
        </w:pBdr>
        <w:spacing w:after="0" w:line="240" w:lineRule="auto"/>
        <w:rPr>
          <w:rFonts w:ascii="Times New Roman" w:eastAsia="Arial" w:hAnsi="Times New Roman" w:cs="Times New Roman"/>
          <w:b/>
          <w:sz w:val="24"/>
          <w:szCs w:val="24"/>
        </w:rPr>
      </w:pPr>
    </w:p>
    <w:p w14:paraId="0EFC789A" w14:textId="06AB6F3C"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79D7089E" w14:textId="49727B9A"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47FC937E" w14:textId="3FB32CBA"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57C7C13F" w14:textId="254D7A63"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285CDC0B" w14:textId="0D724EB1"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754194B8" w14:textId="6FF34E6D"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6414A7E7" w14:textId="077A2FF3"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758E2762" w14:textId="6989DDF3"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69149D26" w14:textId="56DDADE5"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11650409" w14:textId="6B587893"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3C169F28" w14:textId="4AE48FD5"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3D6EB11A" w14:textId="5A8CFA4D"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6D6B3D3A" w14:textId="4618D16E"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41275070" w14:textId="1C45AC9C"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37FBA0EF" w14:textId="4B59B682"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4BBB7038" w14:textId="70CCE9C2"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72D3C668" w14:textId="416F7419" w:rsidR="004F61B8" w:rsidRDefault="004F61B8">
      <w:pPr>
        <w:pBdr>
          <w:top w:val="nil"/>
          <w:left w:val="nil"/>
          <w:bottom w:val="nil"/>
          <w:right w:val="nil"/>
          <w:between w:val="nil"/>
        </w:pBdr>
        <w:spacing w:after="0" w:line="240" w:lineRule="auto"/>
        <w:rPr>
          <w:rFonts w:ascii="Times New Roman" w:eastAsia="Arial" w:hAnsi="Times New Roman" w:cs="Times New Roman"/>
          <w:b/>
          <w:sz w:val="24"/>
          <w:szCs w:val="24"/>
        </w:rPr>
      </w:pPr>
    </w:p>
    <w:p w14:paraId="0029BCF9" w14:textId="77777777" w:rsidR="00400B4A" w:rsidRPr="00935A79" w:rsidRDefault="00400B4A">
      <w:pPr>
        <w:pBdr>
          <w:top w:val="nil"/>
          <w:left w:val="nil"/>
          <w:bottom w:val="nil"/>
          <w:right w:val="nil"/>
          <w:between w:val="nil"/>
        </w:pBdr>
        <w:spacing w:after="0" w:line="240" w:lineRule="auto"/>
        <w:rPr>
          <w:rFonts w:ascii="Times New Roman" w:eastAsia="Arial" w:hAnsi="Times New Roman" w:cs="Times New Roman"/>
          <w:b/>
          <w:sz w:val="24"/>
          <w:szCs w:val="24"/>
        </w:rPr>
      </w:pPr>
    </w:p>
    <w:p w14:paraId="2FFC1592" w14:textId="47CA1737" w:rsidR="00EF7E6D" w:rsidRPr="00A0627F" w:rsidRDefault="001E2E90" w:rsidP="00A0627F">
      <w:pPr>
        <w:spacing w:line="240" w:lineRule="auto"/>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t xml:space="preserve">TEXTO </w:t>
      </w:r>
      <w:r w:rsidRPr="00400B4A">
        <w:rPr>
          <w:rFonts w:ascii="Times New Roman" w:eastAsia="Arial" w:hAnsi="Times New Roman" w:cs="Times New Roman"/>
          <w:b/>
          <w:sz w:val="24"/>
          <w:szCs w:val="24"/>
        </w:rPr>
        <w:t xml:space="preserve">PROPUESTO PARA PRIMER DEBATE </w:t>
      </w:r>
      <w:r w:rsidRPr="00935A79">
        <w:rPr>
          <w:rFonts w:ascii="Times New Roman" w:eastAsia="Arial" w:hAnsi="Times New Roman" w:cs="Times New Roman"/>
          <w:b/>
          <w:sz w:val="24"/>
          <w:szCs w:val="24"/>
        </w:rPr>
        <w:t xml:space="preserve">EN CÁMARA </w:t>
      </w:r>
      <w:r w:rsidR="00F9292D">
        <w:rPr>
          <w:rFonts w:ascii="Times New Roman" w:eastAsia="Arial" w:hAnsi="Times New Roman" w:cs="Times New Roman"/>
          <w:b/>
          <w:sz w:val="24"/>
          <w:szCs w:val="24"/>
        </w:rPr>
        <w:t xml:space="preserve">DEL </w:t>
      </w:r>
      <w:r w:rsidRPr="00935A79">
        <w:rPr>
          <w:rFonts w:ascii="Times New Roman" w:eastAsia="Arial" w:hAnsi="Times New Roman" w:cs="Times New Roman"/>
          <w:b/>
          <w:sz w:val="24"/>
          <w:szCs w:val="24"/>
        </w:rPr>
        <w:t xml:space="preserve">PROYECTO DE LEY 079 DE 2021 ACUMULADO CON EL PROYECTO DE LEY 220 DE 2021 </w:t>
      </w:r>
      <w:r w:rsidR="00400B4A" w:rsidRPr="00F9292D">
        <w:rPr>
          <w:rFonts w:ascii="Times New Roman" w:eastAsia="Arial" w:hAnsi="Times New Roman" w:cs="Times New Roman"/>
          <w:b/>
          <w:bCs/>
          <w:i/>
          <w:sz w:val="24"/>
          <w:szCs w:val="24"/>
        </w:rPr>
        <w:t>“Por medio del cual se fomenta el trabajo digno del talento humano en salud en el sector público y se dictan otras disposiciones”</w:t>
      </w:r>
    </w:p>
    <w:p w14:paraId="74D44F10" w14:textId="77777777" w:rsidR="00EF7E6D" w:rsidRPr="00935A79" w:rsidRDefault="00EF7E6D">
      <w:pPr>
        <w:spacing w:after="0" w:line="240" w:lineRule="auto"/>
        <w:jc w:val="both"/>
        <w:rPr>
          <w:rFonts w:ascii="Times New Roman" w:eastAsia="Arial" w:hAnsi="Times New Roman" w:cs="Times New Roman"/>
          <w:i/>
          <w:sz w:val="24"/>
          <w:szCs w:val="24"/>
        </w:rPr>
      </w:pPr>
    </w:p>
    <w:p w14:paraId="0FEA0E87" w14:textId="77777777" w:rsidR="00EF7E6D" w:rsidRPr="00935A79" w:rsidRDefault="001E2E90" w:rsidP="00F70905">
      <w:pPr>
        <w:spacing w:after="0"/>
        <w:ind w:right="49"/>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t>EL CONGRESO DE COLOMBIA</w:t>
      </w:r>
    </w:p>
    <w:p w14:paraId="213C124F" w14:textId="77777777" w:rsidR="00EF7E6D" w:rsidRPr="00935A79" w:rsidRDefault="00EF7E6D" w:rsidP="00F70905">
      <w:pPr>
        <w:spacing w:after="0"/>
        <w:ind w:right="49"/>
        <w:jc w:val="center"/>
        <w:rPr>
          <w:rFonts w:ascii="Times New Roman" w:eastAsia="Arial" w:hAnsi="Times New Roman" w:cs="Times New Roman"/>
          <w:b/>
          <w:sz w:val="24"/>
          <w:szCs w:val="24"/>
        </w:rPr>
      </w:pPr>
    </w:p>
    <w:p w14:paraId="18971C32" w14:textId="77777777" w:rsidR="00EF7E6D" w:rsidRPr="00935A79" w:rsidRDefault="001E2E90" w:rsidP="00F70905">
      <w:pPr>
        <w:spacing w:after="0"/>
        <w:ind w:right="49"/>
        <w:jc w:val="center"/>
        <w:rPr>
          <w:rFonts w:ascii="Times New Roman" w:eastAsia="Arial" w:hAnsi="Times New Roman" w:cs="Times New Roman"/>
          <w:b/>
          <w:sz w:val="24"/>
          <w:szCs w:val="24"/>
        </w:rPr>
      </w:pPr>
      <w:r w:rsidRPr="00935A79">
        <w:rPr>
          <w:rFonts w:ascii="Times New Roman" w:eastAsia="Arial" w:hAnsi="Times New Roman" w:cs="Times New Roman"/>
          <w:b/>
          <w:sz w:val="24"/>
          <w:szCs w:val="24"/>
        </w:rPr>
        <w:t>DECRETA:</w:t>
      </w:r>
    </w:p>
    <w:p w14:paraId="3459DF82" w14:textId="77777777" w:rsidR="00EF7E6D" w:rsidRPr="00935A79" w:rsidRDefault="00EF7E6D" w:rsidP="00A0627F">
      <w:pPr>
        <w:spacing w:after="0"/>
        <w:ind w:right="49"/>
        <w:rPr>
          <w:rFonts w:ascii="Times New Roman" w:eastAsia="Arial" w:hAnsi="Times New Roman" w:cs="Times New Roman"/>
          <w:b/>
          <w:sz w:val="24"/>
          <w:szCs w:val="24"/>
        </w:rPr>
      </w:pPr>
    </w:p>
    <w:p w14:paraId="4F2453ED" w14:textId="162F3377" w:rsidR="005C2A96" w:rsidRPr="00AB05ED" w:rsidRDefault="005C2A96" w:rsidP="005C2A96">
      <w:pPr>
        <w:spacing w:before="240" w:after="0"/>
        <w:jc w:val="both"/>
        <w:rPr>
          <w:rFonts w:ascii="Times New Roman" w:eastAsia="Arial" w:hAnsi="Times New Roman" w:cs="Times New Roman"/>
          <w:b/>
          <w:sz w:val="24"/>
          <w:szCs w:val="24"/>
          <w:u w:val="single"/>
        </w:rPr>
      </w:pPr>
      <w:r w:rsidRPr="005C2A96">
        <w:rPr>
          <w:rFonts w:ascii="Times New Roman" w:eastAsia="Arial" w:hAnsi="Times New Roman" w:cs="Times New Roman"/>
          <w:b/>
          <w:sz w:val="24"/>
          <w:szCs w:val="24"/>
        </w:rPr>
        <w:t>Artículo 1. Fomento del trabajo digno del talento humano en salud.</w:t>
      </w:r>
      <w:r w:rsidRPr="00935A79">
        <w:rPr>
          <w:rFonts w:ascii="Times New Roman" w:eastAsia="Arial" w:hAnsi="Times New Roman" w:cs="Times New Roman"/>
          <w:sz w:val="24"/>
          <w:szCs w:val="24"/>
        </w:rPr>
        <w:t xml:space="preserve"> De conformidad con el artículo 18 de la Ley 1751 de 2015, para la dignificación del talento humano en salud, se deberá garantizar la formalización laboral con respeto de todos los derechos salariales y prestacionales del </w:t>
      </w:r>
      <w:r w:rsidRPr="005C2A96">
        <w:rPr>
          <w:rFonts w:ascii="Times New Roman" w:eastAsia="Arial" w:hAnsi="Times New Roman" w:cs="Times New Roman"/>
          <w:sz w:val="24"/>
          <w:szCs w:val="24"/>
        </w:rPr>
        <w:t>Talento Humano en Salud</w:t>
      </w:r>
      <w:r w:rsidRPr="00935A79">
        <w:rPr>
          <w:rFonts w:ascii="Times New Roman" w:eastAsia="Arial" w:hAnsi="Times New Roman" w:cs="Times New Roman"/>
          <w:sz w:val="24"/>
          <w:szCs w:val="24"/>
        </w:rPr>
        <w:t xml:space="preserve"> de todos los hospitales públicos del país, </w:t>
      </w:r>
      <w:r w:rsidRPr="00935A79">
        <w:rPr>
          <w:rFonts w:ascii="Times New Roman" w:eastAsia="Arial" w:hAnsi="Times New Roman" w:cs="Times New Roman"/>
          <w:sz w:val="24"/>
          <w:szCs w:val="24"/>
          <w:highlight w:val="white"/>
        </w:rPr>
        <w:t>antes del 1 de enero de 2023,</w:t>
      </w:r>
      <w:r w:rsidRPr="00935A79">
        <w:rPr>
          <w:rFonts w:ascii="Times New Roman" w:eastAsia="Arial" w:hAnsi="Times New Roman" w:cs="Times New Roman"/>
          <w:sz w:val="24"/>
          <w:szCs w:val="24"/>
        </w:rPr>
        <w:t xml:space="preserve"> para lo cual el gobierno nacional deberá garantizar los recursos necesarios, sin detrimento de los actuales </w:t>
      </w:r>
      <w:r w:rsidRPr="00AB05ED">
        <w:rPr>
          <w:rFonts w:ascii="Times New Roman" w:eastAsia="Arial" w:hAnsi="Times New Roman" w:cs="Times New Roman"/>
          <w:sz w:val="24"/>
          <w:szCs w:val="24"/>
        </w:rPr>
        <w:t xml:space="preserve">recursos con los que cuentan los Hospitales Públicos </w:t>
      </w:r>
      <w:r w:rsidRPr="00AB05ED">
        <w:rPr>
          <w:rFonts w:ascii="Times New Roman" w:eastAsia="Arial" w:hAnsi="Times New Roman" w:cs="Times New Roman"/>
          <w:bCs/>
          <w:sz w:val="24"/>
          <w:szCs w:val="24"/>
        </w:rPr>
        <w:t>del país</w:t>
      </w:r>
      <w:r w:rsidR="00AB05ED">
        <w:rPr>
          <w:rFonts w:ascii="Times New Roman" w:eastAsia="Arial" w:hAnsi="Times New Roman" w:cs="Times New Roman"/>
          <w:bCs/>
          <w:sz w:val="24"/>
          <w:szCs w:val="24"/>
        </w:rPr>
        <w:t>.</w:t>
      </w:r>
    </w:p>
    <w:p w14:paraId="7ECA984E" w14:textId="2A4FB6CB" w:rsidR="005C2A96" w:rsidRPr="00AB05ED" w:rsidRDefault="005C2A96" w:rsidP="005C2A96">
      <w:pPr>
        <w:spacing w:before="240" w:after="0"/>
        <w:jc w:val="both"/>
        <w:rPr>
          <w:rFonts w:ascii="Times New Roman" w:eastAsia="Arial" w:hAnsi="Times New Roman" w:cs="Times New Roman"/>
          <w:sz w:val="24"/>
          <w:szCs w:val="24"/>
        </w:rPr>
      </w:pPr>
      <w:r w:rsidRPr="00AB05ED">
        <w:rPr>
          <w:rFonts w:ascii="Times New Roman" w:eastAsia="Arial" w:hAnsi="Times New Roman" w:cs="Times New Roman"/>
          <w:b/>
          <w:sz w:val="24"/>
          <w:szCs w:val="24"/>
        </w:rPr>
        <w:t>Artículo 2. Empresas Sociales del Estado.</w:t>
      </w:r>
      <w:r w:rsidRPr="00AB05ED">
        <w:rPr>
          <w:rFonts w:ascii="Times New Roman" w:eastAsia="Arial" w:hAnsi="Times New Roman" w:cs="Times New Roman"/>
          <w:sz w:val="24"/>
          <w:szCs w:val="24"/>
        </w:rPr>
        <w:t xml:space="preserve"> Los hospitales públicos continuarán funcionando como Empresas Sociales del Estado (ESE) y deberán funcionar en redes integrales de servicios, las cuales podrán ser de naturaleza pública o mixta y podrán participar en varias de ellas.</w:t>
      </w:r>
    </w:p>
    <w:p w14:paraId="21BCC7C0" w14:textId="2BD62B6E" w:rsidR="005C2A96" w:rsidRPr="00AB05ED" w:rsidRDefault="005C2A96" w:rsidP="005C2A96">
      <w:pPr>
        <w:spacing w:before="240" w:after="0"/>
        <w:jc w:val="both"/>
        <w:rPr>
          <w:rFonts w:ascii="Times New Roman" w:eastAsia="Arial" w:hAnsi="Times New Roman" w:cs="Times New Roman"/>
          <w:sz w:val="24"/>
          <w:szCs w:val="24"/>
        </w:rPr>
      </w:pPr>
      <w:r w:rsidRPr="00AB05ED">
        <w:rPr>
          <w:rFonts w:ascii="Times New Roman" w:eastAsia="Arial" w:hAnsi="Times New Roman" w:cs="Times New Roman"/>
          <w:b/>
          <w:bCs/>
          <w:sz w:val="24"/>
          <w:szCs w:val="24"/>
        </w:rPr>
        <w:t>Parágrafo 1.</w:t>
      </w:r>
      <w:r w:rsidRPr="00AB05ED">
        <w:rPr>
          <w:rFonts w:ascii="Times New Roman" w:eastAsia="Arial" w:hAnsi="Times New Roman" w:cs="Times New Roman"/>
          <w:sz w:val="24"/>
          <w:szCs w:val="24"/>
        </w:rPr>
        <w:t xml:space="preserve"> En los municipios más pequeños del país donde con la venta de servicios no se financie totalmente la prestación de servicios, el Estado concurrirá con subsidio de oferta.</w:t>
      </w:r>
    </w:p>
    <w:p w14:paraId="11113CC4" w14:textId="5004F2E0" w:rsidR="005C2A96" w:rsidRPr="00AB05ED" w:rsidRDefault="005C2A96" w:rsidP="00F70905">
      <w:pPr>
        <w:spacing w:before="240" w:after="0"/>
        <w:jc w:val="both"/>
        <w:rPr>
          <w:rFonts w:ascii="Times New Roman" w:eastAsia="Arial" w:hAnsi="Times New Roman" w:cs="Times New Roman"/>
          <w:b/>
          <w:bCs/>
          <w:sz w:val="24"/>
          <w:szCs w:val="24"/>
        </w:rPr>
      </w:pPr>
      <w:r w:rsidRPr="00AB05ED">
        <w:rPr>
          <w:rFonts w:ascii="Times New Roman" w:eastAsia="Arial" w:hAnsi="Times New Roman" w:cs="Times New Roman"/>
          <w:b/>
          <w:bCs/>
          <w:sz w:val="24"/>
          <w:szCs w:val="24"/>
        </w:rPr>
        <w:t>Parágrafo 2.</w:t>
      </w:r>
      <w:r w:rsidRPr="00AB05ED">
        <w:rPr>
          <w:rFonts w:ascii="Times New Roman" w:eastAsia="Arial" w:hAnsi="Times New Roman" w:cs="Times New Roman"/>
          <w:sz w:val="24"/>
          <w:szCs w:val="24"/>
        </w:rPr>
        <w:t xml:space="preserve"> Para la conformación de las redes integrales de servicios, las Empresas Sociales del Estado podrán optar por la Unión Temporal o cualquiera otra de las modalidades de asociación contempladas en </w:t>
      </w:r>
      <w:r w:rsidRPr="00AB05ED">
        <w:rPr>
          <w:rFonts w:ascii="Times New Roman" w:eastAsia="Arial" w:hAnsi="Times New Roman" w:cs="Times New Roman"/>
          <w:bCs/>
          <w:sz w:val="24"/>
          <w:szCs w:val="24"/>
        </w:rPr>
        <w:t>la legislación colombiana.</w:t>
      </w:r>
    </w:p>
    <w:p w14:paraId="3EC7E76A" w14:textId="6D4F2A28" w:rsidR="00F70905" w:rsidRPr="00AB05ED" w:rsidRDefault="00F70905" w:rsidP="00F70905">
      <w:pPr>
        <w:spacing w:before="240" w:after="0"/>
        <w:jc w:val="both"/>
        <w:rPr>
          <w:rFonts w:ascii="Times New Roman" w:eastAsia="Arial" w:hAnsi="Times New Roman" w:cs="Times New Roman"/>
          <w:sz w:val="24"/>
          <w:szCs w:val="24"/>
          <w:highlight w:val="white"/>
        </w:rPr>
      </w:pPr>
      <w:r w:rsidRPr="00AB05ED">
        <w:rPr>
          <w:rFonts w:ascii="Times New Roman" w:eastAsia="Arial" w:hAnsi="Times New Roman" w:cs="Times New Roman"/>
          <w:b/>
          <w:sz w:val="24"/>
          <w:szCs w:val="24"/>
        </w:rPr>
        <w:t>Artículo 3. Prohibición de contratos de prestación de servicios personales para vincular a trabajadores de la salud.</w:t>
      </w:r>
      <w:r w:rsidRPr="00AB05ED">
        <w:rPr>
          <w:rFonts w:ascii="Times New Roman" w:eastAsia="Arial" w:hAnsi="Times New Roman" w:cs="Times New Roman"/>
          <w:sz w:val="24"/>
          <w:szCs w:val="24"/>
        </w:rPr>
        <w:t xml:space="preserve"> Queda</w:t>
      </w:r>
      <w:r w:rsidRPr="00AB05ED">
        <w:rPr>
          <w:rFonts w:ascii="Times New Roman" w:eastAsia="Arial" w:hAnsi="Times New Roman" w:cs="Times New Roman"/>
          <w:bCs/>
          <w:sz w:val="24"/>
          <w:szCs w:val="24"/>
        </w:rPr>
        <w:t>n</w:t>
      </w:r>
      <w:r w:rsidRPr="00AB05ED">
        <w:rPr>
          <w:rFonts w:ascii="Times New Roman" w:eastAsia="Arial" w:hAnsi="Times New Roman" w:cs="Times New Roman"/>
          <w:sz w:val="24"/>
          <w:szCs w:val="24"/>
        </w:rPr>
        <w:t xml:space="preserve"> expresamente prohibidos los contratos de prestación de servicios personales u órdenes de prestación de servicios personales OPS, de carácter comercial, civil y/o administrativo, para la vinculación directa o indirecta del talento </w:t>
      </w:r>
      <w:r w:rsidRPr="00AB05ED">
        <w:rPr>
          <w:rFonts w:ascii="Times New Roman" w:eastAsia="Arial" w:hAnsi="Times New Roman" w:cs="Times New Roman"/>
          <w:sz w:val="24"/>
          <w:szCs w:val="24"/>
          <w:highlight w:val="white"/>
        </w:rPr>
        <w:t>humano en salud.</w:t>
      </w:r>
    </w:p>
    <w:p w14:paraId="79456C11" w14:textId="71806D19" w:rsidR="004F61B8" w:rsidRPr="00AB05ED" w:rsidRDefault="00CA0258" w:rsidP="00F70905">
      <w:pPr>
        <w:spacing w:before="240" w:after="0"/>
        <w:jc w:val="both"/>
        <w:rPr>
          <w:rFonts w:ascii="Times New Roman" w:eastAsia="Arial" w:hAnsi="Times New Roman" w:cs="Times New Roman"/>
          <w:b/>
          <w:sz w:val="24"/>
          <w:szCs w:val="24"/>
          <w:u w:val="single"/>
        </w:rPr>
      </w:pPr>
      <w:r w:rsidRPr="00AB05ED">
        <w:rPr>
          <w:rFonts w:ascii="Times New Roman" w:eastAsia="Arial" w:hAnsi="Times New Roman" w:cs="Times New Roman"/>
          <w:b/>
          <w:sz w:val="24"/>
          <w:szCs w:val="24"/>
        </w:rPr>
        <w:t>Parágrafo 1.</w:t>
      </w:r>
      <w:r w:rsidRPr="00AB05ED">
        <w:rPr>
          <w:rFonts w:ascii="Times New Roman" w:eastAsia="Arial" w:hAnsi="Times New Roman" w:cs="Times New Roman"/>
          <w:sz w:val="24"/>
          <w:szCs w:val="24"/>
        </w:rPr>
        <w:t xml:space="preserve"> Se exceptúan los contratos que tengan origen en relaciones de negocios jurídicos estrictamente comerciales, civiles o administrativos, sin que sea suficiente mérito probatorio la sola exhibición del contrato correspondiente. </w:t>
      </w:r>
    </w:p>
    <w:p w14:paraId="66E6439A" w14:textId="77777777" w:rsidR="002D3027" w:rsidRPr="00AB05ED" w:rsidRDefault="002D3027" w:rsidP="00F70905">
      <w:pPr>
        <w:spacing w:before="240" w:after="0"/>
        <w:jc w:val="both"/>
        <w:rPr>
          <w:rFonts w:ascii="Times New Roman" w:eastAsia="Arial" w:hAnsi="Times New Roman" w:cs="Times New Roman"/>
          <w:b/>
          <w:sz w:val="24"/>
          <w:szCs w:val="24"/>
          <w:u w:val="single"/>
        </w:rPr>
      </w:pPr>
    </w:p>
    <w:p w14:paraId="427C8A06" w14:textId="71108376" w:rsidR="00F70905" w:rsidRPr="00AB05ED" w:rsidRDefault="00F70905" w:rsidP="00F70905">
      <w:pPr>
        <w:spacing w:after="0"/>
        <w:ind w:right="49"/>
        <w:jc w:val="both"/>
        <w:rPr>
          <w:rFonts w:ascii="Times New Roman" w:eastAsia="Arial" w:hAnsi="Times New Roman" w:cs="Times New Roman"/>
          <w:bCs/>
          <w:sz w:val="24"/>
          <w:szCs w:val="24"/>
        </w:rPr>
      </w:pPr>
      <w:r w:rsidRPr="00AB05ED">
        <w:rPr>
          <w:rFonts w:ascii="Times New Roman" w:eastAsia="Arial" w:hAnsi="Times New Roman" w:cs="Times New Roman"/>
          <w:b/>
          <w:sz w:val="24"/>
          <w:szCs w:val="24"/>
        </w:rPr>
        <w:lastRenderedPageBreak/>
        <w:t xml:space="preserve">Parágrafo 2. </w:t>
      </w:r>
      <w:r w:rsidRPr="00AB05ED">
        <w:rPr>
          <w:rFonts w:ascii="Times New Roman" w:eastAsia="Arial" w:hAnsi="Times New Roman" w:cs="Times New Roman"/>
          <w:bCs/>
          <w:sz w:val="24"/>
          <w:szCs w:val="24"/>
        </w:rPr>
        <w:t>La vinculación laboral de los especialistas de las ciencias de la salud podrá realizarse a través de las distintas modalidades que permita el ordenamiento jurídico colombiano para la contratación de servicios profesionales, incluidas las modalidades establecidas en el Código Sustantivo del Trabajo.</w:t>
      </w:r>
    </w:p>
    <w:p w14:paraId="3A9BD91A" w14:textId="1E3F084B" w:rsidR="00F70905" w:rsidRPr="00AB05ED" w:rsidRDefault="00F70905" w:rsidP="00F70905">
      <w:pPr>
        <w:spacing w:before="240" w:after="0"/>
        <w:jc w:val="both"/>
        <w:rPr>
          <w:rFonts w:ascii="Times New Roman" w:eastAsia="Arial" w:hAnsi="Times New Roman" w:cs="Times New Roman"/>
          <w:sz w:val="24"/>
          <w:szCs w:val="24"/>
        </w:rPr>
      </w:pPr>
      <w:r w:rsidRPr="00AB05ED">
        <w:rPr>
          <w:rFonts w:ascii="Times New Roman" w:eastAsia="Arial" w:hAnsi="Times New Roman" w:cs="Times New Roman"/>
          <w:b/>
          <w:bCs/>
          <w:sz w:val="24"/>
          <w:szCs w:val="24"/>
        </w:rPr>
        <w:t>Artículo 4. Contrato de trabajo y relación reglamentaria.</w:t>
      </w:r>
      <w:r w:rsidRPr="00AB05ED">
        <w:rPr>
          <w:rFonts w:ascii="Times New Roman" w:eastAsia="Arial" w:hAnsi="Times New Roman" w:cs="Times New Roman"/>
          <w:sz w:val="24"/>
          <w:szCs w:val="24"/>
        </w:rPr>
        <w:t xml:space="preserve"> A partir de </w:t>
      </w:r>
      <w:r w:rsidR="003015A2" w:rsidRPr="00AB05ED">
        <w:rPr>
          <w:rFonts w:ascii="Times New Roman" w:eastAsia="Arial" w:hAnsi="Times New Roman" w:cs="Times New Roman"/>
          <w:bCs/>
          <w:sz w:val="24"/>
          <w:szCs w:val="24"/>
        </w:rPr>
        <w:t>la entrada en</w:t>
      </w:r>
      <w:r w:rsidRPr="00AB05ED">
        <w:rPr>
          <w:rFonts w:ascii="Times New Roman" w:eastAsia="Arial" w:hAnsi="Times New Roman" w:cs="Times New Roman"/>
          <w:sz w:val="24"/>
          <w:szCs w:val="24"/>
        </w:rPr>
        <w:t xml:space="preserve"> vigencia de la presente ley, los empleadores públicos, privados, mixtos, comunitarios y solidarios, deberán celebrar contratos de </w:t>
      </w:r>
      <w:r w:rsidRPr="00AB05ED">
        <w:rPr>
          <w:rFonts w:ascii="Times New Roman" w:eastAsia="Arial" w:hAnsi="Times New Roman" w:cs="Times New Roman"/>
          <w:bCs/>
          <w:sz w:val="24"/>
          <w:szCs w:val="24"/>
        </w:rPr>
        <w:t>trabajo a término fijo y</w:t>
      </w:r>
      <w:r w:rsidRPr="00AB05ED">
        <w:rPr>
          <w:rFonts w:ascii="Times New Roman" w:eastAsia="Arial" w:hAnsi="Times New Roman" w:cs="Times New Roman"/>
          <w:sz w:val="24"/>
          <w:szCs w:val="24"/>
        </w:rPr>
        <w:t>/o relación reglamentaria, para vincular al talento humano en la prestación personal y directa del servicio de salud, respetando los derechos constitucionales, legales y prestacionales consagrados en las normas laborales vigentes.</w:t>
      </w:r>
    </w:p>
    <w:p w14:paraId="5F8027EE" w14:textId="524CF493" w:rsidR="003F1003" w:rsidRPr="00AB05ED" w:rsidRDefault="006052AB" w:rsidP="003F1003">
      <w:pPr>
        <w:spacing w:before="240" w:after="0"/>
        <w:jc w:val="both"/>
        <w:rPr>
          <w:rFonts w:ascii="Times New Roman" w:eastAsia="Arial" w:hAnsi="Times New Roman" w:cs="Times New Roman"/>
          <w:b/>
          <w:sz w:val="24"/>
          <w:szCs w:val="24"/>
          <w:u w:val="single"/>
        </w:rPr>
      </w:pPr>
      <w:r w:rsidRPr="00AB05ED">
        <w:rPr>
          <w:rFonts w:ascii="Times New Roman" w:eastAsia="Arial" w:hAnsi="Times New Roman" w:cs="Times New Roman"/>
          <w:b/>
          <w:sz w:val="24"/>
          <w:szCs w:val="24"/>
        </w:rPr>
        <w:t>P</w:t>
      </w:r>
      <w:r w:rsidR="00814AF1" w:rsidRPr="00AB05ED">
        <w:rPr>
          <w:rFonts w:ascii="Times New Roman" w:eastAsia="Arial" w:hAnsi="Times New Roman" w:cs="Times New Roman"/>
          <w:b/>
          <w:sz w:val="24"/>
          <w:szCs w:val="24"/>
        </w:rPr>
        <w:t>arágrafo</w:t>
      </w:r>
      <w:r w:rsidRPr="00AB05ED">
        <w:rPr>
          <w:rFonts w:ascii="Times New Roman" w:eastAsia="Arial" w:hAnsi="Times New Roman" w:cs="Times New Roman"/>
          <w:b/>
          <w:sz w:val="24"/>
          <w:szCs w:val="24"/>
        </w:rPr>
        <w:t xml:space="preserve"> 1.</w:t>
      </w:r>
      <w:r w:rsidRPr="00AB05ED">
        <w:rPr>
          <w:rFonts w:ascii="Times New Roman" w:eastAsia="Arial" w:hAnsi="Times New Roman" w:cs="Times New Roman"/>
          <w:sz w:val="24"/>
          <w:szCs w:val="24"/>
        </w:rPr>
        <w:t xml:space="preserve"> Se exceptúan los contratos que tengan origen en relaciones de negocios jurídicos comerciales, civiles o administrativos, de que trata el parágrafo </w:t>
      </w:r>
      <w:r w:rsidRPr="00AB05ED">
        <w:rPr>
          <w:rFonts w:ascii="Times New Roman" w:eastAsia="Arial" w:hAnsi="Times New Roman" w:cs="Times New Roman"/>
          <w:bCs/>
          <w:sz w:val="24"/>
          <w:szCs w:val="24"/>
        </w:rPr>
        <w:t xml:space="preserve">primero </w:t>
      </w:r>
      <w:r w:rsidRPr="00AB05ED">
        <w:rPr>
          <w:rFonts w:ascii="Times New Roman" w:eastAsia="Arial" w:hAnsi="Times New Roman" w:cs="Times New Roman"/>
          <w:sz w:val="24"/>
          <w:szCs w:val="24"/>
        </w:rPr>
        <w:t>del artículo anterior</w:t>
      </w:r>
      <w:r w:rsidRPr="00AB05ED">
        <w:rPr>
          <w:rFonts w:ascii="Times New Roman" w:eastAsia="Arial" w:hAnsi="Times New Roman" w:cs="Times New Roman"/>
          <w:b/>
          <w:sz w:val="24"/>
          <w:szCs w:val="24"/>
        </w:rPr>
        <w:t>.</w:t>
      </w:r>
      <w:r w:rsidR="004F61B8" w:rsidRPr="00AB05ED">
        <w:rPr>
          <w:rFonts w:ascii="Times New Roman" w:eastAsia="Arial" w:hAnsi="Times New Roman" w:cs="Times New Roman"/>
          <w:b/>
          <w:sz w:val="24"/>
          <w:szCs w:val="24"/>
        </w:rPr>
        <w:t xml:space="preserve"> </w:t>
      </w:r>
    </w:p>
    <w:p w14:paraId="67C3622F" w14:textId="5FB05CC6" w:rsidR="00814AF1" w:rsidRPr="00AB05ED" w:rsidRDefault="00814AF1" w:rsidP="00F70905">
      <w:pPr>
        <w:spacing w:after="0"/>
        <w:ind w:right="49"/>
        <w:jc w:val="both"/>
        <w:rPr>
          <w:rFonts w:ascii="Times New Roman" w:eastAsia="Arial" w:hAnsi="Times New Roman" w:cs="Times New Roman"/>
          <w:b/>
          <w:sz w:val="24"/>
          <w:szCs w:val="24"/>
          <w:u w:val="single"/>
        </w:rPr>
      </w:pPr>
      <w:r w:rsidRPr="00AB05ED">
        <w:rPr>
          <w:rFonts w:ascii="Times New Roman" w:eastAsia="Arial" w:hAnsi="Times New Roman" w:cs="Times New Roman"/>
          <w:b/>
          <w:sz w:val="24"/>
          <w:szCs w:val="24"/>
        </w:rPr>
        <w:t>Parágrafo 2.</w:t>
      </w:r>
      <w:r w:rsidRPr="00AB05ED">
        <w:rPr>
          <w:rFonts w:ascii="Times New Roman" w:eastAsia="Arial" w:hAnsi="Times New Roman" w:cs="Times New Roman"/>
          <w:sz w:val="24"/>
          <w:szCs w:val="24"/>
        </w:rPr>
        <w:t xml:space="preserve"> Para garantizar el pago oportuno al talento humano de la salud vinculado por contrato de trabajo laboral, no se requerirá de la autorización por parte de la Empresa Promotora de Salud EPS, para proceder al giro directo a las Institución Prestadora de Servicios de salud IPS, basta la presentación de la Planilla Integrada de Liquidación de Aportes al Sistema de Seguridad Social Integral y Parafiscales PILA, que tenga origen exclusivamente en las relaciones contractuales de carácter laboral</w:t>
      </w:r>
      <w:r w:rsidR="003F1003" w:rsidRPr="00AB05ED">
        <w:rPr>
          <w:rFonts w:ascii="Times New Roman" w:eastAsia="Arial" w:hAnsi="Times New Roman" w:cs="Times New Roman"/>
          <w:sz w:val="24"/>
          <w:szCs w:val="24"/>
        </w:rPr>
        <w:t xml:space="preserve">, pagada con base en los ingresos efectivamente percibidos derivados de las mismas. </w:t>
      </w:r>
    </w:p>
    <w:p w14:paraId="6A1CE5A3" w14:textId="1C76D752" w:rsidR="001F0042" w:rsidRPr="00AB05ED" w:rsidRDefault="00F70905" w:rsidP="00F70905">
      <w:pPr>
        <w:spacing w:before="240" w:after="0"/>
        <w:jc w:val="both"/>
        <w:rPr>
          <w:rFonts w:ascii="Times New Roman" w:eastAsia="Arial" w:hAnsi="Times New Roman" w:cs="Times New Roman"/>
          <w:sz w:val="24"/>
          <w:szCs w:val="24"/>
          <w:highlight w:val="white"/>
        </w:rPr>
      </w:pPr>
      <w:r w:rsidRPr="00AB05ED">
        <w:rPr>
          <w:rFonts w:ascii="Times New Roman" w:eastAsia="Arial" w:hAnsi="Times New Roman" w:cs="Times New Roman"/>
          <w:b/>
          <w:bCs/>
          <w:sz w:val="24"/>
          <w:szCs w:val="24"/>
          <w:highlight w:val="white"/>
        </w:rPr>
        <w:t>Artículo 5. Conversión de contratos.</w:t>
      </w:r>
      <w:r w:rsidRPr="00AB05ED">
        <w:rPr>
          <w:rFonts w:ascii="Times New Roman" w:eastAsia="Arial" w:hAnsi="Times New Roman" w:cs="Times New Roman"/>
          <w:sz w:val="24"/>
          <w:szCs w:val="24"/>
          <w:highlight w:val="white"/>
        </w:rPr>
        <w:t xml:space="preserve"> A partir de la entrada en vigencia de la presente Ley, los contratos de prestación de servicios personales u órdenes de prestación de servicios personales del talento humano en el sector de la salud que se encuentren en ejecución, no podrán prorrogarse bajo la misma modalidad. En los casos en que sea procedente, las partes que lo suscribieron procederán de mutuo acuerdo a la conversión de los mismos en contratos</w:t>
      </w:r>
      <w:r w:rsidRPr="00AB05ED">
        <w:rPr>
          <w:rFonts w:ascii="Times New Roman" w:eastAsia="Arial" w:hAnsi="Times New Roman" w:cs="Times New Roman"/>
          <w:strike/>
          <w:sz w:val="24"/>
          <w:szCs w:val="24"/>
          <w:highlight w:val="white"/>
        </w:rPr>
        <w:t xml:space="preserve"> </w:t>
      </w:r>
      <w:r w:rsidRPr="00AB05ED">
        <w:rPr>
          <w:rFonts w:ascii="Times New Roman" w:eastAsia="Arial" w:hAnsi="Times New Roman" w:cs="Times New Roman"/>
          <w:sz w:val="24"/>
          <w:szCs w:val="24"/>
          <w:highlight w:val="white"/>
        </w:rPr>
        <w:t>de trabajo a término fijo.</w:t>
      </w:r>
    </w:p>
    <w:p w14:paraId="4DAA358A" w14:textId="5B2955AC" w:rsidR="0040060B" w:rsidRPr="00AB05ED" w:rsidRDefault="00F70905" w:rsidP="0040060B">
      <w:pPr>
        <w:spacing w:before="240" w:after="0"/>
        <w:jc w:val="both"/>
        <w:rPr>
          <w:rFonts w:ascii="Times New Roman" w:eastAsia="Arial" w:hAnsi="Times New Roman" w:cs="Times New Roman"/>
          <w:b/>
          <w:sz w:val="24"/>
          <w:szCs w:val="24"/>
          <w:u w:val="single"/>
        </w:rPr>
      </w:pPr>
      <w:r w:rsidRPr="00AB05ED">
        <w:rPr>
          <w:rFonts w:ascii="Times New Roman" w:eastAsia="Arial" w:hAnsi="Times New Roman" w:cs="Times New Roman"/>
          <w:b/>
          <w:bCs/>
          <w:sz w:val="24"/>
          <w:szCs w:val="24"/>
        </w:rPr>
        <w:t>Parágrafo:</w:t>
      </w:r>
      <w:r w:rsidRPr="00AB05ED">
        <w:rPr>
          <w:rFonts w:ascii="Times New Roman" w:eastAsia="Arial" w:hAnsi="Times New Roman" w:cs="Times New Roman"/>
          <w:sz w:val="24"/>
          <w:szCs w:val="24"/>
        </w:rPr>
        <w:t xml:space="preserve"> Este artículo no se aplicará para los actuales contratos de prestación de servicios que tengan origen estrictamente en negocios jurídicos de carácter comercial, civil o administrativo</w:t>
      </w:r>
      <w:r w:rsidR="001F0042" w:rsidRPr="00AB05ED">
        <w:rPr>
          <w:rFonts w:ascii="Times New Roman" w:eastAsia="Arial" w:hAnsi="Times New Roman" w:cs="Times New Roman"/>
          <w:sz w:val="24"/>
          <w:szCs w:val="24"/>
        </w:rPr>
        <w:t xml:space="preserve">. </w:t>
      </w:r>
      <w:r w:rsidR="0040060B" w:rsidRPr="00AB05ED">
        <w:rPr>
          <w:rFonts w:ascii="Times New Roman" w:eastAsia="Arial" w:hAnsi="Times New Roman" w:cs="Times New Roman"/>
          <w:sz w:val="24"/>
          <w:szCs w:val="24"/>
        </w:rPr>
        <w:t xml:space="preserve"> </w:t>
      </w:r>
    </w:p>
    <w:p w14:paraId="7BF905E6" w14:textId="77777777" w:rsidR="00F70905" w:rsidRPr="00AB05ED" w:rsidRDefault="00F70905" w:rsidP="00F70905">
      <w:pPr>
        <w:spacing w:after="0"/>
        <w:ind w:right="49"/>
        <w:jc w:val="both"/>
        <w:rPr>
          <w:rFonts w:ascii="Times New Roman" w:eastAsia="Arial" w:hAnsi="Times New Roman" w:cs="Times New Roman"/>
          <w:bCs/>
          <w:sz w:val="24"/>
          <w:szCs w:val="24"/>
        </w:rPr>
      </w:pPr>
    </w:p>
    <w:p w14:paraId="27711243" w14:textId="324DE6CB" w:rsidR="00F70905" w:rsidRPr="00AB05ED" w:rsidRDefault="00F70905" w:rsidP="00F70905">
      <w:pPr>
        <w:spacing w:after="0"/>
        <w:ind w:right="49"/>
        <w:jc w:val="both"/>
        <w:rPr>
          <w:rFonts w:ascii="Times New Roman" w:eastAsia="Arial" w:hAnsi="Times New Roman" w:cs="Times New Roman"/>
          <w:sz w:val="24"/>
          <w:szCs w:val="24"/>
        </w:rPr>
      </w:pPr>
      <w:r w:rsidRPr="00AB05ED">
        <w:rPr>
          <w:rFonts w:ascii="Times New Roman" w:eastAsia="Arial" w:hAnsi="Times New Roman" w:cs="Times New Roman"/>
          <w:b/>
          <w:bCs/>
          <w:sz w:val="24"/>
          <w:szCs w:val="24"/>
        </w:rPr>
        <w:t>Artículo 6. Prohibición de intermediación o tercerización laboral.</w:t>
      </w:r>
      <w:r w:rsidRPr="00AB05ED">
        <w:rPr>
          <w:rFonts w:ascii="Times New Roman" w:eastAsia="Arial" w:hAnsi="Times New Roman" w:cs="Times New Roman"/>
          <w:sz w:val="24"/>
          <w:szCs w:val="24"/>
        </w:rPr>
        <w:t xml:space="preserve"> Queda expresamente prohibida cualquier forma de intermediación laboral incluyendo el contrato sindical o la tercerización laboral, para vincular talento humano en el sector salud, a las Empresas Promotoras de Salud EPS, Instituciones Prestadoras de Servicios de Salud IPS, Empresa Social del Estado y Empresas de Transporte Especial de Pacientes, sean de carácter públicas, privadas, mixtas, comunitarias o solidarias, siempre y cuando, los equipos y/o instalaciones </w:t>
      </w:r>
      <w:r w:rsidRPr="00AB05ED">
        <w:rPr>
          <w:rFonts w:ascii="Times New Roman" w:eastAsia="Arial" w:hAnsi="Times New Roman" w:cs="Times New Roman"/>
          <w:sz w:val="24"/>
          <w:szCs w:val="24"/>
        </w:rPr>
        <w:lastRenderedPageBreak/>
        <w:t>sean de propiedad de la empresa promotora de salud, prestadora de salud o de transporte especial de pacientes.</w:t>
      </w:r>
    </w:p>
    <w:p w14:paraId="719BCB44" w14:textId="77777777" w:rsidR="00F70905" w:rsidRPr="00AB05ED" w:rsidRDefault="00F70905" w:rsidP="00F70905">
      <w:pPr>
        <w:spacing w:after="0"/>
        <w:ind w:right="49"/>
        <w:jc w:val="both"/>
        <w:rPr>
          <w:rFonts w:ascii="Times New Roman" w:eastAsia="Arial" w:hAnsi="Times New Roman" w:cs="Times New Roman"/>
          <w:bCs/>
          <w:sz w:val="24"/>
          <w:szCs w:val="24"/>
        </w:rPr>
      </w:pPr>
    </w:p>
    <w:p w14:paraId="6701F198" w14:textId="37D66CAE" w:rsidR="00F70905" w:rsidRPr="00AB05ED" w:rsidRDefault="00F70905" w:rsidP="00F70905">
      <w:pPr>
        <w:spacing w:after="0"/>
        <w:ind w:right="49"/>
        <w:jc w:val="both"/>
        <w:rPr>
          <w:rFonts w:ascii="Times New Roman" w:eastAsia="Arial" w:hAnsi="Times New Roman" w:cs="Times New Roman"/>
          <w:sz w:val="24"/>
          <w:szCs w:val="24"/>
        </w:rPr>
      </w:pPr>
      <w:r w:rsidRPr="00AB05ED">
        <w:rPr>
          <w:rFonts w:ascii="Times New Roman" w:eastAsia="Arial" w:hAnsi="Times New Roman" w:cs="Times New Roman"/>
          <w:b/>
          <w:bCs/>
          <w:sz w:val="24"/>
          <w:szCs w:val="24"/>
        </w:rPr>
        <w:t>Artículo 7. Bono especial mensual obligatorio.</w:t>
      </w:r>
      <w:r w:rsidRPr="00AB05ED">
        <w:rPr>
          <w:rFonts w:ascii="Times New Roman" w:eastAsia="Arial" w:hAnsi="Times New Roman" w:cs="Times New Roman"/>
          <w:sz w:val="24"/>
          <w:szCs w:val="24"/>
        </w:rPr>
        <w:t xml:space="preserve"> Todo el talento humano en salud que preste sus servicios en zonas de conflicto, recibirá adicionalmente una remuneración mensual correspondiente al 10% de su salario, el cual no constituirá factor salarial para la liquidación de prestaciones y cesantías.</w:t>
      </w:r>
    </w:p>
    <w:p w14:paraId="38142EF8" w14:textId="77777777" w:rsidR="00F70905" w:rsidRPr="00AB05ED" w:rsidRDefault="00F70905" w:rsidP="00F70905">
      <w:pPr>
        <w:spacing w:after="0"/>
        <w:ind w:right="49"/>
        <w:jc w:val="both"/>
        <w:rPr>
          <w:rFonts w:ascii="Times New Roman" w:eastAsia="Arial" w:hAnsi="Times New Roman" w:cs="Times New Roman"/>
          <w:bCs/>
          <w:sz w:val="24"/>
          <w:szCs w:val="24"/>
        </w:rPr>
      </w:pPr>
    </w:p>
    <w:p w14:paraId="2492C655" w14:textId="5BEF44C8" w:rsidR="00F70905" w:rsidRPr="00AB05ED" w:rsidRDefault="00F70905" w:rsidP="00F70905">
      <w:pPr>
        <w:spacing w:after="0"/>
        <w:ind w:right="49"/>
        <w:jc w:val="both"/>
        <w:rPr>
          <w:rFonts w:ascii="Times New Roman" w:eastAsia="Arial" w:hAnsi="Times New Roman" w:cs="Times New Roman"/>
          <w:sz w:val="24"/>
          <w:szCs w:val="24"/>
        </w:rPr>
      </w:pPr>
      <w:r w:rsidRPr="00AB05ED">
        <w:rPr>
          <w:rFonts w:ascii="Times New Roman" w:eastAsia="Arial" w:hAnsi="Times New Roman" w:cs="Times New Roman"/>
          <w:b/>
          <w:sz w:val="24"/>
          <w:szCs w:val="24"/>
        </w:rPr>
        <w:t xml:space="preserve">Artículo 8. Vigilancia y control. </w:t>
      </w:r>
      <w:r w:rsidRPr="00AB05ED">
        <w:rPr>
          <w:rFonts w:ascii="Times New Roman" w:eastAsia="Arial" w:hAnsi="Times New Roman" w:cs="Times New Roman"/>
          <w:sz w:val="24"/>
          <w:szCs w:val="24"/>
        </w:rPr>
        <w:t>El Ministerio del Trabajo y la Superintendencia Nacional de Salud, ejercerán especial vigilancia para el cumplimiento de la presente Ley.</w:t>
      </w:r>
    </w:p>
    <w:p w14:paraId="64F42696" w14:textId="77777777" w:rsidR="00F70905" w:rsidRPr="00AB05ED" w:rsidRDefault="00F70905" w:rsidP="00F70905">
      <w:pPr>
        <w:spacing w:after="0"/>
        <w:ind w:right="49"/>
        <w:jc w:val="both"/>
        <w:rPr>
          <w:rFonts w:ascii="Times New Roman" w:eastAsia="Arial" w:hAnsi="Times New Roman" w:cs="Times New Roman"/>
          <w:bCs/>
          <w:sz w:val="24"/>
          <w:szCs w:val="24"/>
        </w:rPr>
      </w:pPr>
    </w:p>
    <w:p w14:paraId="096EC332" w14:textId="57035EAA" w:rsidR="00F70905" w:rsidRPr="00AB05ED" w:rsidRDefault="00F70905" w:rsidP="00F70905">
      <w:pPr>
        <w:spacing w:after="0"/>
        <w:ind w:right="49"/>
        <w:jc w:val="both"/>
        <w:rPr>
          <w:rFonts w:ascii="Times New Roman" w:eastAsia="Arial" w:hAnsi="Times New Roman" w:cs="Times New Roman"/>
          <w:sz w:val="24"/>
          <w:szCs w:val="24"/>
        </w:rPr>
      </w:pPr>
      <w:r w:rsidRPr="00AB05ED">
        <w:rPr>
          <w:rFonts w:ascii="Times New Roman" w:eastAsia="Arial" w:hAnsi="Times New Roman" w:cs="Times New Roman"/>
          <w:b/>
          <w:sz w:val="24"/>
          <w:szCs w:val="24"/>
        </w:rPr>
        <w:t>Artículo 9. Vigencia y derogatoria</w:t>
      </w:r>
      <w:r w:rsidR="00103EAB" w:rsidRPr="00AB05ED">
        <w:rPr>
          <w:rFonts w:ascii="Times New Roman" w:eastAsia="Arial" w:hAnsi="Times New Roman" w:cs="Times New Roman"/>
          <w:b/>
          <w:sz w:val="24"/>
          <w:szCs w:val="24"/>
        </w:rPr>
        <w:t>s</w:t>
      </w:r>
      <w:r w:rsidRPr="00AB05ED">
        <w:rPr>
          <w:rFonts w:ascii="Times New Roman" w:eastAsia="Arial" w:hAnsi="Times New Roman" w:cs="Times New Roman"/>
          <w:b/>
          <w:sz w:val="24"/>
          <w:szCs w:val="24"/>
        </w:rPr>
        <w:t>.</w:t>
      </w:r>
      <w:r w:rsidRPr="00AB05ED">
        <w:rPr>
          <w:rFonts w:ascii="Times New Roman" w:eastAsia="Arial" w:hAnsi="Times New Roman" w:cs="Times New Roman"/>
          <w:sz w:val="24"/>
          <w:szCs w:val="24"/>
        </w:rPr>
        <w:t xml:space="preserve"> La presente ley rige a partir de la fecha de su promulgación y deroga todas las disposiciones que le sean contrarias.</w:t>
      </w:r>
    </w:p>
    <w:p w14:paraId="0FD46203" w14:textId="77777777" w:rsidR="00F9292D" w:rsidRPr="00AB05ED" w:rsidRDefault="00F9292D" w:rsidP="00F70905">
      <w:pPr>
        <w:spacing w:after="0"/>
        <w:ind w:right="49"/>
        <w:jc w:val="both"/>
        <w:rPr>
          <w:rFonts w:ascii="Times New Roman" w:eastAsia="Arial" w:hAnsi="Times New Roman" w:cs="Times New Roman"/>
          <w:bCs/>
          <w:sz w:val="24"/>
          <w:szCs w:val="24"/>
        </w:rPr>
      </w:pPr>
    </w:p>
    <w:p w14:paraId="7A5EA5CD" w14:textId="39932601" w:rsidR="00EF7E6D" w:rsidRPr="00AB05ED" w:rsidRDefault="001E2E90">
      <w:pPr>
        <w:spacing w:after="0" w:line="240" w:lineRule="auto"/>
        <w:ind w:right="49"/>
        <w:rPr>
          <w:rFonts w:ascii="Times New Roman" w:eastAsia="Arial" w:hAnsi="Times New Roman" w:cs="Times New Roman"/>
          <w:sz w:val="24"/>
          <w:szCs w:val="24"/>
        </w:rPr>
      </w:pPr>
      <w:r w:rsidRPr="00AB05ED">
        <w:rPr>
          <w:rFonts w:ascii="Times New Roman" w:eastAsia="Arial" w:hAnsi="Times New Roman" w:cs="Times New Roman"/>
          <w:sz w:val="24"/>
          <w:szCs w:val="24"/>
        </w:rPr>
        <w:t>De los Honorables Representantes,</w:t>
      </w:r>
    </w:p>
    <w:p w14:paraId="1C0BA0E9" w14:textId="3A0AFFEC" w:rsidR="00EF7E6D" w:rsidRPr="00AB05ED" w:rsidRDefault="00EF7E6D">
      <w:pPr>
        <w:spacing w:after="0" w:line="240" w:lineRule="auto"/>
        <w:ind w:right="49"/>
        <w:rPr>
          <w:rFonts w:ascii="Times New Roman" w:eastAsia="Arial"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B05ED" w:rsidRPr="00AB05ED" w14:paraId="04A82E4F" w14:textId="77777777" w:rsidTr="0005524E">
        <w:tc>
          <w:tcPr>
            <w:tcW w:w="4414" w:type="dxa"/>
          </w:tcPr>
          <w:p w14:paraId="435CB3B0" w14:textId="77777777" w:rsidR="00F9292D" w:rsidRPr="00AB05ED" w:rsidRDefault="00F9292D" w:rsidP="00903BCC">
            <w:pPr>
              <w:rPr>
                <w:rFonts w:ascii="Times New Roman" w:eastAsia="Arial" w:hAnsi="Times New Roman" w:cs="Times New Roman"/>
                <w:sz w:val="24"/>
                <w:szCs w:val="24"/>
              </w:rPr>
            </w:pPr>
          </w:p>
          <w:p w14:paraId="5666401A" w14:textId="77777777" w:rsidR="00F9292D" w:rsidRPr="00AB05ED" w:rsidRDefault="00F9292D" w:rsidP="0005524E">
            <w:pPr>
              <w:jc w:val="center"/>
              <w:rPr>
                <w:rFonts w:ascii="Times New Roman" w:eastAsia="Arial" w:hAnsi="Times New Roman" w:cs="Times New Roman"/>
                <w:sz w:val="24"/>
                <w:szCs w:val="24"/>
              </w:rPr>
            </w:pPr>
          </w:p>
          <w:p w14:paraId="2BB60521" w14:textId="2EE96F60" w:rsidR="00F9292D" w:rsidRDefault="00F9292D" w:rsidP="0005524E">
            <w:pPr>
              <w:jc w:val="center"/>
              <w:rPr>
                <w:rFonts w:ascii="Times New Roman" w:eastAsia="Arial" w:hAnsi="Times New Roman" w:cs="Times New Roman"/>
                <w:sz w:val="24"/>
                <w:szCs w:val="24"/>
              </w:rPr>
            </w:pPr>
          </w:p>
          <w:p w14:paraId="4C6279E9" w14:textId="7B80F2CD" w:rsidR="00AB05ED" w:rsidRDefault="00AB05ED" w:rsidP="0005524E">
            <w:pPr>
              <w:jc w:val="center"/>
              <w:rPr>
                <w:rFonts w:ascii="Times New Roman" w:eastAsia="Arial" w:hAnsi="Times New Roman" w:cs="Times New Roman"/>
                <w:sz w:val="24"/>
                <w:szCs w:val="24"/>
              </w:rPr>
            </w:pPr>
          </w:p>
          <w:p w14:paraId="1CEFA2FA" w14:textId="304C1814" w:rsidR="00903BCC" w:rsidRDefault="00903BCC" w:rsidP="0005524E">
            <w:pPr>
              <w:jc w:val="center"/>
              <w:rPr>
                <w:rFonts w:ascii="Times New Roman" w:eastAsia="Arial" w:hAnsi="Times New Roman" w:cs="Times New Roman"/>
                <w:sz w:val="24"/>
                <w:szCs w:val="24"/>
              </w:rPr>
            </w:pPr>
          </w:p>
          <w:p w14:paraId="72448723" w14:textId="77777777" w:rsidR="00903BCC" w:rsidRPr="00AB05ED" w:rsidRDefault="00903BCC" w:rsidP="0005524E">
            <w:pPr>
              <w:jc w:val="center"/>
              <w:rPr>
                <w:rFonts w:ascii="Times New Roman" w:eastAsia="Arial" w:hAnsi="Times New Roman" w:cs="Times New Roman"/>
                <w:sz w:val="24"/>
                <w:szCs w:val="24"/>
              </w:rPr>
            </w:pPr>
          </w:p>
          <w:p w14:paraId="00EF9B1C" w14:textId="77777777" w:rsidR="00F9292D" w:rsidRPr="00AB05ED" w:rsidRDefault="00F9292D" w:rsidP="0005524E">
            <w:pPr>
              <w:jc w:val="center"/>
              <w:rPr>
                <w:rFonts w:ascii="Times New Roman" w:eastAsia="Arial" w:hAnsi="Times New Roman" w:cs="Times New Roman"/>
                <w:sz w:val="24"/>
                <w:szCs w:val="24"/>
              </w:rPr>
            </w:pPr>
          </w:p>
          <w:p w14:paraId="031E25AA" w14:textId="77777777" w:rsidR="00F9292D" w:rsidRPr="00AB05ED" w:rsidRDefault="00F9292D" w:rsidP="0005524E">
            <w:pPr>
              <w:jc w:val="center"/>
              <w:rPr>
                <w:rFonts w:ascii="Times New Roman" w:eastAsia="Arial" w:hAnsi="Times New Roman" w:cs="Times New Roman"/>
                <w:b/>
                <w:sz w:val="24"/>
                <w:szCs w:val="24"/>
              </w:rPr>
            </w:pPr>
            <w:r w:rsidRPr="00AB05ED">
              <w:rPr>
                <w:rFonts w:ascii="Times New Roman" w:eastAsia="Arial" w:hAnsi="Times New Roman" w:cs="Times New Roman"/>
                <w:b/>
                <w:sz w:val="24"/>
                <w:szCs w:val="24"/>
              </w:rPr>
              <w:t>HENRY FERNANDO CORREAL</w:t>
            </w:r>
          </w:p>
          <w:p w14:paraId="3697AFD8" w14:textId="77777777" w:rsidR="00F9292D" w:rsidRPr="00AB05ED" w:rsidRDefault="00F9292D" w:rsidP="0005524E">
            <w:pPr>
              <w:ind w:right="49"/>
              <w:jc w:val="center"/>
              <w:rPr>
                <w:rFonts w:ascii="Times New Roman" w:eastAsia="Arial" w:hAnsi="Times New Roman" w:cs="Times New Roman"/>
                <w:sz w:val="24"/>
                <w:szCs w:val="24"/>
              </w:rPr>
            </w:pPr>
            <w:r w:rsidRPr="00AB05ED">
              <w:rPr>
                <w:rFonts w:ascii="Times New Roman" w:eastAsia="Arial" w:hAnsi="Times New Roman" w:cs="Times New Roman"/>
                <w:sz w:val="24"/>
                <w:szCs w:val="24"/>
              </w:rPr>
              <w:t>Coordinador Ponente</w:t>
            </w:r>
          </w:p>
          <w:p w14:paraId="7441C293" w14:textId="77777777" w:rsidR="00F9292D" w:rsidRPr="00AB05ED" w:rsidRDefault="00F9292D" w:rsidP="0005524E">
            <w:pPr>
              <w:ind w:right="49"/>
              <w:rPr>
                <w:rFonts w:ascii="Times New Roman" w:eastAsia="Arial" w:hAnsi="Times New Roman" w:cs="Times New Roman"/>
                <w:sz w:val="24"/>
                <w:szCs w:val="24"/>
              </w:rPr>
            </w:pPr>
          </w:p>
          <w:p w14:paraId="19D26F7A" w14:textId="77777777" w:rsidR="00F9292D" w:rsidRPr="00AB05ED" w:rsidRDefault="00F9292D" w:rsidP="0005524E">
            <w:pPr>
              <w:ind w:right="49"/>
              <w:rPr>
                <w:rFonts w:ascii="Times New Roman" w:eastAsia="Arial" w:hAnsi="Times New Roman" w:cs="Times New Roman"/>
                <w:sz w:val="24"/>
                <w:szCs w:val="24"/>
              </w:rPr>
            </w:pPr>
          </w:p>
        </w:tc>
        <w:tc>
          <w:tcPr>
            <w:tcW w:w="4414" w:type="dxa"/>
          </w:tcPr>
          <w:p w14:paraId="2F763426" w14:textId="78EBB6C8" w:rsidR="00F9292D" w:rsidRDefault="00F9292D" w:rsidP="0005524E">
            <w:pPr>
              <w:ind w:right="49"/>
              <w:rPr>
                <w:rFonts w:ascii="Times New Roman" w:eastAsia="Arial" w:hAnsi="Times New Roman" w:cs="Times New Roman"/>
                <w:sz w:val="24"/>
                <w:szCs w:val="24"/>
              </w:rPr>
            </w:pPr>
          </w:p>
          <w:p w14:paraId="05D02061" w14:textId="5C08AE3C" w:rsidR="00AB05ED" w:rsidRPr="00AB05ED" w:rsidRDefault="00AB05ED" w:rsidP="00903BCC">
            <w:pPr>
              <w:ind w:right="49"/>
              <w:jc w:val="center"/>
              <w:rPr>
                <w:rFonts w:ascii="Times New Roman" w:eastAsia="Arial" w:hAnsi="Times New Roman" w:cs="Times New Roman"/>
                <w:sz w:val="24"/>
                <w:szCs w:val="24"/>
              </w:rPr>
            </w:pPr>
            <w:bookmarkStart w:id="0" w:name="_GoBack"/>
            <w:bookmarkEnd w:id="0"/>
          </w:p>
          <w:p w14:paraId="64BB6903" w14:textId="77777777" w:rsidR="00F9292D" w:rsidRPr="00AB05ED" w:rsidRDefault="00F9292D" w:rsidP="0005524E">
            <w:pPr>
              <w:ind w:right="49"/>
              <w:rPr>
                <w:rFonts w:ascii="Times New Roman" w:eastAsia="Arial" w:hAnsi="Times New Roman" w:cs="Times New Roman"/>
                <w:sz w:val="24"/>
                <w:szCs w:val="24"/>
              </w:rPr>
            </w:pPr>
          </w:p>
          <w:p w14:paraId="04B87A10" w14:textId="77777777" w:rsidR="00F9292D" w:rsidRPr="00AB05ED" w:rsidRDefault="00F9292D" w:rsidP="0005524E">
            <w:pPr>
              <w:jc w:val="center"/>
              <w:rPr>
                <w:rFonts w:ascii="Times New Roman" w:eastAsia="Arial" w:hAnsi="Times New Roman" w:cs="Times New Roman"/>
                <w:b/>
                <w:sz w:val="24"/>
                <w:szCs w:val="24"/>
              </w:rPr>
            </w:pPr>
            <w:r w:rsidRPr="00AB05ED">
              <w:rPr>
                <w:rFonts w:ascii="Times New Roman" w:eastAsia="Arial" w:hAnsi="Times New Roman" w:cs="Times New Roman"/>
                <w:b/>
                <w:sz w:val="24"/>
                <w:szCs w:val="24"/>
              </w:rPr>
              <w:t>FABER ALBERTO MUÑOZ CERÓN</w:t>
            </w:r>
          </w:p>
          <w:p w14:paraId="342F6B11" w14:textId="77777777" w:rsidR="00F9292D" w:rsidRPr="00AB05ED" w:rsidRDefault="00F9292D" w:rsidP="0005524E">
            <w:pPr>
              <w:jc w:val="center"/>
              <w:rPr>
                <w:rFonts w:ascii="Times New Roman" w:eastAsia="Arial" w:hAnsi="Times New Roman" w:cs="Times New Roman"/>
                <w:sz w:val="24"/>
                <w:szCs w:val="24"/>
              </w:rPr>
            </w:pPr>
            <w:r w:rsidRPr="00AB05ED">
              <w:rPr>
                <w:rFonts w:ascii="Times New Roman" w:eastAsia="Arial" w:hAnsi="Times New Roman" w:cs="Times New Roman"/>
                <w:sz w:val="24"/>
                <w:szCs w:val="24"/>
              </w:rPr>
              <w:t>Ponente</w:t>
            </w:r>
          </w:p>
          <w:p w14:paraId="1A2B27F2" w14:textId="77777777" w:rsidR="00F9292D" w:rsidRPr="00AB05ED" w:rsidRDefault="00F9292D" w:rsidP="0005524E">
            <w:pPr>
              <w:ind w:right="49"/>
              <w:rPr>
                <w:rFonts w:ascii="Times New Roman" w:eastAsia="Arial" w:hAnsi="Times New Roman" w:cs="Times New Roman"/>
                <w:sz w:val="24"/>
                <w:szCs w:val="24"/>
              </w:rPr>
            </w:pPr>
          </w:p>
        </w:tc>
      </w:tr>
    </w:tbl>
    <w:p w14:paraId="5308C5BE" w14:textId="77777777" w:rsidR="00F9292D" w:rsidRPr="00935A79" w:rsidRDefault="00F9292D">
      <w:pPr>
        <w:spacing w:after="0" w:line="240" w:lineRule="auto"/>
        <w:ind w:right="49"/>
        <w:rPr>
          <w:rFonts w:ascii="Times New Roman" w:eastAsia="Arial" w:hAnsi="Times New Roman" w:cs="Times New Roman"/>
          <w:sz w:val="24"/>
          <w:szCs w:val="24"/>
        </w:rPr>
      </w:pPr>
    </w:p>
    <w:p w14:paraId="0528D2CE" w14:textId="77777777" w:rsidR="00EF7E6D" w:rsidRPr="00935A79" w:rsidRDefault="001E2E90">
      <w:pPr>
        <w:spacing w:after="0" w:line="240" w:lineRule="auto"/>
        <w:ind w:right="49"/>
        <w:rPr>
          <w:rFonts w:ascii="Times New Roman" w:eastAsia="Arial" w:hAnsi="Times New Roman" w:cs="Times New Roman"/>
          <w:sz w:val="24"/>
          <w:szCs w:val="24"/>
        </w:rPr>
      </w:pPr>
      <w:r w:rsidRPr="00935A79">
        <w:rPr>
          <w:rFonts w:ascii="Times New Roman" w:eastAsia="Arial" w:hAnsi="Times New Roman" w:cs="Times New Roman"/>
          <w:sz w:val="24"/>
          <w:szCs w:val="24"/>
        </w:rPr>
        <w:tab/>
      </w:r>
      <w:r w:rsidRPr="00935A79">
        <w:rPr>
          <w:rFonts w:ascii="Times New Roman" w:eastAsia="Arial" w:hAnsi="Times New Roman" w:cs="Times New Roman"/>
          <w:sz w:val="24"/>
          <w:szCs w:val="24"/>
        </w:rPr>
        <w:tab/>
      </w:r>
      <w:r w:rsidRPr="00935A79">
        <w:rPr>
          <w:rFonts w:ascii="Times New Roman" w:eastAsia="Arial" w:hAnsi="Times New Roman" w:cs="Times New Roman"/>
          <w:sz w:val="24"/>
          <w:szCs w:val="24"/>
        </w:rPr>
        <w:tab/>
      </w:r>
      <w:r w:rsidRPr="00935A79">
        <w:rPr>
          <w:rFonts w:ascii="Times New Roman" w:eastAsia="Arial" w:hAnsi="Times New Roman" w:cs="Times New Roman"/>
          <w:sz w:val="24"/>
          <w:szCs w:val="24"/>
        </w:rPr>
        <w:tab/>
        <w:t xml:space="preserve">                                </w:t>
      </w:r>
    </w:p>
    <w:p w14:paraId="010EE68C" w14:textId="77777777" w:rsidR="00EF7E6D" w:rsidRPr="00935A79" w:rsidRDefault="00EF7E6D">
      <w:pPr>
        <w:spacing w:after="0" w:line="240" w:lineRule="auto"/>
        <w:rPr>
          <w:rFonts w:ascii="Times New Roman" w:eastAsia="Arial" w:hAnsi="Times New Roman" w:cs="Times New Roman"/>
          <w:sz w:val="24"/>
          <w:szCs w:val="24"/>
        </w:rPr>
      </w:pPr>
    </w:p>
    <w:sectPr w:rsidR="00EF7E6D" w:rsidRPr="00935A79">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37B59" w14:textId="77777777" w:rsidR="003F3ACD" w:rsidRDefault="003F3ACD">
      <w:pPr>
        <w:spacing w:after="0" w:line="240" w:lineRule="auto"/>
      </w:pPr>
      <w:r>
        <w:separator/>
      </w:r>
    </w:p>
  </w:endnote>
  <w:endnote w:type="continuationSeparator" w:id="0">
    <w:p w14:paraId="3D8FE0F7" w14:textId="77777777" w:rsidR="003F3ACD" w:rsidRDefault="003F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0FB7" w14:textId="77777777" w:rsidR="00EF7E6D" w:rsidRDefault="001E2E90">
    <w:pPr>
      <w:spacing w:after="0"/>
      <w:jc w:val="center"/>
      <w:rPr>
        <w:rFonts w:ascii="Arial" w:eastAsia="Arial" w:hAnsi="Arial" w:cs="Arial"/>
      </w:rPr>
    </w:pPr>
    <w:r>
      <w:rPr>
        <w:rFonts w:ascii="Arial" w:eastAsia="Arial" w:hAnsi="Arial" w:cs="Arial"/>
        <w:noProof/>
        <w:lang w:val="es-CO"/>
      </w:rPr>
      <w:drawing>
        <wp:inline distT="114300" distB="114300" distL="114300" distR="114300" wp14:anchorId="5DBE1401" wp14:editId="60124EEA">
          <wp:extent cx="3114675" cy="266700"/>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5537DD95" w14:textId="77777777" w:rsidR="00EF7E6D" w:rsidRDefault="00EF7E6D">
    <w:pPr>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376DF" w14:textId="77777777" w:rsidR="003F3ACD" w:rsidRDefault="003F3ACD">
      <w:pPr>
        <w:spacing w:after="0" w:line="240" w:lineRule="auto"/>
      </w:pPr>
      <w:r>
        <w:separator/>
      </w:r>
    </w:p>
  </w:footnote>
  <w:footnote w:type="continuationSeparator" w:id="0">
    <w:p w14:paraId="5CEB3D59" w14:textId="77777777" w:rsidR="003F3ACD" w:rsidRDefault="003F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D6186" w14:textId="77777777" w:rsidR="00EF7E6D" w:rsidRDefault="001E2E90">
    <w:pPr>
      <w:pBdr>
        <w:top w:val="nil"/>
        <w:left w:val="nil"/>
        <w:bottom w:val="nil"/>
        <w:right w:val="nil"/>
        <w:between w:val="nil"/>
      </w:pBdr>
      <w:tabs>
        <w:tab w:val="center" w:pos="4252"/>
        <w:tab w:val="right" w:pos="8504"/>
      </w:tabs>
      <w:spacing w:after="0" w:line="240" w:lineRule="auto"/>
      <w:ind w:right="-220"/>
      <w:jc w:val="center"/>
      <w:rPr>
        <w:color w:val="000000"/>
      </w:rPr>
    </w:pPr>
    <w:r>
      <w:rPr>
        <w:noProof/>
        <w:sz w:val="24"/>
        <w:szCs w:val="24"/>
        <w:lang w:val="es-CO"/>
      </w:rPr>
      <w:drawing>
        <wp:inline distT="0" distB="0" distL="0" distR="0" wp14:anchorId="4A2FF63B" wp14:editId="2D061771">
          <wp:extent cx="1953206" cy="452438"/>
          <wp:effectExtent l="0" t="0" r="0" b="0"/>
          <wp:docPr id="39" name="image1.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1.png" descr="Resultado de imagen para camara de representantes"/>
                  <pic:cNvPicPr preferRelativeResize="0"/>
                </pic:nvPicPr>
                <pic:blipFill>
                  <a:blip r:embed="rId1"/>
                  <a:srcRect/>
                  <a:stretch>
                    <a:fillRect/>
                  </a:stretch>
                </pic:blipFill>
                <pic:spPr>
                  <a:xfrm>
                    <a:off x="0" y="0"/>
                    <a:ext cx="1953206" cy="452438"/>
                  </a:xfrm>
                  <a:prstGeom prst="rect">
                    <a:avLst/>
                  </a:prstGeom>
                  <a:ln/>
                </pic:spPr>
              </pic:pic>
            </a:graphicData>
          </a:graphic>
        </wp:inline>
      </w:drawing>
    </w:r>
    <w:r>
      <w:rPr>
        <w:sz w:val="24"/>
        <w:szCs w:val="24"/>
      </w:rPr>
      <w:t xml:space="preserve">                                   </w:t>
    </w:r>
  </w:p>
  <w:p w14:paraId="481325C0" w14:textId="77777777" w:rsidR="00EF7E6D" w:rsidRDefault="00EF7E6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02648"/>
    <w:multiLevelType w:val="multilevel"/>
    <w:tmpl w:val="C9B474B0"/>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 w15:restartNumberingAfterBreak="0">
    <w:nsid w:val="2D61268A"/>
    <w:multiLevelType w:val="multilevel"/>
    <w:tmpl w:val="53B4B7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AD7ABC"/>
    <w:multiLevelType w:val="multilevel"/>
    <w:tmpl w:val="A3F0AD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69241A"/>
    <w:multiLevelType w:val="multilevel"/>
    <w:tmpl w:val="6AA2366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79906593"/>
    <w:multiLevelType w:val="multilevel"/>
    <w:tmpl w:val="E6AA8D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6D"/>
    <w:rsid w:val="00103EAB"/>
    <w:rsid w:val="00115C18"/>
    <w:rsid w:val="001B16EC"/>
    <w:rsid w:val="001E2E90"/>
    <w:rsid w:val="001F0042"/>
    <w:rsid w:val="00202D66"/>
    <w:rsid w:val="002D3027"/>
    <w:rsid w:val="002F219F"/>
    <w:rsid w:val="003015A2"/>
    <w:rsid w:val="003F1003"/>
    <w:rsid w:val="003F3ACD"/>
    <w:rsid w:val="0040060B"/>
    <w:rsid w:val="00400B4A"/>
    <w:rsid w:val="004B0C18"/>
    <w:rsid w:val="004F61B8"/>
    <w:rsid w:val="005C2A96"/>
    <w:rsid w:val="006052AB"/>
    <w:rsid w:val="00633F2F"/>
    <w:rsid w:val="00661750"/>
    <w:rsid w:val="006F0001"/>
    <w:rsid w:val="00744E45"/>
    <w:rsid w:val="00814AF1"/>
    <w:rsid w:val="00861664"/>
    <w:rsid w:val="008D03E1"/>
    <w:rsid w:val="00903BCC"/>
    <w:rsid w:val="00935A79"/>
    <w:rsid w:val="00A0627F"/>
    <w:rsid w:val="00AB05ED"/>
    <w:rsid w:val="00B02CAA"/>
    <w:rsid w:val="00C00409"/>
    <w:rsid w:val="00CA0258"/>
    <w:rsid w:val="00CE1F73"/>
    <w:rsid w:val="00CF0576"/>
    <w:rsid w:val="00EF7E6D"/>
    <w:rsid w:val="00F70905"/>
    <w:rsid w:val="00F9292D"/>
    <w:rsid w:val="00FA44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A411"/>
  <w15:docId w15:val="{C2778F9E-33DD-4975-9440-F5443595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prrafosestlosgacetas">
    <w:name w:val="prrafosestlosgacetas"/>
    <w:basedOn w:val="Normal"/>
    <w:rsid w:val="00887970"/>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aliases w:val="Ha,Resume Title"/>
    <w:basedOn w:val="Normal"/>
    <w:link w:val="PrrafodelistaCar"/>
    <w:uiPriority w:val="34"/>
    <w:qFormat/>
    <w:rsid w:val="002F490D"/>
    <w:pPr>
      <w:ind w:left="720"/>
      <w:contextualSpacing/>
    </w:pPr>
  </w:style>
  <w:style w:type="character" w:styleId="Hipervnculo">
    <w:name w:val="Hyperlink"/>
    <w:basedOn w:val="Fuentedeprrafopredeter"/>
    <w:uiPriority w:val="99"/>
    <w:unhideWhenUsed/>
    <w:rsid w:val="00717DEF"/>
    <w:rPr>
      <w:color w:val="0000FF"/>
      <w:u w:val="single"/>
    </w:rPr>
  </w:style>
  <w:style w:type="table" w:styleId="Tablaconcuadrcula">
    <w:name w:val="Table Grid"/>
    <w:basedOn w:val="Tablanormal"/>
    <w:uiPriority w:val="59"/>
    <w:rsid w:val="009E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F4977"/>
    <w:pPr>
      <w:spacing w:after="0" w:line="240" w:lineRule="auto"/>
    </w:pPr>
    <w:rPr>
      <w:sz w:val="20"/>
      <w:szCs w:val="20"/>
    </w:rPr>
  </w:style>
  <w:style w:type="character" w:customStyle="1" w:styleId="TextonotapieCar">
    <w:name w:val="Texto nota pie Car"/>
    <w:basedOn w:val="Fuentedeprrafopredeter"/>
    <w:link w:val="Textonotapie"/>
    <w:uiPriority w:val="99"/>
    <w:rsid w:val="00EF4977"/>
    <w:rPr>
      <w:sz w:val="20"/>
      <w:szCs w:val="20"/>
    </w:rPr>
  </w:style>
  <w:style w:type="character" w:styleId="Refdenotaalpie">
    <w:name w:val="footnote reference"/>
    <w:basedOn w:val="Fuentedeprrafopredeter"/>
    <w:uiPriority w:val="99"/>
    <w:semiHidden/>
    <w:unhideWhenUsed/>
    <w:rsid w:val="00EF4977"/>
    <w:rPr>
      <w:vertAlign w:val="superscript"/>
    </w:rPr>
  </w:style>
  <w:style w:type="paragraph" w:customStyle="1" w:styleId="ttulosestlosgacetas">
    <w:name w:val="ttulosestlosgacetas"/>
    <w:basedOn w:val="Normal"/>
    <w:rsid w:val="00F46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unciadosestlosgacetas">
    <w:name w:val="enunciadosestlosgacetas"/>
    <w:basedOn w:val="Normal"/>
    <w:rsid w:val="00F46081"/>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BA1AE1"/>
    <w:pPr>
      <w:spacing w:after="0" w:line="240" w:lineRule="auto"/>
    </w:pPr>
  </w:style>
  <w:style w:type="paragraph" w:styleId="Encabezado">
    <w:name w:val="header"/>
    <w:basedOn w:val="Normal"/>
    <w:link w:val="EncabezadoCar"/>
    <w:uiPriority w:val="99"/>
    <w:unhideWhenUsed/>
    <w:rsid w:val="00BA1A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1AE1"/>
  </w:style>
  <w:style w:type="paragraph" w:styleId="Piedepgina">
    <w:name w:val="footer"/>
    <w:basedOn w:val="Normal"/>
    <w:link w:val="PiedepginaCar"/>
    <w:uiPriority w:val="99"/>
    <w:unhideWhenUsed/>
    <w:rsid w:val="00BA1A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1AE1"/>
  </w:style>
  <w:style w:type="paragraph" w:styleId="Textodeglobo">
    <w:name w:val="Balloon Text"/>
    <w:basedOn w:val="Normal"/>
    <w:link w:val="TextodegloboCar"/>
    <w:uiPriority w:val="99"/>
    <w:semiHidden/>
    <w:unhideWhenUsed/>
    <w:rsid w:val="00BA1A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AE1"/>
    <w:rPr>
      <w:rFonts w:ascii="Tahoma" w:hAnsi="Tahoma" w:cs="Tahoma"/>
      <w:sz w:val="16"/>
      <w:szCs w:val="16"/>
    </w:rPr>
  </w:style>
  <w:style w:type="character" w:customStyle="1" w:styleId="SinespaciadoCar">
    <w:name w:val="Sin espaciado Car"/>
    <w:link w:val="Sinespaciado"/>
    <w:uiPriority w:val="1"/>
    <w:rsid w:val="00BA1AE1"/>
  </w:style>
  <w:style w:type="paragraph" w:styleId="NormalWeb">
    <w:name w:val="Normal (Web)"/>
    <w:basedOn w:val="Normal"/>
    <w:uiPriority w:val="99"/>
    <w:unhideWhenUsed/>
    <w:rsid w:val="00514E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F20FC6"/>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764CFA"/>
    <w:pPr>
      <w:widowControl w:val="0"/>
      <w:autoSpaceDE w:val="0"/>
      <w:autoSpaceDN w:val="0"/>
      <w:spacing w:after="0" w:line="240" w:lineRule="auto"/>
    </w:pPr>
    <w:rPr>
      <w:rFonts w:ascii="Century Gothic" w:eastAsia="Century Gothic" w:hAnsi="Century Gothic" w:cs="Century Gothic"/>
      <w:sz w:val="24"/>
      <w:szCs w:val="24"/>
      <w:lang w:eastAsia="es-ES" w:bidi="es-ES"/>
    </w:rPr>
  </w:style>
  <w:style w:type="character" w:customStyle="1" w:styleId="TextoindependienteCar">
    <w:name w:val="Texto independiente Car"/>
    <w:basedOn w:val="Fuentedeprrafopredeter"/>
    <w:link w:val="Textoindependiente"/>
    <w:uiPriority w:val="1"/>
    <w:rsid w:val="00764CFA"/>
    <w:rPr>
      <w:rFonts w:ascii="Century Gothic" w:eastAsia="Century Gothic" w:hAnsi="Century Gothic" w:cs="Century Gothic"/>
      <w:sz w:val="24"/>
      <w:szCs w:val="24"/>
      <w:lang w:val="es-ES" w:eastAsia="es-ES" w:bidi="es-ES"/>
    </w:rPr>
  </w:style>
  <w:style w:type="character" w:customStyle="1" w:styleId="PrrafodelistaCar">
    <w:name w:val="Párrafo de lista Car"/>
    <w:aliases w:val="Ha Car,Resume Title Car"/>
    <w:link w:val="Prrafodelista"/>
    <w:uiPriority w:val="34"/>
    <w:locked/>
    <w:rsid w:val="00540C1C"/>
  </w:style>
  <w:style w:type="character" w:styleId="Refdecomentario">
    <w:name w:val="annotation reference"/>
    <w:basedOn w:val="Fuentedeprrafopredeter"/>
    <w:uiPriority w:val="99"/>
    <w:semiHidden/>
    <w:unhideWhenUsed/>
    <w:rsid w:val="00A64B3E"/>
    <w:rPr>
      <w:sz w:val="16"/>
      <w:szCs w:val="16"/>
    </w:rPr>
  </w:style>
  <w:style w:type="paragraph" w:styleId="Textocomentario">
    <w:name w:val="annotation text"/>
    <w:basedOn w:val="Normal"/>
    <w:link w:val="TextocomentarioCar"/>
    <w:uiPriority w:val="99"/>
    <w:semiHidden/>
    <w:unhideWhenUsed/>
    <w:rsid w:val="00A64B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4B3E"/>
    <w:rPr>
      <w:sz w:val="20"/>
      <w:szCs w:val="20"/>
    </w:rPr>
  </w:style>
  <w:style w:type="paragraph" w:styleId="Asuntodelcomentario">
    <w:name w:val="annotation subject"/>
    <w:basedOn w:val="Textocomentario"/>
    <w:next w:val="Textocomentario"/>
    <w:link w:val="AsuntodelcomentarioCar"/>
    <w:uiPriority w:val="99"/>
    <w:semiHidden/>
    <w:unhideWhenUsed/>
    <w:rsid w:val="00A64B3E"/>
    <w:rPr>
      <w:b/>
      <w:bCs/>
    </w:rPr>
  </w:style>
  <w:style w:type="character" w:customStyle="1" w:styleId="AsuntodelcomentarioCar">
    <w:name w:val="Asunto del comentario Car"/>
    <w:basedOn w:val="TextocomentarioCar"/>
    <w:link w:val="Asuntodelcomentario"/>
    <w:uiPriority w:val="99"/>
    <w:semiHidden/>
    <w:rsid w:val="00A64B3E"/>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paragraph" w:styleId="Textonotaalfinal">
    <w:name w:val="endnote text"/>
    <w:basedOn w:val="Normal"/>
    <w:link w:val="TextonotaalfinalCar"/>
    <w:uiPriority w:val="99"/>
    <w:semiHidden/>
    <w:unhideWhenUsed/>
    <w:rsid w:val="00F310B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310BC"/>
    <w:rPr>
      <w:sz w:val="20"/>
      <w:szCs w:val="20"/>
    </w:rPr>
  </w:style>
  <w:style w:type="character" w:styleId="Refdenotaalfinal">
    <w:name w:val="endnote reference"/>
    <w:basedOn w:val="Fuentedeprrafopredeter"/>
    <w:uiPriority w:val="99"/>
    <w:semiHidden/>
    <w:unhideWhenUsed/>
    <w:rsid w:val="00F310BC"/>
    <w:rPr>
      <w:vertAlign w:val="superscript"/>
    </w:r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3"/>
    <w:pPr>
      <w:spacing w:after="0" w:line="240" w:lineRule="auto"/>
    </w:pPr>
    <w:tblPr>
      <w:tblStyleRowBandSize w:val="1"/>
      <w:tblStyleColBandSize w:val="1"/>
      <w:tblCellMar>
        <w:left w:w="108" w:type="dxa"/>
        <w:right w:w="108" w:type="dxa"/>
      </w:tblCellMar>
    </w:tblPr>
  </w:style>
  <w:style w:type="table" w:customStyle="1" w:styleId="aa">
    <w:basedOn w:val="TableNormal3"/>
    <w:pPr>
      <w:spacing w:after="0" w:line="240" w:lineRule="auto"/>
    </w:pPr>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rtesuprema.gov.co/corte/wp-content/uploads/relatorias/la/bjun2017/SL6621-20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1qWVoqIdmS9Uu8tuLpSOE3Dcw==">AMUW2mUEtUpYysM+19OyqW+G3+d66jxmeTPrdGIivIrJ+XlDIVYHk/6gP+vDmA5Kg0IURO9zM8iyTKhuYDDAxk6EPDTC42JG8xPN7Z66dkS+hiOqN4AVkG8=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7547</Words>
  <Characters>41511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 Jeovani Puentes Soto</cp:lastModifiedBy>
  <cp:revision>3</cp:revision>
  <dcterms:created xsi:type="dcterms:W3CDTF">2021-11-16T14:03:00Z</dcterms:created>
  <dcterms:modified xsi:type="dcterms:W3CDTF">2021-11-22T14:39:00Z</dcterms:modified>
</cp:coreProperties>
</file>