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0F1F" w14:textId="51D90EAF" w:rsidR="008E7A03" w:rsidRPr="003941AA" w:rsidRDefault="00847A65" w:rsidP="00C50522">
      <w:pPr>
        <w:pStyle w:val="Ttulo1"/>
        <w:rPr>
          <w:rFonts w:eastAsia="Times New Roman" w:cstheme="minorHAnsi"/>
        </w:rPr>
      </w:pPr>
      <w:r w:rsidRPr="003941AA">
        <w:rPr>
          <w:rFonts w:eastAsia="Times New Roman" w:cstheme="minorHAnsi"/>
        </w:rPr>
        <w:t>INFORME DE PONENCIA PARA PRIMER DEBATE.</w:t>
      </w:r>
    </w:p>
    <w:p w14:paraId="658FDB3F" w14:textId="6390C2D8" w:rsidR="008E7A03" w:rsidRPr="003941AA" w:rsidRDefault="008E7A03" w:rsidP="00C50522">
      <w:pPr>
        <w:pBdr>
          <w:top w:val="nil"/>
          <w:left w:val="nil"/>
          <w:bottom w:val="nil"/>
          <w:right w:val="nil"/>
          <w:between w:val="nil"/>
        </w:pBdr>
        <w:rPr>
          <w:rFonts w:eastAsia="Times New Roman" w:cstheme="minorHAnsi"/>
          <w:b/>
          <w:sz w:val="24"/>
          <w:szCs w:val="24"/>
        </w:rPr>
      </w:pPr>
    </w:p>
    <w:p w14:paraId="438FC21E" w14:textId="77777777" w:rsidR="002C2986" w:rsidRPr="003941AA" w:rsidRDefault="002C2986" w:rsidP="00C50522">
      <w:pPr>
        <w:pBdr>
          <w:top w:val="nil"/>
          <w:left w:val="nil"/>
          <w:bottom w:val="nil"/>
          <w:right w:val="nil"/>
          <w:between w:val="nil"/>
        </w:pBdr>
        <w:rPr>
          <w:rFonts w:eastAsia="Times New Roman" w:cstheme="minorHAnsi"/>
          <w:b/>
          <w:sz w:val="24"/>
          <w:szCs w:val="24"/>
        </w:rPr>
      </w:pPr>
    </w:p>
    <w:p w14:paraId="5ADAE88F" w14:textId="77777777" w:rsidR="008E7A03" w:rsidRPr="003941AA" w:rsidRDefault="00847A65" w:rsidP="00C50522">
      <w:pPr>
        <w:ind w:left="102"/>
        <w:rPr>
          <w:rFonts w:eastAsia="Times New Roman" w:cstheme="minorHAnsi"/>
          <w:bCs/>
          <w:sz w:val="24"/>
          <w:szCs w:val="24"/>
        </w:rPr>
      </w:pPr>
      <w:r w:rsidRPr="003941AA">
        <w:rPr>
          <w:rFonts w:eastAsia="Times New Roman" w:cstheme="minorHAnsi"/>
          <w:bCs/>
          <w:sz w:val="24"/>
          <w:szCs w:val="24"/>
        </w:rPr>
        <w:t>Doctor</w:t>
      </w:r>
    </w:p>
    <w:p w14:paraId="209A247F" w14:textId="3E7DDE24" w:rsidR="00EF47C1" w:rsidRPr="003941AA" w:rsidRDefault="00EF47C1" w:rsidP="00C50522">
      <w:pPr>
        <w:ind w:left="102" w:right="5038"/>
        <w:rPr>
          <w:rFonts w:eastAsia="Times New Roman" w:cstheme="minorHAnsi"/>
          <w:b/>
          <w:sz w:val="24"/>
          <w:szCs w:val="24"/>
        </w:rPr>
      </w:pPr>
      <w:r w:rsidRPr="003941AA">
        <w:rPr>
          <w:rFonts w:eastAsia="Times New Roman" w:cstheme="minorHAnsi"/>
          <w:b/>
          <w:sz w:val="24"/>
          <w:szCs w:val="24"/>
        </w:rPr>
        <w:t>JULIO CÉSAR TRIANA QUINTERO</w:t>
      </w:r>
    </w:p>
    <w:p w14:paraId="2CE0A301" w14:textId="27772383" w:rsidR="00847A65" w:rsidRPr="003941AA" w:rsidRDefault="00847A65" w:rsidP="00C50522">
      <w:pPr>
        <w:ind w:left="102" w:right="5038"/>
        <w:rPr>
          <w:rFonts w:eastAsia="Times New Roman" w:cstheme="minorHAnsi"/>
          <w:bCs/>
          <w:sz w:val="24"/>
          <w:szCs w:val="24"/>
        </w:rPr>
      </w:pPr>
      <w:r w:rsidRPr="003941AA">
        <w:rPr>
          <w:rFonts w:eastAsia="Times New Roman" w:cstheme="minorHAnsi"/>
          <w:bCs/>
          <w:sz w:val="24"/>
          <w:szCs w:val="24"/>
        </w:rPr>
        <w:t xml:space="preserve">Presidente Comisión Primera </w:t>
      </w:r>
    </w:p>
    <w:p w14:paraId="1CA3B844" w14:textId="66AD9958" w:rsidR="008E7A03" w:rsidRPr="003941AA" w:rsidRDefault="00847A65" w:rsidP="00C50522">
      <w:pPr>
        <w:ind w:left="102" w:right="5038"/>
        <w:rPr>
          <w:rFonts w:eastAsia="Times New Roman" w:cstheme="minorHAnsi"/>
          <w:bCs/>
          <w:sz w:val="24"/>
          <w:szCs w:val="24"/>
        </w:rPr>
      </w:pPr>
      <w:r w:rsidRPr="003941AA">
        <w:rPr>
          <w:rFonts w:eastAsia="Times New Roman" w:cstheme="minorHAnsi"/>
          <w:bCs/>
          <w:sz w:val="24"/>
          <w:szCs w:val="24"/>
        </w:rPr>
        <w:t>Cámara de Representantes Bogotá</w:t>
      </w:r>
    </w:p>
    <w:p w14:paraId="4FE0D461" w14:textId="77777777" w:rsidR="008E7A03" w:rsidRPr="003941AA" w:rsidRDefault="00847A65" w:rsidP="00C50522">
      <w:pPr>
        <w:pStyle w:val="Ttulo1"/>
        <w:ind w:firstLine="102"/>
        <w:rPr>
          <w:rFonts w:eastAsia="Times New Roman" w:cstheme="minorHAnsi"/>
        </w:rPr>
      </w:pPr>
      <w:r w:rsidRPr="003941AA">
        <w:rPr>
          <w:rFonts w:eastAsia="Times New Roman" w:cstheme="minorHAnsi"/>
        </w:rPr>
        <w:t>E.S.M.</w:t>
      </w:r>
    </w:p>
    <w:p w14:paraId="7F40789B" w14:textId="7D16D714" w:rsidR="008E7A03" w:rsidRPr="003941AA" w:rsidRDefault="008E7A03" w:rsidP="00C50522">
      <w:pPr>
        <w:pBdr>
          <w:top w:val="nil"/>
          <w:left w:val="nil"/>
          <w:bottom w:val="nil"/>
          <w:right w:val="nil"/>
          <w:between w:val="nil"/>
        </w:pBdr>
        <w:rPr>
          <w:rFonts w:eastAsia="Times New Roman" w:cstheme="minorHAnsi"/>
          <w:b/>
          <w:sz w:val="24"/>
          <w:szCs w:val="24"/>
        </w:rPr>
      </w:pPr>
    </w:p>
    <w:p w14:paraId="704626D4" w14:textId="77777777" w:rsidR="002C2986" w:rsidRPr="003941AA" w:rsidRDefault="002C2986" w:rsidP="00C50522">
      <w:pPr>
        <w:pBdr>
          <w:top w:val="nil"/>
          <w:left w:val="nil"/>
          <w:bottom w:val="nil"/>
          <w:right w:val="nil"/>
          <w:between w:val="nil"/>
        </w:pBdr>
        <w:rPr>
          <w:rFonts w:eastAsia="Times New Roman" w:cstheme="minorHAnsi"/>
          <w:b/>
          <w:sz w:val="24"/>
          <w:szCs w:val="24"/>
        </w:rPr>
      </w:pPr>
    </w:p>
    <w:p w14:paraId="675FDDAC" w14:textId="68C48E07" w:rsidR="008E7A03" w:rsidRPr="003941AA" w:rsidRDefault="00847A65" w:rsidP="00C50522">
      <w:pPr>
        <w:pBdr>
          <w:top w:val="nil"/>
          <w:left w:val="nil"/>
          <w:bottom w:val="nil"/>
          <w:right w:val="nil"/>
          <w:between w:val="nil"/>
        </w:pBdr>
        <w:ind w:left="1518" w:right="116"/>
        <w:jc w:val="both"/>
        <w:rPr>
          <w:rFonts w:eastAsia="Times New Roman" w:cstheme="minorHAnsi"/>
          <w:sz w:val="24"/>
          <w:szCs w:val="24"/>
        </w:rPr>
      </w:pPr>
      <w:r w:rsidRPr="003941AA">
        <w:rPr>
          <w:rFonts w:eastAsia="Times New Roman" w:cstheme="minorHAnsi"/>
          <w:b/>
          <w:sz w:val="24"/>
          <w:szCs w:val="24"/>
          <w:u w:val="single"/>
        </w:rPr>
        <w:t>Referencia</w:t>
      </w:r>
      <w:r w:rsidRPr="003941AA">
        <w:rPr>
          <w:rFonts w:eastAsia="Times New Roman" w:cstheme="minorHAnsi"/>
          <w:b/>
          <w:sz w:val="24"/>
          <w:szCs w:val="24"/>
        </w:rPr>
        <w:t xml:space="preserve">: </w:t>
      </w:r>
      <w:r w:rsidRPr="003941AA">
        <w:rPr>
          <w:rFonts w:eastAsia="Times New Roman" w:cstheme="minorHAnsi"/>
          <w:sz w:val="24"/>
          <w:szCs w:val="24"/>
        </w:rPr>
        <w:t xml:space="preserve">Ponencia para primer debate del </w:t>
      </w:r>
      <w:r w:rsidR="002C2986" w:rsidRPr="003941AA">
        <w:rPr>
          <w:rFonts w:eastAsia="Times New Roman" w:cstheme="minorHAnsi"/>
          <w:sz w:val="24"/>
          <w:szCs w:val="24"/>
        </w:rPr>
        <w:t>Proyecto de Acto Legislativo No.214 de 2021 Cámara “Por medio del cual se regula el Fuero de Congresistas”</w:t>
      </w:r>
    </w:p>
    <w:p w14:paraId="63C809FE" w14:textId="4E4C89ED" w:rsidR="008E7A03" w:rsidRPr="003941AA" w:rsidRDefault="008E7A03" w:rsidP="00C50522">
      <w:pPr>
        <w:pBdr>
          <w:top w:val="nil"/>
          <w:left w:val="nil"/>
          <w:bottom w:val="nil"/>
          <w:right w:val="nil"/>
          <w:between w:val="nil"/>
        </w:pBdr>
        <w:rPr>
          <w:rFonts w:eastAsia="Times New Roman" w:cstheme="minorHAnsi"/>
          <w:sz w:val="24"/>
          <w:szCs w:val="24"/>
        </w:rPr>
      </w:pPr>
    </w:p>
    <w:p w14:paraId="69542D20" w14:textId="77777777" w:rsidR="002C2986" w:rsidRPr="003941AA" w:rsidRDefault="002C2986" w:rsidP="00C50522">
      <w:pPr>
        <w:pBdr>
          <w:top w:val="nil"/>
          <w:left w:val="nil"/>
          <w:bottom w:val="nil"/>
          <w:right w:val="nil"/>
          <w:between w:val="nil"/>
        </w:pBdr>
        <w:rPr>
          <w:rFonts w:eastAsia="Times New Roman" w:cstheme="minorHAnsi"/>
          <w:sz w:val="24"/>
          <w:szCs w:val="24"/>
        </w:rPr>
      </w:pPr>
    </w:p>
    <w:p w14:paraId="0C342E71" w14:textId="19F519B6" w:rsidR="008E7A03" w:rsidRPr="003941AA" w:rsidRDefault="00847A65" w:rsidP="00C50522">
      <w:pPr>
        <w:pBdr>
          <w:top w:val="nil"/>
          <w:left w:val="nil"/>
          <w:bottom w:val="nil"/>
          <w:right w:val="nil"/>
          <w:between w:val="nil"/>
        </w:pBdr>
        <w:ind w:left="102" w:right="119"/>
        <w:jc w:val="both"/>
        <w:rPr>
          <w:rFonts w:eastAsia="Times New Roman" w:cstheme="minorHAnsi"/>
          <w:sz w:val="24"/>
          <w:szCs w:val="24"/>
        </w:rPr>
      </w:pPr>
      <w:r w:rsidRPr="003941AA">
        <w:rPr>
          <w:rFonts w:eastAsia="Times New Roman" w:cstheme="minorHAnsi"/>
          <w:sz w:val="24"/>
          <w:szCs w:val="24"/>
        </w:rPr>
        <w:t xml:space="preserve">En los siguientes términos </w:t>
      </w:r>
      <w:r w:rsidR="00EF47C1" w:rsidRPr="003941AA">
        <w:rPr>
          <w:rFonts w:eastAsia="Times New Roman" w:cstheme="minorHAnsi"/>
          <w:sz w:val="24"/>
          <w:szCs w:val="24"/>
        </w:rPr>
        <w:t xml:space="preserve">rindo </w:t>
      </w:r>
      <w:r w:rsidRPr="003941AA">
        <w:rPr>
          <w:rFonts w:eastAsia="Times New Roman" w:cstheme="minorHAnsi"/>
          <w:sz w:val="24"/>
          <w:szCs w:val="24"/>
        </w:rPr>
        <w:t xml:space="preserve">ponencia para primer debate del proyecto </w:t>
      </w:r>
      <w:r w:rsidR="00EF47C1" w:rsidRPr="003941AA">
        <w:rPr>
          <w:rFonts w:eastAsia="Times New Roman" w:cstheme="minorHAnsi"/>
          <w:sz w:val="24"/>
          <w:szCs w:val="24"/>
        </w:rPr>
        <w:t xml:space="preserve">de acto legislativo </w:t>
      </w:r>
      <w:r w:rsidRPr="003941AA">
        <w:rPr>
          <w:rFonts w:eastAsia="Times New Roman" w:cstheme="minorHAnsi"/>
          <w:sz w:val="24"/>
          <w:szCs w:val="24"/>
        </w:rPr>
        <w:t>de la Referencia, al cual f</w:t>
      </w:r>
      <w:r w:rsidR="00EF47C1" w:rsidRPr="003941AA">
        <w:rPr>
          <w:rFonts w:eastAsia="Times New Roman" w:cstheme="minorHAnsi"/>
          <w:sz w:val="24"/>
          <w:szCs w:val="24"/>
        </w:rPr>
        <w:t>ui designado como ponente</w:t>
      </w:r>
      <w:r w:rsidRPr="003941AA">
        <w:rPr>
          <w:rFonts w:eastAsia="Times New Roman" w:cstheme="minorHAnsi"/>
          <w:sz w:val="24"/>
          <w:szCs w:val="24"/>
        </w:rPr>
        <w:t xml:space="preserve"> por la Mesa Directiva con el fin de que se ponga a consideración para discusión de la Comisión Primera de la Cámara de Representantes.</w:t>
      </w:r>
    </w:p>
    <w:p w14:paraId="48E65E5F" w14:textId="5D541145" w:rsidR="008E7A03" w:rsidRPr="003941AA" w:rsidRDefault="008E7A03" w:rsidP="00C50522">
      <w:pPr>
        <w:pBdr>
          <w:top w:val="nil"/>
          <w:left w:val="nil"/>
          <w:bottom w:val="nil"/>
          <w:right w:val="nil"/>
          <w:between w:val="nil"/>
        </w:pBdr>
        <w:rPr>
          <w:rFonts w:eastAsia="Times New Roman" w:cstheme="minorHAnsi"/>
          <w:sz w:val="24"/>
          <w:szCs w:val="24"/>
        </w:rPr>
      </w:pPr>
    </w:p>
    <w:p w14:paraId="7D276C70" w14:textId="77777777" w:rsidR="002C2986" w:rsidRPr="003941AA" w:rsidRDefault="002C2986" w:rsidP="00C50522">
      <w:pPr>
        <w:pBdr>
          <w:top w:val="nil"/>
          <w:left w:val="nil"/>
          <w:bottom w:val="nil"/>
          <w:right w:val="nil"/>
          <w:between w:val="nil"/>
        </w:pBdr>
        <w:rPr>
          <w:rFonts w:eastAsia="Times New Roman" w:cstheme="minorHAnsi"/>
          <w:sz w:val="24"/>
          <w:szCs w:val="24"/>
        </w:rPr>
      </w:pPr>
    </w:p>
    <w:p w14:paraId="48BF3AA1" w14:textId="2364568F" w:rsidR="008E7A03" w:rsidRPr="003941AA" w:rsidRDefault="00847A65" w:rsidP="00C50522">
      <w:pPr>
        <w:pBdr>
          <w:top w:val="nil"/>
          <w:left w:val="nil"/>
          <w:bottom w:val="nil"/>
          <w:right w:val="nil"/>
          <w:between w:val="nil"/>
        </w:pBdr>
        <w:ind w:left="102"/>
        <w:rPr>
          <w:rFonts w:eastAsia="Times New Roman" w:cstheme="minorHAnsi"/>
          <w:sz w:val="24"/>
          <w:szCs w:val="24"/>
        </w:rPr>
      </w:pPr>
      <w:r w:rsidRPr="003941AA">
        <w:rPr>
          <w:rFonts w:eastAsia="Times New Roman" w:cstheme="minorHAnsi"/>
          <w:sz w:val="24"/>
          <w:szCs w:val="24"/>
        </w:rPr>
        <w:t>Cordialmente,</w:t>
      </w:r>
    </w:p>
    <w:p w14:paraId="5B596618" w14:textId="0FAE7EC3" w:rsidR="00847A65" w:rsidRPr="003941AA" w:rsidRDefault="00847A65" w:rsidP="00C50522">
      <w:pPr>
        <w:pBdr>
          <w:top w:val="nil"/>
          <w:left w:val="nil"/>
          <w:bottom w:val="nil"/>
          <w:right w:val="nil"/>
          <w:between w:val="nil"/>
        </w:pBdr>
        <w:ind w:left="102"/>
        <w:rPr>
          <w:rFonts w:eastAsia="Times New Roman" w:cstheme="minorHAnsi"/>
          <w:sz w:val="24"/>
          <w:szCs w:val="24"/>
        </w:rPr>
      </w:pPr>
    </w:p>
    <w:p w14:paraId="3441C2BA" w14:textId="54A3505A" w:rsidR="00847A65" w:rsidRPr="003941AA" w:rsidRDefault="00847A65" w:rsidP="00C50522">
      <w:pPr>
        <w:pBdr>
          <w:top w:val="nil"/>
          <w:left w:val="nil"/>
          <w:bottom w:val="nil"/>
          <w:right w:val="nil"/>
          <w:between w:val="nil"/>
        </w:pBdr>
        <w:ind w:left="102"/>
        <w:rPr>
          <w:rFonts w:eastAsia="Times New Roman" w:cstheme="minorHAnsi"/>
          <w:sz w:val="24"/>
          <w:szCs w:val="24"/>
        </w:rPr>
      </w:pPr>
    </w:p>
    <w:p w14:paraId="184E7CA4" w14:textId="1610614B" w:rsidR="002621A1" w:rsidRPr="003941AA" w:rsidRDefault="002621A1" w:rsidP="00C50522">
      <w:pPr>
        <w:pBdr>
          <w:top w:val="nil"/>
          <w:left w:val="nil"/>
          <w:bottom w:val="nil"/>
          <w:right w:val="nil"/>
          <w:between w:val="nil"/>
        </w:pBdr>
        <w:ind w:left="102"/>
        <w:rPr>
          <w:rFonts w:eastAsia="Times New Roman" w:cstheme="minorHAnsi"/>
          <w:sz w:val="24"/>
          <w:szCs w:val="24"/>
        </w:rPr>
      </w:pPr>
    </w:p>
    <w:p w14:paraId="0D713930" w14:textId="77777777" w:rsidR="002621A1" w:rsidRPr="003941AA" w:rsidRDefault="002621A1" w:rsidP="00C50522">
      <w:pPr>
        <w:pBdr>
          <w:top w:val="nil"/>
          <w:left w:val="nil"/>
          <w:bottom w:val="nil"/>
          <w:right w:val="nil"/>
          <w:between w:val="nil"/>
        </w:pBdr>
        <w:ind w:left="102"/>
        <w:rPr>
          <w:rFonts w:eastAsia="Times New Roman" w:cstheme="minorHAnsi"/>
          <w:sz w:val="24"/>
          <w:szCs w:val="24"/>
        </w:rPr>
      </w:pPr>
    </w:p>
    <w:tbl>
      <w:tblPr>
        <w:tblStyle w:val="TableNormal0"/>
        <w:tblW w:w="0" w:type="auto"/>
        <w:tblLook w:val="04A0" w:firstRow="1" w:lastRow="0" w:firstColumn="1" w:lastColumn="0" w:noHBand="0" w:noVBand="1"/>
      </w:tblPr>
      <w:tblGrid>
        <w:gridCol w:w="5411"/>
      </w:tblGrid>
      <w:tr w:rsidR="00EF47C1" w:rsidRPr="003941AA" w14:paraId="5E8FCA48" w14:textId="77777777" w:rsidTr="00904A14">
        <w:trPr>
          <w:trHeight w:val="1742"/>
        </w:trPr>
        <w:tc>
          <w:tcPr>
            <w:tcW w:w="5411" w:type="dxa"/>
          </w:tcPr>
          <w:p w14:paraId="7F16A5A9" w14:textId="77777777" w:rsidR="00EF47C1" w:rsidRPr="003941AA" w:rsidRDefault="00EF47C1" w:rsidP="00C50522">
            <w:pPr>
              <w:pStyle w:val="Ttulo1"/>
              <w:rPr>
                <w:rFonts w:eastAsia="Times New Roman" w:cstheme="minorHAnsi"/>
              </w:rPr>
            </w:pPr>
            <w:bookmarkStart w:id="0" w:name="_Hlk56677740"/>
          </w:p>
          <w:p w14:paraId="63FA7095" w14:textId="3B7127F5" w:rsidR="00EF47C1" w:rsidRPr="003941AA" w:rsidRDefault="00EF47C1" w:rsidP="00C50522">
            <w:pPr>
              <w:pStyle w:val="Ttulo1"/>
              <w:rPr>
                <w:rFonts w:eastAsia="Times New Roman" w:cstheme="minorHAnsi"/>
              </w:rPr>
            </w:pPr>
            <w:r w:rsidRPr="003941AA">
              <w:rPr>
                <w:rFonts w:eastAsia="Times New Roman" w:cstheme="minorHAnsi"/>
              </w:rPr>
              <w:t>INTI RAÚL ASPRILLA REYES</w:t>
            </w:r>
          </w:p>
          <w:p w14:paraId="19BDEC82" w14:textId="77777777" w:rsidR="00EF47C1" w:rsidRPr="003941AA" w:rsidRDefault="00EF47C1"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sz w:val="24"/>
                <w:szCs w:val="24"/>
              </w:rPr>
              <w:t>Representante a la Cámara por Bogotá</w:t>
            </w:r>
          </w:p>
          <w:p w14:paraId="4355162A" w14:textId="2626EBAE" w:rsidR="00EF47C1" w:rsidRPr="003941AA" w:rsidRDefault="00EF47C1" w:rsidP="00C50522">
            <w:pPr>
              <w:rPr>
                <w:rFonts w:eastAsia="Times New Roman" w:cstheme="minorHAnsi"/>
                <w:sz w:val="24"/>
                <w:szCs w:val="24"/>
              </w:rPr>
            </w:pPr>
          </w:p>
        </w:tc>
      </w:tr>
    </w:tbl>
    <w:p w14:paraId="4DFABE99" w14:textId="688E4425" w:rsidR="00847A65" w:rsidRPr="003941AA" w:rsidRDefault="00847A65" w:rsidP="00C50522">
      <w:pPr>
        <w:ind w:left="1544" w:right="147" w:firstLine="1"/>
        <w:jc w:val="center"/>
        <w:rPr>
          <w:rFonts w:eastAsia="Times New Roman" w:cstheme="minorHAnsi"/>
          <w:b/>
          <w:sz w:val="24"/>
          <w:szCs w:val="24"/>
        </w:rPr>
      </w:pPr>
      <w:bookmarkStart w:id="1" w:name="_GoBack"/>
      <w:bookmarkEnd w:id="0"/>
      <w:bookmarkEnd w:id="1"/>
    </w:p>
    <w:p w14:paraId="34D91E27" w14:textId="29D26E95" w:rsidR="00EF47C1" w:rsidRPr="003941AA" w:rsidRDefault="00EF47C1" w:rsidP="00C50522">
      <w:pPr>
        <w:ind w:left="1544" w:right="147" w:firstLine="1"/>
        <w:jc w:val="center"/>
        <w:rPr>
          <w:rFonts w:eastAsia="Times New Roman" w:cstheme="minorHAnsi"/>
          <w:b/>
          <w:sz w:val="24"/>
          <w:szCs w:val="24"/>
        </w:rPr>
      </w:pPr>
    </w:p>
    <w:p w14:paraId="08E90BC5" w14:textId="6F753C89" w:rsidR="003941AA" w:rsidRPr="003941AA" w:rsidRDefault="003941AA" w:rsidP="00C50522">
      <w:pPr>
        <w:ind w:left="1544" w:right="147" w:firstLine="1"/>
        <w:jc w:val="center"/>
        <w:rPr>
          <w:rFonts w:eastAsia="Times New Roman" w:cstheme="minorHAnsi"/>
          <w:b/>
          <w:sz w:val="24"/>
          <w:szCs w:val="24"/>
        </w:rPr>
      </w:pPr>
    </w:p>
    <w:p w14:paraId="7FA047E8" w14:textId="42F37E1A" w:rsidR="003941AA" w:rsidRPr="003941AA" w:rsidRDefault="003941AA" w:rsidP="00C50522">
      <w:pPr>
        <w:ind w:left="1544" w:right="147" w:firstLine="1"/>
        <w:jc w:val="center"/>
        <w:rPr>
          <w:rFonts w:eastAsia="Times New Roman" w:cstheme="minorHAnsi"/>
          <w:b/>
          <w:sz w:val="24"/>
          <w:szCs w:val="24"/>
        </w:rPr>
      </w:pPr>
    </w:p>
    <w:p w14:paraId="123977CD" w14:textId="41B5AA78" w:rsidR="003941AA" w:rsidRPr="003941AA" w:rsidRDefault="003941AA" w:rsidP="00C50522">
      <w:pPr>
        <w:ind w:left="1544" w:right="147" w:firstLine="1"/>
        <w:jc w:val="center"/>
        <w:rPr>
          <w:rFonts w:eastAsia="Times New Roman" w:cstheme="minorHAnsi"/>
          <w:b/>
          <w:sz w:val="24"/>
          <w:szCs w:val="24"/>
        </w:rPr>
      </w:pPr>
    </w:p>
    <w:p w14:paraId="7159A3DE" w14:textId="16F07988" w:rsidR="003941AA" w:rsidRPr="003941AA" w:rsidRDefault="003941AA" w:rsidP="00C50522">
      <w:pPr>
        <w:ind w:left="1544" w:right="147" w:firstLine="1"/>
        <w:jc w:val="center"/>
        <w:rPr>
          <w:rFonts w:eastAsia="Times New Roman" w:cstheme="minorHAnsi"/>
          <w:b/>
          <w:sz w:val="24"/>
          <w:szCs w:val="24"/>
        </w:rPr>
      </w:pPr>
    </w:p>
    <w:p w14:paraId="22730FE1" w14:textId="3334EA6E" w:rsidR="003941AA" w:rsidRPr="003941AA" w:rsidRDefault="003941AA" w:rsidP="00C50522">
      <w:pPr>
        <w:ind w:left="1544" w:right="147" w:firstLine="1"/>
        <w:jc w:val="center"/>
        <w:rPr>
          <w:rFonts w:eastAsia="Times New Roman" w:cstheme="minorHAnsi"/>
          <w:b/>
          <w:sz w:val="24"/>
          <w:szCs w:val="24"/>
        </w:rPr>
      </w:pPr>
    </w:p>
    <w:p w14:paraId="10124093" w14:textId="27440D3D" w:rsidR="003941AA" w:rsidRPr="003941AA" w:rsidRDefault="003941AA" w:rsidP="00C50522">
      <w:pPr>
        <w:ind w:left="1544" w:right="147" w:firstLine="1"/>
        <w:jc w:val="center"/>
        <w:rPr>
          <w:rFonts w:eastAsia="Times New Roman" w:cstheme="minorHAnsi"/>
          <w:b/>
          <w:sz w:val="24"/>
          <w:szCs w:val="24"/>
        </w:rPr>
      </w:pPr>
    </w:p>
    <w:p w14:paraId="78BC9BB9" w14:textId="76AEFBBE" w:rsidR="003941AA" w:rsidRPr="003941AA" w:rsidRDefault="003941AA" w:rsidP="00C50522">
      <w:pPr>
        <w:ind w:left="1544" w:right="147" w:firstLine="1"/>
        <w:jc w:val="center"/>
        <w:rPr>
          <w:rFonts w:eastAsia="Times New Roman" w:cstheme="minorHAnsi"/>
          <w:b/>
          <w:sz w:val="24"/>
          <w:szCs w:val="24"/>
        </w:rPr>
      </w:pPr>
    </w:p>
    <w:p w14:paraId="31FCABD3" w14:textId="77777777" w:rsidR="003941AA" w:rsidRPr="003941AA" w:rsidRDefault="003941AA" w:rsidP="00C50522">
      <w:pPr>
        <w:ind w:left="1544" w:right="147" w:firstLine="1"/>
        <w:jc w:val="center"/>
        <w:rPr>
          <w:rFonts w:eastAsia="Times New Roman" w:cstheme="minorHAnsi"/>
          <w:b/>
          <w:sz w:val="24"/>
          <w:szCs w:val="24"/>
        </w:rPr>
      </w:pPr>
    </w:p>
    <w:p w14:paraId="5A949976" w14:textId="11D03995" w:rsidR="00EF47C1" w:rsidRPr="003941AA" w:rsidRDefault="00EF47C1" w:rsidP="00C50522">
      <w:pPr>
        <w:ind w:left="1544" w:right="147" w:firstLine="1"/>
        <w:jc w:val="center"/>
        <w:rPr>
          <w:rFonts w:eastAsia="Times New Roman" w:cstheme="minorHAnsi"/>
          <w:b/>
          <w:sz w:val="24"/>
          <w:szCs w:val="24"/>
        </w:rPr>
      </w:pPr>
    </w:p>
    <w:p w14:paraId="7C3DCA50" w14:textId="69876050" w:rsidR="00EF47C1" w:rsidRPr="003941AA" w:rsidRDefault="00EF47C1" w:rsidP="00C50522">
      <w:pPr>
        <w:ind w:left="1544" w:right="147" w:firstLine="1"/>
        <w:jc w:val="center"/>
        <w:rPr>
          <w:rFonts w:eastAsia="Times New Roman" w:cstheme="minorHAnsi"/>
          <w:b/>
          <w:sz w:val="24"/>
          <w:szCs w:val="24"/>
        </w:rPr>
      </w:pPr>
    </w:p>
    <w:p w14:paraId="0986C3A5" w14:textId="120C379C" w:rsidR="00EF47C1" w:rsidRPr="003941AA" w:rsidRDefault="00EF47C1" w:rsidP="00C50522">
      <w:pPr>
        <w:ind w:left="1544" w:right="147" w:firstLine="1"/>
        <w:jc w:val="center"/>
        <w:rPr>
          <w:rFonts w:eastAsia="Times New Roman" w:cstheme="minorHAnsi"/>
          <w:b/>
          <w:sz w:val="24"/>
          <w:szCs w:val="24"/>
        </w:rPr>
      </w:pPr>
    </w:p>
    <w:p w14:paraId="79BE04A8" w14:textId="09C58896" w:rsidR="00EF47C1" w:rsidRPr="003941AA" w:rsidRDefault="00EF47C1" w:rsidP="00C50522">
      <w:pPr>
        <w:ind w:left="1544" w:right="147" w:firstLine="1"/>
        <w:jc w:val="center"/>
        <w:rPr>
          <w:rFonts w:eastAsia="Times New Roman" w:cstheme="minorHAnsi"/>
          <w:b/>
          <w:sz w:val="24"/>
          <w:szCs w:val="24"/>
        </w:rPr>
      </w:pPr>
    </w:p>
    <w:p w14:paraId="7A15972A" w14:textId="29551AB3" w:rsidR="00EF47C1" w:rsidRPr="003941AA" w:rsidRDefault="00EF47C1" w:rsidP="00C50522">
      <w:pPr>
        <w:ind w:left="1544" w:right="147" w:firstLine="1"/>
        <w:jc w:val="center"/>
        <w:rPr>
          <w:rFonts w:eastAsia="Times New Roman" w:cstheme="minorHAnsi"/>
          <w:b/>
          <w:sz w:val="24"/>
          <w:szCs w:val="24"/>
        </w:rPr>
      </w:pPr>
    </w:p>
    <w:p w14:paraId="1337F04D" w14:textId="7DAA1C9B" w:rsidR="00EF47C1" w:rsidRPr="003941AA" w:rsidRDefault="002C2986" w:rsidP="00C50522">
      <w:pPr>
        <w:ind w:left="1544" w:right="147" w:firstLine="1"/>
        <w:jc w:val="center"/>
        <w:rPr>
          <w:rFonts w:eastAsia="Times New Roman" w:cstheme="minorHAnsi"/>
          <w:b/>
          <w:sz w:val="24"/>
          <w:szCs w:val="24"/>
        </w:rPr>
      </w:pPr>
      <w:r w:rsidRPr="003941AA">
        <w:rPr>
          <w:rFonts w:eastAsia="Times New Roman" w:cstheme="minorHAnsi"/>
          <w:b/>
          <w:sz w:val="24"/>
          <w:szCs w:val="24"/>
        </w:rPr>
        <w:t>INFORME DE PONENCIA PARA PRIMER DEBATE EN CÁMARA DEL PROYECTO DE ACTO LEGISLATIVO NO.214 DE 2021 CÁMARA “POR MEDIO DEL CUAL SE REGULA EL FUERO DE CONGRESISTAS”</w:t>
      </w:r>
    </w:p>
    <w:p w14:paraId="01C1F46F" w14:textId="77777777" w:rsidR="00EF47C1" w:rsidRPr="003941AA" w:rsidRDefault="00EF47C1" w:rsidP="00C50522">
      <w:pPr>
        <w:ind w:left="1544" w:right="147" w:firstLine="1"/>
        <w:jc w:val="center"/>
        <w:rPr>
          <w:rFonts w:eastAsia="Times New Roman" w:cstheme="minorHAnsi"/>
          <w:b/>
          <w:sz w:val="24"/>
          <w:szCs w:val="24"/>
        </w:rPr>
      </w:pPr>
    </w:p>
    <w:p w14:paraId="3F33D789" w14:textId="245DEFD8" w:rsidR="008E7A03" w:rsidRPr="003941AA" w:rsidRDefault="00847A65" w:rsidP="00C50522">
      <w:pPr>
        <w:pStyle w:val="Prrafodelista"/>
        <w:numPr>
          <w:ilvl w:val="0"/>
          <w:numId w:val="1"/>
        </w:numPr>
        <w:ind w:right="147"/>
        <w:rPr>
          <w:rFonts w:eastAsia="Times New Roman" w:cstheme="minorHAnsi"/>
          <w:b/>
          <w:sz w:val="24"/>
          <w:szCs w:val="24"/>
        </w:rPr>
      </w:pPr>
      <w:r w:rsidRPr="003941AA">
        <w:rPr>
          <w:rFonts w:eastAsia="Times New Roman" w:cstheme="minorHAnsi"/>
          <w:b/>
          <w:sz w:val="24"/>
          <w:szCs w:val="24"/>
        </w:rPr>
        <w:t>ANTECEDENTES DEL PROYECTO</w:t>
      </w:r>
    </w:p>
    <w:p w14:paraId="42E07C63" w14:textId="4558849C" w:rsidR="008E7A03" w:rsidRPr="003941AA" w:rsidRDefault="00847A65" w:rsidP="00C50522">
      <w:pPr>
        <w:numPr>
          <w:ilvl w:val="0"/>
          <w:numId w:val="1"/>
        </w:numPr>
        <w:pBdr>
          <w:top w:val="nil"/>
          <w:left w:val="nil"/>
          <w:bottom w:val="nil"/>
          <w:right w:val="nil"/>
          <w:between w:val="nil"/>
        </w:pBdr>
        <w:tabs>
          <w:tab w:val="left" w:pos="821"/>
          <w:tab w:val="left" w:pos="822"/>
        </w:tabs>
        <w:jc w:val="both"/>
        <w:rPr>
          <w:rFonts w:eastAsia="Times New Roman" w:cstheme="minorHAnsi"/>
          <w:b/>
          <w:sz w:val="24"/>
          <w:szCs w:val="24"/>
        </w:rPr>
      </w:pPr>
      <w:r w:rsidRPr="003941AA">
        <w:rPr>
          <w:rFonts w:eastAsia="Times New Roman" w:cstheme="minorHAnsi"/>
          <w:b/>
          <w:sz w:val="24"/>
          <w:szCs w:val="24"/>
        </w:rPr>
        <w:t>OBJETIVO DE LA PROPUESTA</w:t>
      </w:r>
    </w:p>
    <w:p w14:paraId="6FE42F08" w14:textId="5520CA3B" w:rsidR="003941AA" w:rsidRPr="003941AA" w:rsidRDefault="003941AA" w:rsidP="00C50522">
      <w:pPr>
        <w:numPr>
          <w:ilvl w:val="0"/>
          <w:numId w:val="1"/>
        </w:numPr>
        <w:pBdr>
          <w:top w:val="nil"/>
          <w:left w:val="nil"/>
          <w:bottom w:val="nil"/>
          <w:right w:val="nil"/>
          <w:between w:val="nil"/>
        </w:pBdr>
        <w:tabs>
          <w:tab w:val="left" w:pos="821"/>
          <w:tab w:val="left" w:pos="822"/>
        </w:tabs>
        <w:jc w:val="both"/>
        <w:rPr>
          <w:rFonts w:eastAsia="Times New Roman" w:cstheme="minorHAnsi"/>
          <w:b/>
          <w:sz w:val="24"/>
          <w:szCs w:val="24"/>
        </w:rPr>
      </w:pPr>
      <w:r w:rsidRPr="003941AA">
        <w:rPr>
          <w:rFonts w:eastAsia="Times New Roman" w:cstheme="minorHAnsi"/>
          <w:b/>
          <w:sz w:val="24"/>
          <w:szCs w:val="24"/>
        </w:rPr>
        <w:t>ANTECEDENTES LEGISLATIVOS</w:t>
      </w:r>
    </w:p>
    <w:p w14:paraId="3910AA32" w14:textId="646990FD" w:rsidR="008E7A03" w:rsidRPr="003941AA" w:rsidRDefault="00847A65" w:rsidP="00C50522">
      <w:pPr>
        <w:numPr>
          <w:ilvl w:val="0"/>
          <w:numId w:val="1"/>
        </w:numPr>
        <w:pBdr>
          <w:top w:val="nil"/>
          <w:left w:val="nil"/>
          <w:bottom w:val="nil"/>
          <w:right w:val="nil"/>
          <w:between w:val="nil"/>
        </w:pBdr>
        <w:tabs>
          <w:tab w:val="left" w:pos="821"/>
          <w:tab w:val="left" w:pos="822"/>
        </w:tabs>
        <w:jc w:val="both"/>
        <w:rPr>
          <w:rFonts w:eastAsia="Times New Roman" w:cstheme="minorHAnsi"/>
          <w:b/>
          <w:sz w:val="24"/>
          <w:szCs w:val="24"/>
        </w:rPr>
      </w:pPr>
      <w:r w:rsidRPr="003941AA">
        <w:rPr>
          <w:rFonts w:eastAsia="Times New Roman" w:cstheme="minorHAnsi"/>
          <w:b/>
          <w:sz w:val="24"/>
          <w:szCs w:val="24"/>
        </w:rPr>
        <w:t>CONSIDERACIONES GENERALES</w:t>
      </w:r>
    </w:p>
    <w:p w14:paraId="40EC14B9" w14:textId="76F6CBC3" w:rsidR="00B17609" w:rsidRPr="003941AA" w:rsidRDefault="00B17609" w:rsidP="00C50522">
      <w:pPr>
        <w:numPr>
          <w:ilvl w:val="0"/>
          <w:numId w:val="1"/>
        </w:numPr>
        <w:pBdr>
          <w:top w:val="nil"/>
          <w:left w:val="nil"/>
          <w:bottom w:val="nil"/>
          <w:right w:val="nil"/>
          <w:between w:val="nil"/>
        </w:pBdr>
        <w:tabs>
          <w:tab w:val="left" w:pos="821"/>
          <w:tab w:val="left" w:pos="822"/>
        </w:tabs>
        <w:jc w:val="both"/>
        <w:rPr>
          <w:rFonts w:eastAsia="Times New Roman" w:cstheme="minorHAnsi"/>
          <w:b/>
          <w:sz w:val="24"/>
          <w:szCs w:val="24"/>
        </w:rPr>
      </w:pPr>
      <w:r w:rsidRPr="003941AA">
        <w:rPr>
          <w:rFonts w:eastAsia="Times New Roman" w:cstheme="minorHAnsi"/>
          <w:b/>
          <w:sz w:val="24"/>
          <w:szCs w:val="24"/>
        </w:rPr>
        <w:t>CONFLICTO DE INTERESES</w:t>
      </w:r>
    </w:p>
    <w:p w14:paraId="71F636F9" w14:textId="77777777" w:rsidR="008E7A03" w:rsidRPr="003941AA" w:rsidRDefault="00847A65" w:rsidP="00C50522">
      <w:pPr>
        <w:numPr>
          <w:ilvl w:val="0"/>
          <w:numId w:val="1"/>
        </w:numPr>
        <w:pBdr>
          <w:top w:val="nil"/>
          <w:left w:val="nil"/>
          <w:bottom w:val="nil"/>
          <w:right w:val="nil"/>
          <w:between w:val="nil"/>
        </w:pBdr>
        <w:tabs>
          <w:tab w:val="left" w:pos="821"/>
          <w:tab w:val="left" w:pos="822"/>
        </w:tabs>
        <w:jc w:val="both"/>
        <w:rPr>
          <w:rFonts w:eastAsia="Times New Roman" w:cstheme="minorHAnsi"/>
          <w:b/>
          <w:sz w:val="24"/>
          <w:szCs w:val="24"/>
        </w:rPr>
      </w:pPr>
      <w:r w:rsidRPr="003941AA">
        <w:rPr>
          <w:rFonts w:eastAsia="Times New Roman" w:cstheme="minorHAnsi"/>
          <w:b/>
          <w:sz w:val="24"/>
          <w:szCs w:val="24"/>
        </w:rPr>
        <w:t>PROPOSICIÓN</w:t>
      </w:r>
    </w:p>
    <w:p w14:paraId="0DA7D02B" w14:textId="77777777" w:rsidR="008E7A03" w:rsidRPr="003941AA" w:rsidRDefault="008E7A03" w:rsidP="00C50522">
      <w:pPr>
        <w:pBdr>
          <w:top w:val="nil"/>
          <w:left w:val="nil"/>
          <w:bottom w:val="nil"/>
          <w:right w:val="nil"/>
          <w:between w:val="nil"/>
        </w:pBdr>
        <w:rPr>
          <w:rFonts w:eastAsia="Times New Roman" w:cstheme="minorHAnsi"/>
          <w:b/>
          <w:sz w:val="24"/>
          <w:szCs w:val="24"/>
        </w:rPr>
      </w:pPr>
    </w:p>
    <w:p w14:paraId="79E9AFB3" w14:textId="77777777" w:rsidR="008E7A03" w:rsidRPr="003941AA" w:rsidRDefault="00847A65" w:rsidP="00C50522">
      <w:pPr>
        <w:numPr>
          <w:ilvl w:val="1"/>
          <w:numId w:val="1"/>
        </w:numPr>
        <w:pBdr>
          <w:top w:val="nil"/>
          <w:left w:val="nil"/>
          <w:bottom w:val="nil"/>
          <w:right w:val="nil"/>
          <w:between w:val="nil"/>
        </w:pBdr>
        <w:tabs>
          <w:tab w:val="left" w:pos="1181"/>
          <w:tab w:val="left" w:pos="1182"/>
        </w:tabs>
        <w:ind w:hanging="721"/>
        <w:jc w:val="both"/>
        <w:rPr>
          <w:rFonts w:eastAsia="Times New Roman" w:cstheme="minorHAnsi"/>
          <w:b/>
          <w:sz w:val="24"/>
          <w:szCs w:val="24"/>
        </w:rPr>
      </w:pPr>
      <w:r w:rsidRPr="003941AA">
        <w:rPr>
          <w:rFonts w:eastAsia="Times New Roman" w:cstheme="minorHAnsi"/>
          <w:b/>
          <w:sz w:val="24"/>
          <w:szCs w:val="24"/>
        </w:rPr>
        <w:t>ANTECEDENTES DEL PROYECTO:</w:t>
      </w:r>
    </w:p>
    <w:p w14:paraId="704A1A64" w14:textId="77777777" w:rsidR="000A4896" w:rsidRPr="003941AA" w:rsidRDefault="000A4896" w:rsidP="00C50522">
      <w:pPr>
        <w:pBdr>
          <w:top w:val="nil"/>
          <w:left w:val="nil"/>
          <w:bottom w:val="nil"/>
          <w:right w:val="nil"/>
          <w:between w:val="nil"/>
        </w:pBdr>
        <w:rPr>
          <w:rFonts w:eastAsia="Times New Roman" w:cstheme="minorHAnsi"/>
          <w:sz w:val="24"/>
          <w:szCs w:val="24"/>
        </w:rPr>
      </w:pPr>
    </w:p>
    <w:p w14:paraId="15065B11" w14:textId="52D2FEDD" w:rsidR="008E7A03" w:rsidRPr="003941AA" w:rsidRDefault="000A4896" w:rsidP="003941AA">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El Proyecto de acto legislativo fue recibido en comisión el 31 de agosto de 2021. El mismo fue presentado por los HHRR. David Ricardo Racero </w:t>
      </w:r>
      <w:proofErr w:type="spellStart"/>
      <w:r w:rsidRPr="003941AA">
        <w:rPr>
          <w:rFonts w:eastAsia="Times New Roman" w:cstheme="minorHAnsi"/>
          <w:sz w:val="24"/>
          <w:szCs w:val="24"/>
        </w:rPr>
        <w:t>Mayorca</w:t>
      </w:r>
      <w:proofErr w:type="spellEnd"/>
      <w:r w:rsidRPr="003941AA">
        <w:rPr>
          <w:rFonts w:eastAsia="Times New Roman" w:cstheme="minorHAnsi"/>
          <w:sz w:val="24"/>
          <w:szCs w:val="24"/>
        </w:rPr>
        <w:t xml:space="preserve">, Wilmer Leal </w:t>
      </w:r>
      <w:proofErr w:type="spellStart"/>
      <w:r w:rsidRPr="003941AA">
        <w:rPr>
          <w:rFonts w:eastAsia="Times New Roman" w:cstheme="minorHAnsi"/>
          <w:sz w:val="24"/>
          <w:szCs w:val="24"/>
        </w:rPr>
        <w:t>Perez</w:t>
      </w:r>
      <w:proofErr w:type="spellEnd"/>
      <w:r w:rsidRPr="003941AA">
        <w:rPr>
          <w:rFonts w:eastAsia="Times New Roman" w:cstheme="minorHAnsi"/>
          <w:sz w:val="24"/>
          <w:szCs w:val="24"/>
        </w:rPr>
        <w:t xml:space="preserve">, Katherine Miranda Peña, Edwin Fabián </w:t>
      </w:r>
      <w:proofErr w:type="spellStart"/>
      <w:r w:rsidRPr="003941AA">
        <w:rPr>
          <w:rFonts w:eastAsia="Times New Roman" w:cstheme="minorHAnsi"/>
          <w:sz w:val="24"/>
          <w:szCs w:val="24"/>
        </w:rPr>
        <w:t>Orduz</w:t>
      </w:r>
      <w:proofErr w:type="spellEnd"/>
      <w:r w:rsidRPr="003941AA">
        <w:rPr>
          <w:rFonts w:eastAsia="Times New Roman" w:cstheme="minorHAnsi"/>
          <w:sz w:val="24"/>
          <w:szCs w:val="24"/>
        </w:rPr>
        <w:t xml:space="preserve"> Díaz, Jorge Alberto </w:t>
      </w:r>
      <w:proofErr w:type="spellStart"/>
      <w:r w:rsidRPr="003941AA">
        <w:rPr>
          <w:rFonts w:eastAsia="Times New Roman" w:cstheme="minorHAnsi"/>
          <w:sz w:val="24"/>
          <w:szCs w:val="24"/>
        </w:rPr>
        <w:t>Gomez</w:t>
      </w:r>
      <w:proofErr w:type="spellEnd"/>
      <w:r w:rsidRPr="003941AA">
        <w:rPr>
          <w:rFonts w:eastAsia="Times New Roman" w:cstheme="minorHAnsi"/>
          <w:sz w:val="24"/>
          <w:szCs w:val="24"/>
        </w:rPr>
        <w:t xml:space="preserve"> Gallego, Carlos Germán Navas Talero y por los Honorables Senadores Wilson Arias Castillo, Aida Yolanda Avella Esquivel, </w:t>
      </w:r>
      <w:proofErr w:type="spellStart"/>
      <w:r w:rsidRPr="003941AA">
        <w:rPr>
          <w:rFonts w:eastAsia="Times New Roman" w:cstheme="minorHAnsi"/>
          <w:sz w:val="24"/>
          <w:szCs w:val="24"/>
        </w:rPr>
        <w:t>Julian</w:t>
      </w:r>
      <w:proofErr w:type="spellEnd"/>
      <w:r w:rsidRPr="003941AA">
        <w:rPr>
          <w:rFonts w:eastAsia="Times New Roman" w:cstheme="minorHAnsi"/>
          <w:sz w:val="24"/>
          <w:szCs w:val="24"/>
        </w:rPr>
        <w:t xml:space="preserve"> Gallo </w:t>
      </w:r>
      <w:proofErr w:type="spellStart"/>
      <w:proofErr w:type="gramStart"/>
      <w:r w:rsidRPr="003941AA">
        <w:rPr>
          <w:rFonts w:eastAsia="Times New Roman" w:cstheme="minorHAnsi"/>
          <w:sz w:val="24"/>
          <w:szCs w:val="24"/>
        </w:rPr>
        <w:t>Cubillo,Gustavo</w:t>
      </w:r>
      <w:proofErr w:type="spellEnd"/>
      <w:proofErr w:type="gramEnd"/>
      <w:r w:rsidRPr="003941AA">
        <w:rPr>
          <w:rFonts w:eastAsia="Times New Roman" w:cstheme="minorHAnsi"/>
          <w:sz w:val="24"/>
          <w:szCs w:val="24"/>
        </w:rPr>
        <w:t xml:space="preserve"> </w:t>
      </w:r>
      <w:proofErr w:type="spellStart"/>
      <w:r w:rsidRPr="003941AA">
        <w:rPr>
          <w:rFonts w:eastAsia="Times New Roman" w:cstheme="minorHAnsi"/>
          <w:sz w:val="24"/>
          <w:szCs w:val="24"/>
        </w:rPr>
        <w:t>Bolivar</w:t>
      </w:r>
      <w:proofErr w:type="spellEnd"/>
      <w:r w:rsidRPr="003941AA">
        <w:rPr>
          <w:rFonts w:eastAsia="Times New Roman" w:cstheme="minorHAnsi"/>
          <w:sz w:val="24"/>
          <w:szCs w:val="24"/>
        </w:rPr>
        <w:t xml:space="preserve"> Moreno, Griselda Lobo Silva. Posteriormente fue publicado en la gaceta 1078 de 2021.</w:t>
      </w:r>
    </w:p>
    <w:p w14:paraId="038852F5" w14:textId="77777777" w:rsidR="000A4896" w:rsidRPr="003941AA" w:rsidRDefault="000A4896" w:rsidP="003941AA">
      <w:pPr>
        <w:pBdr>
          <w:top w:val="nil"/>
          <w:left w:val="nil"/>
          <w:bottom w:val="nil"/>
          <w:right w:val="nil"/>
          <w:between w:val="nil"/>
        </w:pBdr>
        <w:jc w:val="both"/>
        <w:rPr>
          <w:rFonts w:eastAsia="Times New Roman" w:cstheme="minorHAnsi"/>
          <w:sz w:val="24"/>
          <w:szCs w:val="24"/>
        </w:rPr>
      </w:pPr>
    </w:p>
    <w:p w14:paraId="58BBE286" w14:textId="58F5DAA2" w:rsidR="00A27225" w:rsidRPr="003941AA" w:rsidRDefault="00847A65" w:rsidP="00C50522">
      <w:pPr>
        <w:pStyle w:val="Ttulo1"/>
        <w:numPr>
          <w:ilvl w:val="1"/>
          <w:numId w:val="1"/>
        </w:numPr>
        <w:tabs>
          <w:tab w:val="left" w:pos="1181"/>
          <w:tab w:val="left" w:pos="1182"/>
        </w:tabs>
        <w:ind w:hanging="721"/>
        <w:rPr>
          <w:rFonts w:eastAsia="Times New Roman" w:cstheme="minorHAnsi"/>
        </w:rPr>
      </w:pPr>
      <w:r w:rsidRPr="003941AA">
        <w:rPr>
          <w:rFonts w:eastAsia="Times New Roman" w:cstheme="minorHAnsi"/>
        </w:rPr>
        <w:t>OBJETIVO DE LA PROPUESTA</w:t>
      </w:r>
    </w:p>
    <w:p w14:paraId="1722D263" w14:textId="77777777" w:rsidR="00AE5848" w:rsidRPr="003941AA" w:rsidRDefault="00AE5848" w:rsidP="00C50522">
      <w:pPr>
        <w:pBdr>
          <w:top w:val="nil"/>
          <w:left w:val="nil"/>
          <w:bottom w:val="nil"/>
          <w:right w:val="nil"/>
          <w:between w:val="nil"/>
        </w:pBdr>
        <w:jc w:val="both"/>
        <w:rPr>
          <w:rFonts w:eastAsia="Times New Roman" w:cstheme="minorHAnsi"/>
          <w:sz w:val="24"/>
          <w:szCs w:val="24"/>
        </w:rPr>
      </w:pPr>
    </w:p>
    <w:p w14:paraId="5917ED46" w14:textId="216E8848" w:rsidR="00822C5D" w:rsidRPr="003941AA" w:rsidRDefault="00822C5D" w:rsidP="00C50522">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El presente proyecto de acto legislativo tiene como propósito modificar el artículo 235 de la Constitución Política, con el fin de la Corte Suprema de Justicia mantenga su competencia para investigar y juzgar a los congresistas, aunque estos últimos renuncien a su cargo. </w:t>
      </w:r>
    </w:p>
    <w:p w14:paraId="286EF9A4" w14:textId="446BC6FE" w:rsidR="00CF3493" w:rsidRPr="003941AA" w:rsidRDefault="00CF3493" w:rsidP="00C50522">
      <w:pPr>
        <w:pBdr>
          <w:top w:val="nil"/>
          <w:left w:val="nil"/>
          <w:bottom w:val="nil"/>
          <w:right w:val="nil"/>
          <w:between w:val="nil"/>
        </w:pBdr>
        <w:jc w:val="both"/>
        <w:rPr>
          <w:rFonts w:eastAsia="Times New Roman" w:cstheme="minorHAnsi"/>
          <w:sz w:val="24"/>
          <w:szCs w:val="24"/>
        </w:rPr>
      </w:pPr>
    </w:p>
    <w:p w14:paraId="75BDE3E0" w14:textId="1B5C08AE" w:rsidR="00CF3493" w:rsidRPr="003941AA" w:rsidRDefault="00CF3493" w:rsidP="00CF3493">
      <w:pPr>
        <w:pStyle w:val="Prrafodelista"/>
        <w:numPr>
          <w:ilvl w:val="1"/>
          <w:numId w:val="1"/>
        </w:numPr>
        <w:pBdr>
          <w:top w:val="nil"/>
          <w:left w:val="nil"/>
          <w:bottom w:val="nil"/>
          <w:right w:val="nil"/>
          <w:between w:val="nil"/>
        </w:pBdr>
        <w:rPr>
          <w:rFonts w:eastAsia="Times New Roman" w:cstheme="minorHAnsi"/>
          <w:b/>
          <w:sz w:val="24"/>
          <w:szCs w:val="24"/>
        </w:rPr>
      </w:pPr>
      <w:r w:rsidRPr="003941AA">
        <w:rPr>
          <w:rFonts w:eastAsia="Times New Roman" w:cstheme="minorHAnsi"/>
          <w:b/>
          <w:sz w:val="24"/>
          <w:szCs w:val="24"/>
        </w:rPr>
        <w:t>ANTECEDENTES LEGISLATIVOS</w:t>
      </w:r>
      <w:r w:rsidRPr="003941AA">
        <w:rPr>
          <w:rStyle w:val="Refdenotaalpie"/>
          <w:rFonts w:eastAsia="Times New Roman" w:cstheme="minorHAnsi"/>
          <w:b/>
          <w:sz w:val="24"/>
          <w:szCs w:val="24"/>
        </w:rPr>
        <w:footnoteReference w:id="1"/>
      </w:r>
    </w:p>
    <w:p w14:paraId="34C5B8BA" w14:textId="229744C6" w:rsidR="00CF3493" w:rsidRPr="003941AA" w:rsidRDefault="00CF3493" w:rsidP="00CF3493">
      <w:pPr>
        <w:pBdr>
          <w:top w:val="nil"/>
          <w:left w:val="nil"/>
          <w:bottom w:val="nil"/>
          <w:right w:val="nil"/>
          <w:between w:val="nil"/>
        </w:pBdr>
        <w:rPr>
          <w:rFonts w:eastAsia="Times New Roman" w:cstheme="minorHAnsi"/>
          <w:b/>
          <w:sz w:val="24"/>
          <w:szCs w:val="24"/>
        </w:rPr>
      </w:pPr>
    </w:p>
    <w:tbl>
      <w:tblPr>
        <w:tblStyle w:val="Tablaconcuadrcula"/>
        <w:tblW w:w="0" w:type="auto"/>
        <w:tblLook w:val="04A0" w:firstRow="1" w:lastRow="0" w:firstColumn="1" w:lastColumn="0" w:noHBand="0" w:noVBand="1"/>
      </w:tblPr>
      <w:tblGrid>
        <w:gridCol w:w="2122"/>
        <w:gridCol w:w="8668"/>
      </w:tblGrid>
      <w:tr w:rsidR="00CF3493" w:rsidRPr="003941AA" w14:paraId="6DEA5D73" w14:textId="77777777" w:rsidTr="00CF3493">
        <w:tc>
          <w:tcPr>
            <w:tcW w:w="2122" w:type="dxa"/>
          </w:tcPr>
          <w:p w14:paraId="693CE5FB" w14:textId="44D98D9F" w:rsidR="00CF3493" w:rsidRPr="003941AA" w:rsidRDefault="00CF3493" w:rsidP="00CF3493">
            <w:pPr>
              <w:jc w:val="center"/>
              <w:rPr>
                <w:rFonts w:eastAsia="Times New Roman" w:cstheme="minorHAnsi"/>
                <w:b/>
                <w:sz w:val="24"/>
                <w:szCs w:val="24"/>
              </w:rPr>
            </w:pPr>
            <w:r w:rsidRPr="003941AA">
              <w:rPr>
                <w:rFonts w:eastAsia="Times New Roman" w:cstheme="minorHAnsi"/>
                <w:b/>
                <w:sz w:val="24"/>
                <w:szCs w:val="24"/>
              </w:rPr>
              <w:t>Año</w:t>
            </w:r>
          </w:p>
        </w:tc>
        <w:tc>
          <w:tcPr>
            <w:tcW w:w="8668" w:type="dxa"/>
          </w:tcPr>
          <w:p w14:paraId="604FBBF4" w14:textId="0039DAA9" w:rsidR="00CF3493" w:rsidRPr="003941AA" w:rsidRDefault="00CF3493" w:rsidP="00CF3493">
            <w:pPr>
              <w:jc w:val="center"/>
              <w:rPr>
                <w:rFonts w:eastAsia="Times New Roman" w:cstheme="minorHAnsi"/>
                <w:b/>
                <w:sz w:val="24"/>
                <w:szCs w:val="24"/>
              </w:rPr>
            </w:pPr>
            <w:r w:rsidRPr="003941AA">
              <w:rPr>
                <w:rFonts w:eastAsia="Times New Roman" w:cstheme="minorHAnsi"/>
                <w:b/>
                <w:sz w:val="24"/>
                <w:szCs w:val="24"/>
              </w:rPr>
              <w:t>Propuesta</w:t>
            </w:r>
          </w:p>
        </w:tc>
      </w:tr>
      <w:tr w:rsidR="00CF3493" w:rsidRPr="003941AA" w14:paraId="74E4D277" w14:textId="77777777" w:rsidTr="00CF3493">
        <w:tc>
          <w:tcPr>
            <w:tcW w:w="2122" w:type="dxa"/>
          </w:tcPr>
          <w:p w14:paraId="76E5CF06" w14:textId="79441B71" w:rsidR="00CF3493" w:rsidRPr="003941AA" w:rsidRDefault="00CF3493" w:rsidP="00CF3493">
            <w:pPr>
              <w:jc w:val="center"/>
              <w:rPr>
                <w:rFonts w:eastAsia="Times New Roman" w:cstheme="minorHAnsi"/>
                <w:sz w:val="24"/>
                <w:szCs w:val="24"/>
              </w:rPr>
            </w:pPr>
            <w:r w:rsidRPr="003941AA">
              <w:rPr>
                <w:rFonts w:eastAsia="Times New Roman" w:cstheme="minorHAnsi"/>
                <w:sz w:val="24"/>
                <w:szCs w:val="24"/>
              </w:rPr>
              <w:t>2009</w:t>
            </w:r>
          </w:p>
        </w:tc>
        <w:tc>
          <w:tcPr>
            <w:tcW w:w="8668" w:type="dxa"/>
          </w:tcPr>
          <w:p w14:paraId="69441BA1" w14:textId="3B994139" w:rsidR="00CF3493" w:rsidRPr="003941AA" w:rsidRDefault="00CF3493" w:rsidP="00CF3493">
            <w:pPr>
              <w:jc w:val="both"/>
              <w:rPr>
                <w:rFonts w:eastAsia="Times New Roman" w:cstheme="minorHAnsi"/>
                <w:sz w:val="24"/>
                <w:szCs w:val="24"/>
              </w:rPr>
            </w:pPr>
            <w:r w:rsidRPr="003941AA">
              <w:rPr>
                <w:rFonts w:eastAsia="Times New Roman" w:cstheme="minorHAnsi"/>
                <w:sz w:val="24"/>
                <w:szCs w:val="24"/>
              </w:rPr>
              <w:t xml:space="preserve">El Senador Manuel Enríquez Rosero, presentó el proyecto de Acto Legislativo 09 de 2009, “por el cual se crea un Tribunal Nacional Especial para investigar y juzgar penal y disciplinariamente a algunos altos funcionarios del Estado” en el cual propuso derogar el fuero para investigar y juzgar a los congresistas argumentando que “este fuero </w:t>
            </w:r>
            <w:r w:rsidRPr="003941AA">
              <w:rPr>
                <w:rFonts w:eastAsia="Times New Roman" w:cstheme="minorHAnsi"/>
                <w:sz w:val="24"/>
                <w:szCs w:val="24"/>
              </w:rPr>
              <w:lastRenderedPageBreak/>
              <w:t>también se convirtió en una burla, al depender su existencia jurídica de la voluntad del congresista. El fuero desaparece cuando se renuncia a la investidura de congresista” Este proyecto tuvo ponencia negativa por considerar que la Corte Suprema estaba encargándose de revisar los procesos y analizar si la renuncia de en algunos casos eximia del fuero al congresista.</w:t>
            </w:r>
          </w:p>
        </w:tc>
      </w:tr>
      <w:tr w:rsidR="00CF3493" w:rsidRPr="003941AA" w14:paraId="1AA129E1" w14:textId="77777777" w:rsidTr="00CF3493">
        <w:tc>
          <w:tcPr>
            <w:tcW w:w="2122" w:type="dxa"/>
          </w:tcPr>
          <w:p w14:paraId="1B4E58D8" w14:textId="5C185211" w:rsidR="00CF3493" w:rsidRPr="003941AA" w:rsidRDefault="00CF3493" w:rsidP="00CF3493">
            <w:pPr>
              <w:jc w:val="center"/>
              <w:rPr>
                <w:rFonts w:eastAsia="Times New Roman" w:cstheme="minorHAnsi"/>
                <w:sz w:val="24"/>
                <w:szCs w:val="24"/>
              </w:rPr>
            </w:pPr>
            <w:r w:rsidRPr="003941AA">
              <w:rPr>
                <w:rFonts w:eastAsia="Times New Roman" w:cstheme="minorHAnsi"/>
                <w:sz w:val="24"/>
                <w:szCs w:val="24"/>
              </w:rPr>
              <w:lastRenderedPageBreak/>
              <w:t>2015</w:t>
            </w:r>
          </w:p>
        </w:tc>
        <w:tc>
          <w:tcPr>
            <w:tcW w:w="8668" w:type="dxa"/>
          </w:tcPr>
          <w:p w14:paraId="27B30A5C" w14:textId="75B79A2B" w:rsidR="00CF3493" w:rsidRPr="003941AA" w:rsidRDefault="00CF3493" w:rsidP="00CF3493">
            <w:pPr>
              <w:jc w:val="both"/>
              <w:rPr>
                <w:rFonts w:eastAsia="Times New Roman" w:cstheme="minorHAnsi"/>
                <w:sz w:val="24"/>
                <w:szCs w:val="24"/>
              </w:rPr>
            </w:pPr>
            <w:r w:rsidRPr="003941AA">
              <w:rPr>
                <w:rFonts w:eastAsia="Times New Roman" w:cstheme="minorHAnsi"/>
                <w:sz w:val="24"/>
                <w:szCs w:val="24"/>
              </w:rPr>
              <w:t>El gobierno, en cabeza del Ministro de Justicia presentó el Acto Legislativo 111 de 2015 “por el cual se modifican las normas relativas a la investigación y juzgamiento de los congresistas y altos servidores que gozan de fuero constitucional y se dictan otras disposiciones” en donde el mismo Ministro afirmó : “El fuero de los congresistas también cobijará las investigaciones que se adelanten por los hechos ocurridos con anterioridad a su investidura y se extenderá a las conductas punibles que tengan relación con las funciones desempeñadas cuando hayan cesado en el ejercicio del cargo”</w:t>
            </w:r>
          </w:p>
        </w:tc>
      </w:tr>
    </w:tbl>
    <w:p w14:paraId="203617AE" w14:textId="2C1F59C9" w:rsidR="00CF3493" w:rsidRPr="003941AA" w:rsidRDefault="00CF3493" w:rsidP="00CF3493">
      <w:pPr>
        <w:pBdr>
          <w:top w:val="nil"/>
          <w:left w:val="nil"/>
          <w:bottom w:val="nil"/>
          <w:right w:val="nil"/>
          <w:between w:val="nil"/>
        </w:pBdr>
        <w:rPr>
          <w:rFonts w:eastAsia="Times New Roman" w:cstheme="minorHAnsi"/>
          <w:sz w:val="24"/>
          <w:szCs w:val="24"/>
        </w:rPr>
      </w:pPr>
    </w:p>
    <w:p w14:paraId="5BDEA5FC" w14:textId="77777777" w:rsidR="00822C5D" w:rsidRPr="003941AA" w:rsidRDefault="00822C5D" w:rsidP="00C50522">
      <w:pPr>
        <w:pBdr>
          <w:top w:val="nil"/>
          <w:left w:val="nil"/>
          <w:bottom w:val="nil"/>
          <w:right w:val="nil"/>
          <w:between w:val="nil"/>
        </w:pBdr>
        <w:jc w:val="both"/>
        <w:rPr>
          <w:rFonts w:eastAsia="Times New Roman" w:cstheme="minorHAnsi"/>
          <w:sz w:val="24"/>
          <w:szCs w:val="24"/>
        </w:rPr>
      </w:pPr>
    </w:p>
    <w:p w14:paraId="2D43F6C5" w14:textId="1E075B97" w:rsidR="00A27225" w:rsidRPr="003941AA" w:rsidRDefault="00847A65" w:rsidP="00C50522">
      <w:pPr>
        <w:pStyle w:val="Prrafodelista"/>
        <w:numPr>
          <w:ilvl w:val="1"/>
          <w:numId w:val="1"/>
        </w:numPr>
        <w:pBdr>
          <w:top w:val="nil"/>
          <w:left w:val="nil"/>
          <w:bottom w:val="nil"/>
          <w:right w:val="nil"/>
          <w:between w:val="nil"/>
        </w:pBdr>
        <w:rPr>
          <w:rFonts w:eastAsia="Times New Roman" w:cstheme="minorHAnsi"/>
          <w:b/>
          <w:sz w:val="24"/>
          <w:szCs w:val="24"/>
        </w:rPr>
      </w:pPr>
      <w:r w:rsidRPr="003941AA">
        <w:rPr>
          <w:rFonts w:eastAsia="Times New Roman" w:cstheme="minorHAnsi"/>
          <w:b/>
          <w:sz w:val="24"/>
          <w:szCs w:val="24"/>
        </w:rPr>
        <w:t>CONSIDERACIONES GENERALES</w:t>
      </w:r>
    </w:p>
    <w:p w14:paraId="72C8A190" w14:textId="32A97BDA" w:rsidR="00C50522" w:rsidRPr="003941AA" w:rsidRDefault="00C50522" w:rsidP="00C50522">
      <w:pPr>
        <w:pStyle w:val="Prrafodelista"/>
        <w:numPr>
          <w:ilvl w:val="0"/>
          <w:numId w:val="8"/>
        </w:numPr>
        <w:pBdr>
          <w:top w:val="nil"/>
          <w:left w:val="nil"/>
          <w:bottom w:val="nil"/>
          <w:right w:val="nil"/>
          <w:between w:val="nil"/>
        </w:pBdr>
        <w:rPr>
          <w:rFonts w:eastAsia="Times New Roman" w:cstheme="minorHAnsi"/>
          <w:b/>
          <w:sz w:val="24"/>
          <w:szCs w:val="24"/>
        </w:rPr>
      </w:pPr>
      <w:r w:rsidRPr="003941AA">
        <w:rPr>
          <w:rFonts w:eastAsia="Times New Roman" w:cstheme="minorHAnsi"/>
          <w:b/>
          <w:sz w:val="24"/>
          <w:szCs w:val="24"/>
        </w:rPr>
        <w:t>Marco Normativo y jurisprudencial</w:t>
      </w:r>
    </w:p>
    <w:p w14:paraId="2B013935" w14:textId="3A7D37C8" w:rsidR="00C50522" w:rsidRPr="003941AA" w:rsidRDefault="00C50522" w:rsidP="00C50522">
      <w:pPr>
        <w:pBdr>
          <w:top w:val="nil"/>
          <w:left w:val="nil"/>
          <w:bottom w:val="nil"/>
          <w:right w:val="nil"/>
          <w:between w:val="nil"/>
        </w:pBdr>
        <w:rPr>
          <w:rFonts w:eastAsia="Times New Roman" w:cstheme="minorHAnsi"/>
          <w:b/>
          <w:sz w:val="24"/>
          <w:szCs w:val="24"/>
        </w:rPr>
      </w:pPr>
    </w:p>
    <w:p w14:paraId="70D1D4D6" w14:textId="01301575" w:rsidR="00C50522" w:rsidRPr="003941AA" w:rsidRDefault="00C50522" w:rsidP="00C50522">
      <w:pPr>
        <w:pBdr>
          <w:top w:val="nil"/>
          <w:left w:val="nil"/>
          <w:bottom w:val="nil"/>
          <w:right w:val="nil"/>
          <w:between w:val="nil"/>
        </w:pBdr>
        <w:rPr>
          <w:rFonts w:eastAsia="Times New Roman" w:cstheme="minorHAnsi"/>
          <w:sz w:val="24"/>
          <w:szCs w:val="24"/>
        </w:rPr>
      </w:pPr>
      <w:r w:rsidRPr="003941AA">
        <w:rPr>
          <w:rFonts w:eastAsia="Times New Roman" w:cstheme="minorHAnsi"/>
          <w:sz w:val="24"/>
          <w:szCs w:val="24"/>
        </w:rPr>
        <w:t>La Constitución Política les otorga un fuero a los congresistas electos, poniendo en cabeza de la Corte Suprema de Justicia su investigación y juzgamiento, tal y como lo estipulan los artículos 186 y el numeral 4 del artículo 235, como se observa:</w:t>
      </w:r>
    </w:p>
    <w:p w14:paraId="2CF8AA41" w14:textId="5AA84957" w:rsidR="00C50522" w:rsidRPr="003941AA" w:rsidRDefault="00C50522" w:rsidP="00C50522">
      <w:pPr>
        <w:pBdr>
          <w:top w:val="nil"/>
          <w:left w:val="nil"/>
          <w:bottom w:val="nil"/>
          <w:right w:val="nil"/>
          <w:between w:val="nil"/>
        </w:pBdr>
        <w:rPr>
          <w:rFonts w:eastAsia="Times New Roman" w:cstheme="minorHAnsi"/>
          <w:sz w:val="24"/>
          <w:szCs w:val="24"/>
        </w:rPr>
      </w:pPr>
    </w:p>
    <w:p w14:paraId="1B0E35FE" w14:textId="5678E265" w:rsidR="00C50522" w:rsidRPr="003941AA" w:rsidRDefault="00C50522" w:rsidP="00C50522">
      <w:pPr>
        <w:pBdr>
          <w:top w:val="nil"/>
          <w:left w:val="nil"/>
          <w:bottom w:val="nil"/>
          <w:right w:val="nil"/>
          <w:between w:val="nil"/>
        </w:pBdr>
        <w:ind w:left="720"/>
        <w:jc w:val="both"/>
        <w:rPr>
          <w:rFonts w:eastAsia="Times New Roman" w:cstheme="minorHAnsi"/>
          <w:i/>
          <w:sz w:val="24"/>
          <w:szCs w:val="24"/>
        </w:rPr>
      </w:pPr>
      <w:r w:rsidRPr="003941AA">
        <w:rPr>
          <w:rFonts w:eastAsia="Times New Roman" w:cstheme="minorHAnsi"/>
          <w:i/>
          <w:sz w:val="24"/>
          <w:szCs w:val="24"/>
        </w:rPr>
        <w:t xml:space="preserve">ARTICULO 186. De los delitos que cometan los Congresistas, </w:t>
      </w:r>
      <w:r w:rsidRPr="003941AA">
        <w:rPr>
          <w:rFonts w:eastAsia="Times New Roman" w:cstheme="minorHAnsi"/>
          <w:i/>
          <w:sz w:val="24"/>
          <w:szCs w:val="24"/>
          <w:u w:val="single"/>
        </w:rPr>
        <w:t>conocerá en forma privativa la Corte Suprema de Justicia, única autoridad que podrá ordenar su detención</w:t>
      </w:r>
      <w:r w:rsidRPr="003941AA">
        <w:rPr>
          <w:rFonts w:eastAsia="Times New Roman" w:cstheme="minorHAnsi"/>
          <w:i/>
          <w:sz w:val="24"/>
          <w:szCs w:val="24"/>
        </w:rPr>
        <w:t>. En caso de flagrante delito deberán ser aprehendidos y puestos inmediatamente a disposición de la misma corporación.</w:t>
      </w:r>
    </w:p>
    <w:p w14:paraId="0B3A1ED4" w14:textId="77777777" w:rsidR="00C50522" w:rsidRPr="003941AA" w:rsidRDefault="00C50522" w:rsidP="00C50522">
      <w:pPr>
        <w:pBdr>
          <w:top w:val="nil"/>
          <w:left w:val="nil"/>
          <w:bottom w:val="nil"/>
          <w:right w:val="nil"/>
          <w:between w:val="nil"/>
        </w:pBdr>
        <w:jc w:val="both"/>
        <w:rPr>
          <w:rFonts w:eastAsia="Times New Roman" w:cstheme="minorHAnsi"/>
          <w:i/>
          <w:sz w:val="24"/>
          <w:szCs w:val="24"/>
        </w:rPr>
      </w:pPr>
    </w:p>
    <w:p w14:paraId="4FBD5E6A" w14:textId="77777777" w:rsidR="00C50522" w:rsidRPr="003941AA" w:rsidRDefault="00C50522" w:rsidP="00C50522">
      <w:pPr>
        <w:pBdr>
          <w:top w:val="nil"/>
          <w:left w:val="nil"/>
          <w:bottom w:val="nil"/>
          <w:right w:val="nil"/>
          <w:between w:val="nil"/>
        </w:pBdr>
        <w:ind w:left="720"/>
        <w:jc w:val="both"/>
        <w:rPr>
          <w:rFonts w:eastAsia="Times New Roman" w:cstheme="minorHAnsi"/>
          <w:i/>
          <w:sz w:val="24"/>
          <w:szCs w:val="24"/>
        </w:rPr>
      </w:pPr>
      <w:r w:rsidRPr="003941AA">
        <w:rPr>
          <w:rFonts w:eastAsia="Times New Roman" w:cstheme="minorHAnsi"/>
          <w:i/>
          <w:sz w:val="24"/>
          <w:szCs w:val="24"/>
        </w:rPr>
        <w:t>Corresponderá a la Sala Especial de Instrucción de la Sala Penal de la Corte Suprema de Justicia investigar y acusar ante la Sala Especial de Primera Instancia de la misma Sala Penal a los miembros del Congreso por los delitos cometidos.</w:t>
      </w:r>
    </w:p>
    <w:p w14:paraId="2EDBF993" w14:textId="77777777" w:rsidR="00C50522" w:rsidRPr="003941AA" w:rsidRDefault="00C50522" w:rsidP="00C50522">
      <w:pPr>
        <w:pBdr>
          <w:top w:val="nil"/>
          <w:left w:val="nil"/>
          <w:bottom w:val="nil"/>
          <w:right w:val="nil"/>
          <w:between w:val="nil"/>
        </w:pBdr>
        <w:jc w:val="both"/>
        <w:rPr>
          <w:rFonts w:eastAsia="Times New Roman" w:cstheme="minorHAnsi"/>
          <w:i/>
          <w:sz w:val="24"/>
          <w:szCs w:val="24"/>
        </w:rPr>
      </w:pPr>
    </w:p>
    <w:p w14:paraId="480259EA" w14:textId="77777777" w:rsidR="00C50522" w:rsidRPr="003941AA" w:rsidRDefault="00C50522" w:rsidP="00C50522">
      <w:pPr>
        <w:pBdr>
          <w:top w:val="nil"/>
          <w:left w:val="nil"/>
          <w:bottom w:val="nil"/>
          <w:right w:val="nil"/>
          <w:between w:val="nil"/>
        </w:pBdr>
        <w:ind w:left="720"/>
        <w:jc w:val="both"/>
        <w:rPr>
          <w:rFonts w:eastAsia="Times New Roman" w:cstheme="minorHAnsi"/>
          <w:i/>
          <w:sz w:val="24"/>
          <w:szCs w:val="24"/>
        </w:rPr>
      </w:pPr>
      <w:r w:rsidRPr="003941AA">
        <w:rPr>
          <w:rFonts w:eastAsia="Times New Roman" w:cstheme="minorHAnsi"/>
          <w:i/>
          <w:sz w:val="24"/>
          <w:szCs w:val="24"/>
        </w:rPr>
        <w:t>Contra las sentencias que profiera la Sala Especial de Primera Instancia de la Sala Penal de la Corte Suprema de Justicia procederá el recurso de apelación. Su conocimiento corresponderá a la Sala de Casación Penal de la Corte Suprema de Justicia.</w:t>
      </w:r>
    </w:p>
    <w:p w14:paraId="1D4033DC" w14:textId="77777777" w:rsidR="00C50522" w:rsidRPr="003941AA" w:rsidRDefault="00C50522" w:rsidP="00C50522">
      <w:pPr>
        <w:pBdr>
          <w:top w:val="nil"/>
          <w:left w:val="nil"/>
          <w:bottom w:val="nil"/>
          <w:right w:val="nil"/>
          <w:between w:val="nil"/>
        </w:pBdr>
        <w:jc w:val="both"/>
        <w:rPr>
          <w:rFonts w:eastAsia="Times New Roman" w:cstheme="minorHAnsi"/>
          <w:i/>
          <w:sz w:val="24"/>
          <w:szCs w:val="24"/>
        </w:rPr>
      </w:pPr>
    </w:p>
    <w:p w14:paraId="0512849F" w14:textId="769222D1" w:rsidR="00C50522" w:rsidRPr="003941AA" w:rsidRDefault="00C50522" w:rsidP="00C50522">
      <w:pPr>
        <w:pBdr>
          <w:top w:val="nil"/>
          <w:left w:val="nil"/>
          <w:bottom w:val="nil"/>
          <w:right w:val="nil"/>
          <w:between w:val="nil"/>
        </w:pBdr>
        <w:ind w:firstLine="720"/>
        <w:jc w:val="both"/>
        <w:rPr>
          <w:rFonts w:eastAsia="Times New Roman" w:cstheme="minorHAnsi"/>
          <w:i/>
          <w:sz w:val="24"/>
          <w:szCs w:val="24"/>
        </w:rPr>
      </w:pPr>
      <w:r w:rsidRPr="003941AA">
        <w:rPr>
          <w:rFonts w:eastAsia="Times New Roman" w:cstheme="minorHAnsi"/>
          <w:i/>
          <w:sz w:val="24"/>
          <w:szCs w:val="24"/>
        </w:rPr>
        <w:t>La primera condena podrá ser impugnada.</w:t>
      </w:r>
    </w:p>
    <w:p w14:paraId="5F4E9BDE" w14:textId="65BE7BDF" w:rsidR="00C50522" w:rsidRPr="003941AA" w:rsidRDefault="00C50522" w:rsidP="00C50522">
      <w:pPr>
        <w:pBdr>
          <w:top w:val="nil"/>
          <w:left w:val="nil"/>
          <w:bottom w:val="nil"/>
          <w:right w:val="nil"/>
          <w:between w:val="nil"/>
        </w:pBdr>
        <w:ind w:firstLine="720"/>
        <w:jc w:val="both"/>
        <w:rPr>
          <w:rFonts w:eastAsia="Times New Roman" w:cstheme="minorHAnsi"/>
          <w:i/>
          <w:sz w:val="24"/>
          <w:szCs w:val="24"/>
        </w:rPr>
      </w:pPr>
    </w:p>
    <w:p w14:paraId="0988B858" w14:textId="013724EE" w:rsidR="00C50522" w:rsidRPr="003941AA" w:rsidRDefault="00C50522" w:rsidP="00C50522">
      <w:pPr>
        <w:pStyle w:val="Ttulo1"/>
        <w:tabs>
          <w:tab w:val="left" w:pos="1181"/>
          <w:tab w:val="left" w:pos="1182"/>
        </w:tabs>
        <w:ind w:left="0"/>
        <w:jc w:val="both"/>
        <w:rPr>
          <w:rFonts w:cstheme="minorHAnsi"/>
          <w:b w:val="0"/>
          <w:i/>
        </w:rPr>
      </w:pPr>
      <w:r w:rsidRPr="003941AA">
        <w:rPr>
          <w:rFonts w:cstheme="minorHAnsi"/>
          <w:b w:val="0"/>
        </w:rPr>
        <w:tab/>
      </w:r>
      <w:r w:rsidRPr="003941AA">
        <w:rPr>
          <w:rFonts w:cstheme="minorHAnsi"/>
          <w:b w:val="0"/>
          <w:i/>
        </w:rPr>
        <w:t>ARTICULO 235. Son atribuciones de la Corte Suprema de Justicia:</w:t>
      </w:r>
    </w:p>
    <w:p w14:paraId="3B906773" w14:textId="2D0E1860" w:rsidR="00C50522" w:rsidRPr="003941AA" w:rsidRDefault="00C50522" w:rsidP="00C50522">
      <w:pPr>
        <w:pStyle w:val="Ttulo1"/>
        <w:tabs>
          <w:tab w:val="left" w:pos="1181"/>
          <w:tab w:val="left" w:pos="1182"/>
        </w:tabs>
        <w:ind w:left="0"/>
        <w:jc w:val="both"/>
        <w:rPr>
          <w:rFonts w:cstheme="minorHAnsi"/>
          <w:b w:val="0"/>
          <w:i/>
        </w:rPr>
      </w:pPr>
      <w:r w:rsidRPr="003941AA">
        <w:rPr>
          <w:rFonts w:cstheme="minorHAnsi"/>
          <w:b w:val="0"/>
          <w:i/>
        </w:rPr>
        <w:tab/>
        <w:t>(…)</w:t>
      </w:r>
    </w:p>
    <w:p w14:paraId="5D14B2FA" w14:textId="3DF67148" w:rsidR="00C50522" w:rsidRPr="003941AA" w:rsidRDefault="00C50522" w:rsidP="00C50522">
      <w:pPr>
        <w:pStyle w:val="Ttulo1"/>
        <w:tabs>
          <w:tab w:val="left" w:pos="1181"/>
          <w:tab w:val="left" w:pos="1182"/>
        </w:tabs>
        <w:ind w:left="0"/>
        <w:jc w:val="both"/>
        <w:rPr>
          <w:rFonts w:cstheme="minorHAnsi"/>
          <w:b w:val="0"/>
          <w:i/>
        </w:rPr>
      </w:pPr>
      <w:r w:rsidRPr="003941AA">
        <w:rPr>
          <w:rFonts w:cstheme="minorHAnsi"/>
          <w:b w:val="0"/>
          <w:i/>
        </w:rPr>
        <w:lastRenderedPageBreak/>
        <w:tab/>
        <w:t>4. Investigar y juzgar a los miembros del Congreso.</w:t>
      </w:r>
    </w:p>
    <w:p w14:paraId="3264BABD" w14:textId="4BF2F6A8" w:rsidR="00F922C3" w:rsidRPr="003941AA" w:rsidRDefault="00F922C3" w:rsidP="00C50522">
      <w:pPr>
        <w:pStyle w:val="Ttulo1"/>
        <w:tabs>
          <w:tab w:val="left" w:pos="1181"/>
          <w:tab w:val="left" w:pos="1182"/>
        </w:tabs>
        <w:ind w:left="0"/>
        <w:jc w:val="both"/>
        <w:rPr>
          <w:rFonts w:cstheme="minorHAnsi"/>
          <w:b w:val="0"/>
        </w:rPr>
      </w:pPr>
      <w:r w:rsidRPr="003941AA">
        <w:rPr>
          <w:rFonts w:cstheme="minorHAnsi"/>
          <w:b w:val="0"/>
        </w:rPr>
        <w:t>El fuero establecido por la constitución tiene como fin, de acuerdo con la jurisprudencia, otorgar garantías a modo de precaución, para que sean investigados y juzgados por un tribunal especial, y que con ello tengan garantías de independencia y autonomía, tal y como lo manifiesta la Corte Constitucional:</w:t>
      </w:r>
    </w:p>
    <w:p w14:paraId="42ED76B4" w14:textId="2AEFB1E8" w:rsidR="00F922C3" w:rsidRPr="003941AA" w:rsidRDefault="00F922C3" w:rsidP="00C50522">
      <w:pPr>
        <w:pStyle w:val="Ttulo1"/>
        <w:tabs>
          <w:tab w:val="left" w:pos="1181"/>
          <w:tab w:val="left" w:pos="1182"/>
        </w:tabs>
        <w:ind w:left="0"/>
        <w:jc w:val="both"/>
        <w:rPr>
          <w:rFonts w:cstheme="minorHAnsi"/>
          <w:b w:val="0"/>
        </w:rPr>
      </w:pPr>
    </w:p>
    <w:p w14:paraId="4888D4F1" w14:textId="4FABC2BC" w:rsidR="00F922C3" w:rsidRPr="003941AA" w:rsidRDefault="00F922C3" w:rsidP="00F922C3">
      <w:pPr>
        <w:pStyle w:val="Ttulo1"/>
        <w:tabs>
          <w:tab w:val="left" w:pos="1181"/>
          <w:tab w:val="left" w:pos="1182"/>
        </w:tabs>
        <w:ind w:left="720"/>
        <w:jc w:val="both"/>
        <w:rPr>
          <w:rFonts w:cstheme="minorHAnsi"/>
          <w:b w:val="0"/>
        </w:rPr>
      </w:pPr>
      <w:r w:rsidRPr="003941AA">
        <w:rPr>
          <w:rFonts w:cstheme="minorHAnsi"/>
          <w:b w:val="0"/>
          <w:i/>
        </w:rPr>
        <w:t>“la primera, la economía procesal; la segunda, el escapar a la posibilidad de los errores cometidos por los jueces o tribunales inferiores. A las cuales se suma la posibilidad de ejercer la acción de revisión, una vez ejecutoriada la sentencia. Además de señalar que el fuero de los altos dignatarios del Estado busca preservar la autonomía y la independencia de los funcionarios amparados por el mismo, esta corporación ha puntualizado, que los procesos especiales que contra ellos se adelanten pueden apartarse de los procedimientos ordinarios, con fundamento en la propia Carta Política, sin que ello implique discriminación alguna.</w:t>
      </w:r>
      <w:r w:rsidRPr="003941AA">
        <w:rPr>
          <w:rFonts w:cstheme="minorHAnsi"/>
          <w:b w:val="0"/>
        </w:rPr>
        <w:t>”</w:t>
      </w:r>
      <w:r w:rsidRPr="003941AA">
        <w:rPr>
          <w:rStyle w:val="Refdenotaalpie"/>
          <w:rFonts w:cstheme="minorHAnsi"/>
          <w:b w:val="0"/>
        </w:rPr>
        <w:footnoteReference w:id="2"/>
      </w:r>
    </w:p>
    <w:p w14:paraId="57A30D40" w14:textId="6BFEFF8C" w:rsidR="00C50522" w:rsidRPr="003941AA" w:rsidRDefault="00F922C3" w:rsidP="00F922C3">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A pesar de que el fuero pretende garantizar dicha autonomía el mismo no puede ser visto como un privilegio y se debe recordar que el mismo también representa una garantía de equivalencia de poderes para la ciudadanía, así lo explica Rodrigo </w:t>
      </w:r>
      <w:proofErr w:type="spellStart"/>
      <w:r w:rsidRPr="003941AA">
        <w:rPr>
          <w:rFonts w:eastAsia="Times New Roman" w:cstheme="minorHAnsi"/>
          <w:sz w:val="24"/>
          <w:szCs w:val="24"/>
        </w:rPr>
        <w:t>Uprimmny</w:t>
      </w:r>
      <w:proofErr w:type="spellEnd"/>
      <w:r w:rsidRPr="003941AA">
        <w:rPr>
          <w:rFonts w:eastAsia="Times New Roman" w:cstheme="minorHAnsi"/>
          <w:sz w:val="24"/>
          <w:szCs w:val="24"/>
        </w:rPr>
        <w:t>:</w:t>
      </w:r>
    </w:p>
    <w:p w14:paraId="309E7FDE" w14:textId="4B9C319A" w:rsidR="00F922C3" w:rsidRPr="003941AA" w:rsidRDefault="00F922C3" w:rsidP="00F922C3">
      <w:pPr>
        <w:pBdr>
          <w:top w:val="nil"/>
          <w:left w:val="nil"/>
          <w:bottom w:val="nil"/>
          <w:right w:val="nil"/>
          <w:between w:val="nil"/>
        </w:pBdr>
        <w:jc w:val="both"/>
        <w:rPr>
          <w:rFonts w:eastAsia="Times New Roman" w:cstheme="minorHAnsi"/>
          <w:sz w:val="24"/>
          <w:szCs w:val="24"/>
        </w:rPr>
      </w:pPr>
    </w:p>
    <w:p w14:paraId="3A9CC238" w14:textId="6D12DB94" w:rsidR="00F922C3" w:rsidRPr="003941AA" w:rsidRDefault="00F922C3" w:rsidP="00F922C3">
      <w:pPr>
        <w:pBdr>
          <w:top w:val="nil"/>
          <w:left w:val="nil"/>
          <w:bottom w:val="nil"/>
          <w:right w:val="nil"/>
          <w:between w:val="nil"/>
        </w:pBdr>
        <w:ind w:left="720"/>
        <w:jc w:val="both"/>
        <w:rPr>
          <w:rFonts w:eastAsia="Times New Roman" w:cstheme="minorHAnsi"/>
          <w:i/>
          <w:sz w:val="24"/>
          <w:szCs w:val="24"/>
        </w:rPr>
      </w:pPr>
      <w:r w:rsidRPr="003941AA">
        <w:rPr>
          <w:rFonts w:eastAsia="Times New Roman" w:cstheme="minorHAnsi"/>
          <w:i/>
          <w:sz w:val="24"/>
          <w:szCs w:val="24"/>
        </w:rPr>
        <w:t>(…) porque el fuero ante la Corte Suprema es una garantía del aforado, pero no es un privilegio del cual puede deshacerse cuando no le gusta, por cuanto ese fuero es también una garantía de la sociedad. Explico el punto.</w:t>
      </w:r>
    </w:p>
    <w:p w14:paraId="4227C580" w14:textId="26E35446" w:rsidR="00F922C3" w:rsidRPr="003941AA" w:rsidRDefault="00F922C3" w:rsidP="00F922C3">
      <w:pPr>
        <w:pBdr>
          <w:top w:val="nil"/>
          <w:left w:val="nil"/>
          <w:bottom w:val="nil"/>
          <w:right w:val="nil"/>
          <w:between w:val="nil"/>
        </w:pBdr>
        <w:ind w:left="720"/>
        <w:jc w:val="both"/>
        <w:rPr>
          <w:rFonts w:eastAsia="Times New Roman" w:cstheme="minorHAnsi"/>
          <w:sz w:val="24"/>
          <w:szCs w:val="24"/>
        </w:rPr>
      </w:pPr>
      <w:r w:rsidRPr="003941AA">
        <w:rPr>
          <w:rFonts w:eastAsia="Times New Roman" w:cstheme="minorHAnsi"/>
          <w:i/>
          <w:sz w:val="24"/>
          <w:szCs w:val="24"/>
        </w:rPr>
        <w:t xml:space="preserve">Para el congresista, el fuero es la garantía de que su libertad y su función no serán afectadas por una decisión de cualquier fiscal o juez sino sólo por el máximo tribunal penal, que es la máxima garantía. El fuero preserva así la independencia del Congreso frente a interferencias indebidas. Pero en este caso el fuero cumple también otra función: es una garantía institucional para la sociedad pues asegura que funcionarios con mucho poder, como los congresistas, sean juzgados por un tribunal que sea también poderoso y pueda resistir posibles intimidaciones mejor que un fiscal o un juez de instancia. (…) </w:t>
      </w:r>
      <w:r w:rsidR="0046787D" w:rsidRPr="003941AA">
        <w:rPr>
          <w:rStyle w:val="Refdenotaalpie"/>
          <w:rFonts w:eastAsia="Times New Roman" w:cstheme="minorHAnsi"/>
          <w:i/>
          <w:sz w:val="24"/>
          <w:szCs w:val="24"/>
        </w:rPr>
        <w:footnoteReference w:id="3"/>
      </w:r>
    </w:p>
    <w:p w14:paraId="71DD1DEB" w14:textId="5B6BCD1C" w:rsidR="00F922C3" w:rsidRPr="003941AA" w:rsidRDefault="00F922C3" w:rsidP="00F922C3">
      <w:pPr>
        <w:pBdr>
          <w:top w:val="nil"/>
          <w:left w:val="nil"/>
          <w:bottom w:val="nil"/>
          <w:right w:val="nil"/>
          <w:between w:val="nil"/>
        </w:pBdr>
        <w:jc w:val="both"/>
        <w:rPr>
          <w:rFonts w:eastAsia="Times New Roman" w:cstheme="minorHAnsi"/>
          <w:sz w:val="24"/>
          <w:szCs w:val="24"/>
        </w:rPr>
      </w:pPr>
    </w:p>
    <w:p w14:paraId="51A89D49" w14:textId="54BE6AF6" w:rsidR="004F7584" w:rsidRPr="003941AA" w:rsidRDefault="004F7584" w:rsidP="00F922C3">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Con el fin de hacer valer dicho fuero, los límites establecidos en este proyecto de acto legislativo se basan en el poder que ejercen los miembros del Congreso y la consideración de que dicho poder deber ser juzgado por una Corte que tenga la capacidad de hacerle frente a las manipulaciones e intimidaciones que se puedan generar en el curso del proceso, elementos que son más difíciles de llevar si no se tiene un cargo tan alto. </w:t>
      </w:r>
    </w:p>
    <w:p w14:paraId="281A4127" w14:textId="12422A38" w:rsidR="004F7584" w:rsidRPr="003941AA" w:rsidRDefault="004F7584" w:rsidP="00F922C3">
      <w:pPr>
        <w:pBdr>
          <w:top w:val="nil"/>
          <w:left w:val="nil"/>
          <w:bottom w:val="nil"/>
          <w:right w:val="nil"/>
          <w:between w:val="nil"/>
        </w:pBdr>
        <w:jc w:val="both"/>
        <w:rPr>
          <w:rFonts w:eastAsia="Times New Roman" w:cstheme="minorHAnsi"/>
          <w:sz w:val="24"/>
          <w:szCs w:val="24"/>
        </w:rPr>
      </w:pPr>
    </w:p>
    <w:p w14:paraId="0F5A70E7" w14:textId="6FB16F2A" w:rsidR="004F7584" w:rsidRPr="003941AA" w:rsidRDefault="003B5D35" w:rsidP="003B5D35">
      <w:pPr>
        <w:pStyle w:val="Prrafodelista"/>
        <w:numPr>
          <w:ilvl w:val="0"/>
          <w:numId w:val="8"/>
        </w:numPr>
        <w:pBdr>
          <w:top w:val="nil"/>
          <w:left w:val="nil"/>
          <w:bottom w:val="nil"/>
          <w:right w:val="nil"/>
          <w:between w:val="nil"/>
        </w:pBdr>
        <w:rPr>
          <w:rFonts w:eastAsia="Times New Roman" w:cstheme="minorHAnsi"/>
          <w:b/>
          <w:sz w:val="24"/>
          <w:szCs w:val="24"/>
        </w:rPr>
      </w:pPr>
      <w:r w:rsidRPr="003941AA">
        <w:rPr>
          <w:rFonts w:eastAsia="Times New Roman" w:cstheme="minorHAnsi"/>
          <w:b/>
          <w:sz w:val="24"/>
          <w:szCs w:val="24"/>
        </w:rPr>
        <w:t>No hay jueces a la carta</w:t>
      </w:r>
      <w:r w:rsidRPr="003941AA">
        <w:rPr>
          <w:rStyle w:val="Refdenotaalpie"/>
          <w:rFonts w:eastAsia="Times New Roman" w:cstheme="minorHAnsi"/>
          <w:b/>
          <w:sz w:val="24"/>
          <w:szCs w:val="24"/>
        </w:rPr>
        <w:footnoteReference w:id="4"/>
      </w:r>
      <w:r w:rsidRPr="003941AA">
        <w:rPr>
          <w:rFonts w:eastAsia="Times New Roman" w:cstheme="minorHAnsi"/>
          <w:b/>
          <w:sz w:val="24"/>
          <w:szCs w:val="24"/>
        </w:rPr>
        <w:t xml:space="preserve"> </w:t>
      </w:r>
    </w:p>
    <w:p w14:paraId="4FEDD66F" w14:textId="520A67B5" w:rsidR="00CF3493" w:rsidRPr="003941AA" w:rsidRDefault="00CF3493" w:rsidP="00F922C3">
      <w:pPr>
        <w:pBdr>
          <w:top w:val="nil"/>
          <w:left w:val="nil"/>
          <w:bottom w:val="nil"/>
          <w:right w:val="nil"/>
          <w:between w:val="nil"/>
        </w:pBdr>
        <w:jc w:val="both"/>
        <w:rPr>
          <w:rFonts w:eastAsia="Times New Roman" w:cstheme="minorHAnsi"/>
          <w:sz w:val="24"/>
          <w:szCs w:val="24"/>
        </w:rPr>
      </w:pPr>
    </w:p>
    <w:p w14:paraId="74396A5C" w14:textId="2A8AE8C2" w:rsidR="00E06019" w:rsidRPr="003941AA" w:rsidRDefault="00FD1B3B" w:rsidP="00F922C3">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El proyecto de acto legislativo que se presenta pretende ponerle freno a la práctica constante de escoger juez que han adoptado algunos congresistas, quienes viéndose investigados por la Corte Suprema deciden renunciar a su curul y de esta manera hacer que su proceso se mueva de juez. Esta práctica la hemos visto en procesos como el de la </w:t>
      </w:r>
      <w:r w:rsidR="00E04C1B" w:rsidRPr="003941AA">
        <w:rPr>
          <w:rFonts w:eastAsia="Times New Roman" w:cstheme="minorHAnsi"/>
          <w:sz w:val="24"/>
          <w:szCs w:val="24"/>
        </w:rPr>
        <w:t>Parapolítica</w:t>
      </w:r>
      <w:r w:rsidRPr="003941AA">
        <w:rPr>
          <w:rFonts w:eastAsia="Times New Roman" w:cstheme="minorHAnsi"/>
          <w:sz w:val="24"/>
          <w:szCs w:val="24"/>
        </w:rPr>
        <w:t xml:space="preserve"> donde cerca de 30 congresistas renunciaron a su cargo, considerando que de esta forma la Corte Suprema dejaría de investigarlos, sin embargo, la corporación afirmó en su momento:</w:t>
      </w:r>
    </w:p>
    <w:p w14:paraId="4B197964" w14:textId="2B52CD0B" w:rsidR="00FD1B3B" w:rsidRPr="003941AA" w:rsidRDefault="00FD1B3B" w:rsidP="00F922C3">
      <w:pPr>
        <w:pBdr>
          <w:top w:val="nil"/>
          <w:left w:val="nil"/>
          <w:bottom w:val="nil"/>
          <w:right w:val="nil"/>
          <w:between w:val="nil"/>
        </w:pBdr>
        <w:jc w:val="both"/>
        <w:rPr>
          <w:rFonts w:eastAsia="Times New Roman" w:cstheme="minorHAnsi"/>
          <w:sz w:val="24"/>
          <w:szCs w:val="24"/>
        </w:rPr>
      </w:pPr>
    </w:p>
    <w:p w14:paraId="2290DF10" w14:textId="2443D4BF" w:rsidR="00FD1B3B" w:rsidRPr="003941AA" w:rsidRDefault="00E04C1B" w:rsidP="00E04C1B">
      <w:pPr>
        <w:pBdr>
          <w:top w:val="nil"/>
          <w:left w:val="nil"/>
          <w:bottom w:val="nil"/>
          <w:right w:val="nil"/>
          <w:between w:val="nil"/>
        </w:pBdr>
        <w:ind w:left="720"/>
        <w:jc w:val="both"/>
        <w:rPr>
          <w:rFonts w:eastAsia="Times New Roman" w:cstheme="minorHAnsi"/>
          <w:i/>
          <w:sz w:val="24"/>
          <w:szCs w:val="24"/>
        </w:rPr>
      </w:pPr>
      <w:r w:rsidRPr="003941AA">
        <w:rPr>
          <w:rFonts w:eastAsia="Times New Roman" w:cstheme="minorHAnsi"/>
          <w:i/>
          <w:sz w:val="24"/>
          <w:szCs w:val="24"/>
        </w:rPr>
        <w:t>“Tal es el caso de los congresistas a quienes se les imputa la conducta de concierto para delinquir agravado por sus eventuales vínculos con miembros de las autodefensas cuando ya ocupaban una curul en el Congreso de la República, proceder que si bien no es propio de sus funciones, en cuanto reunirse con delincuentes para orquestar la comisión de delitos no es ni podrá ser inherente al ámbito funcional de dicha Corporación, sí pone de presente, de un lado, que posiblemente hacía parte de dicha organización criminal y, de otro, que de conformidad con la forma en que operaba la misma, se trataba presuntamente de un miembro calificado de la misma a quien correspondía aportar dentro de su ámbito funcional”</w:t>
      </w:r>
      <w:r w:rsidRPr="003941AA">
        <w:rPr>
          <w:rStyle w:val="Refdenotaalpie"/>
          <w:rFonts w:eastAsia="Times New Roman" w:cstheme="minorHAnsi"/>
          <w:i/>
          <w:sz w:val="24"/>
          <w:szCs w:val="24"/>
        </w:rPr>
        <w:footnoteReference w:id="5"/>
      </w:r>
    </w:p>
    <w:p w14:paraId="59456E50" w14:textId="57A5E57A" w:rsidR="00E04C1B" w:rsidRPr="003941AA" w:rsidRDefault="00E04C1B" w:rsidP="00E04C1B">
      <w:pPr>
        <w:pBdr>
          <w:top w:val="nil"/>
          <w:left w:val="nil"/>
          <w:bottom w:val="nil"/>
          <w:right w:val="nil"/>
          <w:between w:val="nil"/>
        </w:pBdr>
        <w:jc w:val="both"/>
        <w:rPr>
          <w:rFonts w:eastAsia="Times New Roman" w:cstheme="minorHAnsi"/>
          <w:i/>
          <w:sz w:val="24"/>
          <w:szCs w:val="24"/>
        </w:rPr>
      </w:pPr>
    </w:p>
    <w:p w14:paraId="1261612D" w14:textId="69B82576" w:rsidR="00E04C1B" w:rsidRPr="003941AA" w:rsidRDefault="00E04C1B" w:rsidP="00E04C1B">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En esta providencia la Corte Suprema de Justicia deja de presente que por más de que renuncien su investigación seguirá, incluso al considerar que dichos actos no eran propios del ejercicio de los congresistas, no estaban dentro de sus funciones pero que posiblemente hacían parte de dicha organización. Este cambio de jurisprudencia llevó a que se adelantaran las investigaciones, aunque los propios congresistas habían renunciado a su curul.</w:t>
      </w:r>
    </w:p>
    <w:p w14:paraId="40120BED" w14:textId="08C29DF1" w:rsidR="00E04C1B" w:rsidRPr="003941AA" w:rsidRDefault="00E04C1B" w:rsidP="00E04C1B">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Renunciar a la curul para </w:t>
      </w:r>
      <w:r w:rsidR="00E25E19" w:rsidRPr="003941AA">
        <w:rPr>
          <w:rFonts w:eastAsia="Times New Roman" w:cstheme="minorHAnsi"/>
          <w:sz w:val="24"/>
          <w:szCs w:val="24"/>
        </w:rPr>
        <w:t>evadir la competencia de la Corte Suprema de Justicia se ha convertido en una práctica recurrente, aquí algunos de los casos más recordados:</w:t>
      </w:r>
    </w:p>
    <w:p w14:paraId="35B1EECE" w14:textId="06231D4C" w:rsidR="00E25E19" w:rsidRPr="003941AA" w:rsidRDefault="00E25E19" w:rsidP="00E04C1B">
      <w:pPr>
        <w:pBdr>
          <w:top w:val="nil"/>
          <w:left w:val="nil"/>
          <w:bottom w:val="nil"/>
          <w:right w:val="nil"/>
          <w:between w:val="nil"/>
        </w:pBdr>
        <w:jc w:val="both"/>
        <w:rPr>
          <w:rFonts w:eastAsia="Times New Roman" w:cstheme="minorHAnsi"/>
          <w:sz w:val="24"/>
          <w:szCs w:val="24"/>
        </w:rPr>
      </w:pPr>
    </w:p>
    <w:tbl>
      <w:tblPr>
        <w:tblStyle w:val="Tablaconcuadrcula"/>
        <w:tblW w:w="0" w:type="auto"/>
        <w:tblLook w:val="04A0" w:firstRow="1" w:lastRow="0" w:firstColumn="1" w:lastColumn="0" w:noHBand="0" w:noVBand="1"/>
      </w:tblPr>
      <w:tblGrid>
        <w:gridCol w:w="2972"/>
        <w:gridCol w:w="7818"/>
      </w:tblGrid>
      <w:tr w:rsidR="00E25E19" w:rsidRPr="003941AA" w14:paraId="6325EC43" w14:textId="77777777" w:rsidTr="00E25E19">
        <w:tc>
          <w:tcPr>
            <w:tcW w:w="2972" w:type="dxa"/>
          </w:tcPr>
          <w:p w14:paraId="3FC7DD44" w14:textId="4741BDA7" w:rsidR="00E25E19" w:rsidRPr="003941AA" w:rsidRDefault="00E25E19" w:rsidP="00E25E19">
            <w:pPr>
              <w:jc w:val="center"/>
              <w:rPr>
                <w:rFonts w:eastAsia="Times New Roman" w:cstheme="minorHAnsi"/>
                <w:b/>
                <w:sz w:val="24"/>
                <w:szCs w:val="24"/>
              </w:rPr>
            </w:pPr>
            <w:r w:rsidRPr="003941AA">
              <w:rPr>
                <w:rFonts w:eastAsia="Times New Roman" w:cstheme="minorHAnsi"/>
                <w:b/>
                <w:sz w:val="24"/>
                <w:szCs w:val="24"/>
              </w:rPr>
              <w:t>Año</w:t>
            </w:r>
          </w:p>
        </w:tc>
        <w:tc>
          <w:tcPr>
            <w:tcW w:w="7818" w:type="dxa"/>
          </w:tcPr>
          <w:p w14:paraId="71805410" w14:textId="6FC045CE" w:rsidR="00E25E19" w:rsidRPr="003941AA" w:rsidRDefault="00E25E19" w:rsidP="00E25E19">
            <w:pPr>
              <w:jc w:val="center"/>
              <w:rPr>
                <w:rFonts w:eastAsia="Times New Roman" w:cstheme="minorHAnsi"/>
                <w:b/>
                <w:sz w:val="24"/>
                <w:szCs w:val="24"/>
              </w:rPr>
            </w:pPr>
            <w:r w:rsidRPr="003941AA">
              <w:rPr>
                <w:rFonts w:eastAsia="Times New Roman" w:cstheme="minorHAnsi"/>
                <w:b/>
                <w:sz w:val="24"/>
                <w:szCs w:val="24"/>
              </w:rPr>
              <w:t>Congresista</w:t>
            </w:r>
          </w:p>
        </w:tc>
      </w:tr>
      <w:tr w:rsidR="00E25E19" w:rsidRPr="003941AA" w14:paraId="201B8ADB" w14:textId="77777777" w:rsidTr="00E25E19">
        <w:tc>
          <w:tcPr>
            <w:tcW w:w="2972" w:type="dxa"/>
          </w:tcPr>
          <w:p w14:paraId="3F84B2B9" w14:textId="3761FB76" w:rsidR="00E25E19" w:rsidRPr="003941AA" w:rsidRDefault="00E25E19" w:rsidP="00E25E19">
            <w:pPr>
              <w:jc w:val="center"/>
              <w:rPr>
                <w:rFonts w:eastAsia="Times New Roman" w:cstheme="minorHAnsi"/>
                <w:sz w:val="24"/>
                <w:szCs w:val="24"/>
              </w:rPr>
            </w:pPr>
            <w:r w:rsidRPr="003941AA">
              <w:rPr>
                <w:rFonts w:eastAsia="Times New Roman" w:cstheme="minorHAnsi"/>
                <w:sz w:val="24"/>
                <w:szCs w:val="24"/>
              </w:rPr>
              <w:t>Agosto de 2020</w:t>
            </w:r>
          </w:p>
        </w:tc>
        <w:tc>
          <w:tcPr>
            <w:tcW w:w="7818" w:type="dxa"/>
          </w:tcPr>
          <w:p w14:paraId="60C9284A" w14:textId="3D253FC5" w:rsidR="00E25E19" w:rsidRPr="003941AA" w:rsidRDefault="00E25E19" w:rsidP="00E25E19">
            <w:pPr>
              <w:jc w:val="both"/>
              <w:rPr>
                <w:rFonts w:eastAsia="Times New Roman" w:cstheme="minorHAnsi"/>
                <w:sz w:val="24"/>
                <w:szCs w:val="24"/>
              </w:rPr>
            </w:pPr>
            <w:r w:rsidRPr="003941AA">
              <w:rPr>
                <w:rFonts w:eastAsia="Times New Roman" w:cstheme="minorHAnsi"/>
                <w:sz w:val="24"/>
                <w:szCs w:val="24"/>
              </w:rPr>
              <w:t>Álvaro Uribe del Centro Democrático: luego de que la Corte Suprema le dictara casa por cárcel en medio de una investigación por soborno, manipulación de testigos y fraude procesal, Uribe presentó renuncia a su curul de senador en medio de una investigación del alto tribunal. Después de su renuncia la investigación pasó a la Fiscalía.</w:t>
            </w:r>
          </w:p>
        </w:tc>
      </w:tr>
      <w:tr w:rsidR="00E25E19" w:rsidRPr="003941AA" w14:paraId="6BC9714D" w14:textId="77777777" w:rsidTr="00E25E19">
        <w:tc>
          <w:tcPr>
            <w:tcW w:w="2972" w:type="dxa"/>
          </w:tcPr>
          <w:p w14:paraId="519E1DCE" w14:textId="72F7393F" w:rsidR="00E25E19" w:rsidRPr="003941AA" w:rsidRDefault="00E25E19" w:rsidP="00E25E19">
            <w:pPr>
              <w:jc w:val="center"/>
              <w:rPr>
                <w:rFonts w:eastAsia="Times New Roman" w:cstheme="minorHAnsi"/>
                <w:sz w:val="24"/>
                <w:szCs w:val="24"/>
              </w:rPr>
            </w:pPr>
            <w:r w:rsidRPr="003941AA">
              <w:rPr>
                <w:rFonts w:eastAsia="Times New Roman" w:cstheme="minorHAnsi"/>
                <w:sz w:val="24"/>
                <w:szCs w:val="24"/>
              </w:rPr>
              <w:t>Febrero de 2021</w:t>
            </w:r>
          </w:p>
        </w:tc>
        <w:tc>
          <w:tcPr>
            <w:tcW w:w="7818" w:type="dxa"/>
          </w:tcPr>
          <w:p w14:paraId="05C9F4E5" w14:textId="2FC4A55F" w:rsidR="00E25E19" w:rsidRPr="003941AA" w:rsidRDefault="00E25E19" w:rsidP="00E25E19">
            <w:pPr>
              <w:rPr>
                <w:rFonts w:eastAsia="Times New Roman" w:cstheme="minorHAnsi"/>
                <w:sz w:val="24"/>
                <w:szCs w:val="24"/>
              </w:rPr>
            </w:pPr>
            <w:r w:rsidRPr="003941AA">
              <w:rPr>
                <w:rFonts w:eastAsia="Times New Roman" w:cstheme="minorHAnsi"/>
                <w:sz w:val="24"/>
                <w:szCs w:val="24"/>
              </w:rPr>
              <w:t xml:space="preserve">Eduardo Pulgar del Partido de la U: luego de que la Corte Suprema dictara medida de aseguramiento en su contra por los delitos de tráfico de influencias, cohecho y violación de </w:t>
            </w:r>
            <w:r w:rsidRPr="003941AA">
              <w:rPr>
                <w:rFonts w:eastAsia="Times New Roman" w:cstheme="minorHAnsi"/>
                <w:sz w:val="24"/>
                <w:szCs w:val="24"/>
              </w:rPr>
              <w:lastRenderedPageBreak/>
              <w:t>topes electorales, el exsenador pasó su carta de renuncia. Su caso pasó a la Fiscalía.</w:t>
            </w:r>
          </w:p>
          <w:p w14:paraId="39EA4798" w14:textId="77777777" w:rsidR="00E25E19" w:rsidRPr="003941AA" w:rsidRDefault="00E25E19" w:rsidP="00E25E19">
            <w:pPr>
              <w:jc w:val="both"/>
              <w:rPr>
                <w:rFonts w:eastAsia="Times New Roman" w:cstheme="minorHAnsi"/>
                <w:sz w:val="24"/>
                <w:szCs w:val="24"/>
              </w:rPr>
            </w:pPr>
          </w:p>
        </w:tc>
      </w:tr>
      <w:tr w:rsidR="00E25E19" w:rsidRPr="003941AA" w14:paraId="1FF02F6F" w14:textId="77777777" w:rsidTr="00E25E19">
        <w:tc>
          <w:tcPr>
            <w:tcW w:w="2972" w:type="dxa"/>
          </w:tcPr>
          <w:p w14:paraId="609D5604" w14:textId="186AB5B2" w:rsidR="00E25E19" w:rsidRPr="003941AA" w:rsidRDefault="00E25E19" w:rsidP="00E25E19">
            <w:pPr>
              <w:jc w:val="center"/>
              <w:rPr>
                <w:rFonts w:eastAsia="Times New Roman" w:cstheme="minorHAnsi"/>
                <w:sz w:val="24"/>
                <w:szCs w:val="24"/>
              </w:rPr>
            </w:pPr>
            <w:r w:rsidRPr="003941AA">
              <w:rPr>
                <w:rFonts w:eastAsia="Times New Roman" w:cstheme="minorHAnsi"/>
                <w:sz w:val="24"/>
                <w:szCs w:val="24"/>
              </w:rPr>
              <w:lastRenderedPageBreak/>
              <w:t>Abril de 2021</w:t>
            </w:r>
          </w:p>
        </w:tc>
        <w:tc>
          <w:tcPr>
            <w:tcW w:w="7818" w:type="dxa"/>
          </w:tcPr>
          <w:p w14:paraId="0EF9CB12" w14:textId="018A5841" w:rsidR="00E25E19" w:rsidRPr="003941AA" w:rsidRDefault="00E25E19" w:rsidP="00E25E19">
            <w:pPr>
              <w:rPr>
                <w:rFonts w:eastAsia="Times New Roman" w:cstheme="minorHAnsi"/>
                <w:sz w:val="24"/>
                <w:szCs w:val="24"/>
              </w:rPr>
            </w:pPr>
            <w:r w:rsidRPr="003941AA">
              <w:rPr>
                <w:rFonts w:eastAsia="Times New Roman" w:cstheme="minorHAnsi"/>
                <w:sz w:val="24"/>
                <w:szCs w:val="24"/>
              </w:rPr>
              <w:t>Álvaro Hernán Prada del Centro Democrático: Prada renunció a la Cámara de Representantes alegando estar vinculado a un proceso de persecución. El proceso al que se refería es el adelantado por la Corte donde lo acusan de, en 2018, ayudar a Uribe a torcer testigos para que declararan a su favor en procesos por paramilitarismo. Tras renunciar a su curul, el pasado 21 de abril, propuso que la Fiscalía lo investigara. Sin embargo, la Corte Suprema de Justicia negó la solicitud.</w:t>
            </w:r>
          </w:p>
        </w:tc>
      </w:tr>
      <w:tr w:rsidR="00E25E19" w:rsidRPr="003941AA" w14:paraId="37C88A71" w14:textId="77777777" w:rsidTr="00E25E19">
        <w:tc>
          <w:tcPr>
            <w:tcW w:w="2972" w:type="dxa"/>
          </w:tcPr>
          <w:p w14:paraId="3D40941F" w14:textId="4BF14E8F" w:rsidR="00E25E19" w:rsidRPr="003941AA" w:rsidRDefault="00E25E19" w:rsidP="00E25E19">
            <w:pPr>
              <w:jc w:val="center"/>
              <w:rPr>
                <w:rFonts w:eastAsia="Times New Roman" w:cstheme="minorHAnsi"/>
                <w:sz w:val="24"/>
                <w:szCs w:val="24"/>
              </w:rPr>
            </w:pPr>
            <w:r w:rsidRPr="003941AA">
              <w:rPr>
                <w:rFonts w:eastAsia="Times New Roman" w:cstheme="minorHAnsi"/>
                <w:sz w:val="24"/>
                <w:szCs w:val="24"/>
              </w:rPr>
              <w:t>Junio de 2021</w:t>
            </w:r>
          </w:p>
        </w:tc>
        <w:tc>
          <w:tcPr>
            <w:tcW w:w="7818" w:type="dxa"/>
          </w:tcPr>
          <w:p w14:paraId="717F32B0" w14:textId="4BE84777" w:rsidR="00E25E19" w:rsidRPr="003941AA" w:rsidRDefault="00E25E19" w:rsidP="003941AA">
            <w:pPr>
              <w:rPr>
                <w:rFonts w:eastAsia="Times New Roman" w:cstheme="minorHAnsi"/>
                <w:sz w:val="24"/>
                <w:szCs w:val="24"/>
              </w:rPr>
            </w:pPr>
            <w:r w:rsidRPr="003941AA">
              <w:rPr>
                <w:rFonts w:eastAsia="Times New Roman" w:cstheme="minorHAnsi"/>
                <w:sz w:val="24"/>
                <w:szCs w:val="24"/>
              </w:rPr>
              <w:t xml:space="preserve">José Caicedo </w:t>
            </w:r>
            <w:proofErr w:type="spellStart"/>
            <w:r w:rsidRPr="003941AA">
              <w:rPr>
                <w:rFonts w:eastAsia="Times New Roman" w:cstheme="minorHAnsi"/>
                <w:sz w:val="24"/>
                <w:szCs w:val="24"/>
              </w:rPr>
              <w:t>Sastoque</w:t>
            </w:r>
            <w:proofErr w:type="spellEnd"/>
            <w:r w:rsidRPr="003941AA">
              <w:rPr>
                <w:rFonts w:eastAsia="Times New Roman" w:cstheme="minorHAnsi"/>
                <w:sz w:val="24"/>
                <w:szCs w:val="24"/>
              </w:rPr>
              <w:t xml:space="preserve"> del Partido de la U: La Corte Suprema dictó medida de aseguramiento contra Caicedo </w:t>
            </w:r>
            <w:proofErr w:type="spellStart"/>
            <w:r w:rsidRPr="003941AA">
              <w:rPr>
                <w:rFonts w:eastAsia="Times New Roman" w:cstheme="minorHAnsi"/>
                <w:sz w:val="24"/>
                <w:szCs w:val="24"/>
              </w:rPr>
              <w:t>Sastoque</w:t>
            </w:r>
            <w:proofErr w:type="spellEnd"/>
            <w:r w:rsidRPr="003941AA">
              <w:rPr>
                <w:rFonts w:eastAsia="Times New Roman" w:cstheme="minorHAnsi"/>
                <w:sz w:val="24"/>
                <w:szCs w:val="24"/>
              </w:rPr>
              <w:t xml:space="preserve"> por contrato sin cumplimiento de requisitos legales y peculado por apropiación en el marco de la investigación por hechos ocurridos cuando fue alcalde de Zipaquirá entre 2004-2007.</w:t>
            </w:r>
          </w:p>
        </w:tc>
      </w:tr>
      <w:tr w:rsidR="00E25E19" w:rsidRPr="003941AA" w14:paraId="2650B482" w14:textId="77777777" w:rsidTr="00E25E19">
        <w:tc>
          <w:tcPr>
            <w:tcW w:w="2972" w:type="dxa"/>
          </w:tcPr>
          <w:p w14:paraId="0B1000D7" w14:textId="6CDC6235" w:rsidR="00E25E19" w:rsidRPr="003941AA" w:rsidRDefault="00E25E19" w:rsidP="00E25E19">
            <w:pPr>
              <w:jc w:val="center"/>
              <w:rPr>
                <w:rFonts w:eastAsia="Times New Roman" w:cstheme="minorHAnsi"/>
                <w:sz w:val="24"/>
                <w:szCs w:val="24"/>
              </w:rPr>
            </w:pPr>
            <w:r w:rsidRPr="003941AA">
              <w:rPr>
                <w:rFonts w:eastAsia="Times New Roman" w:cstheme="minorHAnsi"/>
                <w:sz w:val="24"/>
                <w:szCs w:val="24"/>
              </w:rPr>
              <w:t>Julio de 2021</w:t>
            </w:r>
          </w:p>
        </w:tc>
        <w:tc>
          <w:tcPr>
            <w:tcW w:w="7818" w:type="dxa"/>
          </w:tcPr>
          <w:p w14:paraId="7FFCF505" w14:textId="1CB42EB8" w:rsidR="00E25E19" w:rsidRPr="003941AA" w:rsidRDefault="003941AA" w:rsidP="003941AA">
            <w:pPr>
              <w:jc w:val="both"/>
              <w:rPr>
                <w:rFonts w:eastAsia="Times New Roman" w:cstheme="minorHAnsi"/>
                <w:sz w:val="24"/>
                <w:szCs w:val="24"/>
              </w:rPr>
            </w:pPr>
            <w:r w:rsidRPr="003941AA">
              <w:rPr>
                <w:rFonts w:eastAsia="Times New Roman" w:cstheme="minorHAnsi"/>
                <w:sz w:val="24"/>
                <w:szCs w:val="24"/>
              </w:rPr>
              <w:t>Richard Aguilar de Cambio Radical: la Corte Suprema dictó medida de aseguramiento para el senador por celebración indebida de contratos, otros sin requisitos legales, concierto para delinquir y peculado. El senador presentó su renuncia al Congreso y el proceso sigue en curso.</w:t>
            </w:r>
          </w:p>
        </w:tc>
      </w:tr>
      <w:tr w:rsidR="00E25E19" w:rsidRPr="003941AA" w14:paraId="3C8C9631" w14:textId="77777777" w:rsidTr="00E25E19">
        <w:tc>
          <w:tcPr>
            <w:tcW w:w="2972" w:type="dxa"/>
          </w:tcPr>
          <w:p w14:paraId="434D1A21" w14:textId="47BF0D8F" w:rsidR="00E25E19" w:rsidRPr="003941AA" w:rsidRDefault="003941AA" w:rsidP="00E25E19">
            <w:pPr>
              <w:jc w:val="center"/>
              <w:rPr>
                <w:rFonts w:eastAsia="Times New Roman" w:cstheme="minorHAnsi"/>
                <w:sz w:val="24"/>
                <w:szCs w:val="24"/>
              </w:rPr>
            </w:pPr>
            <w:r w:rsidRPr="003941AA">
              <w:rPr>
                <w:rFonts w:eastAsia="Times New Roman" w:cstheme="minorHAnsi"/>
                <w:sz w:val="24"/>
                <w:szCs w:val="24"/>
              </w:rPr>
              <w:t>Septiembre de 2021</w:t>
            </w:r>
          </w:p>
        </w:tc>
        <w:tc>
          <w:tcPr>
            <w:tcW w:w="7818" w:type="dxa"/>
          </w:tcPr>
          <w:p w14:paraId="7FF030C9" w14:textId="50412A31" w:rsidR="00E25E19" w:rsidRPr="003941AA" w:rsidRDefault="003941AA" w:rsidP="003941AA">
            <w:pPr>
              <w:jc w:val="both"/>
              <w:rPr>
                <w:rFonts w:eastAsia="Times New Roman" w:cstheme="minorHAnsi"/>
                <w:sz w:val="24"/>
                <w:szCs w:val="24"/>
              </w:rPr>
            </w:pPr>
            <w:r w:rsidRPr="003941AA">
              <w:rPr>
                <w:rFonts w:eastAsia="Times New Roman" w:cstheme="minorHAnsi"/>
                <w:sz w:val="24"/>
                <w:szCs w:val="24"/>
              </w:rPr>
              <w:t>Presentó su carta de renuncia a la Cámara de Representantes de manera irrevocable por la investigación que se adelanta en su contra la Corte Suprema de Justicia por hechos relacionados con la Empresa de Servicios Públicos de Santander cuando fue gerente de la misma.</w:t>
            </w:r>
          </w:p>
        </w:tc>
      </w:tr>
    </w:tbl>
    <w:p w14:paraId="0C279287" w14:textId="246DF811" w:rsidR="00E25E19" w:rsidRPr="003941AA" w:rsidRDefault="003941AA" w:rsidP="00E04C1B">
      <w:pPr>
        <w:pBdr>
          <w:top w:val="nil"/>
          <w:left w:val="nil"/>
          <w:bottom w:val="nil"/>
          <w:right w:val="nil"/>
          <w:between w:val="nil"/>
        </w:pBdr>
        <w:jc w:val="both"/>
        <w:rPr>
          <w:rFonts w:eastAsia="Times New Roman" w:cstheme="minorHAnsi"/>
          <w:sz w:val="24"/>
          <w:szCs w:val="24"/>
        </w:rPr>
      </w:pPr>
      <w:r w:rsidRPr="003941AA">
        <w:rPr>
          <w:rFonts w:eastAsia="Times New Roman" w:cstheme="minorHAnsi"/>
          <w:sz w:val="24"/>
          <w:szCs w:val="24"/>
        </w:rPr>
        <w:t xml:space="preserve">Fuentes: Semana y </w:t>
      </w:r>
      <w:proofErr w:type="spellStart"/>
      <w:r w:rsidRPr="003941AA">
        <w:rPr>
          <w:rFonts w:eastAsia="Times New Roman" w:cstheme="minorHAnsi"/>
          <w:sz w:val="24"/>
          <w:szCs w:val="24"/>
        </w:rPr>
        <w:t>KienyKe</w:t>
      </w:r>
      <w:proofErr w:type="spellEnd"/>
      <w:r w:rsidRPr="003941AA">
        <w:rPr>
          <w:rFonts w:eastAsia="Times New Roman" w:cstheme="minorHAnsi"/>
          <w:sz w:val="24"/>
          <w:szCs w:val="24"/>
        </w:rPr>
        <w:t xml:space="preserve">. </w:t>
      </w:r>
      <w:hyperlink r:id="rId9" w:history="1">
        <w:r w:rsidRPr="003941AA">
          <w:rPr>
            <w:rStyle w:val="Hipervnculo"/>
            <w:rFonts w:eastAsia="Times New Roman" w:cstheme="minorHAnsi"/>
            <w:sz w:val="24"/>
            <w:szCs w:val="24"/>
          </w:rPr>
          <w:t>https://www.kienyke.com/politica/proyecto-evitaria-que-congresistas-huyan-de-la-corte-suprema</w:t>
        </w:r>
      </w:hyperlink>
      <w:r w:rsidRPr="003941AA">
        <w:rPr>
          <w:rFonts w:eastAsia="Times New Roman" w:cstheme="minorHAnsi"/>
          <w:sz w:val="24"/>
          <w:szCs w:val="24"/>
        </w:rPr>
        <w:t xml:space="preserve"> </w:t>
      </w:r>
      <w:hyperlink r:id="rId10" w:history="1">
        <w:r w:rsidRPr="003941AA">
          <w:rPr>
            <w:rStyle w:val="Hipervnculo"/>
            <w:rFonts w:eastAsia="Times New Roman" w:cstheme="minorHAnsi"/>
            <w:sz w:val="24"/>
            <w:szCs w:val="24"/>
          </w:rPr>
          <w:t>https://www.semana.com/nacion/articulo/lo-ultimo-edwin-ballesteros-renuncio-a-la-camara-de-representantes/202122/</w:t>
        </w:r>
      </w:hyperlink>
    </w:p>
    <w:p w14:paraId="313E04BE" w14:textId="77777777" w:rsidR="003941AA" w:rsidRPr="003941AA" w:rsidRDefault="003941AA" w:rsidP="00E04C1B">
      <w:pPr>
        <w:pBdr>
          <w:top w:val="nil"/>
          <w:left w:val="nil"/>
          <w:bottom w:val="nil"/>
          <w:right w:val="nil"/>
          <w:between w:val="nil"/>
        </w:pBdr>
        <w:jc w:val="both"/>
        <w:rPr>
          <w:rFonts w:eastAsia="Times New Roman" w:cstheme="minorHAnsi"/>
          <w:sz w:val="24"/>
          <w:szCs w:val="24"/>
        </w:rPr>
      </w:pPr>
    </w:p>
    <w:p w14:paraId="4DB938BE" w14:textId="3F2B83F4" w:rsidR="00B17609" w:rsidRPr="003941AA" w:rsidRDefault="00B17609" w:rsidP="00C50522">
      <w:pPr>
        <w:pStyle w:val="Ttulo1"/>
        <w:numPr>
          <w:ilvl w:val="1"/>
          <w:numId w:val="1"/>
        </w:numPr>
        <w:tabs>
          <w:tab w:val="left" w:pos="1181"/>
          <w:tab w:val="left" w:pos="1182"/>
        </w:tabs>
        <w:jc w:val="both"/>
        <w:rPr>
          <w:rFonts w:cstheme="minorHAnsi"/>
        </w:rPr>
      </w:pPr>
      <w:r w:rsidRPr="003941AA">
        <w:rPr>
          <w:rFonts w:cstheme="minorHAnsi"/>
        </w:rPr>
        <w:t xml:space="preserve">CONFLICTO DE INTERESES </w:t>
      </w:r>
    </w:p>
    <w:p w14:paraId="5CCC9E30" w14:textId="77777777" w:rsidR="00B17609" w:rsidRPr="003941AA" w:rsidRDefault="00B17609" w:rsidP="00C50522">
      <w:pPr>
        <w:pStyle w:val="Ttulo1"/>
        <w:tabs>
          <w:tab w:val="left" w:pos="1181"/>
          <w:tab w:val="left" w:pos="1182"/>
        </w:tabs>
        <w:jc w:val="both"/>
        <w:rPr>
          <w:rFonts w:cstheme="minorHAnsi"/>
          <w:b w:val="0"/>
        </w:rPr>
      </w:pPr>
      <w:r w:rsidRPr="003941AA">
        <w:rPr>
          <w:rFonts w:cstheme="minorHAnsi"/>
          <w:b w:val="0"/>
        </w:rPr>
        <w:t>Siguiendo lo dispuesto por el artículo 3 de la Ley 2003 de 2019, que modifica el artículo 291 de la Ley 5 de 1992, en que se dispone incluir un acápite que describa las circunstancias o eventos que podrían generar un conflicto de interés para la discusión y votación de proyectos de ley, de acuerdo al artículo 286, se plantea lo siguiente:</w:t>
      </w:r>
    </w:p>
    <w:p w14:paraId="03720E39" w14:textId="5FCBD6F1" w:rsidR="00B17609" w:rsidRPr="003941AA" w:rsidRDefault="00B17609" w:rsidP="00C50522">
      <w:pPr>
        <w:pStyle w:val="Ttulo1"/>
        <w:tabs>
          <w:tab w:val="left" w:pos="1181"/>
          <w:tab w:val="left" w:pos="1182"/>
        </w:tabs>
        <w:ind w:left="0"/>
        <w:jc w:val="both"/>
        <w:rPr>
          <w:rFonts w:cstheme="minorHAnsi"/>
          <w:b w:val="0"/>
        </w:rPr>
      </w:pPr>
      <w:r w:rsidRPr="003941AA">
        <w:rPr>
          <w:rFonts w:cstheme="minorHAnsi"/>
          <w:b w:val="0"/>
        </w:rPr>
        <w:t>El ponente considera que esta iniciativa no conlleva beneficios de tipo particular, actual y/o directo, en los términos de los literales a) y c) del artículo 286 de la Ley 5 de 1992. Sin perjuicio de lo anterior, en todo caso, los congresistas podrán manifestar cualesquiera otras razones que consideren como causales de impedimento.</w:t>
      </w:r>
    </w:p>
    <w:p w14:paraId="64B14DF2" w14:textId="0ACA93C6" w:rsidR="008E7A03" w:rsidRPr="003941AA" w:rsidRDefault="00847A65" w:rsidP="00C50522">
      <w:pPr>
        <w:pStyle w:val="Ttulo1"/>
        <w:numPr>
          <w:ilvl w:val="1"/>
          <w:numId w:val="1"/>
        </w:numPr>
        <w:tabs>
          <w:tab w:val="left" w:pos="1181"/>
          <w:tab w:val="left" w:pos="1182"/>
        </w:tabs>
        <w:jc w:val="both"/>
        <w:rPr>
          <w:rFonts w:eastAsia="Times New Roman" w:cstheme="minorHAnsi"/>
          <w:b w:val="0"/>
        </w:rPr>
      </w:pPr>
      <w:r w:rsidRPr="003941AA">
        <w:rPr>
          <w:rFonts w:eastAsia="Times New Roman" w:cstheme="minorHAnsi"/>
        </w:rPr>
        <w:t>PROPOSICIÓN</w:t>
      </w:r>
    </w:p>
    <w:p w14:paraId="010821B2" w14:textId="77777777" w:rsidR="008E7A03" w:rsidRPr="003941AA" w:rsidRDefault="008E7A03" w:rsidP="00C50522">
      <w:pPr>
        <w:pBdr>
          <w:top w:val="nil"/>
          <w:left w:val="nil"/>
          <w:bottom w:val="nil"/>
          <w:right w:val="nil"/>
          <w:between w:val="nil"/>
        </w:pBdr>
        <w:rPr>
          <w:rFonts w:eastAsia="Times New Roman" w:cstheme="minorHAnsi"/>
          <w:b/>
          <w:sz w:val="24"/>
          <w:szCs w:val="24"/>
        </w:rPr>
      </w:pPr>
    </w:p>
    <w:p w14:paraId="322DD7AF" w14:textId="2C328260" w:rsidR="00754A54" w:rsidRPr="003941AA" w:rsidRDefault="00847A65" w:rsidP="00C50522">
      <w:pPr>
        <w:pBdr>
          <w:top w:val="nil"/>
          <w:left w:val="nil"/>
          <w:bottom w:val="nil"/>
          <w:right w:val="nil"/>
          <w:between w:val="nil"/>
        </w:pBdr>
        <w:ind w:left="102" w:right="118"/>
        <w:jc w:val="both"/>
        <w:rPr>
          <w:rFonts w:eastAsia="Times New Roman" w:cstheme="minorHAnsi"/>
          <w:sz w:val="24"/>
          <w:szCs w:val="24"/>
        </w:rPr>
      </w:pPr>
      <w:r w:rsidRPr="003941AA">
        <w:rPr>
          <w:rFonts w:eastAsia="Times New Roman" w:cstheme="minorHAnsi"/>
          <w:sz w:val="24"/>
          <w:szCs w:val="24"/>
        </w:rPr>
        <w:lastRenderedPageBreak/>
        <w:t>En virtud de las consideraciones anteriormente expuestas, solicito a la Honorable Comisión Primera Constitucional de la Cámara de Representantes dar primer debate</w:t>
      </w:r>
      <w:r w:rsidR="00B17609" w:rsidRPr="003941AA">
        <w:rPr>
          <w:rFonts w:eastAsia="Times New Roman" w:cstheme="minorHAnsi"/>
          <w:sz w:val="24"/>
          <w:szCs w:val="24"/>
        </w:rPr>
        <w:t xml:space="preserve"> al</w:t>
      </w:r>
      <w:r w:rsidRPr="003941AA">
        <w:rPr>
          <w:rFonts w:eastAsia="Times New Roman" w:cstheme="minorHAnsi"/>
          <w:sz w:val="24"/>
          <w:szCs w:val="24"/>
        </w:rPr>
        <w:t xml:space="preserve"> </w:t>
      </w:r>
      <w:r w:rsidR="002C2986" w:rsidRPr="003941AA">
        <w:rPr>
          <w:rFonts w:eastAsia="Times New Roman" w:cstheme="minorHAnsi"/>
          <w:sz w:val="24"/>
          <w:szCs w:val="24"/>
        </w:rPr>
        <w:t>Proyecto de Acto Legislativo No.214 de 2021 Cámara “Por medio del cual se regula el Fuero de Congresistas”</w:t>
      </w:r>
    </w:p>
    <w:p w14:paraId="6907EAA3" w14:textId="6FC16D8B" w:rsidR="00754A54" w:rsidRPr="003941AA" w:rsidRDefault="00754A54" w:rsidP="00C50522">
      <w:pPr>
        <w:pBdr>
          <w:top w:val="nil"/>
          <w:left w:val="nil"/>
          <w:bottom w:val="nil"/>
          <w:right w:val="nil"/>
          <w:between w:val="nil"/>
        </w:pBdr>
        <w:ind w:left="102" w:right="118"/>
        <w:jc w:val="both"/>
        <w:rPr>
          <w:rFonts w:eastAsia="Times New Roman" w:cstheme="minorHAnsi"/>
          <w:sz w:val="24"/>
          <w:szCs w:val="24"/>
        </w:rPr>
      </w:pPr>
    </w:p>
    <w:p w14:paraId="6A9450C6" w14:textId="56EBAFB1" w:rsidR="00754A54" w:rsidRPr="003941AA" w:rsidRDefault="00754A54" w:rsidP="00C50522">
      <w:pPr>
        <w:pBdr>
          <w:top w:val="nil"/>
          <w:left w:val="nil"/>
          <w:bottom w:val="nil"/>
          <w:right w:val="nil"/>
          <w:between w:val="nil"/>
        </w:pBdr>
        <w:ind w:left="102" w:right="118"/>
        <w:jc w:val="both"/>
        <w:rPr>
          <w:rFonts w:eastAsia="Times New Roman" w:cstheme="minorHAnsi"/>
          <w:sz w:val="24"/>
          <w:szCs w:val="24"/>
        </w:rPr>
      </w:pPr>
    </w:p>
    <w:p w14:paraId="2AC00B7E" w14:textId="7C46E695" w:rsidR="00754A54" w:rsidRPr="003941AA" w:rsidRDefault="00754A54" w:rsidP="00C50522">
      <w:pPr>
        <w:pBdr>
          <w:top w:val="nil"/>
          <w:left w:val="nil"/>
          <w:bottom w:val="nil"/>
          <w:right w:val="nil"/>
          <w:between w:val="nil"/>
        </w:pBdr>
        <w:ind w:left="102" w:right="118"/>
        <w:jc w:val="both"/>
        <w:rPr>
          <w:rFonts w:eastAsia="Times New Roman" w:cstheme="minorHAnsi"/>
          <w:sz w:val="24"/>
          <w:szCs w:val="24"/>
        </w:rPr>
      </w:pPr>
      <w:r w:rsidRPr="003941AA">
        <w:rPr>
          <w:rFonts w:eastAsia="Times New Roman" w:cstheme="minorHAnsi"/>
          <w:sz w:val="24"/>
          <w:szCs w:val="24"/>
        </w:rPr>
        <w:t xml:space="preserve">Atentamente, </w:t>
      </w:r>
    </w:p>
    <w:p w14:paraId="41224B72" w14:textId="77777777" w:rsidR="008E7A03" w:rsidRPr="003941AA" w:rsidRDefault="008E7A03" w:rsidP="00C50522">
      <w:pPr>
        <w:pBdr>
          <w:top w:val="nil"/>
          <w:left w:val="nil"/>
          <w:bottom w:val="nil"/>
          <w:right w:val="nil"/>
          <w:between w:val="nil"/>
        </w:pBdr>
        <w:rPr>
          <w:rFonts w:eastAsia="Times New Roman" w:cstheme="minorHAnsi"/>
          <w:sz w:val="24"/>
          <w:szCs w:val="24"/>
        </w:rPr>
      </w:pPr>
    </w:p>
    <w:tbl>
      <w:tblPr>
        <w:tblStyle w:val="TableNormal0"/>
        <w:tblW w:w="0" w:type="auto"/>
        <w:tblLook w:val="04A0" w:firstRow="1" w:lastRow="0" w:firstColumn="1" w:lastColumn="0" w:noHBand="0" w:noVBand="1"/>
      </w:tblPr>
      <w:tblGrid>
        <w:gridCol w:w="4525"/>
      </w:tblGrid>
      <w:tr w:rsidR="00AE5848" w:rsidRPr="003941AA" w14:paraId="48D914A8" w14:textId="77777777" w:rsidTr="00EF47C1">
        <w:tc>
          <w:tcPr>
            <w:tcW w:w="4525" w:type="dxa"/>
          </w:tcPr>
          <w:p w14:paraId="20D3A2C1" w14:textId="12EDA5C1" w:rsidR="00AE5848" w:rsidRPr="003941AA" w:rsidRDefault="00AE5848" w:rsidP="00C50522">
            <w:pPr>
              <w:pStyle w:val="Ttulo1"/>
              <w:rPr>
                <w:rFonts w:eastAsia="Times New Roman" w:cstheme="minorHAnsi"/>
              </w:rPr>
            </w:pPr>
          </w:p>
          <w:p w14:paraId="41FCAA84" w14:textId="152655C9" w:rsidR="00120C7F" w:rsidRPr="003941AA" w:rsidRDefault="00120C7F" w:rsidP="00C50522">
            <w:pPr>
              <w:pStyle w:val="Ttulo1"/>
              <w:rPr>
                <w:rFonts w:eastAsia="Times New Roman" w:cstheme="minorHAnsi"/>
              </w:rPr>
            </w:pPr>
          </w:p>
          <w:p w14:paraId="7AB5AC99" w14:textId="77777777" w:rsidR="00120C7F" w:rsidRPr="003941AA" w:rsidRDefault="00120C7F" w:rsidP="00C50522">
            <w:pPr>
              <w:pStyle w:val="Ttulo1"/>
              <w:rPr>
                <w:rFonts w:eastAsia="Times New Roman" w:cstheme="minorHAnsi"/>
              </w:rPr>
            </w:pPr>
          </w:p>
          <w:p w14:paraId="6A0E4677" w14:textId="389E0286" w:rsidR="00AE5848" w:rsidRPr="003941AA" w:rsidRDefault="00AE5848" w:rsidP="00C50522">
            <w:pPr>
              <w:pStyle w:val="Ttulo1"/>
              <w:rPr>
                <w:rFonts w:eastAsia="Times New Roman" w:cstheme="minorHAnsi"/>
              </w:rPr>
            </w:pPr>
            <w:r w:rsidRPr="003941AA">
              <w:rPr>
                <w:rFonts w:eastAsia="Times New Roman" w:cstheme="minorHAnsi"/>
              </w:rPr>
              <w:t>INTI RAÚL ASPRILLA REYES</w:t>
            </w:r>
          </w:p>
          <w:p w14:paraId="40B22AEE" w14:textId="77777777" w:rsidR="00AE5848" w:rsidRPr="003941AA" w:rsidRDefault="00AE5848"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sz w:val="24"/>
                <w:szCs w:val="24"/>
              </w:rPr>
              <w:t>Representante a la Cámara por Bogotá</w:t>
            </w:r>
          </w:p>
          <w:p w14:paraId="0E25D54A" w14:textId="77777777" w:rsidR="00AE5848" w:rsidRPr="003941AA" w:rsidRDefault="00AE5848" w:rsidP="00C50522">
            <w:pPr>
              <w:rPr>
                <w:rFonts w:eastAsia="Times New Roman" w:cstheme="minorHAnsi"/>
                <w:sz w:val="24"/>
                <w:szCs w:val="24"/>
              </w:rPr>
            </w:pPr>
          </w:p>
        </w:tc>
      </w:tr>
    </w:tbl>
    <w:p w14:paraId="29FA2032" w14:textId="77777777" w:rsidR="008E7A03" w:rsidRPr="003941AA" w:rsidRDefault="008E7A03" w:rsidP="00C50522">
      <w:pPr>
        <w:pBdr>
          <w:top w:val="nil"/>
          <w:left w:val="nil"/>
          <w:bottom w:val="nil"/>
          <w:right w:val="nil"/>
          <w:between w:val="nil"/>
        </w:pBdr>
        <w:rPr>
          <w:rFonts w:eastAsia="Times New Roman" w:cstheme="minorHAnsi"/>
          <w:sz w:val="24"/>
          <w:szCs w:val="24"/>
        </w:rPr>
      </w:pPr>
    </w:p>
    <w:p w14:paraId="7BB1F587" w14:textId="3CD6AC7A" w:rsidR="008E7A03" w:rsidRPr="003941AA" w:rsidRDefault="008E7A03" w:rsidP="00C50522">
      <w:pPr>
        <w:pBdr>
          <w:top w:val="nil"/>
          <w:left w:val="nil"/>
          <w:bottom w:val="nil"/>
          <w:right w:val="nil"/>
          <w:between w:val="nil"/>
        </w:pBdr>
        <w:ind w:left="102"/>
        <w:rPr>
          <w:rFonts w:eastAsia="Times New Roman" w:cstheme="minorHAnsi"/>
          <w:sz w:val="24"/>
          <w:szCs w:val="24"/>
        </w:rPr>
      </w:pPr>
    </w:p>
    <w:p w14:paraId="12A397DE" w14:textId="238C35F8" w:rsidR="00AE5848" w:rsidRPr="003941AA" w:rsidRDefault="00AE5848" w:rsidP="00C50522">
      <w:pPr>
        <w:pBdr>
          <w:top w:val="nil"/>
          <w:left w:val="nil"/>
          <w:bottom w:val="nil"/>
          <w:right w:val="nil"/>
          <w:between w:val="nil"/>
        </w:pBdr>
        <w:ind w:left="102"/>
        <w:rPr>
          <w:rFonts w:eastAsia="Times New Roman" w:cstheme="minorHAnsi"/>
          <w:sz w:val="24"/>
          <w:szCs w:val="24"/>
        </w:rPr>
      </w:pPr>
    </w:p>
    <w:p w14:paraId="54FF362C" w14:textId="5DCE0FF9"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4547A311" w14:textId="68479452"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1D120321" w14:textId="570ECDB2"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6DF61528" w14:textId="1496842A"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6D58F0A2" w14:textId="08146B98"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127059B3" w14:textId="7B2DD355"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281163A2" w14:textId="3E280C27"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216706E4" w14:textId="088020B0"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3672BAD5" w14:textId="6A764E60"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57A9A046" w14:textId="217690BF"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5C9BB7C4" w14:textId="5CE5C5E0"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75E4FCE3" w14:textId="6CC67A7C"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1555E827" w14:textId="1BB7D273"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761134AE" w14:textId="1967B62D" w:rsidR="00B17609" w:rsidRDefault="00B17609" w:rsidP="00C50522">
      <w:pPr>
        <w:pBdr>
          <w:top w:val="nil"/>
          <w:left w:val="nil"/>
          <w:bottom w:val="nil"/>
          <w:right w:val="nil"/>
          <w:between w:val="nil"/>
        </w:pBdr>
        <w:ind w:left="102"/>
        <w:rPr>
          <w:rFonts w:eastAsia="Times New Roman" w:cstheme="minorHAnsi"/>
          <w:sz w:val="24"/>
          <w:szCs w:val="24"/>
        </w:rPr>
      </w:pPr>
    </w:p>
    <w:p w14:paraId="3AC49512" w14:textId="22979A46" w:rsidR="003941AA" w:rsidRDefault="003941AA" w:rsidP="00C50522">
      <w:pPr>
        <w:pBdr>
          <w:top w:val="nil"/>
          <w:left w:val="nil"/>
          <w:bottom w:val="nil"/>
          <w:right w:val="nil"/>
          <w:between w:val="nil"/>
        </w:pBdr>
        <w:ind w:left="102"/>
        <w:rPr>
          <w:rFonts w:eastAsia="Times New Roman" w:cstheme="minorHAnsi"/>
          <w:sz w:val="24"/>
          <w:szCs w:val="24"/>
        </w:rPr>
      </w:pPr>
    </w:p>
    <w:p w14:paraId="2D0634E4" w14:textId="6227D0EA" w:rsidR="003941AA" w:rsidRDefault="003941AA" w:rsidP="00C50522">
      <w:pPr>
        <w:pBdr>
          <w:top w:val="nil"/>
          <w:left w:val="nil"/>
          <w:bottom w:val="nil"/>
          <w:right w:val="nil"/>
          <w:between w:val="nil"/>
        </w:pBdr>
        <w:ind w:left="102"/>
        <w:rPr>
          <w:rFonts w:eastAsia="Times New Roman" w:cstheme="minorHAnsi"/>
          <w:sz w:val="24"/>
          <w:szCs w:val="24"/>
        </w:rPr>
      </w:pPr>
    </w:p>
    <w:p w14:paraId="2C8682CA" w14:textId="3F545ACC" w:rsidR="003941AA" w:rsidRDefault="003941AA" w:rsidP="00C50522">
      <w:pPr>
        <w:pBdr>
          <w:top w:val="nil"/>
          <w:left w:val="nil"/>
          <w:bottom w:val="nil"/>
          <w:right w:val="nil"/>
          <w:between w:val="nil"/>
        </w:pBdr>
        <w:ind w:left="102"/>
        <w:rPr>
          <w:rFonts w:eastAsia="Times New Roman" w:cstheme="minorHAnsi"/>
          <w:sz w:val="24"/>
          <w:szCs w:val="24"/>
        </w:rPr>
      </w:pPr>
    </w:p>
    <w:p w14:paraId="222C0EAA" w14:textId="77777777" w:rsidR="003941AA" w:rsidRPr="003941AA" w:rsidRDefault="003941AA" w:rsidP="00C50522">
      <w:pPr>
        <w:pBdr>
          <w:top w:val="nil"/>
          <w:left w:val="nil"/>
          <w:bottom w:val="nil"/>
          <w:right w:val="nil"/>
          <w:between w:val="nil"/>
        </w:pBdr>
        <w:ind w:left="102"/>
        <w:rPr>
          <w:rFonts w:eastAsia="Times New Roman" w:cstheme="minorHAnsi"/>
          <w:sz w:val="24"/>
          <w:szCs w:val="24"/>
        </w:rPr>
      </w:pPr>
    </w:p>
    <w:p w14:paraId="765742A7" w14:textId="0CA4E560"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2D004C26" w14:textId="7F761116"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6F7A7D8A" w14:textId="492EFD69"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2ABC7CBD" w14:textId="77777777" w:rsidR="00B17609" w:rsidRPr="003941AA" w:rsidRDefault="00B17609" w:rsidP="00C50522">
      <w:pPr>
        <w:pBdr>
          <w:top w:val="nil"/>
          <w:left w:val="nil"/>
          <w:bottom w:val="nil"/>
          <w:right w:val="nil"/>
          <w:between w:val="nil"/>
        </w:pBdr>
        <w:ind w:left="102"/>
        <w:rPr>
          <w:rFonts w:eastAsia="Times New Roman" w:cstheme="minorHAnsi"/>
          <w:sz w:val="24"/>
          <w:szCs w:val="24"/>
        </w:rPr>
      </w:pPr>
    </w:p>
    <w:p w14:paraId="628C413F" w14:textId="39B0095F" w:rsidR="00AE5848" w:rsidRPr="003941AA" w:rsidRDefault="00AE5848" w:rsidP="00C50522">
      <w:pPr>
        <w:pBdr>
          <w:top w:val="nil"/>
          <w:left w:val="nil"/>
          <w:bottom w:val="nil"/>
          <w:right w:val="nil"/>
          <w:between w:val="nil"/>
        </w:pBdr>
        <w:ind w:left="102"/>
        <w:rPr>
          <w:rFonts w:eastAsia="Times New Roman" w:cstheme="minorHAnsi"/>
          <w:sz w:val="24"/>
          <w:szCs w:val="24"/>
        </w:rPr>
      </w:pPr>
    </w:p>
    <w:p w14:paraId="3164422D" w14:textId="4D586990" w:rsidR="00AE5848" w:rsidRPr="003941AA" w:rsidRDefault="00AE5848" w:rsidP="00C50522">
      <w:pPr>
        <w:pBdr>
          <w:top w:val="nil"/>
          <w:left w:val="nil"/>
          <w:bottom w:val="nil"/>
          <w:right w:val="nil"/>
          <w:between w:val="nil"/>
        </w:pBdr>
        <w:ind w:left="102"/>
        <w:rPr>
          <w:rFonts w:eastAsia="Times New Roman" w:cstheme="minorHAnsi"/>
          <w:sz w:val="24"/>
          <w:szCs w:val="24"/>
        </w:rPr>
      </w:pPr>
    </w:p>
    <w:p w14:paraId="2F545C58" w14:textId="37B8F33E" w:rsidR="008E7A03" w:rsidRPr="003941AA" w:rsidRDefault="002C2986" w:rsidP="00C50522">
      <w:pPr>
        <w:ind w:left="154" w:right="172" w:hanging="3"/>
        <w:jc w:val="center"/>
        <w:rPr>
          <w:rFonts w:eastAsia="Times New Roman" w:cstheme="minorHAnsi"/>
          <w:b/>
          <w:sz w:val="24"/>
          <w:szCs w:val="24"/>
        </w:rPr>
      </w:pPr>
      <w:r w:rsidRPr="003941AA">
        <w:rPr>
          <w:rFonts w:eastAsia="Times New Roman" w:cstheme="minorHAnsi"/>
          <w:b/>
          <w:sz w:val="24"/>
          <w:szCs w:val="24"/>
        </w:rPr>
        <w:lastRenderedPageBreak/>
        <w:t>TEXTO PROPUESTO PARA PRIMER DEBATE EN CÁMARA DEL PROYECTO DE ACTO LEGISLATIVO NO.214 DE 2021 CÁMARA “POR MEDIO DEL CUAL SE REGULA EL FUERO DE CONGRESISTAS”</w:t>
      </w:r>
    </w:p>
    <w:p w14:paraId="68D8E80A" w14:textId="77777777" w:rsidR="002C2986" w:rsidRPr="003941AA" w:rsidRDefault="002C2986" w:rsidP="00C50522">
      <w:pPr>
        <w:ind w:left="154" w:right="172" w:hanging="3"/>
        <w:jc w:val="center"/>
        <w:rPr>
          <w:rFonts w:eastAsia="Times New Roman" w:cstheme="minorHAnsi"/>
          <w:b/>
          <w:sz w:val="24"/>
          <w:szCs w:val="24"/>
        </w:rPr>
      </w:pPr>
    </w:p>
    <w:p w14:paraId="526764E0" w14:textId="7A214174" w:rsidR="008E7A03" w:rsidRPr="003941AA" w:rsidRDefault="00847A65" w:rsidP="00C50522">
      <w:pPr>
        <w:ind w:left="154" w:right="172" w:hanging="3"/>
        <w:jc w:val="center"/>
        <w:rPr>
          <w:rFonts w:eastAsia="Times New Roman" w:cstheme="minorHAnsi"/>
          <w:b/>
          <w:sz w:val="24"/>
          <w:szCs w:val="24"/>
        </w:rPr>
      </w:pPr>
      <w:r w:rsidRPr="003941AA">
        <w:rPr>
          <w:rFonts w:eastAsia="Times New Roman" w:cstheme="minorHAnsi"/>
          <w:b/>
          <w:sz w:val="24"/>
          <w:szCs w:val="24"/>
        </w:rPr>
        <w:t>EL CONGRESO DE COLOMBIA</w:t>
      </w:r>
    </w:p>
    <w:p w14:paraId="6395B519" w14:textId="4E4B9CDC" w:rsidR="008E7A03" w:rsidRPr="003941AA" w:rsidRDefault="002C2986" w:rsidP="00C50522">
      <w:pPr>
        <w:ind w:left="154" w:right="172" w:hanging="3"/>
        <w:jc w:val="center"/>
        <w:rPr>
          <w:rFonts w:eastAsia="Times New Roman" w:cstheme="minorHAnsi"/>
          <w:b/>
          <w:sz w:val="24"/>
          <w:szCs w:val="24"/>
        </w:rPr>
      </w:pPr>
      <w:r w:rsidRPr="003941AA">
        <w:rPr>
          <w:rFonts w:eastAsia="Times New Roman" w:cstheme="minorHAnsi"/>
          <w:b/>
          <w:sz w:val="24"/>
          <w:szCs w:val="24"/>
        </w:rPr>
        <w:t>DECRETA:</w:t>
      </w:r>
    </w:p>
    <w:p w14:paraId="4A542902" w14:textId="77777777" w:rsidR="00AE5848" w:rsidRPr="003941AA" w:rsidRDefault="00AE5848" w:rsidP="00C50522">
      <w:pPr>
        <w:pBdr>
          <w:top w:val="nil"/>
          <w:left w:val="nil"/>
          <w:bottom w:val="nil"/>
          <w:right w:val="nil"/>
          <w:between w:val="nil"/>
        </w:pBdr>
        <w:ind w:left="102"/>
        <w:rPr>
          <w:rFonts w:eastAsia="Times New Roman" w:cstheme="minorHAnsi"/>
          <w:sz w:val="24"/>
          <w:szCs w:val="24"/>
        </w:rPr>
      </w:pPr>
    </w:p>
    <w:p w14:paraId="26F8CD60" w14:textId="7535B64D" w:rsidR="002C2986" w:rsidRPr="003941AA" w:rsidRDefault="00AE5848"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b/>
          <w:sz w:val="24"/>
          <w:szCs w:val="24"/>
        </w:rPr>
        <w:t>Artículo 1</w:t>
      </w:r>
      <w:r w:rsidR="00DE4D37" w:rsidRPr="003941AA">
        <w:rPr>
          <w:rFonts w:eastAsia="Times New Roman" w:cstheme="minorHAnsi"/>
          <w:b/>
          <w:sz w:val="24"/>
          <w:szCs w:val="24"/>
        </w:rPr>
        <w:t>°</w:t>
      </w:r>
      <w:r w:rsidR="002C2986" w:rsidRPr="003941AA">
        <w:rPr>
          <w:rFonts w:eastAsia="Times New Roman" w:cstheme="minorHAnsi"/>
          <w:b/>
          <w:sz w:val="24"/>
          <w:szCs w:val="24"/>
        </w:rPr>
        <w:t xml:space="preserve">. </w:t>
      </w:r>
      <w:r w:rsidR="002C2986" w:rsidRPr="003941AA">
        <w:rPr>
          <w:rFonts w:eastAsia="Times New Roman" w:cstheme="minorHAnsi"/>
          <w:sz w:val="24"/>
          <w:szCs w:val="24"/>
        </w:rPr>
        <w:t>Agréguese un parágrafo 2°al artículo 235 de la Constitución Política, el cual quedará así:</w:t>
      </w:r>
    </w:p>
    <w:p w14:paraId="35C49769" w14:textId="77777777" w:rsidR="002C2986" w:rsidRPr="003941AA" w:rsidRDefault="002C2986" w:rsidP="00C50522">
      <w:pPr>
        <w:pBdr>
          <w:top w:val="nil"/>
          <w:left w:val="nil"/>
          <w:bottom w:val="nil"/>
          <w:right w:val="nil"/>
          <w:between w:val="nil"/>
        </w:pBdr>
        <w:ind w:left="102"/>
        <w:jc w:val="both"/>
        <w:rPr>
          <w:rFonts w:eastAsia="Times New Roman" w:cstheme="minorHAnsi"/>
          <w:sz w:val="24"/>
          <w:szCs w:val="24"/>
        </w:rPr>
      </w:pPr>
    </w:p>
    <w:p w14:paraId="2DBD1BCB" w14:textId="77777777" w:rsidR="002C2986" w:rsidRPr="003941AA" w:rsidRDefault="002C2986"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b/>
          <w:sz w:val="24"/>
          <w:szCs w:val="24"/>
        </w:rPr>
        <w:t xml:space="preserve">ARTÍCULO 235. </w:t>
      </w:r>
      <w:r w:rsidRPr="003941AA">
        <w:rPr>
          <w:rFonts w:eastAsia="Times New Roman" w:cstheme="minorHAnsi"/>
          <w:sz w:val="24"/>
          <w:szCs w:val="24"/>
        </w:rPr>
        <w:t>Son atribuciones de la Corte Suprema de Justicia:</w:t>
      </w:r>
    </w:p>
    <w:p w14:paraId="0ECAEF77" w14:textId="77777777" w:rsidR="002C2986" w:rsidRPr="003941AA" w:rsidRDefault="002C2986" w:rsidP="00C50522">
      <w:pPr>
        <w:pBdr>
          <w:top w:val="nil"/>
          <w:left w:val="nil"/>
          <w:bottom w:val="nil"/>
          <w:right w:val="nil"/>
          <w:between w:val="nil"/>
        </w:pBdr>
        <w:ind w:left="102"/>
        <w:jc w:val="both"/>
        <w:rPr>
          <w:rFonts w:eastAsia="Times New Roman" w:cstheme="minorHAnsi"/>
          <w:sz w:val="24"/>
          <w:szCs w:val="24"/>
        </w:rPr>
      </w:pPr>
    </w:p>
    <w:p w14:paraId="76963A7A" w14:textId="34BE967D" w:rsidR="00AE5848" w:rsidRPr="003941AA" w:rsidRDefault="002C2986"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b/>
          <w:sz w:val="24"/>
          <w:szCs w:val="24"/>
        </w:rPr>
        <w:t xml:space="preserve">Parágrafo 2°. </w:t>
      </w:r>
      <w:r w:rsidRPr="003941AA">
        <w:rPr>
          <w:rFonts w:eastAsia="Times New Roman" w:cstheme="minorHAnsi"/>
          <w:sz w:val="24"/>
          <w:szCs w:val="24"/>
        </w:rPr>
        <w:t xml:space="preserve"> En relación con los congresistas, la Corte Suprema mantendrá su competencia para investigarles y juzgarles </w:t>
      </w:r>
      <w:r w:rsidR="00DE4D37" w:rsidRPr="003941AA">
        <w:rPr>
          <w:rFonts w:eastAsia="Times New Roman" w:cstheme="minorHAnsi"/>
          <w:sz w:val="24"/>
          <w:szCs w:val="24"/>
        </w:rPr>
        <w:t>aun</w:t>
      </w:r>
      <w:r w:rsidRPr="003941AA">
        <w:rPr>
          <w:rFonts w:eastAsia="Times New Roman" w:cstheme="minorHAnsi"/>
          <w:sz w:val="24"/>
          <w:szCs w:val="24"/>
        </w:rPr>
        <w:t xml:space="preserve"> cuando se trate de hechos ocurridos </w:t>
      </w:r>
      <w:r w:rsidR="00DE4D37" w:rsidRPr="003941AA">
        <w:rPr>
          <w:rFonts w:eastAsia="Times New Roman" w:cstheme="minorHAnsi"/>
          <w:sz w:val="24"/>
          <w:szCs w:val="24"/>
        </w:rPr>
        <w:t xml:space="preserve">con anterioridad a su investidura, que no tenga relación con sus funciones </w:t>
      </w:r>
      <w:proofErr w:type="spellStart"/>
      <w:r w:rsidR="00DE4D37" w:rsidRPr="003941AA">
        <w:rPr>
          <w:rFonts w:eastAsia="Times New Roman" w:cstheme="minorHAnsi"/>
          <w:sz w:val="24"/>
          <w:szCs w:val="24"/>
        </w:rPr>
        <w:t>congresionales</w:t>
      </w:r>
      <w:proofErr w:type="spellEnd"/>
      <w:r w:rsidR="00DE4D37" w:rsidRPr="003941AA">
        <w:rPr>
          <w:rFonts w:eastAsia="Times New Roman" w:cstheme="minorHAnsi"/>
          <w:sz w:val="24"/>
          <w:szCs w:val="24"/>
        </w:rPr>
        <w:t>, aun cuando estos renuncien a su curul de manera anticipada.</w:t>
      </w:r>
    </w:p>
    <w:p w14:paraId="5B7B4844" w14:textId="23904607" w:rsidR="00DE4D37" w:rsidRPr="003941AA" w:rsidRDefault="00DE4D37" w:rsidP="00C50522">
      <w:pPr>
        <w:pBdr>
          <w:top w:val="nil"/>
          <w:left w:val="nil"/>
          <w:bottom w:val="nil"/>
          <w:right w:val="nil"/>
          <w:between w:val="nil"/>
        </w:pBdr>
        <w:ind w:left="102"/>
        <w:jc w:val="both"/>
        <w:rPr>
          <w:rFonts w:eastAsia="Times New Roman" w:cstheme="minorHAnsi"/>
          <w:sz w:val="24"/>
          <w:szCs w:val="24"/>
        </w:rPr>
      </w:pPr>
    </w:p>
    <w:p w14:paraId="70DB2E8A" w14:textId="08AE5BA9" w:rsidR="00DE4D37" w:rsidRPr="003941AA" w:rsidRDefault="00DE4D37"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b/>
          <w:sz w:val="24"/>
          <w:szCs w:val="24"/>
        </w:rPr>
        <w:t xml:space="preserve">Artículo 2°. Vigencia y derogatorias. </w:t>
      </w:r>
      <w:r w:rsidRPr="003941AA">
        <w:rPr>
          <w:rFonts w:eastAsia="Times New Roman" w:cstheme="minorHAnsi"/>
          <w:sz w:val="24"/>
          <w:szCs w:val="24"/>
        </w:rPr>
        <w:t xml:space="preserve">El presente acto legislativo rige a partir de su promulgación y deroga todas las disposiciones contrarias. </w:t>
      </w:r>
    </w:p>
    <w:p w14:paraId="626715B5" w14:textId="77777777" w:rsidR="00AE5848" w:rsidRPr="003941AA" w:rsidRDefault="00AE5848" w:rsidP="00C50522">
      <w:pPr>
        <w:pBdr>
          <w:top w:val="nil"/>
          <w:left w:val="nil"/>
          <w:bottom w:val="nil"/>
          <w:right w:val="nil"/>
          <w:between w:val="nil"/>
        </w:pBdr>
        <w:ind w:left="102"/>
        <w:jc w:val="both"/>
        <w:rPr>
          <w:rFonts w:eastAsia="Times New Roman" w:cstheme="minorHAnsi"/>
          <w:sz w:val="24"/>
          <w:szCs w:val="24"/>
        </w:rPr>
      </w:pPr>
    </w:p>
    <w:p w14:paraId="76BC23F8" w14:textId="7C4E4983" w:rsidR="008E7A03" w:rsidRPr="003941AA" w:rsidRDefault="00847A65" w:rsidP="00C50522">
      <w:pPr>
        <w:pBdr>
          <w:top w:val="nil"/>
          <w:left w:val="nil"/>
          <w:bottom w:val="nil"/>
          <w:right w:val="nil"/>
          <w:between w:val="nil"/>
        </w:pBdr>
        <w:ind w:left="102"/>
        <w:rPr>
          <w:rFonts w:eastAsia="Times New Roman" w:cstheme="minorHAnsi"/>
          <w:sz w:val="24"/>
          <w:szCs w:val="24"/>
        </w:rPr>
      </w:pPr>
      <w:r w:rsidRPr="003941AA">
        <w:rPr>
          <w:rFonts w:eastAsia="Times New Roman" w:cstheme="minorHAnsi"/>
          <w:sz w:val="24"/>
          <w:szCs w:val="24"/>
        </w:rPr>
        <w:t>Atentamente,</w:t>
      </w:r>
    </w:p>
    <w:p w14:paraId="54B55036" w14:textId="77777777" w:rsidR="008E7A03" w:rsidRPr="003941AA" w:rsidRDefault="008E7A03" w:rsidP="00C50522">
      <w:pPr>
        <w:pBdr>
          <w:top w:val="nil"/>
          <w:left w:val="nil"/>
          <w:bottom w:val="nil"/>
          <w:right w:val="nil"/>
          <w:between w:val="nil"/>
        </w:pBdr>
        <w:rPr>
          <w:rFonts w:eastAsia="Times New Roman" w:cstheme="minorHAnsi"/>
          <w:b/>
          <w:sz w:val="24"/>
          <w:szCs w:val="24"/>
        </w:rPr>
      </w:pPr>
    </w:p>
    <w:tbl>
      <w:tblPr>
        <w:tblStyle w:val="TableNormal0"/>
        <w:tblW w:w="0" w:type="auto"/>
        <w:tblLook w:val="04A0" w:firstRow="1" w:lastRow="0" w:firstColumn="1" w:lastColumn="0" w:noHBand="0" w:noVBand="1"/>
      </w:tblPr>
      <w:tblGrid>
        <w:gridCol w:w="4930"/>
        <w:gridCol w:w="4930"/>
      </w:tblGrid>
      <w:tr w:rsidR="00754A54" w:rsidRPr="003941AA" w14:paraId="17C06A4B" w14:textId="77777777" w:rsidTr="00904A14">
        <w:trPr>
          <w:trHeight w:val="3318"/>
        </w:trPr>
        <w:tc>
          <w:tcPr>
            <w:tcW w:w="4930" w:type="dxa"/>
          </w:tcPr>
          <w:p w14:paraId="74954F73" w14:textId="0F3B5F56" w:rsidR="000338A9" w:rsidRDefault="000338A9" w:rsidP="00C50522">
            <w:pPr>
              <w:pStyle w:val="Ttulo1"/>
              <w:rPr>
                <w:rFonts w:eastAsia="Times New Roman" w:cstheme="minorHAnsi"/>
              </w:rPr>
            </w:pPr>
          </w:p>
          <w:p w14:paraId="73C515F8" w14:textId="6AE8BFFB" w:rsidR="003941AA" w:rsidRDefault="003941AA" w:rsidP="00C50522">
            <w:pPr>
              <w:pStyle w:val="Ttulo1"/>
              <w:rPr>
                <w:rFonts w:eastAsia="Times New Roman" w:cstheme="minorHAnsi"/>
              </w:rPr>
            </w:pPr>
          </w:p>
          <w:p w14:paraId="7E19E7CE" w14:textId="42DED221" w:rsidR="003941AA" w:rsidRDefault="003941AA" w:rsidP="00C50522">
            <w:pPr>
              <w:pStyle w:val="Ttulo1"/>
              <w:rPr>
                <w:rFonts w:eastAsia="Times New Roman" w:cstheme="minorHAnsi"/>
              </w:rPr>
            </w:pPr>
          </w:p>
          <w:p w14:paraId="79302569" w14:textId="77777777" w:rsidR="003941AA" w:rsidRPr="003941AA" w:rsidRDefault="003941AA" w:rsidP="00C50522">
            <w:pPr>
              <w:pStyle w:val="Ttulo1"/>
              <w:rPr>
                <w:rFonts w:eastAsia="Times New Roman" w:cstheme="minorHAnsi"/>
              </w:rPr>
            </w:pPr>
          </w:p>
          <w:p w14:paraId="197630CD" w14:textId="77777777" w:rsidR="00120C7F" w:rsidRPr="003941AA" w:rsidRDefault="00120C7F" w:rsidP="00C50522">
            <w:pPr>
              <w:pStyle w:val="Ttulo1"/>
              <w:rPr>
                <w:rFonts w:eastAsia="Times New Roman" w:cstheme="minorHAnsi"/>
              </w:rPr>
            </w:pPr>
          </w:p>
          <w:p w14:paraId="7FCACD5C" w14:textId="66195316" w:rsidR="00754A54" w:rsidRPr="003941AA" w:rsidRDefault="00754A54" w:rsidP="00C50522">
            <w:pPr>
              <w:pStyle w:val="Ttulo1"/>
              <w:rPr>
                <w:rFonts w:eastAsia="Times New Roman" w:cstheme="minorHAnsi"/>
              </w:rPr>
            </w:pPr>
            <w:r w:rsidRPr="003941AA">
              <w:rPr>
                <w:rFonts w:eastAsia="Times New Roman" w:cstheme="minorHAnsi"/>
              </w:rPr>
              <w:t>INTI RAÚL ASPRILLA REYES</w:t>
            </w:r>
          </w:p>
          <w:p w14:paraId="22353E21" w14:textId="77777777" w:rsidR="00754A54" w:rsidRPr="003941AA" w:rsidRDefault="00754A54" w:rsidP="00C50522">
            <w:pPr>
              <w:pBdr>
                <w:top w:val="nil"/>
                <w:left w:val="nil"/>
                <w:bottom w:val="nil"/>
                <w:right w:val="nil"/>
                <w:between w:val="nil"/>
              </w:pBdr>
              <w:ind w:left="102"/>
              <w:jc w:val="both"/>
              <w:rPr>
                <w:rFonts w:eastAsia="Times New Roman" w:cstheme="minorHAnsi"/>
                <w:sz w:val="24"/>
                <w:szCs w:val="24"/>
              </w:rPr>
            </w:pPr>
            <w:r w:rsidRPr="003941AA">
              <w:rPr>
                <w:rFonts w:eastAsia="Times New Roman" w:cstheme="minorHAnsi"/>
                <w:sz w:val="24"/>
                <w:szCs w:val="24"/>
              </w:rPr>
              <w:t>Representante a la Cámara por Bogotá</w:t>
            </w:r>
          </w:p>
          <w:p w14:paraId="6F9D4DA1" w14:textId="77777777" w:rsidR="00754A54" w:rsidRPr="003941AA" w:rsidRDefault="00754A54" w:rsidP="00C50522">
            <w:pPr>
              <w:rPr>
                <w:rFonts w:eastAsia="Times New Roman" w:cstheme="minorHAnsi"/>
                <w:sz w:val="24"/>
                <w:szCs w:val="24"/>
              </w:rPr>
            </w:pPr>
          </w:p>
        </w:tc>
        <w:tc>
          <w:tcPr>
            <w:tcW w:w="4930" w:type="dxa"/>
          </w:tcPr>
          <w:p w14:paraId="0B6C06EA" w14:textId="77777777" w:rsidR="00754A54" w:rsidRPr="003941AA" w:rsidRDefault="00754A54" w:rsidP="00C50522">
            <w:pPr>
              <w:rPr>
                <w:rFonts w:eastAsia="Times New Roman" w:cstheme="minorHAnsi"/>
                <w:sz w:val="24"/>
                <w:szCs w:val="24"/>
              </w:rPr>
            </w:pPr>
          </w:p>
          <w:p w14:paraId="5E23A010" w14:textId="234AE626" w:rsidR="00AE5848" w:rsidRPr="003941AA" w:rsidRDefault="00AE5848" w:rsidP="00C50522">
            <w:pPr>
              <w:rPr>
                <w:rFonts w:eastAsia="Times New Roman" w:cstheme="minorHAnsi"/>
                <w:sz w:val="24"/>
                <w:szCs w:val="24"/>
              </w:rPr>
            </w:pPr>
          </w:p>
        </w:tc>
      </w:tr>
    </w:tbl>
    <w:p w14:paraId="4AD302CE" w14:textId="77777777" w:rsidR="008E7A03" w:rsidRPr="003941AA" w:rsidRDefault="008E7A03" w:rsidP="00C50522">
      <w:pPr>
        <w:ind w:left="102"/>
        <w:rPr>
          <w:rFonts w:eastAsia="Times New Roman" w:cstheme="minorHAnsi"/>
          <w:b/>
          <w:sz w:val="24"/>
          <w:szCs w:val="24"/>
        </w:rPr>
      </w:pPr>
    </w:p>
    <w:sectPr w:rsidR="008E7A03" w:rsidRPr="003941AA" w:rsidSect="003941AA">
      <w:headerReference w:type="default" r:id="rId11"/>
      <w:footerReference w:type="default" r:id="rId12"/>
      <w:pgSz w:w="12240" w:h="15840" w:code="1"/>
      <w:pgMar w:top="720" w:right="720" w:bottom="720" w:left="720" w:header="709" w:footer="1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DB544" w14:textId="77777777" w:rsidR="009F009E" w:rsidRDefault="009F009E">
      <w:r>
        <w:separator/>
      </w:r>
    </w:p>
  </w:endnote>
  <w:endnote w:type="continuationSeparator" w:id="0">
    <w:p w14:paraId="3ED11789" w14:textId="77777777" w:rsidR="009F009E" w:rsidRDefault="009F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8099" w14:textId="77777777" w:rsidR="00EF47C1" w:rsidRDefault="00EF47C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CBA6" w14:textId="77777777" w:rsidR="009F009E" w:rsidRDefault="009F009E">
      <w:r>
        <w:separator/>
      </w:r>
    </w:p>
  </w:footnote>
  <w:footnote w:type="continuationSeparator" w:id="0">
    <w:p w14:paraId="612780CF" w14:textId="77777777" w:rsidR="009F009E" w:rsidRDefault="009F009E">
      <w:r>
        <w:continuationSeparator/>
      </w:r>
    </w:p>
  </w:footnote>
  <w:footnote w:id="1">
    <w:p w14:paraId="79275B5B" w14:textId="70F252B6" w:rsidR="00CF3493" w:rsidRPr="00CF3493" w:rsidRDefault="00CF3493">
      <w:pPr>
        <w:pStyle w:val="Textonotapie"/>
        <w:rPr>
          <w:lang w:val="es-CO"/>
        </w:rPr>
      </w:pPr>
      <w:r>
        <w:rPr>
          <w:rStyle w:val="Refdenotaalpie"/>
        </w:rPr>
        <w:footnoteRef/>
      </w:r>
      <w:r>
        <w:t xml:space="preserve"> </w:t>
      </w:r>
      <w:r>
        <w:rPr>
          <w:lang w:val="es-CO"/>
        </w:rPr>
        <w:t>Tomados de la exposición de motivos publicada en la gaceta 1078 de 2021</w:t>
      </w:r>
    </w:p>
  </w:footnote>
  <w:footnote w:id="2">
    <w:p w14:paraId="0B5A8862" w14:textId="71A56987" w:rsidR="00F922C3" w:rsidRPr="00F922C3" w:rsidRDefault="00F922C3">
      <w:pPr>
        <w:pStyle w:val="Textonotapie"/>
        <w:rPr>
          <w:lang w:val="es-CO"/>
        </w:rPr>
      </w:pPr>
      <w:r>
        <w:rPr>
          <w:rStyle w:val="Refdenotaalpie"/>
        </w:rPr>
        <w:footnoteRef/>
      </w:r>
      <w:r>
        <w:t xml:space="preserve"> </w:t>
      </w:r>
      <w:r>
        <w:rPr>
          <w:lang w:val="es-CO"/>
        </w:rPr>
        <w:t xml:space="preserve">Corte Constitucional. Sentencia C-545 de 2008. M.P. Nilson Pinilla </w:t>
      </w:r>
      <w:proofErr w:type="spellStart"/>
      <w:r>
        <w:rPr>
          <w:lang w:val="es-CO"/>
        </w:rPr>
        <w:t>Pinilla</w:t>
      </w:r>
      <w:proofErr w:type="spellEnd"/>
      <w:r>
        <w:rPr>
          <w:lang w:val="es-CO"/>
        </w:rPr>
        <w:t xml:space="preserve">. </w:t>
      </w:r>
    </w:p>
  </w:footnote>
  <w:footnote w:id="3">
    <w:p w14:paraId="7A24CAEE" w14:textId="7D90CA6F" w:rsidR="0046787D" w:rsidRPr="0046787D" w:rsidRDefault="0046787D">
      <w:pPr>
        <w:pStyle w:val="Textonotapie"/>
        <w:rPr>
          <w:lang w:val="es-CO"/>
        </w:rPr>
      </w:pPr>
      <w:r>
        <w:rPr>
          <w:rStyle w:val="Refdenotaalpie"/>
        </w:rPr>
        <w:footnoteRef/>
      </w:r>
      <w:r>
        <w:t xml:space="preserve"> </w:t>
      </w:r>
      <w:proofErr w:type="spellStart"/>
      <w:r>
        <w:rPr>
          <w:lang w:val="es-CO"/>
        </w:rPr>
        <w:t>Uprimmny</w:t>
      </w:r>
      <w:proofErr w:type="spellEnd"/>
      <w:r>
        <w:rPr>
          <w:lang w:val="es-CO"/>
        </w:rPr>
        <w:t xml:space="preserve">, Rodrigo. </w:t>
      </w:r>
      <w:r>
        <w:rPr>
          <w:i/>
          <w:lang w:val="es-CO"/>
        </w:rPr>
        <w:t xml:space="preserve">Otro peligroso virus: escoger a su juez. </w:t>
      </w:r>
      <w:hyperlink r:id="rId1" w:history="1">
        <w:r w:rsidRPr="0046787D">
          <w:rPr>
            <w:rStyle w:val="Hipervnculo"/>
            <w:lang w:val="es-CO"/>
          </w:rPr>
          <w:t>https://www.dejusticia.org/column/otro-peligroso-virus-escoger-a-su-juez/</w:t>
        </w:r>
      </w:hyperlink>
      <w:r w:rsidRPr="0046787D">
        <w:rPr>
          <w:lang w:val="es-CO"/>
        </w:rPr>
        <w:t xml:space="preserve"> </w:t>
      </w:r>
    </w:p>
  </w:footnote>
  <w:footnote w:id="4">
    <w:p w14:paraId="05027E78" w14:textId="06F62DBE" w:rsidR="003B5D35" w:rsidRPr="003B5D35" w:rsidRDefault="003B5D35" w:rsidP="003B5D35">
      <w:pPr>
        <w:pStyle w:val="Textonotapie"/>
        <w:jc w:val="both"/>
        <w:rPr>
          <w:lang w:val="es-CO"/>
        </w:rPr>
      </w:pPr>
      <w:r>
        <w:rPr>
          <w:rStyle w:val="Refdenotaalpie"/>
        </w:rPr>
        <w:footnoteRef/>
      </w:r>
      <w:r>
        <w:t xml:space="preserve"> </w:t>
      </w:r>
      <w:r>
        <w:rPr>
          <w:lang w:val="es-CO"/>
        </w:rPr>
        <w:t xml:space="preserve">Expresión usada por Rodrigo </w:t>
      </w:r>
      <w:proofErr w:type="spellStart"/>
      <w:r>
        <w:rPr>
          <w:lang w:val="es-CO"/>
        </w:rPr>
        <w:t>Uprimmny</w:t>
      </w:r>
      <w:proofErr w:type="spellEnd"/>
      <w:r>
        <w:rPr>
          <w:lang w:val="es-CO"/>
        </w:rPr>
        <w:t xml:space="preserve"> en </w:t>
      </w:r>
      <w:r w:rsidRPr="003B5D35">
        <w:rPr>
          <w:lang w:val="es-CO"/>
        </w:rPr>
        <w:t>Otro peligroso virus: escoger a su juez. https://www.dejusticia.org/column/otro-peligroso-virus-escoger-a-su-juez/</w:t>
      </w:r>
    </w:p>
  </w:footnote>
  <w:footnote w:id="5">
    <w:p w14:paraId="15BCD68A" w14:textId="2961B404" w:rsidR="00E04C1B" w:rsidRPr="00E04C1B" w:rsidRDefault="00E04C1B">
      <w:pPr>
        <w:pStyle w:val="Textonotapie"/>
        <w:rPr>
          <w:lang w:val="es-CO"/>
        </w:rPr>
      </w:pPr>
      <w:r>
        <w:rPr>
          <w:rStyle w:val="Refdenotaalpie"/>
        </w:rPr>
        <w:footnoteRef/>
      </w:r>
      <w:r>
        <w:t xml:space="preserve"> </w:t>
      </w:r>
      <w:r w:rsidRPr="00E04C1B">
        <w:t>Sala de Casación Penal de la Corte Suprema de Justicia. 1° de septiembre de 2009, radicado n.° 31653, pág. 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C19D" w14:textId="1052C88F" w:rsidR="00EF47C1" w:rsidRDefault="00B17609" w:rsidP="00B17609">
    <w:pPr>
      <w:pBdr>
        <w:top w:val="nil"/>
        <w:left w:val="nil"/>
        <w:bottom w:val="nil"/>
        <w:right w:val="nil"/>
        <w:between w:val="nil"/>
      </w:pBdr>
      <w:spacing w:line="14" w:lineRule="auto"/>
      <w:jc w:val="center"/>
      <w:rPr>
        <w:color w:val="000000"/>
        <w:sz w:val="20"/>
        <w:szCs w:val="20"/>
      </w:rPr>
    </w:pPr>
    <w:r>
      <w:rPr>
        <w:noProof/>
        <w:color w:val="000000"/>
        <w:sz w:val="20"/>
        <w:szCs w:val="20"/>
        <w:lang w:val="es-CO"/>
      </w:rPr>
      <w:drawing>
        <wp:inline distT="0" distB="0" distL="0" distR="0" wp14:anchorId="3034AC06" wp14:editId="3EB0A47A">
          <wp:extent cx="2020968" cy="8013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286" cy="802289"/>
                  </a:xfrm>
                  <a:prstGeom prst="rect">
                    <a:avLst/>
                  </a:prstGeom>
                  <a:noFill/>
                </pic:spPr>
              </pic:pic>
            </a:graphicData>
          </a:graphic>
        </wp:inline>
      </w:drawing>
    </w:r>
  </w:p>
  <w:p w14:paraId="52E4DE54" w14:textId="31322830" w:rsidR="00B17609" w:rsidRDefault="00B17609" w:rsidP="00B17609">
    <w:pPr>
      <w:pBdr>
        <w:top w:val="nil"/>
        <w:left w:val="nil"/>
        <w:bottom w:val="nil"/>
        <w:right w:val="nil"/>
        <w:between w:val="nil"/>
      </w:pBdr>
      <w:spacing w:line="14" w:lineRule="auto"/>
      <w:jc w:val="center"/>
      <w:rPr>
        <w:color w:val="000000"/>
        <w:sz w:val="20"/>
        <w:szCs w:val="20"/>
      </w:rPr>
    </w:pPr>
  </w:p>
  <w:p w14:paraId="6C3C93F3" w14:textId="6B04BB4C" w:rsidR="00B17609" w:rsidRDefault="00B17609" w:rsidP="00B17609">
    <w:pPr>
      <w:pBdr>
        <w:top w:val="nil"/>
        <w:left w:val="nil"/>
        <w:bottom w:val="nil"/>
        <w:right w:val="nil"/>
        <w:between w:val="nil"/>
      </w:pBdr>
      <w:spacing w:line="14" w:lineRule="auto"/>
      <w:jc w:val="center"/>
      <w:rPr>
        <w:color w:val="000000"/>
        <w:sz w:val="20"/>
        <w:szCs w:val="20"/>
      </w:rPr>
    </w:pPr>
  </w:p>
  <w:p w14:paraId="2F9253B6" w14:textId="1BA245C3" w:rsidR="00B17609" w:rsidRDefault="00B17609" w:rsidP="00B17609">
    <w:pPr>
      <w:pBdr>
        <w:top w:val="nil"/>
        <w:left w:val="nil"/>
        <w:bottom w:val="nil"/>
        <w:right w:val="nil"/>
        <w:between w:val="nil"/>
      </w:pBdr>
      <w:spacing w:line="14" w:lineRule="auto"/>
      <w:jc w:val="center"/>
      <w:rPr>
        <w:color w:val="000000"/>
        <w:sz w:val="20"/>
        <w:szCs w:val="20"/>
      </w:rPr>
    </w:pPr>
  </w:p>
  <w:p w14:paraId="3B5AF8BF" w14:textId="2C0585FD" w:rsidR="00B17609" w:rsidRDefault="00B17609" w:rsidP="00B17609">
    <w:pPr>
      <w:pBdr>
        <w:top w:val="nil"/>
        <w:left w:val="nil"/>
        <w:bottom w:val="nil"/>
        <w:right w:val="nil"/>
        <w:between w:val="nil"/>
      </w:pBdr>
      <w:spacing w:line="14" w:lineRule="auto"/>
      <w:jc w:val="center"/>
      <w:rPr>
        <w:color w:val="000000"/>
        <w:sz w:val="20"/>
        <w:szCs w:val="20"/>
      </w:rPr>
    </w:pPr>
  </w:p>
  <w:p w14:paraId="6AF20324" w14:textId="616F59D0" w:rsidR="00B17609" w:rsidRDefault="00B17609" w:rsidP="00B17609">
    <w:pPr>
      <w:pBdr>
        <w:top w:val="nil"/>
        <w:left w:val="nil"/>
        <w:bottom w:val="nil"/>
        <w:right w:val="nil"/>
        <w:between w:val="nil"/>
      </w:pBdr>
      <w:spacing w:line="14" w:lineRule="auto"/>
      <w:jc w:val="center"/>
      <w:rPr>
        <w:color w:val="000000"/>
        <w:sz w:val="20"/>
        <w:szCs w:val="20"/>
      </w:rPr>
    </w:pPr>
  </w:p>
  <w:p w14:paraId="07D56366" w14:textId="2052E393" w:rsidR="00B17609" w:rsidRDefault="00B17609" w:rsidP="00B17609">
    <w:pPr>
      <w:pBdr>
        <w:top w:val="nil"/>
        <w:left w:val="nil"/>
        <w:bottom w:val="nil"/>
        <w:right w:val="nil"/>
        <w:between w:val="nil"/>
      </w:pBdr>
      <w:spacing w:line="14" w:lineRule="auto"/>
      <w:jc w:val="center"/>
      <w:rPr>
        <w:color w:val="000000"/>
        <w:sz w:val="20"/>
        <w:szCs w:val="20"/>
      </w:rPr>
    </w:pPr>
  </w:p>
  <w:p w14:paraId="26F135A0" w14:textId="0EA30FF2" w:rsidR="00B17609" w:rsidRDefault="00B17609" w:rsidP="00B17609">
    <w:pPr>
      <w:pBdr>
        <w:top w:val="nil"/>
        <w:left w:val="nil"/>
        <w:bottom w:val="nil"/>
        <w:right w:val="nil"/>
        <w:between w:val="nil"/>
      </w:pBdr>
      <w:spacing w:line="14" w:lineRule="auto"/>
      <w:jc w:val="center"/>
      <w:rPr>
        <w:color w:val="000000"/>
        <w:sz w:val="20"/>
        <w:szCs w:val="20"/>
      </w:rPr>
    </w:pPr>
  </w:p>
  <w:p w14:paraId="20A78212" w14:textId="5535A722" w:rsidR="00B17609" w:rsidRDefault="00B17609" w:rsidP="00B17609">
    <w:pPr>
      <w:pBdr>
        <w:top w:val="nil"/>
        <w:left w:val="nil"/>
        <w:bottom w:val="nil"/>
        <w:right w:val="nil"/>
        <w:between w:val="nil"/>
      </w:pBdr>
      <w:spacing w:line="14" w:lineRule="auto"/>
      <w:jc w:val="center"/>
      <w:rPr>
        <w:color w:val="000000"/>
        <w:sz w:val="20"/>
        <w:szCs w:val="20"/>
      </w:rPr>
    </w:pPr>
  </w:p>
  <w:p w14:paraId="06599ED8" w14:textId="372F6FA1" w:rsidR="00B17609" w:rsidRDefault="00B17609" w:rsidP="00B17609">
    <w:pPr>
      <w:pBdr>
        <w:top w:val="nil"/>
        <w:left w:val="nil"/>
        <w:bottom w:val="nil"/>
        <w:right w:val="nil"/>
        <w:between w:val="nil"/>
      </w:pBdr>
      <w:spacing w:line="14" w:lineRule="auto"/>
      <w:jc w:val="center"/>
      <w:rPr>
        <w:color w:val="000000"/>
        <w:sz w:val="20"/>
        <w:szCs w:val="20"/>
      </w:rPr>
    </w:pPr>
  </w:p>
  <w:p w14:paraId="31DA3EF1" w14:textId="1CAD7A05" w:rsidR="00B17609" w:rsidRDefault="00B17609" w:rsidP="00B17609">
    <w:pPr>
      <w:pBdr>
        <w:top w:val="nil"/>
        <w:left w:val="nil"/>
        <w:bottom w:val="nil"/>
        <w:right w:val="nil"/>
        <w:between w:val="nil"/>
      </w:pBdr>
      <w:spacing w:line="14" w:lineRule="auto"/>
      <w:jc w:val="center"/>
      <w:rPr>
        <w:color w:val="000000"/>
        <w:sz w:val="20"/>
        <w:szCs w:val="20"/>
      </w:rPr>
    </w:pPr>
  </w:p>
  <w:p w14:paraId="462EDCD2" w14:textId="0EDA3750" w:rsidR="00B17609" w:rsidRDefault="00B17609" w:rsidP="00B17609">
    <w:pPr>
      <w:pBdr>
        <w:top w:val="nil"/>
        <w:left w:val="nil"/>
        <w:bottom w:val="nil"/>
        <w:right w:val="nil"/>
        <w:between w:val="nil"/>
      </w:pBdr>
      <w:spacing w:line="14" w:lineRule="auto"/>
      <w:jc w:val="center"/>
      <w:rPr>
        <w:color w:val="000000"/>
        <w:sz w:val="20"/>
        <w:szCs w:val="20"/>
      </w:rPr>
    </w:pPr>
  </w:p>
  <w:p w14:paraId="6488B56D" w14:textId="6BA50DBB" w:rsidR="00B17609" w:rsidRDefault="00B17609" w:rsidP="00B17609">
    <w:pPr>
      <w:pBdr>
        <w:top w:val="nil"/>
        <w:left w:val="nil"/>
        <w:bottom w:val="nil"/>
        <w:right w:val="nil"/>
        <w:between w:val="nil"/>
      </w:pBdr>
      <w:spacing w:line="14" w:lineRule="auto"/>
      <w:jc w:val="center"/>
      <w:rPr>
        <w:color w:val="000000"/>
        <w:sz w:val="20"/>
        <w:szCs w:val="20"/>
      </w:rPr>
    </w:pPr>
  </w:p>
  <w:p w14:paraId="360CB7CB" w14:textId="20F3C023" w:rsidR="00B17609" w:rsidRDefault="00B17609" w:rsidP="00B17609">
    <w:pPr>
      <w:pBdr>
        <w:top w:val="nil"/>
        <w:left w:val="nil"/>
        <w:bottom w:val="nil"/>
        <w:right w:val="nil"/>
        <w:between w:val="nil"/>
      </w:pBdr>
      <w:spacing w:line="14" w:lineRule="auto"/>
      <w:jc w:val="center"/>
      <w:rPr>
        <w:color w:val="000000"/>
        <w:sz w:val="20"/>
        <w:szCs w:val="20"/>
      </w:rPr>
    </w:pPr>
  </w:p>
  <w:p w14:paraId="421ECCF1" w14:textId="77777777" w:rsidR="00B17609" w:rsidRDefault="00B17609" w:rsidP="00B17609">
    <w:pPr>
      <w:pBdr>
        <w:top w:val="nil"/>
        <w:left w:val="nil"/>
        <w:bottom w:val="nil"/>
        <w:right w:val="nil"/>
        <w:between w:val="nil"/>
      </w:pBdr>
      <w:spacing w:line="14"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CCB"/>
    <w:multiLevelType w:val="multilevel"/>
    <w:tmpl w:val="49F004C4"/>
    <w:lvl w:ilvl="0">
      <w:start w:val="1"/>
      <w:numFmt w:val="decimal"/>
      <w:lvlText w:val="%1."/>
      <w:lvlJc w:val="left"/>
      <w:pPr>
        <w:ind w:left="1352" w:hanging="360"/>
      </w:pPr>
      <w:rPr>
        <w:rFonts w:hint="default"/>
        <w:b/>
        <w:i/>
      </w:rPr>
    </w:lvl>
    <w:lvl w:ilvl="1">
      <w:start w:val="1"/>
      <w:numFmt w:val="decimal"/>
      <w:isLgl/>
      <w:lvlText w:val="%1.%2."/>
      <w:lvlJc w:val="left"/>
      <w:pPr>
        <w:ind w:left="1712" w:hanging="720"/>
      </w:pPr>
      <w:rPr>
        <w:rFonts w:hint="default"/>
        <w:b/>
      </w:rPr>
    </w:lvl>
    <w:lvl w:ilvl="2">
      <w:start w:val="1"/>
      <w:numFmt w:val="decimal"/>
      <w:isLgl/>
      <w:lvlText w:val="%1.%2.%3."/>
      <w:lvlJc w:val="left"/>
      <w:pPr>
        <w:ind w:left="2072" w:hanging="1080"/>
      </w:pPr>
      <w:rPr>
        <w:rFonts w:hint="default"/>
      </w:rPr>
    </w:lvl>
    <w:lvl w:ilvl="3">
      <w:start w:val="1"/>
      <w:numFmt w:val="decimal"/>
      <w:isLgl/>
      <w:lvlText w:val="%1.%2.%3.%4."/>
      <w:lvlJc w:val="left"/>
      <w:pPr>
        <w:ind w:left="2432" w:hanging="1440"/>
      </w:pPr>
      <w:rPr>
        <w:rFonts w:hint="default"/>
      </w:rPr>
    </w:lvl>
    <w:lvl w:ilvl="4">
      <w:start w:val="1"/>
      <w:numFmt w:val="decimal"/>
      <w:isLgl/>
      <w:lvlText w:val="%1.%2.%3.%4.%5."/>
      <w:lvlJc w:val="left"/>
      <w:pPr>
        <w:ind w:left="2432" w:hanging="1440"/>
      </w:pPr>
      <w:rPr>
        <w:rFonts w:hint="default"/>
      </w:rPr>
    </w:lvl>
    <w:lvl w:ilvl="5">
      <w:start w:val="1"/>
      <w:numFmt w:val="decimal"/>
      <w:isLgl/>
      <w:lvlText w:val="%1.%2.%3.%4.%5.%6."/>
      <w:lvlJc w:val="left"/>
      <w:pPr>
        <w:ind w:left="2792" w:hanging="1800"/>
      </w:pPr>
      <w:rPr>
        <w:rFonts w:hint="default"/>
      </w:rPr>
    </w:lvl>
    <w:lvl w:ilvl="6">
      <w:start w:val="1"/>
      <w:numFmt w:val="decimal"/>
      <w:isLgl/>
      <w:lvlText w:val="%1.%2.%3.%4.%5.%6.%7."/>
      <w:lvlJc w:val="left"/>
      <w:pPr>
        <w:ind w:left="3152" w:hanging="2160"/>
      </w:pPr>
      <w:rPr>
        <w:rFonts w:hint="default"/>
      </w:rPr>
    </w:lvl>
    <w:lvl w:ilvl="7">
      <w:start w:val="1"/>
      <w:numFmt w:val="decimal"/>
      <w:isLgl/>
      <w:lvlText w:val="%1.%2.%3.%4.%5.%6.%7.%8."/>
      <w:lvlJc w:val="left"/>
      <w:pPr>
        <w:ind w:left="3512" w:hanging="2520"/>
      </w:pPr>
      <w:rPr>
        <w:rFonts w:hint="default"/>
      </w:rPr>
    </w:lvl>
    <w:lvl w:ilvl="8">
      <w:start w:val="1"/>
      <w:numFmt w:val="decimal"/>
      <w:isLgl/>
      <w:lvlText w:val="%1.%2.%3.%4.%5.%6.%7.%8.%9."/>
      <w:lvlJc w:val="left"/>
      <w:pPr>
        <w:ind w:left="3872" w:hanging="2880"/>
      </w:pPr>
      <w:rPr>
        <w:rFonts w:hint="default"/>
      </w:rPr>
    </w:lvl>
  </w:abstractNum>
  <w:abstractNum w:abstractNumId="1" w15:restartNumberingAfterBreak="0">
    <w:nsid w:val="2DD75422"/>
    <w:multiLevelType w:val="multilevel"/>
    <w:tmpl w:val="D72A2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8A63B2"/>
    <w:multiLevelType w:val="hybridMultilevel"/>
    <w:tmpl w:val="BD829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0F4D8E"/>
    <w:multiLevelType w:val="multilevel"/>
    <w:tmpl w:val="2666815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741608"/>
    <w:multiLevelType w:val="multilevel"/>
    <w:tmpl w:val="C4B4B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4648B7"/>
    <w:multiLevelType w:val="hybridMultilevel"/>
    <w:tmpl w:val="8820A5AE"/>
    <w:lvl w:ilvl="0" w:tplc="316C61B2">
      <w:start w:val="1"/>
      <w:numFmt w:val="lowerRoman"/>
      <w:lvlText w:val="(%1)"/>
      <w:lvlJc w:val="left"/>
      <w:pPr>
        <w:ind w:left="2261" w:hanging="1080"/>
      </w:pPr>
      <w:rPr>
        <w:rFonts w:hint="default"/>
        <w:i/>
      </w:rPr>
    </w:lvl>
    <w:lvl w:ilvl="1" w:tplc="240A0019" w:tentative="1">
      <w:start w:val="1"/>
      <w:numFmt w:val="lowerLetter"/>
      <w:lvlText w:val="%2."/>
      <w:lvlJc w:val="left"/>
      <w:pPr>
        <w:ind w:left="2261" w:hanging="360"/>
      </w:pPr>
    </w:lvl>
    <w:lvl w:ilvl="2" w:tplc="240A001B" w:tentative="1">
      <w:start w:val="1"/>
      <w:numFmt w:val="lowerRoman"/>
      <w:lvlText w:val="%3."/>
      <w:lvlJc w:val="right"/>
      <w:pPr>
        <w:ind w:left="2981" w:hanging="180"/>
      </w:pPr>
    </w:lvl>
    <w:lvl w:ilvl="3" w:tplc="240A000F" w:tentative="1">
      <w:start w:val="1"/>
      <w:numFmt w:val="decimal"/>
      <w:lvlText w:val="%4."/>
      <w:lvlJc w:val="left"/>
      <w:pPr>
        <w:ind w:left="3701" w:hanging="360"/>
      </w:pPr>
    </w:lvl>
    <w:lvl w:ilvl="4" w:tplc="240A0019" w:tentative="1">
      <w:start w:val="1"/>
      <w:numFmt w:val="lowerLetter"/>
      <w:lvlText w:val="%5."/>
      <w:lvlJc w:val="left"/>
      <w:pPr>
        <w:ind w:left="4421" w:hanging="360"/>
      </w:pPr>
    </w:lvl>
    <w:lvl w:ilvl="5" w:tplc="240A001B" w:tentative="1">
      <w:start w:val="1"/>
      <w:numFmt w:val="lowerRoman"/>
      <w:lvlText w:val="%6."/>
      <w:lvlJc w:val="right"/>
      <w:pPr>
        <w:ind w:left="5141" w:hanging="180"/>
      </w:pPr>
    </w:lvl>
    <w:lvl w:ilvl="6" w:tplc="240A000F" w:tentative="1">
      <w:start w:val="1"/>
      <w:numFmt w:val="decimal"/>
      <w:lvlText w:val="%7."/>
      <w:lvlJc w:val="left"/>
      <w:pPr>
        <w:ind w:left="5861" w:hanging="360"/>
      </w:pPr>
    </w:lvl>
    <w:lvl w:ilvl="7" w:tplc="240A0019" w:tentative="1">
      <w:start w:val="1"/>
      <w:numFmt w:val="lowerLetter"/>
      <w:lvlText w:val="%8."/>
      <w:lvlJc w:val="left"/>
      <w:pPr>
        <w:ind w:left="6581" w:hanging="360"/>
      </w:pPr>
    </w:lvl>
    <w:lvl w:ilvl="8" w:tplc="240A001B" w:tentative="1">
      <w:start w:val="1"/>
      <w:numFmt w:val="lowerRoman"/>
      <w:lvlText w:val="%9."/>
      <w:lvlJc w:val="right"/>
      <w:pPr>
        <w:ind w:left="7301" w:hanging="180"/>
      </w:pPr>
    </w:lvl>
  </w:abstractNum>
  <w:abstractNum w:abstractNumId="6" w15:restartNumberingAfterBreak="0">
    <w:nsid w:val="7C9951D8"/>
    <w:multiLevelType w:val="multilevel"/>
    <w:tmpl w:val="1F3C8D50"/>
    <w:lvl w:ilvl="0">
      <w:start w:val="1"/>
      <w:numFmt w:val="upperRoman"/>
      <w:lvlText w:val="%1."/>
      <w:lvlJc w:val="left"/>
      <w:pPr>
        <w:ind w:left="822" w:hanging="720"/>
      </w:pPr>
      <w:rPr>
        <w:rFonts w:ascii="Arial" w:eastAsia="Arial" w:hAnsi="Arial" w:cs="Arial"/>
        <w:b/>
        <w:sz w:val="24"/>
        <w:szCs w:val="24"/>
      </w:rPr>
    </w:lvl>
    <w:lvl w:ilvl="1">
      <w:start w:val="1"/>
      <w:numFmt w:val="upperRoman"/>
      <w:lvlText w:val="%2."/>
      <w:lvlJc w:val="left"/>
      <w:pPr>
        <w:ind w:left="1182" w:hanging="720"/>
      </w:pPr>
      <w:rPr>
        <w:rFonts w:ascii="Verdana" w:eastAsia="Verdana" w:hAnsi="Verdana" w:cs="Verdana"/>
        <w:b/>
        <w:sz w:val="24"/>
        <w:szCs w:val="24"/>
      </w:rPr>
    </w:lvl>
    <w:lvl w:ilvl="2">
      <w:start w:val="1"/>
      <w:numFmt w:val="bullet"/>
      <w:lvlText w:val="•"/>
      <w:lvlJc w:val="left"/>
      <w:pPr>
        <w:ind w:left="2055" w:hanging="720"/>
      </w:pPr>
    </w:lvl>
    <w:lvl w:ilvl="3">
      <w:start w:val="1"/>
      <w:numFmt w:val="bullet"/>
      <w:lvlText w:val="•"/>
      <w:lvlJc w:val="left"/>
      <w:pPr>
        <w:ind w:left="2931" w:hanging="720"/>
      </w:pPr>
    </w:lvl>
    <w:lvl w:ilvl="4">
      <w:start w:val="1"/>
      <w:numFmt w:val="bullet"/>
      <w:lvlText w:val="•"/>
      <w:lvlJc w:val="left"/>
      <w:pPr>
        <w:ind w:left="3806" w:hanging="720"/>
      </w:pPr>
    </w:lvl>
    <w:lvl w:ilvl="5">
      <w:start w:val="1"/>
      <w:numFmt w:val="bullet"/>
      <w:lvlText w:val="•"/>
      <w:lvlJc w:val="left"/>
      <w:pPr>
        <w:ind w:left="4682" w:hanging="720"/>
      </w:pPr>
    </w:lvl>
    <w:lvl w:ilvl="6">
      <w:start w:val="1"/>
      <w:numFmt w:val="bullet"/>
      <w:lvlText w:val="•"/>
      <w:lvlJc w:val="left"/>
      <w:pPr>
        <w:ind w:left="5557" w:hanging="720"/>
      </w:pPr>
    </w:lvl>
    <w:lvl w:ilvl="7">
      <w:start w:val="1"/>
      <w:numFmt w:val="bullet"/>
      <w:lvlText w:val="•"/>
      <w:lvlJc w:val="left"/>
      <w:pPr>
        <w:ind w:left="6433" w:hanging="720"/>
      </w:pPr>
    </w:lvl>
    <w:lvl w:ilvl="8">
      <w:start w:val="1"/>
      <w:numFmt w:val="bullet"/>
      <w:lvlText w:val="•"/>
      <w:lvlJc w:val="left"/>
      <w:pPr>
        <w:ind w:left="7308" w:hanging="720"/>
      </w:pPr>
    </w:lvl>
  </w:abstractNum>
  <w:abstractNum w:abstractNumId="7" w15:restartNumberingAfterBreak="0">
    <w:nsid w:val="7E98553F"/>
    <w:multiLevelType w:val="hybridMultilevel"/>
    <w:tmpl w:val="5F04B07E"/>
    <w:lvl w:ilvl="0" w:tplc="8794D308">
      <w:start w:val="1"/>
      <w:numFmt w:val="lowerLetter"/>
      <w:lvlText w:val="%1."/>
      <w:lvlJc w:val="left"/>
      <w:pPr>
        <w:ind w:left="1542" w:hanging="360"/>
      </w:pPr>
      <w:rPr>
        <w:rFonts w:hint="default"/>
      </w:rPr>
    </w:lvl>
    <w:lvl w:ilvl="1" w:tplc="240A0019" w:tentative="1">
      <w:start w:val="1"/>
      <w:numFmt w:val="lowerLetter"/>
      <w:lvlText w:val="%2."/>
      <w:lvlJc w:val="left"/>
      <w:pPr>
        <w:ind w:left="2262" w:hanging="360"/>
      </w:pPr>
    </w:lvl>
    <w:lvl w:ilvl="2" w:tplc="240A001B" w:tentative="1">
      <w:start w:val="1"/>
      <w:numFmt w:val="lowerRoman"/>
      <w:lvlText w:val="%3."/>
      <w:lvlJc w:val="right"/>
      <w:pPr>
        <w:ind w:left="2982" w:hanging="180"/>
      </w:pPr>
    </w:lvl>
    <w:lvl w:ilvl="3" w:tplc="240A000F" w:tentative="1">
      <w:start w:val="1"/>
      <w:numFmt w:val="decimal"/>
      <w:lvlText w:val="%4."/>
      <w:lvlJc w:val="left"/>
      <w:pPr>
        <w:ind w:left="3702" w:hanging="360"/>
      </w:pPr>
    </w:lvl>
    <w:lvl w:ilvl="4" w:tplc="240A0019" w:tentative="1">
      <w:start w:val="1"/>
      <w:numFmt w:val="lowerLetter"/>
      <w:lvlText w:val="%5."/>
      <w:lvlJc w:val="left"/>
      <w:pPr>
        <w:ind w:left="4422" w:hanging="360"/>
      </w:pPr>
    </w:lvl>
    <w:lvl w:ilvl="5" w:tplc="240A001B" w:tentative="1">
      <w:start w:val="1"/>
      <w:numFmt w:val="lowerRoman"/>
      <w:lvlText w:val="%6."/>
      <w:lvlJc w:val="right"/>
      <w:pPr>
        <w:ind w:left="5142" w:hanging="180"/>
      </w:pPr>
    </w:lvl>
    <w:lvl w:ilvl="6" w:tplc="240A000F" w:tentative="1">
      <w:start w:val="1"/>
      <w:numFmt w:val="decimal"/>
      <w:lvlText w:val="%7."/>
      <w:lvlJc w:val="left"/>
      <w:pPr>
        <w:ind w:left="5862" w:hanging="360"/>
      </w:pPr>
    </w:lvl>
    <w:lvl w:ilvl="7" w:tplc="240A0019" w:tentative="1">
      <w:start w:val="1"/>
      <w:numFmt w:val="lowerLetter"/>
      <w:lvlText w:val="%8."/>
      <w:lvlJc w:val="left"/>
      <w:pPr>
        <w:ind w:left="6582" w:hanging="360"/>
      </w:pPr>
    </w:lvl>
    <w:lvl w:ilvl="8" w:tplc="240A001B" w:tentative="1">
      <w:start w:val="1"/>
      <w:numFmt w:val="lowerRoman"/>
      <w:lvlText w:val="%9."/>
      <w:lvlJc w:val="right"/>
      <w:pPr>
        <w:ind w:left="7302" w:hanging="180"/>
      </w:pPr>
    </w:lvl>
  </w:abstractNum>
  <w:num w:numId="1">
    <w:abstractNumId w:val="6"/>
  </w:num>
  <w:num w:numId="2">
    <w:abstractNumId w:val="3"/>
  </w:num>
  <w:num w:numId="3">
    <w:abstractNumId w:val="4"/>
  </w:num>
  <w:num w:numId="4">
    <w:abstractNumId w:val="1"/>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03"/>
    <w:rsid w:val="0002758A"/>
    <w:rsid w:val="000338A9"/>
    <w:rsid w:val="00037A1E"/>
    <w:rsid w:val="000A4896"/>
    <w:rsid w:val="000C48C1"/>
    <w:rsid w:val="000F0855"/>
    <w:rsid w:val="00117602"/>
    <w:rsid w:val="00120C7F"/>
    <w:rsid w:val="001240B8"/>
    <w:rsid w:val="00125CA4"/>
    <w:rsid w:val="00194C90"/>
    <w:rsid w:val="002621A1"/>
    <w:rsid w:val="002B1271"/>
    <w:rsid w:val="002C2986"/>
    <w:rsid w:val="00385C0E"/>
    <w:rsid w:val="003941AA"/>
    <w:rsid w:val="003B536A"/>
    <w:rsid w:val="003B5D35"/>
    <w:rsid w:val="0041654B"/>
    <w:rsid w:val="0046787D"/>
    <w:rsid w:val="00484499"/>
    <w:rsid w:val="004E1066"/>
    <w:rsid w:val="004F7584"/>
    <w:rsid w:val="00555B0B"/>
    <w:rsid w:val="0056024B"/>
    <w:rsid w:val="00580B88"/>
    <w:rsid w:val="005B7018"/>
    <w:rsid w:val="005E7DD0"/>
    <w:rsid w:val="005F4FF6"/>
    <w:rsid w:val="00611A12"/>
    <w:rsid w:val="0063280B"/>
    <w:rsid w:val="00697758"/>
    <w:rsid w:val="006A7D30"/>
    <w:rsid w:val="00754A54"/>
    <w:rsid w:val="00794797"/>
    <w:rsid w:val="007A306E"/>
    <w:rsid w:val="007D53EE"/>
    <w:rsid w:val="007E1022"/>
    <w:rsid w:val="00822C5D"/>
    <w:rsid w:val="00847A65"/>
    <w:rsid w:val="008E7A03"/>
    <w:rsid w:val="008F2B4A"/>
    <w:rsid w:val="00904A14"/>
    <w:rsid w:val="00922D8A"/>
    <w:rsid w:val="00941890"/>
    <w:rsid w:val="0094329A"/>
    <w:rsid w:val="0098231D"/>
    <w:rsid w:val="009F009E"/>
    <w:rsid w:val="00A27225"/>
    <w:rsid w:val="00A37A35"/>
    <w:rsid w:val="00A423CA"/>
    <w:rsid w:val="00A45F03"/>
    <w:rsid w:val="00A52F42"/>
    <w:rsid w:val="00A631FD"/>
    <w:rsid w:val="00A73935"/>
    <w:rsid w:val="00AC6BF5"/>
    <w:rsid w:val="00AD001D"/>
    <w:rsid w:val="00AE5848"/>
    <w:rsid w:val="00B17609"/>
    <w:rsid w:val="00BA4C2C"/>
    <w:rsid w:val="00BD585E"/>
    <w:rsid w:val="00BF66E0"/>
    <w:rsid w:val="00C16E01"/>
    <w:rsid w:val="00C35A7F"/>
    <w:rsid w:val="00C50522"/>
    <w:rsid w:val="00CF3493"/>
    <w:rsid w:val="00D21BA7"/>
    <w:rsid w:val="00D601B3"/>
    <w:rsid w:val="00D75066"/>
    <w:rsid w:val="00DE4D37"/>
    <w:rsid w:val="00DF53EA"/>
    <w:rsid w:val="00E04C1B"/>
    <w:rsid w:val="00E06019"/>
    <w:rsid w:val="00E25E19"/>
    <w:rsid w:val="00EF47C1"/>
    <w:rsid w:val="00F922C3"/>
    <w:rsid w:val="00FB32BC"/>
    <w:rsid w:val="00FB694C"/>
    <w:rsid w:val="00FD1B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C4B0"/>
  <w15:docId w15:val="{442CC093-CE25-41F6-A2D7-F1D4129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54"/>
    <w:rPr>
      <w:lang w:val="es-ES"/>
    </w:rPr>
  </w:style>
  <w:style w:type="paragraph" w:styleId="Ttulo1">
    <w:name w:val="heading 1"/>
    <w:basedOn w:val="Normal"/>
    <w:link w:val="Ttulo1Car"/>
    <w:uiPriority w:val="9"/>
    <w:qFormat/>
    <w:pPr>
      <w:ind w:left="102"/>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0"/>
      <w:jc w:val="both"/>
    </w:pPr>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D917C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2555E"/>
    <w:rPr>
      <w:sz w:val="20"/>
      <w:szCs w:val="20"/>
    </w:rPr>
  </w:style>
  <w:style w:type="character" w:customStyle="1" w:styleId="TextonotapieCar">
    <w:name w:val="Texto nota pie Car"/>
    <w:basedOn w:val="Fuentedeprrafopredeter"/>
    <w:link w:val="Textonotapie"/>
    <w:uiPriority w:val="99"/>
    <w:semiHidden/>
    <w:rsid w:val="0072555E"/>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2555E"/>
    <w:rPr>
      <w:vertAlign w:val="superscript"/>
    </w:rPr>
  </w:style>
  <w:style w:type="table" w:customStyle="1" w:styleId="Tablaconcuadrcula1">
    <w:name w:val="Tabla con cuadrícula1"/>
    <w:basedOn w:val="Tablanormal"/>
    <w:next w:val="Tablaconcuadrcula"/>
    <w:uiPriority w:val="39"/>
    <w:rsid w:val="007922E0"/>
    <w:pPr>
      <w:widowControl/>
    </w:pPr>
    <w:rPr>
      <w:rFonts w:ascii="Arial" w:eastAsia="Arial" w:hAnsi="Arial" w:cs="Arial"/>
      <w:lang w:val="e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847A65"/>
    <w:pPr>
      <w:tabs>
        <w:tab w:val="center" w:pos="4419"/>
        <w:tab w:val="right" w:pos="8838"/>
      </w:tabs>
    </w:pPr>
  </w:style>
  <w:style w:type="character" w:customStyle="1" w:styleId="EncabezadoCar">
    <w:name w:val="Encabezado Car"/>
    <w:basedOn w:val="Fuentedeprrafopredeter"/>
    <w:link w:val="Encabezado"/>
    <w:uiPriority w:val="99"/>
    <w:rsid w:val="00847A65"/>
    <w:rPr>
      <w:lang w:val="es-ES"/>
    </w:rPr>
  </w:style>
  <w:style w:type="paragraph" w:styleId="Piedepgina">
    <w:name w:val="footer"/>
    <w:basedOn w:val="Normal"/>
    <w:link w:val="PiedepginaCar"/>
    <w:uiPriority w:val="99"/>
    <w:unhideWhenUsed/>
    <w:rsid w:val="00847A65"/>
    <w:pPr>
      <w:tabs>
        <w:tab w:val="center" w:pos="4419"/>
        <w:tab w:val="right" w:pos="8838"/>
      </w:tabs>
    </w:pPr>
  </w:style>
  <w:style w:type="character" w:customStyle="1" w:styleId="PiedepginaCar">
    <w:name w:val="Pie de página Car"/>
    <w:basedOn w:val="Fuentedeprrafopredeter"/>
    <w:link w:val="Piedepgina"/>
    <w:uiPriority w:val="99"/>
    <w:rsid w:val="00847A65"/>
    <w:rPr>
      <w:lang w:val="es-ES"/>
    </w:rPr>
  </w:style>
  <w:style w:type="character" w:customStyle="1" w:styleId="Ttulo1Car">
    <w:name w:val="Título 1 Car"/>
    <w:basedOn w:val="Fuentedeprrafopredeter"/>
    <w:link w:val="Ttulo1"/>
    <w:uiPriority w:val="9"/>
    <w:rsid w:val="00754A54"/>
    <w:rPr>
      <w:b/>
      <w:bCs/>
      <w:sz w:val="24"/>
      <w:szCs w:val="24"/>
      <w:lang w:val="es-ES"/>
    </w:rPr>
  </w:style>
  <w:style w:type="character" w:styleId="Hipervnculo">
    <w:name w:val="Hyperlink"/>
    <w:basedOn w:val="Fuentedeprrafopredeter"/>
    <w:uiPriority w:val="99"/>
    <w:unhideWhenUsed/>
    <w:rsid w:val="00555B0B"/>
    <w:rPr>
      <w:color w:val="0000FF" w:themeColor="hyperlink"/>
      <w:u w:val="single"/>
    </w:rPr>
  </w:style>
  <w:style w:type="paragraph" w:styleId="Textodeglobo">
    <w:name w:val="Balloon Text"/>
    <w:basedOn w:val="Normal"/>
    <w:link w:val="TextodegloboCar"/>
    <w:uiPriority w:val="99"/>
    <w:semiHidden/>
    <w:unhideWhenUsed/>
    <w:rsid w:val="00B176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60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397">
      <w:bodyDiv w:val="1"/>
      <w:marLeft w:val="0"/>
      <w:marRight w:val="0"/>
      <w:marTop w:val="0"/>
      <w:marBottom w:val="0"/>
      <w:divBdr>
        <w:top w:val="none" w:sz="0" w:space="0" w:color="auto"/>
        <w:left w:val="none" w:sz="0" w:space="0" w:color="auto"/>
        <w:bottom w:val="none" w:sz="0" w:space="0" w:color="auto"/>
        <w:right w:val="none" w:sz="0" w:space="0" w:color="auto"/>
      </w:divBdr>
    </w:div>
    <w:div w:id="1396665129">
      <w:bodyDiv w:val="1"/>
      <w:marLeft w:val="0"/>
      <w:marRight w:val="0"/>
      <w:marTop w:val="0"/>
      <w:marBottom w:val="0"/>
      <w:divBdr>
        <w:top w:val="none" w:sz="0" w:space="0" w:color="auto"/>
        <w:left w:val="none" w:sz="0" w:space="0" w:color="auto"/>
        <w:bottom w:val="none" w:sz="0" w:space="0" w:color="auto"/>
        <w:right w:val="none" w:sz="0" w:space="0" w:color="auto"/>
      </w:divBdr>
    </w:div>
    <w:div w:id="157916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emana.com/nacion/articulo/lo-ultimo-edwin-ballesteros-renuncio-a-la-camara-de-representantes/202122/" TargetMode="External"/><Relationship Id="rId4" Type="http://schemas.openxmlformats.org/officeDocument/2006/relationships/styles" Target="styles.xml"/><Relationship Id="rId9" Type="http://schemas.openxmlformats.org/officeDocument/2006/relationships/hyperlink" Target="https://www.kienyke.com/politica/proyecto-evitaria-que-congresistas-huyan-de-la-corte-suprem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justicia.org/column/otro-peligroso-virus-escoger-a-su-jue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3pugEIk3ZN4b3cBsVUgTu5X7Jw==">AMUW2mW+XXRSGWRSACz+vIqFLak8x8u+BPQQH8XZPrYC9sr/pCMOZAuLRQ+iToTRdf+wz45Tcny1BcAWaINPph00YOt0H/UtpkIhuDW3efiPFmVVK9/Jtp1H3vws2Nf6wTDjaklYNYIttRfeVoIsQ4LLm1knar2z0kcaLoFEheXcZZi3+GI9JZynekS64YjvZOVLdVgsSBhY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01FCF0-3119-4247-9928-1693BBD7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2040</Words>
  <Characters>11225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Laura Camila  Gutierrez Sanchez UTL</cp:lastModifiedBy>
  <cp:revision>2</cp:revision>
  <cp:lastPrinted>2021-11-03T20:05:00Z</cp:lastPrinted>
  <dcterms:created xsi:type="dcterms:W3CDTF">2021-11-03T20:23:00Z</dcterms:created>
  <dcterms:modified xsi:type="dcterms:W3CDTF">2021-11-03T20:23:00Z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2013</vt:lpwstr>
  </property>
  <property fmtid="{D5CDD505-2E9C-101B-9397-08002B2CF9AE}" pid="4" name="LastSaved">
    <vt:filetime>2020-10-29T00:00:00Z</vt:filetime>
  </property>
</Properties>
</file>