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C8D9" w14:textId="49E93BD4" w:rsidR="00E30ECC" w:rsidRPr="002051CB" w:rsidRDefault="00E30ECC" w:rsidP="00E30ECC">
      <w:pPr>
        <w:shd w:val="clear" w:color="auto" w:fill="FFFFFF"/>
        <w:jc w:val="center"/>
        <w:rPr>
          <w:rFonts w:ascii="Century Gothic" w:hAnsi="Century Gothic" w:cs="Arial"/>
          <w:b/>
          <w:i/>
          <w:sz w:val="22"/>
          <w:szCs w:val="22"/>
          <w:lang w:val="es-ES_tradnl"/>
        </w:rPr>
      </w:pPr>
      <w:bookmarkStart w:id="0" w:name="_Hlk86779164"/>
      <w:bookmarkEnd w:id="0"/>
      <w:r w:rsidRPr="002051CB">
        <w:rPr>
          <w:rFonts w:ascii="Century Gothic" w:hAnsi="Century Gothic" w:cs="Arial"/>
          <w:b/>
          <w:sz w:val="22"/>
          <w:szCs w:val="22"/>
        </w:rPr>
        <w:t xml:space="preserve">INFORME DE PONENCIA PARA </w:t>
      </w:r>
      <w:r w:rsidR="005C309A">
        <w:rPr>
          <w:rFonts w:ascii="Century Gothic" w:hAnsi="Century Gothic" w:cs="Arial"/>
          <w:b/>
          <w:sz w:val="22"/>
          <w:szCs w:val="22"/>
        </w:rPr>
        <w:t>SEGUNDO</w:t>
      </w:r>
      <w:r w:rsidRPr="002051CB">
        <w:rPr>
          <w:rFonts w:ascii="Century Gothic" w:hAnsi="Century Gothic" w:cs="Arial"/>
          <w:b/>
          <w:sz w:val="22"/>
          <w:szCs w:val="22"/>
        </w:rPr>
        <w:t xml:space="preserve"> DEBATE  DEL PROYECTO DE LEY No. 1</w:t>
      </w:r>
      <w:r w:rsidR="008C1D0D">
        <w:rPr>
          <w:rFonts w:ascii="Century Gothic" w:hAnsi="Century Gothic" w:cs="Arial"/>
          <w:b/>
          <w:sz w:val="22"/>
          <w:szCs w:val="22"/>
        </w:rPr>
        <w:t>05</w:t>
      </w:r>
      <w:r w:rsidRPr="002051CB">
        <w:rPr>
          <w:rFonts w:ascii="Century Gothic" w:hAnsi="Century Gothic" w:cs="Arial"/>
          <w:b/>
          <w:sz w:val="22"/>
          <w:szCs w:val="22"/>
        </w:rPr>
        <w:t xml:space="preserve"> DE 2021 CÁMARA </w:t>
      </w:r>
      <w:r w:rsidRPr="002051CB">
        <w:rPr>
          <w:rFonts w:ascii="Century Gothic" w:hAnsi="Century Gothic" w:cs="Arial"/>
          <w:b/>
          <w:i/>
          <w:sz w:val="22"/>
          <w:szCs w:val="22"/>
          <w:lang w:val="es-ES_tradnl"/>
        </w:rPr>
        <w:t>“POR MEDIO DE LA CUAL SE GARANTIZA LA ENTREGA GRATUITA, OPORTUNA Y SUFICIENTE DE ARTÍCULOS DE HIGIENE</w:t>
      </w:r>
      <w:r w:rsidR="005C309A">
        <w:rPr>
          <w:rFonts w:ascii="Century Gothic" w:hAnsi="Century Gothic" w:cs="Arial"/>
          <w:b/>
          <w:i/>
          <w:sz w:val="22"/>
          <w:szCs w:val="22"/>
          <w:lang w:val="es-ES_tradnl"/>
        </w:rPr>
        <w:t xml:space="preserve"> Y SALUD</w:t>
      </w:r>
      <w:r w:rsidRPr="002051CB">
        <w:rPr>
          <w:rFonts w:ascii="Century Gothic" w:hAnsi="Century Gothic" w:cs="Arial"/>
          <w:b/>
          <w:i/>
          <w:sz w:val="22"/>
          <w:szCs w:val="22"/>
          <w:lang w:val="es-ES_tradnl"/>
        </w:rPr>
        <w:t xml:space="preserve"> MENSTRUAL A LAS </w:t>
      </w:r>
      <w:r w:rsidR="005C309A">
        <w:rPr>
          <w:rFonts w:ascii="Century Gothic" w:hAnsi="Century Gothic" w:cs="Arial"/>
          <w:b/>
          <w:i/>
          <w:sz w:val="22"/>
          <w:szCs w:val="22"/>
          <w:lang w:val="es-ES_tradnl"/>
        </w:rPr>
        <w:t xml:space="preserve">PERSONAS MENSTRUANTES </w:t>
      </w:r>
      <w:r w:rsidRPr="002051CB">
        <w:rPr>
          <w:rFonts w:ascii="Century Gothic" w:hAnsi="Century Gothic" w:cs="Arial"/>
          <w:b/>
          <w:i/>
          <w:sz w:val="22"/>
          <w:szCs w:val="22"/>
          <w:lang w:val="es-ES_tradnl"/>
        </w:rPr>
        <w:t>PRIVADAS DE LA LIBERTAD Y SE DICTAN OTRAS DISPOSICIONES.”</w:t>
      </w:r>
    </w:p>
    <w:p w14:paraId="37F085C1" w14:textId="231B2AA4" w:rsidR="00E30ECC" w:rsidRPr="002051CB" w:rsidRDefault="00E30ECC" w:rsidP="00E30ECC">
      <w:pPr>
        <w:shd w:val="clear" w:color="auto" w:fill="FFFFFF"/>
        <w:jc w:val="center"/>
        <w:rPr>
          <w:rFonts w:ascii="Century Gothic" w:hAnsi="Century Gothic" w:cs="Arial"/>
          <w:bCs/>
          <w:sz w:val="22"/>
          <w:szCs w:val="22"/>
          <w:lang w:eastAsia="es-CO"/>
        </w:rPr>
      </w:pPr>
    </w:p>
    <w:p w14:paraId="2147FBE8"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6197AEFF" w14:textId="3B820727"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 xml:space="preserve">Bogotá D.C., </w:t>
      </w:r>
      <w:r w:rsidR="005C309A">
        <w:rPr>
          <w:rFonts w:ascii="Century Gothic" w:hAnsi="Century Gothic" w:cs="Arial"/>
          <w:bCs/>
          <w:sz w:val="22"/>
          <w:szCs w:val="22"/>
          <w:lang w:eastAsia="es-CO"/>
        </w:rPr>
        <w:t>noviembre</w:t>
      </w:r>
      <w:r w:rsidRPr="002051CB">
        <w:rPr>
          <w:rFonts w:ascii="Century Gothic" w:hAnsi="Century Gothic" w:cs="Arial"/>
          <w:bCs/>
          <w:sz w:val="22"/>
          <w:szCs w:val="22"/>
          <w:lang w:eastAsia="es-CO"/>
        </w:rPr>
        <w:t xml:space="preserve"> de 2021</w:t>
      </w:r>
    </w:p>
    <w:p w14:paraId="132163ED"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0303352C" w14:textId="77777777"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Honorable Representante</w:t>
      </w:r>
    </w:p>
    <w:p w14:paraId="2D1B83B2" w14:textId="77777777" w:rsidR="00E30ECC" w:rsidRPr="002051CB" w:rsidRDefault="00E30ECC" w:rsidP="00E30ECC">
      <w:pPr>
        <w:shd w:val="clear" w:color="auto" w:fill="FFFFFF"/>
        <w:rPr>
          <w:rFonts w:ascii="Century Gothic" w:hAnsi="Century Gothic" w:cs="Arial"/>
          <w:b/>
          <w:bCs/>
          <w:sz w:val="22"/>
          <w:szCs w:val="22"/>
          <w:lang w:eastAsia="es-CO"/>
        </w:rPr>
      </w:pPr>
      <w:r w:rsidRPr="002051CB">
        <w:rPr>
          <w:rFonts w:ascii="Century Gothic" w:hAnsi="Century Gothic" w:cs="Arial"/>
          <w:b/>
          <w:bCs/>
          <w:sz w:val="22"/>
          <w:szCs w:val="22"/>
          <w:lang w:eastAsia="es-CO"/>
        </w:rPr>
        <w:t>JULIO CESAR TRIANA QUINTERO</w:t>
      </w:r>
    </w:p>
    <w:p w14:paraId="13980BAD" w14:textId="77777777" w:rsidR="00E30ECC" w:rsidRPr="002051CB" w:rsidRDefault="00E30ECC" w:rsidP="00E30ECC">
      <w:pPr>
        <w:shd w:val="clear" w:color="auto" w:fill="FFFFFF"/>
        <w:rPr>
          <w:rFonts w:ascii="Century Gothic" w:hAnsi="Century Gothic" w:cs="Arial"/>
          <w:b/>
          <w:bCs/>
          <w:sz w:val="22"/>
          <w:szCs w:val="22"/>
          <w:lang w:eastAsia="es-CO"/>
        </w:rPr>
      </w:pPr>
      <w:r w:rsidRPr="002051CB">
        <w:rPr>
          <w:rFonts w:ascii="Century Gothic" w:hAnsi="Century Gothic" w:cs="Arial"/>
          <w:bCs/>
          <w:sz w:val="22"/>
          <w:szCs w:val="22"/>
          <w:lang w:eastAsia="es-CO"/>
        </w:rPr>
        <w:t>Presidente</w:t>
      </w:r>
      <w:r w:rsidRPr="002051CB">
        <w:rPr>
          <w:rFonts w:ascii="Century Gothic" w:hAnsi="Century Gothic" w:cs="Arial"/>
          <w:b/>
          <w:bCs/>
          <w:sz w:val="22"/>
          <w:szCs w:val="22"/>
          <w:lang w:eastAsia="es-CO"/>
        </w:rPr>
        <w:br/>
      </w:r>
      <w:r w:rsidRPr="002051CB">
        <w:rPr>
          <w:rFonts w:ascii="Century Gothic" w:hAnsi="Century Gothic" w:cs="Arial"/>
          <w:bCs/>
          <w:sz w:val="22"/>
          <w:szCs w:val="22"/>
          <w:lang w:eastAsia="es-CO"/>
        </w:rPr>
        <w:t>Comisión Primera</w:t>
      </w:r>
      <w:r w:rsidRPr="002051CB">
        <w:rPr>
          <w:rFonts w:ascii="Century Gothic" w:hAnsi="Century Gothic" w:cs="Arial"/>
          <w:b/>
          <w:bCs/>
          <w:sz w:val="22"/>
          <w:szCs w:val="22"/>
          <w:lang w:eastAsia="es-CO"/>
        </w:rPr>
        <w:br/>
      </w:r>
      <w:r w:rsidRPr="002051CB">
        <w:rPr>
          <w:rFonts w:ascii="Century Gothic" w:hAnsi="Century Gothic" w:cs="Arial"/>
          <w:bCs/>
          <w:sz w:val="22"/>
          <w:szCs w:val="22"/>
          <w:lang w:eastAsia="es-CO"/>
        </w:rPr>
        <w:t>Cámara de representantes</w:t>
      </w:r>
    </w:p>
    <w:p w14:paraId="4B04A551" w14:textId="77777777"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Ciudad.</w:t>
      </w:r>
    </w:p>
    <w:p w14:paraId="0C46FA7B"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786F3B84" w14:textId="70E9A844" w:rsidR="00E30ECC" w:rsidRDefault="00E30ECC" w:rsidP="00E30ECC">
      <w:pPr>
        <w:shd w:val="clear" w:color="auto" w:fill="FFFFFF"/>
        <w:jc w:val="both"/>
        <w:rPr>
          <w:rFonts w:ascii="Century Gothic" w:hAnsi="Century Gothic" w:cs="Arial"/>
          <w:sz w:val="22"/>
          <w:szCs w:val="22"/>
        </w:rPr>
      </w:pPr>
      <w:r w:rsidRPr="002051CB">
        <w:rPr>
          <w:rFonts w:ascii="Century Gothic" w:hAnsi="Century Gothic" w:cs="Arial"/>
          <w:b/>
          <w:bCs/>
          <w:sz w:val="22"/>
          <w:szCs w:val="22"/>
          <w:lang w:eastAsia="es-CO"/>
        </w:rPr>
        <w:t>Referencia:</w:t>
      </w:r>
      <w:r w:rsidRPr="002051CB">
        <w:rPr>
          <w:rFonts w:ascii="Century Gothic" w:hAnsi="Century Gothic" w:cs="Arial"/>
          <w:bCs/>
          <w:sz w:val="22"/>
          <w:szCs w:val="22"/>
          <w:lang w:eastAsia="es-CO"/>
        </w:rPr>
        <w:tab/>
        <w:t xml:space="preserve">Informe de ponencia para </w:t>
      </w:r>
      <w:r w:rsidR="005C309A">
        <w:rPr>
          <w:rFonts w:ascii="Century Gothic" w:hAnsi="Century Gothic" w:cs="Arial"/>
          <w:bCs/>
          <w:sz w:val="22"/>
          <w:szCs w:val="22"/>
          <w:lang w:eastAsia="es-CO"/>
        </w:rPr>
        <w:t>segundo</w:t>
      </w:r>
      <w:r w:rsidRPr="002051CB">
        <w:rPr>
          <w:rFonts w:ascii="Century Gothic" w:hAnsi="Century Gothic" w:cs="Arial"/>
          <w:bCs/>
          <w:sz w:val="22"/>
          <w:szCs w:val="22"/>
          <w:lang w:eastAsia="es-CO"/>
        </w:rPr>
        <w:t xml:space="preserve"> debate del </w:t>
      </w:r>
      <w:r w:rsidRPr="002051CB">
        <w:rPr>
          <w:rFonts w:ascii="Century Gothic" w:hAnsi="Century Gothic" w:cs="Arial"/>
          <w:sz w:val="22"/>
          <w:szCs w:val="22"/>
        </w:rPr>
        <w:t>Proyecto de Ley  No. 1</w:t>
      </w:r>
      <w:r w:rsidR="008C1D0D">
        <w:rPr>
          <w:rFonts w:ascii="Century Gothic" w:hAnsi="Century Gothic" w:cs="Arial"/>
          <w:sz w:val="22"/>
          <w:szCs w:val="22"/>
        </w:rPr>
        <w:t>05</w:t>
      </w:r>
      <w:r w:rsidRPr="002051CB">
        <w:rPr>
          <w:rFonts w:ascii="Century Gothic" w:hAnsi="Century Gothic" w:cs="Arial"/>
          <w:sz w:val="22"/>
          <w:szCs w:val="22"/>
        </w:rPr>
        <w:t xml:space="preserve"> de 2021 Cámara </w:t>
      </w:r>
      <w:r w:rsidR="005C309A" w:rsidRPr="005C309A">
        <w:rPr>
          <w:rFonts w:ascii="Century Gothic" w:hAnsi="Century Gothic" w:cs="Arial"/>
          <w:sz w:val="22"/>
          <w:szCs w:val="22"/>
        </w:rPr>
        <w:t>“</w:t>
      </w:r>
      <w:r w:rsidR="005C309A">
        <w:rPr>
          <w:rFonts w:ascii="Century Gothic" w:hAnsi="Century Gothic" w:cs="Arial"/>
          <w:sz w:val="22"/>
          <w:szCs w:val="22"/>
        </w:rPr>
        <w:t>P</w:t>
      </w:r>
      <w:r w:rsidR="005C309A" w:rsidRPr="005C309A">
        <w:rPr>
          <w:rFonts w:ascii="Century Gothic" w:hAnsi="Century Gothic" w:cs="Arial"/>
          <w:sz w:val="22"/>
          <w:szCs w:val="22"/>
        </w:rPr>
        <w:t>or medio de la cual se garantiza la entrega gratuita, oportuna y suficiente de artículos de higiene y salud menstrual a las personas menstruantes privadas de la libertad y se dictan otras disposiciones.”</w:t>
      </w:r>
    </w:p>
    <w:p w14:paraId="76B45AB6" w14:textId="77777777" w:rsidR="005C309A" w:rsidRPr="002051CB" w:rsidRDefault="005C309A" w:rsidP="00E30ECC">
      <w:pPr>
        <w:shd w:val="clear" w:color="auto" w:fill="FFFFFF"/>
        <w:jc w:val="both"/>
        <w:rPr>
          <w:rFonts w:ascii="Century Gothic" w:hAnsi="Century Gothic" w:cs="Arial"/>
          <w:b/>
          <w:bCs/>
          <w:sz w:val="22"/>
          <w:szCs w:val="22"/>
          <w:lang w:val="es-ES" w:eastAsia="es-CO"/>
        </w:rPr>
      </w:pPr>
    </w:p>
    <w:p w14:paraId="295813FB" w14:textId="72B6EDD1" w:rsidR="00E30ECC" w:rsidRPr="002051CB" w:rsidRDefault="00E30ECC" w:rsidP="00E30ECC">
      <w:pPr>
        <w:shd w:val="clear" w:color="auto" w:fill="FFFFFF"/>
        <w:jc w:val="both"/>
        <w:rPr>
          <w:rFonts w:ascii="Century Gothic" w:hAnsi="Century Gothic" w:cs="Arial"/>
          <w:bCs/>
          <w:sz w:val="22"/>
          <w:szCs w:val="22"/>
          <w:lang w:eastAsia="es-CO"/>
        </w:rPr>
      </w:pPr>
      <w:r w:rsidRPr="002051CB">
        <w:rPr>
          <w:rFonts w:ascii="Century Gothic" w:hAnsi="Century Gothic" w:cs="Arial"/>
          <w:bCs/>
          <w:sz w:val="22"/>
          <w:szCs w:val="22"/>
          <w:lang w:eastAsia="es-CO"/>
        </w:rPr>
        <w:t>Respetado señor Presidente</w:t>
      </w:r>
      <w:r w:rsidR="004F3125" w:rsidRPr="002051CB">
        <w:rPr>
          <w:rFonts w:ascii="Century Gothic" w:hAnsi="Century Gothic" w:cs="Arial"/>
          <w:bCs/>
          <w:sz w:val="22"/>
          <w:szCs w:val="22"/>
          <w:lang w:eastAsia="es-CO"/>
        </w:rPr>
        <w:t>;</w:t>
      </w:r>
    </w:p>
    <w:p w14:paraId="296784C9" w14:textId="77777777" w:rsidR="00E30ECC" w:rsidRPr="002051CB" w:rsidRDefault="00E30ECC" w:rsidP="00E30ECC">
      <w:pPr>
        <w:shd w:val="clear" w:color="auto" w:fill="FFFFFF"/>
        <w:jc w:val="both"/>
        <w:rPr>
          <w:rFonts w:ascii="Century Gothic" w:hAnsi="Century Gothic" w:cs="Arial"/>
          <w:bCs/>
          <w:sz w:val="22"/>
          <w:szCs w:val="22"/>
          <w:lang w:eastAsia="es-CO"/>
        </w:rPr>
      </w:pPr>
    </w:p>
    <w:p w14:paraId="32DECCB6" w14:textId="4165DE9A" w:rsidR="00E30ECC" w:rsidRDefault="00E30ECC" w:rsidP="00E30ECC">
      <w:pPr>
        <w:shd w:val="clear" w:color="auto" w:fill="FFFFFF"/>
        <w:jc w:val="both"/>
        <w:rPr>
          <w:rFonts w:ascii="Century Gothic" w:hAnsi="Century Gothic" w:cs="Arial"/>
          <w:sz w:val="22"/>
          <w:szCs w:val="22"/>
        </w:rPr>
      </w:pPr>
      <w:r w:rsidRPr="002051CB">
        <w:rPr>
          <w:rFonts w:ascii="Century Gothic" w:hAnsi="Century Gothic" w:cs="Arial"/>
          <w:bCs/>
          <w:sz w:val="22"/>
          <w:szCs w:val="22"/>
          <w:lang w:eastAsia="es-CO"/>
        </w:rPr>
        <w:t xml:space="preserve">En cumplimiento del encargo hecho por la Honorable Mesa Directiva de la Comisión Primera de la Cámara de Representantes y de conformidad con lo establecido en el Artículo 156 de la Ley 5ª de 1992, procedo a rendir </w:t>
      </w:r>
      <w:r w:rsidRPr="002051CB">
        <w:rPr>
          <w:rFonts w:ascii="Century Gothic" w:hAnsi="Century Gothic" w:cs="Arial"/>
          <w:sz w:val="22"/>
          <w:szCs w:val="22"/>
        </w:rPr>
        <w:t xml:space="preserve">informe de ponencia para </w:t>
      </w:r>
      <w:r w:rsidR="006415B0">
        <w:rPr>
          <w:rFonts w:ascii="Century Gothic" w:hAnsi="Century Gothic" w:cs="Arial"/>
          <w:sz w:val="22"/>
          <w:szCs w:val="22"/>
        </w:rPr>
        <w:t>segundo</w:t>
      </w:r>
      <w:r w:rsidRPr="002051CB">
        <w:rPr>
          <w:rFonts w:ascii="Century Gothic" w:hAnsi="Century Gothic" w:cs="Arial"/>
          <w:sz w:val="22"/>
          <w:szCs w:val="22"/>
        </w:rPr>
        <w:t xml:space="preserve"> debate del proyecto de Ley No. 1</w:t>
      </w:r>
      <w:r w:rsidR="008C1D0D">
        <w:rPr>
          <w:rFonts w:ascii="Century Gothic" w:hAnsi="Century Gothic" w:cs="Arial"/>
          <w:sz w:val="22"/>
          <w:szCs w:val="22"/>
        </w:rPr>
        <w:t>05</w:t>
      </w:r>
      <w:r w:rsidRPr="002051CB">
        <w:rPr>
          <w:rFonts w:ascii="Century Gothic" w:hAnsi="Century Gothic" w:cs="Arial"/>
          <w:sz w:val="22"/>
          <w:szCs w:val="22"/>
        </w:rPr>
        <w:t xml:space="preserve"> de 2021 Cámara </w:t>
      </w:r>
      <w:r w:rsidR="006415B0" w:rsidRPr="005C309A">
        <w:rPr>
          <w:rFonts w:ascii="Century Gothic" w:hAnsi="Century Gothic" w:cs="Arial"/>
          <w:sz w:val="22"/>
          <w:szCs w:val="22"/>
        </w:rPr>
        <w:t>“</w:t>
      </w:r>
      <w:r w:rsidR="006415B0">
        <w:rPr>
          <w:rFonts w:ascii="Century Gothic" w:hAnsi="Century Gothic" w:cs="Arial"/>
          <w:sz w:val="22"/>
          <w:szCs w:val="22"/>
        </w:rPr>
        <w:t>P</w:t>
      </w:r>
      <w:r w:rsidR="006415B0" w:rsidRPr="005C309A">
        <w:rPr>
          <w:rFonts w:ascii="Century Gothic" w:hAnsi="Century Gothic" w:cs="Arial"/>
          <w:sz w:val="22"/>
          <w:szCs w:val="22"/>
        </w:rPr>
        <w:t>or medio de la cual se garantiza la entrega gratuita, oportuna y suficiente de artículos de higiene y salud menstrual a las personas menstruantes privadas de la libertad y se dictan otras disposiciones.”</w:t>
      </w:r>
    </w:p>
    <w:p w14:paraId="7580FCCB" w14:textId="706EEF8E" w:rsidR="006415B0" w:rsidRDefault="006415B0" w:rsidP="00E30ECC">
      <w:pPr>
        <w:shd w:val="clear" w:color="auto" w:fill="FFFFFF"/>
        <w:jc w:val="both"/>
        <w:rPr>
          <w:rFonts w:ascii="Century Gothic" w:hAnsi="Century Gothic" w:cs="Arial"/>
          <w:sz w:val="22"/>
          <w:szCs w:val="22"/>
        </w:rPr>
      </w:pPr>
    </w:p>
    <w:p w14:paraId="6AE90582" w14:textId="77777777" w:rsidR="006415B0" w:rsidRPr="002051CB" w:rsidRDefault="006415B0" w:rsidP="00E30ECC">
      <w:pPr>
        <w:shd w:val="clear" w:color="auto" w:fill="FFFFFF"/>
        <w:jc w:val="both"/>
        <w:rPr>
          <w:rFonts w:ascii="Century Gothic" w:hAnsi="Century Gothic" w:cs="Arial"/>
          <w:sz w:val="22"/>
          <w:szCs w:val="22"/>
        </w:rPr>
      </w:pPr>
    </w:p>
    <w:p w14:paraId="1559391A" w14:textId="34D60AB8" w:rsidR="00E30ECC" w:rsidRPr="002051CB" w:rsidRDefault="00E30ECC" w:rsidP="00E30ECC">
      <w:pPr>
        <w:pStyle w:val="Prrafodelista"/>
        <w:numPr>
          <w:ilvl w:val="0"/>
          <w:numId w:val="10"/>
        </w:numPr>
        <w:shd w:val="clear" w:color="auto" w:fill="FFFFFF"/>
        <w:jc w:val="both"/>
        <w:rPr>
          <w:rFonts w:ascii="Century Gothic" w:hAnsi="Century Gothic" w:cs="Arial"/>
          <w:b/>
          <w:bCs/>
        </w:rPr>
      </w:pPr>
      <w:r w:rsidRPr="002051CB">
        <w:rPr>
          <w:rFonts w:ascii="Century Gothic" w:hAnsi="Century Gothic" w:cs="Arial"/>
          <w:b/>
          <w:bCs/>
        </w:rPr>
        <w:t>TRÁMITE DE LA INICIATIVA</w:t>
      </w:r>
      <w:r w:rsidR="004F3125" w:rsidRPr="002051CB">
        <w:rPr>
          <w:rFonts w:ascii="Century Gothic" w:hAnsi="Century Gothic" w:cs="Arial"/>
          <w:b/>
          <w:bCs/>
        </w:rPr>
        <w:t>.</w:t>
      </w:r>
    </w:p>
    <w:p w14:paraId="7F5158C1" w14:textId="2DDF9DB0" w:rsidR="00E30ECC" w:rsidRPr="002051CB" w:rsidRDefault="00E30ECC" w:rsidP="00E30ECC">
      <w:pPr>
        <w:shd w:val="clear" w:color="auto" w:fill="FFFFFF"/>
        <w:jc w:val="both"/>
        <w:rPr>
          <w:rFonts w:ascii="Century Gothic" w:hAnsi="Century Gothic" w:cs="Arial"/>
          <w:sz w:val="22"/>
          <w:szCs w:val="22"/>
        </w:rPr>
      </w:pPr>
      <w:r w:rsidRPr="002051CB">
        <w:rPr>
          <w:rFonts w:ascii="Century Gothic" w:hAnsi="Century Gothic" w:cs="Arial"/>
          <w:sz w:val="22"/>
          <w:szCs w:val="22"/>
        </w:rPr>
        <w:t xml:space="preserve">El proyecto de Ley No. </w:t>
      </w:r>
      <w:r w:rsidR="008C1D0D">
        <w:rPr>
          <w:rFonts w:ascii="Century Gothic" w:hAnsi="Century Gothic" w:cs="Arial"/>
          <w:sz w:val="22"/>
          <w:szCs w:val="22"/>
        </w:rPr>
        <w:t xml:space="preserve">105 </w:t>
      </w:r>
      <w:r w:rsidRPr="002051CB">
        <w:rPr>
          <w:rFonts w:ascii="Century Gothic" w:hAnsi="Century Gothic" w:cs="Arial"/>
          <w:sz w:val="22"/>
          <w:szCs w:val="22"/>
        </w:rPr>
        <w:t xml:space="preserve">de 2021 Cámara </w:t>
      </w:r>
      <w:r w:rsidR="006415B0" w:rsidRPr="005C309A">
        <w:rPr>
          <w:rFonts w:ascii="Century Gothic" w:hAnsi="Century Gothic" w:cs="Arial"/>
          <w:sz w:val="22"/>
          <w:szCs w:val="22"/>
        </w:rPr>
        <w:t>“</w:t>
      </w:r>
      <w:r w:rsidR="006415B0">
        <w:rPr>
          <w:rFonts w:ascii="Century Gothic" w:hAnsi="Century Gothic" w:cs="Arial"/>
          <w:sz w:val="22"/>
          <w:szCs w:val="22"/>
        </w:rPr>
        <w:t>P</w:t>
      </w:r>
      <w:r w:rsidR="006415B0" w:rsidRPr="005C309A">
        <w:rPr>
          <w:rFonts w:ascii="Century Gothic" w:hAnsi="Century Gothic" w:cs="Arial"/>
          <w:sz w:val="22"/>
          <w:szCs w:val="22"/>
        </w:rPr>
        <w:t>or medio de la cual se garantiza la entrega gratuita, oportuna y suficiente de artículos de higiene y salud menstrual a las personas menstruantes privadas de la libertad y se dictan otras disposiciones.”</w:t>
      </w:r>
      <w:r w:rsidR="006415B0">
        <w:rPr>
          <w:rFonts w:ascii="Century Gothic" w:hAnsi="Century Gothic" w:cs="Arial"/>
          <w:sz w:val="22"/>
          <w:szCs w:val="22"/>
        </w:rPr>
        <w:t xml:space="preserve"> </w:t>
      </w:r>
      <w:r w:rsidRPr="002051CB">
        <w:rPr>
          <w:rFonts w:ascii="Century Gothic" w:hAnsi="Century Gothic" w:cs="Arial"/>
          <w:sz w:val="22"/>
          <w:szCs w:val="22"/>
        </w:rPr>
        <w:t xml:space="preserve">fue presentado por los Honorables Representantes Adriana Magali Matiz Vargas, Karen </w:t>
      </w:r>
      <w:proofErr w:type="spellStart"/>
      <w:r w:rsidRPr="002051CB">
        <w:rPr>
          <w:rFonts w:ascii="Century Gothic" w:hAnsi="Century Gothic" w:cs="Arial"/>
          <w:sz w:val="22"/>
          <w:szCs w:val="22"/>
        </w:rPr>
        <w:t>Violette</w:t>
      </w:r>
      <w:proofErr w:type="spellEnd"/>
      <w:r w:rsidRPr="002051CB">
        <w:rPr>
          <w:rFonts w:ascii="Century Gothic" w:hAnsi="Century Gothic" w:cs="Arial"/>
          <w:sz w:val="22"/>
          <w:szCs w:val="22"/>
        </w:rPr>
        <w:t xml:space="preserve"> Cure </w:t>
      </w:r>
      <w:proofErr w:type="spellStart"/>
      <w:r w:rsidRPr="002051CB">
        <w:rPr>
          <w:rFonts w:ascii="Century Gothic" w:hAnsi="Century Gothic" w:cs="Arial"/>
          <w:sz w:val="22"/>
          <w:szCs w:val="22"/>
        </w:rPr>
        <w:t>Corcione</w:t>
      </w:r>
      <w:proofErr w:type="spellEnd"/>
      <w:r w:rsidRPr="002051CB">
        <w:rPr>
          <w:rFonts w:ascii="Century Gothic" w:hAnsi="Century Gothic" w:cs="Arial"/>
          <w:sz w:val="22"/>
          <w:szCs w:val="22"/>
        </w:rPr>
        <w:t xml:space="preserve">, Juan Carlos </w:t>
      </w:r>
      <w:proofErr w:type="spellStart"/>
      <w:r w:rsidRPr="002051CB">
        <w:rPr>
          <w:rFonts w:ascii="Century Gothic" w:hAnsi="Century Gothic" w:cs="Arial"/>
          <w:sz w:val="22"/>
          <w:szCs w:val="22"/>
        </w:rPr>
        <w:t>Wills</w:t>
      </w:r>
      <w:proofErr w:type="spellEnd"/>
      <w:r w:rsidRPr="002051CB">
        <w:rPr>
          <w:rFonts w:ascii="Century Gothic" w:hAnsi="Century Gothic" w:cs="Arial"/>
          <w:sz w:val="22"/>
          <w:szCs w:val="22"/>
        </w:rPr>
        <w:t xml:space="preserve"> Ospina, Juanita María </w:t>
      </w:r>
      <w:proofErr w:type="spellStart"/>
      <w:r w:rsidRPr="002051CB">
        <w:rPr>
          <w:rFonts w:ascii="Century Gothic" w:hAnsi="Century Gothic" w:cs="Arial"/>
          <w:sz w:val="22"/>
          <w:szCs w:val="22"/>
        </w:rPr>
        <w:t>Goebertus</w:t>
      </w:r>
      <w:proofErr w:type="spellEnd"/>
      <w:r w:rsidRPr="002051CB">
        <w:rPr>
          <w:rFonts w:ascii="Century Gothic" w:hAnsi="Century Gothic" w:cs="Arial"/>
          <w:sz w:val="22"/>
          <w:szCs w:val="22"/>
        </w:rPr>
        <w:t xml:space="preserve"> Estrada, Ciro Antonio Rodríguez Pinzón, </w:t>
      </w:r>
      <w:proofErr w:type="spellStart"/>
      <w:r w:rsidRPr="002051CB">
        <w:rPr>
          <w:rFonts w:ascii="Century Gothic" w:hAnsi="Century Gothic" w:cs="Arial"/>
          <w:sz w:val="22"/>
          <w:szCs w:val="22"/>
        </w:rPr>
        <w:t>Andres</w:t>
      </w:r>
      <w:proofErr w:type="spellEnd"/>
      <w:r w:rsidRPr="002051CB">
        <w:rPr>
          <w:rFonts w:ascii="Century Gothic" w:hAnsi="Century Gothic" w:cs="Arial"/>
          <w:sz w:val="22"/>
          <w:szCs w:val="22"/>
        </w:rPr>
        <w:t xml:space="preserve"> David Calle Aguas, </w:t>
      </w:r>
      <w:proofErr w:type="spellStart"/>
      <w:r w:rsidRPr="002051CB">
        <w:rPr>
          <w:rFonts w:ascii="Century Gothic" w:hAnsi="Century Gothic" w:cs="Arial"/>
          <w:sz w:val="22"/>
          <w:szCs w:val="22"/>
        </w:rPr>
        <w:t>Jhon</w:t>
      </w:r>
      <w:proofErr w:type="spellEnd"/>
      <w:r w:rsidRPr="002051CB">
        <w:rPr>
          <w:rFonts w:ascii="Century Gothic" w:hAnsi="Century Gothic" w:cs="Arial"/>
          <w:sz w:val="22"/>
          <w:szCs w:val="22"/>
        </w:rPr>
        <w:t xml:space="preserve"> Arley Murillo </w:t>
      </w:r>
      <w:proofErr w:type="spellStart"/>
      <w:r w:rsidRPr="002051CB">
        <w:rPr>
          <w:rFonts w:ascii="Century Gothic" w:hAnsi="Century Gothic" w:cs="Arial"/>
          <w:sz w:val="22"/>
          <w:szCs w:val="22"/>
        </w:rPr>
        <w:t>Benitez</w:t>
      </w:r>
      <w:proofErr w:type="spellEnd"/>
      <w:r w:rsidRPr="002051CB">
        <w:rPr>
          <w:rFonts w:ascii="Century Gothic" w:hAnsi="Century Gothic" w:cs="Arial"/>
          <w:sz w:val="22"/>
          <w:szCs w:val="22"/>
        </w:rPr>
        <w:t xml:space="preserve">, Karina Estefanía Rojano Palacio, </w:t>
      </w:r>
      <w:proofErr w:type="spellStart"/>
      <w:r w:rsidRPr="002051CB">
        <w:rPr>
          <w:rFonts w:ascii="Century Gothic" w:hAnsi="Century Gothic" w:cs="Arial"/>
          <w:sz w:val="22"/>
          <w:szCs w:val="22"/>
        </w:rPr>
        <w:t>Wadith</w:t>
      </w:r>
      <w:proofErr w:type="spellEnd"/>
      <w:r w:rsidRPr="002051CB">
        <w:rPr>
          <w:rFonts w:ascii="Century Gothic" w:hAnsi="Century Gothic" w:cs="Arial"/>
          <w:sz w:val="22"/>
          <w:szCs w:val="22"/>
        </w:rPr>
        <w:t xml:space="preserve"> Alberto </w:t>
      </w:r>
      <w:proofErr w:type="spellStart"/>
      <w:r w:rsidRPr="002051CB">
        <w:rPr>
          <w:rFonts w:ascii="Century Gothic" w:hAnsi="Century Gothic" w:cs="Arial"/>
          <w:sz w:val="22"/>
          <w:szCs w:val="22"/>
        </w:rPr>
        <w:t>Manzur</w:t>
      </w:r>
      <w:proofErr w:type="spellEnd"/>
      <w:r w:rsidRPr="002051CB">
        <w:rPr>
          <w:rFonts w:ascii="Century Gothic" w:hAnsi="Century Gothic" w:cs="Arial"/>
          <w:sz w:val="22"/>
          <w:szCs w:val="22"/>
        </w:rPr>
        <w:t xml:space="preserve"> </w:t>
      </w:r>
      <w:proofErr w:type="spellStart"/>
      <w:r w:rsidRPr="002051CB">
        <w:rPr>
          <w:rFonts w:ascii="Century Gothic" w:hAnsi="Century Gothic" w:cs="Arial"/>
          <w:sz w:val="22"/>
          <w:szCs w:val="22"/>
        </w:rPr>
        <w:t>Imbett</w:t>
      </w:r>
      <w:proofErr w:type="spellEnd"/>
      <w:r w:rsidRPr="002051CB">
        <w:rPr>
          <w:rFonts w:ascii="Century Gothic" w:hAnsi="Century Gothic" w:cs="Arial"/>
          <w:sz w:val="22"/>
          <w:szCs w:val="22"/>
        </w:rPr>
        <w:t xml:space="preserve">, Buenaventura León, Alfredo </w:t>
      </w:r>
      <w:proofErr w:type="spellStart"/>
      <w:r w:rsidRPr="002051CB">
        <w:rPr>
          <w:rFonts w:ascii="Century Gothic" w:hAnsi="Century Gothic" w:cs="Arial"/>
          <w:sz w:val="22"/>
          <w:szCs w:val="22"/>
        </w:rPr>
        <w:t>Ape</w:t>
      </w:r>
      <w:proofErr w:type="spellEnd"/>
      <w:r w:rsidRPr="002051CB">
        <w:rPr>
          <w:rFonts w:ascii="Century Gothic" w:hAnsi="Century Gothic" w:cs="Arial"/>
          <w:sz w:val="22"/>
          <w:szCs w:val="22"/>
        </w:rPr>
        <w:t xml:space="preserve"> Cuello </w:t>
      </w:r>
      <w:proofErr w:type="spellStart"/>
      <w:r w:rsidRPr="002051CB">
        <w:rPr>
          <w:rFonts w:ascii="Century Gothic" w:hAnsi="Century Gothic" w:cs="Arial"/>
          <w:sz w:val="22"/>
          <w:szCs w:val="22"/>
        </w:rPr>
        <w:t>Baute</w:t>
      </w:r>
      <w:proofErr w:type="spellEnd"/>
      <w:r w:rsidRPr="002051CB">
        <w:rPr>
          <w:rFonts w:ascii="Century Gothic" w:hAnsi="Century Gothic" w:cs="Arial"/>
          <w:sz w:val="22"/>
          <w:szCs w:val="22"/>
        </w:rPr>
        <w:t xml:space="preserve">, Cesar Augusto </w:t>
      </w:r>
      <w:proofErr w:type="spellStart"/>
      <w:r w:rsidRPr="002051CB">
        <w:rPr>
          <w:rFonts w:ascii="Century Gothic" w:hAnsi="Century Gothic" w:cs="Arial"/>
          <w:sz w:val="22"/>
          <w:szCs w:val="22"/>
        </w:rPr>
        <w:t>Lorduy</w:t>
      </w:r>
      <w:proofErr w:type="spellEnd"/>
      <w:r w:rsidRPr="002051CB">
        <w:rPr>
          <w:rFonts w:ascii="Century Gothic" w:hAnsi="Century Gothic" w:cs="Arial"/>
          <w:sz w:val="22"/>
          <w:szCs w:val="22"/>
        </w:rPr>
        <w:t xml:space="preserve"> Maldonado, Elizabeth </w:t>
      </w:r>
      <w:proofErr w:type="spellStart"/>
      <w:r w:rsidRPr="002051CB">
        <w:rPr>
          <w:rFonts w:ascii="Century Gothic" w:hAnsi="Century Gothic" w:cs="Arial"/>
          <w:sz w:val="22"/>
          <w:szCs w:val="22"/>
        </w:rPr>
        <w:t>Jay-pang</w:t>
      </w:r>
      <w:proofErr w:type="spellEnd"/>
      <w:r w:rsidRPr="002051CB">
        <w:rPr>
          <w:rFonts w:ascii="Century Gothic" w:hAnsi="Century Gothic" w:cs="Arial"/>
          <w:sz w:val="22"/>
          <w:szCs w:val="22"/>
        </w:rPr>
        <w:t xml:space="preserve"> Díaz, </w:t>
      </w:r>
      <w:proofErr w:type="spellStart"/>
      <w:r w:rsidRPr="002051CB">
        <w:rPr>
          <w:rFonts w:ascii="Century Gothic" w:hAnsi="Century Gothic" w:cs="Arial"/>
          <w:sz w:val="22"/>
          <w:szCs w:val="22"/>
        </w:rPr>
        <w:t>Yamil</w:t>
      </w:r>
      <w:proofErr w:type="spellEnd"/>
      <w:r w:rsidRPr="002051CB">
        <w:rPr>
          <w:rFonts w:ascii="Century Gothic" w:hAnsi="Century Gothic" w:cs="Arial"/>
          <w:sz w:val="22"/>
          <w:szCs w:val="22"/>
        </w:rPr>
        <w:t xml:space="preserve"> Hernando Arana </w:t>
      </w:r>
      <w:proofErr w:type="spellStart"/>
      <w:r w:rsidRPr="002051CB">
        <w:rPr>
          <w:rFonts w:ascii="Century Gothic" w:hAnsi="Century Gothic" w:cs="Arial"/>
          <w:sz w:val="22"/>
          <w:szCs w:val="22"/>
        </w:rPr>
        <w:t>Padaui</w:t>
      </w:r>
      <w:proofErr w:type="spellEnd"/>
      <w:r w:rsidRPr="002051CB">
        <w:rPr>
          <w:rFonts w:ascii="Century Gothic" w:hAnsi="Century Gothic" w:cs="Arial"/>
          <w:sz w:val="22"/>
          <w:szCs w:val="22"/>
        </w:rPr>
        <w:t>.</w:t>
      </w:r>
    </w:p>
    <w:p w14:paraId="0762C379" w14:textId="72F1B186" w:rsidR="00E30ECC" w:rsidRPr="002051CB" w:rsidRDefault="00E30ECC" w:rsidP="00E30ECC">
      <w:pPr>
        <w:shd w:val="clear" w:color="auto" w:fill="FFFFFF"/>
        <w:jc w:val="both"/>
        <w:rPr>
          <w:rFonts w:ascii="Century Gothic" w:hAnsi="Century Gothic" w:cs="Arial"/>
          <w:sz w:val="22"/>
          <w:szCs w:val="22"/>
        </w:rPr>
      </w:pPr>
    </w:p>
    <w:p w14:paraId="1B4540EA" w14:textId="6D3B5A26" w:rsidR="00E30ECC" w:rsidRPr="002051CB" w:rsidRDefault="00E30ECC" w:rsidP="00E30ECC">
      <w:pPr>
        <w:shd w:val="clear" w:color="auto" w:fill="FFFFFF"/>
        <w:jc w:val="both"/>
        <w:rPr>
          <w:rFonts w:ascii="Century Gothic" w:hAnsi="Century Gothic" w:cs="Arial"/>
          <w:sz w:val="22"/>
          <w:szCs w:val="22"/>
        </w:rPr>
      </w:pPr>
      <w:r w:rsidRPr="002051CB">
        <w:rPr>
          <w:rFonts w:ascii="Century Gothic" w:hAnsi="Century Gothic" w:cs="Arial"/>
          <w:sz w:val="22"/>
          <w:szCs w:val="22"/>
        </w:rPr>
        <w:t>Publicado en la gaceta: 957/202</w:t>
      </w:r>
      <w:r w:rsidR="004F3125" w:rsidRPr="002051CB">
        <w:rPr>
          <w:rFonts w:ascii="Century Gothic" w:hAnsi="Century Gothic" w:cs="Arial"/>
          <w:sz w:val="22"/>
          <w:szCs w:val="22"/>
        </w:rPr>
        <w:t>1.</w:t>
      </w:r>
      <w:r w:rsidRPr="002051CB">
        <w:rPr>
          <w:rFonts w:ascii="Century Gothic" w:hAnsi="Century Gothic" w:cs="Arial"/>
          <w:sz w:val="22"/>
          <w:szCs w:val="22"/>
        </w:rPr>
        <w:t xml:space="preserve"> </w:t>
      </w:r>
    </w:p>
    <w:p w14:paraId="3D346734" w14:textId="63DC3102" w:rsidR="00E30ECC" w:rsidRPr="002051CB" w:rsidRDefault="00E30ECC" w:rsidP="00E30ECC">
      <w:pPr>
        <w:shd w:val="clear" w:color="auto" w:fill="FFFFFF"/>
        <w:jc w:val="both"/>
        <w:rPr>
          <w:rFonts w:ascii="Century Gothic" w:hAnsi="Century Gothic" w:cs="Arial"/>
          <w:sz w:val="22"/>
          <w:szCs w:val="22"/>
        </w:rPr>
      </w:pPr>
      <w:r w:rsidRPr="002051CB">
        <w:rPr>
          <w:rFonts w:ascii="Century Gothic" w:hAnsi="Century Gothic" w:cs="Arial"/>
          <w:sz w:val="22"/>
          <w:szCs w:val="22"/>
        </w:rPr>
        <w:lastRenderedPageBreak/>
        <w:t>Recibido en Comisión Primera. Agosto 19 de 2021.</w:t>
      </w:r>
    </w:p>
    <w:p w14:paraId="43B37FAE" w14:textId="58360868" w:rsidR="00E30ECC" w:rsidRPr="002051CB" w:rsidRDefault="00E30ECC" w:rsidP="00E30ECC">
      <w:pPr>
        <w:shd w:val="clear" w:color="auto" w:fill="FFFFFF"/>
        <w:jc w:val="both"/>
        <w:rPr>
          <w:rFonts w:ascii="Century Gothic" w:hAnsi="Century Gothic" w:cs="Arial"/>
          <w:sz w:val="22"/>
          <w:szCs w:val="22"/>
        </w:rPr>
      </w:pPr>
    </w:p>
    <w:p w14:paraId="675C90AA" w14:textId="2D9A8015" w:rsidR="00E30ECC" w:rsidRDefault="00E30ECC" w:rsidP="00E30ECC">
      <w:pPr>
        <w:jc w:val="both"/>
        <w:rPr>
          <w:rFonts w:ascii="Century Gothic" w:hAnsi="Century Gothic" w:cs="Arial"/>
          <w:color w:val="000000" w:themeColor="text1"/>
          <w:sz w:val="22"/>
          <w:szCs w:val="22"/>
        </w:rPr>
      </w:pPr>
      <w:r w:rsidRPr="002051CB">
        <w:rPr>
          <w:rFonts w:ascii="Century Gothic" w:hAnsi="Century Gothic" w:cs="Arial"/>
          <w:sz w:val="22"/>
          <w:szCs w:val="22"/>
        </w:rPr>
        <w:t>El 25 de agosto</w:t>
      </w:r>
      <w:r w:rsidRPr="002051CB">
        <w:rPr>
          <w:rFonts w:ascii="Century Gothic" w:hAnsi="Century Gothic" w:cs="Arial"/>
          <w:color w:val="000000" w:themeColor="text1"/>
          <w:sz w:val="22"/>
          <w:szCs w:val="22"/>
        </w:rPr>
        <w:t>, la Mesa Directiva de la Comisión Primera de la Cámara de Representantes  me designó como única ponente.</w:t>
      </w:r>
    </w:p>
    <w:p w14:paraId="71243F5E" w14:textId="77CE410F" w:rsidR="00592E63" w:rsidRDefault="00592E63" w:rsidP="00E30ECC">
      <w:pPr>
        <w:jc w:val="both"/>
        <w:rPr>
          <w:rFonts w:ascii="Century Gothic" w:hAnsi="Century Gothic" w:cs="Arial"/>
          <w:color w:val="000000" w:themeColor="text1"/>
          <w:sz w:val="22"/>
          <w:szCs w:val="22"/>
        </w:rPr>
      </w:pPr>
    </w:p>
    <w:p w14:paraId="3EA2C7E6" w14:textId="05DB8851" w:rsidR="006415B0" w:rsidRDefault="006415B0" w:rsidP="00E30ECC">
      <w:pPr>
        <w:jc w:val="both"/>
        <w:rPr>
          <w:rFonts w:ascii="Century Gothic" w:hAnsi="Century Gothic" w:cs="Arial"/>
          <w:color w:val="000000" w:themeColor="text1"/>
          <w:sz w:val="22"/>
          <w:szCs w:val="22"/>
        </w:rPr>
      </w:pPr>
    </w:p>
    <w:p w14:paraId="52094306" w14:textId="77777777" w:rsidR="006415B0" w:rsidRDefault="006415B0" w:rsidP="00E30ECC">
      <w:pPr>
        <w:jc w:val="both"/>
        <w:rPr>
          <w:rFonts w:ascii="Century Gothic" w:hAnsi="Century Gothic" w:cs="Arial"/>
          <w:color w:val="000000" w:themeColor="text1"/>
          <w:sz w:val="22"/>
          <w:szCs w:val="22"/>
        </w:rPr>
      </w:pPr>
    </w:p>
    <w:p w14:paraId="0F5C43D5" w14:textId="77777777" w:rsidR="00592E63" w:rsidRDefault="00592E63" w:rsidP="00E30ECC">
      <w:pPr>
        <w:jc w:val="both"/>
        <w:rPr>
          <w:rFonts w:ascii="Century Gothic" w:hAnsi="Century Gothic" w:cs="Arial"/>
          <w:color w:val="000000" w:themeColor="text1"/>
          <w:sz w:val="22"/>
          <w:szCs w:val="22"/>
        </w:rPr>
      </w:pPr>
    </w:p>
    <w:p w14:paraId="09F9489B" w14:textId="3B6313E9" w:rsidR="00592E63" w:rsidRDefault="00592E63" w:rsidP="00E30ECC">
      <w:pPr>
        <w:jc w:val="both"/>
        <w:rPr>
          <w:rFonts w:ascii="Century Gothic" w:hAnsi="Century Gothic" w:cs="Arial"/>
          <w:color w:val="000000" w:themeColor="text1"/>
          <w:sz w:val="22"/>
          <w:szCs w:val="22"/>
        </w:rPr>
      </w:pPr>
    </w:p>
    <w:p w14:paraId="06CCB56D" w14:textId="77777777" w:rsidR="00592E63" w:rsidRDefault="00592E63" w:rsidP="00592E63">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ADRIANA MAGALI MATIZ VARGAS</w:t>
      </w:r>
    </w:p>
    <w:p w14:paraId="7658DB74"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14:paraId="62FFB4EC" w14:textId="61A2F3FB" w:rsidR="00592E63" w:rsidRDefault="00592E63" w:rsidP="00592E63">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14:paraId="4376C777" w14:textId="77777777" w:rsidR="00592E63" w:rsidRDefault="00592E63" w:rsidP="00592E63">
      <w:pPr>
        <w:jc w:val="center"/>
        <w:rPr>
          <w:rFonts w:ascii="Century Gothic" w:hAnsi="Century Gothic" w:cs="Arial"/>
          <w:color w:val="000000" w:themeColor="text1"/>
          <w:sz w:val="22"/>
          <w:szCs w:val="22"/>
        </w:rPr>
      </w:pPr>
    </w:p>
    <w:p w14:paraId="7053163B" w14:textId="4A77555C" w:rsidR="00005C10" w:rsidRDefault="00005C10" w:rsidP="00E30ECC">
      <w:pPr>
        <w:jc w:val="both"/>
        <w:rPr>
          <w:rFonts w:ascii="Century Gothic" w:hAnsi="Century Gothic" w:cs="Arial"/>
          <w:color w:val="000000" w:themeColor="text1"/>
          <w:sz w:val="22"/>
          <w:szCs w:val="22"/>
        </w:rPr>
      </w:pPr>
    </w:p>
    <w:p w14:paraId="6648DA6A" w14:textId="77777777" w:rsidR="00005C10" w:rsidRPr="00005C10" w:rsidRDefault="00005C10" w:rsidP="00005C10">
      <w:pPr>
        <w:pStyle w:val="Prrafodelista"/>
        <w:numPr>
          <w:ilvl w:val="0"/>
          <w:numId w:val="10"/>
        </w:numPr>
        <w:pBdr>
          <w:top w:val="nil"/>
          <w:left w:val="nil"/>
          <w:bottom w:val="nil"/>
          <w:right w:val="nil"/>
          <w:between w:val="nil"/>
        </w:pBdr>
        <w:spacing w:after="240"/>
        <w:rPr>
          <w:rFonts w:ascii="Century Gothic" w:eastAsia="Century Gothic" w:hAnsi="Century Gothic" w:cs="Century Gothic"/>
          <w:b/>
          <w:color w:val="000000"/>
        </w:rPr>
      </w:pPr>
      <w:r w:rsidRPr="00005C10">
        <w:rPr>
          <w:rFonts w:ascii="Century Gothic" w:eastAsia="Century Gothic" w:hAnsi="Century Gothic" w:cs="Century Gothic"/>
          <w:b/>
          <w:color w:val="000000"/>
        </w:rPr>
        <w:t>OBJETO</w:t>
      </w:r>
    </w:p>
    <w:p w14:paraId="13EFF039" w14:textId="48F48DF9" w:rsidR="00005C10" w:rsidRDefault="00005C10" w:rsidP="00005C10">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Garantizar la entrega gratuita, oportuna y suficiente de artículos de higiene menstrual a las </w:t>
      </w:r>
      <w:r w:rsidR="001430F4">
        <w:rPr>
          <w:rFonts w:ascii="Century Gothic" w:eastAsia="Century Gothic" w:hAnsi="Century Gothic" w:cs="Century Gothic"/>
          <w:sz w:val="22"/>
          <w:szCs w:val="22"/>
        </w:rPr>
        <w:t xml:space="preserve">mujeres y </w:t>
      </w:r>
      <w:r w:rsidR="001D75DF">
        <w:rPr>
          <w:rFonts w:ascii="Century Gothic" w:eastAsia="Century Gothic" w:hAnsi="Century Gothic" w:cs="Century Gothic"/>
          <w:sz w:val="22"/>
          <w:szCs w:val="22"/>
        </w:rPr>
        <w:t>personas</w:t>
      </w:r>
      <w:r>
        <w:rPr>
          <w:rFonts w:ascii="Century Gothic" w:eastAsia="Century Gothic" w:hAnsi="Century Gothic" w:cs="Century Gothic"/>
          <w:sz w:val="22"/>
          <w:szCs w:val="22"/>
        </w:rPr>
        <w:t xml:space="preserve"> </w:t>
      </w:r>
      <w:r w:rsidR="001430F4">
        <w:rPr>
          <w:rFonts w:ascii="Century Gothic" w:eastAsia="Century Gothic" w:hAnsi="Century Gothic" w:cs="Century Gothic"/>
          <w:sz w:val="22"/>
          <w:szCs w:val="22"/>
        </w:rPr>
        <w:t xml:space="preserve">menstruantes </w:t>
      </w:r>
      <w:r>
        <w:rPr>
          <w:rFonts w:ascii="Century Gothic" w:eastAsia="Century Gothic" w:hAnsi="Century Gothic" w:cs="Century Gothic"/>
          <w:sz w:val="22"/>
          <w:szCs w:val="22"/>
        </w:rPr>
        <w:t>privadas de la libertad, con el fin de lograr la materialización de los derechos a la dignidad humana, la salud y bienestar, la no discriminación y la igualdad de género.</w:t>
      </w:r>
    </w:p>
    <w:p w14:paraId="7719C814" w14:textId="331DA4EC" w:rsidR="00E30ECC" w:rsidRPr="002051CB" w:rsidRDefault="00E30ECC" w:rsidP="00E30ECC">
      <w:pPr>
        <w:jc w:val="both"/>
        <w:rPr>
          <w:rFonts w:ascii="Century Gothic" w:hAnsi="Century Gothic" w:cs="Arial"/>
          <w:color w:val="000000" w:themeColor="text1"/>
          <w:sz w:val="22"/>
          <w:szCs w:val="22"/>
        </w:rPr>
      </w:pPr>
    </w:p>
    <w:p w14:paraId="4473DD06" w14:textId="525A537E" w:rsidR="004F3125" w:rsidRDefault="004F3125" w:rsidP="004F3125">
      <w:pPr>
        <w:pStyle w:val="Prrafodelista"/>
        <w:numPr>
          <w:ilvl w:val="0"/>
          <w:numId w:val="10"/>
        </w:numPr>
        <w:jc w:val="both"/>
        <w:rPr>
          <w:rFonts w:ascii="Century Gothic" w:hAnsi="Century Gothic" w:cs="Arial"/>
          <w:b/>
          <w:bCs/>
          <w:color w:val="000000" w:themeColor="text1"/>
        </w:rPr>
      </w:pPr>
      <w:r w:rsidRPr="002051CB">
        <w:rPr>
          <w:rFonts w:ascii="Century Gothic" w:hAnsi="Century Gothic" w:cs="Arial"/>
          <w:b/>
          <w:bCs/>
          <w:color w:val="000000" w:themeColor="text1"/>
        </w:rPr>
        <w:t xml:space="preserve">EXPOSICIÓN DE MOTIVOS. </w:t>
      </w:r>
    </w:p>
    <w:p w14:paraId="6E41FABD" w14:textId="29434B2D" w:rsidR="00005C10" w:rsidRDefault="00005C10" w:rsidP="00005C10">
      <w:pPr>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Es de mencionar que la exposición de motivos se divide en los siguientes puntos:</w:t>
      </w:r>
    </w:p>
    <w:p w14:paraId="15A7B6D2" w14:textId="5E1D55FA" w:rsidR="00005C10" w:rsidRDefault="00005C10" w:rsidP="00005C10">
      <w:pPr>
        <w:jc w:val="both"/>
        <w:rPr>
          <w:rFonts w:ascii="Century Gothic" w:hAnsi="Century Gothic" w:cs="Arial"/>
          <w:color w:val="000000" w:themeColor="text1"/>
          <w:sz w:val="22"/>
          <w:szCs w:val="22"/>
        </w:rPr>
      </w:pPr>
    </w:p>
    <w:p w14:paraId="5296E281" w14:textId="4B874485" w:rsidR="003F37E2" w:rsidRDefault="00005C10" w:rsidP="003F37E2">
      <w:pPr>
        <w:ind w:firstLine="567"/>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1. Justificación</w:t>
      </w:r>
      <w:r w:rsidR="003F37E2">
        <w:rPr>
          <w:rFonts w:ascii="Century Gothic" w:hAnsi="Century Gothic" w:cs="Arial"/>
          <w:color w:val="000000" w:themeColor="text1"/>
          <w:sz w:val="22"/>
          <w:szCs w:val="22"/>
        </w:rPr>
        <w:t>.</w:t>
      </w:r>
    </w:p>
    <w:p w14:paraId="74D841E9" w14:textId="227F8ACE" w:rsidR="003F37E2" w:rsidRDefault="003F37E2" w:rsidP="003F37E2">
      <w:pPr>
        <w:ind w:firstLine="567"/>
        <w:jc w:val="both"/>
        <w:rPr>
          <w:rFonts w:ascii="Century Gothic" w:hAnsi="Century Gothic" w:cs="Arial"/>
          <w:b/>
          <w:color w:val="000000" w:themeColor="text1"/>
          <w:sz w:val="22"/>
          <w:szCs w:val="22"/>
        </w:rPr>
      </w:pPr>
      <w:r>
        <w:rPr>
          <w:rFonts w:ascii="Century Gothic" w:hAnsi="Century Gothic" w:cs="Arial"/>
          <w:color w:val="000000" w:themeColor="text1"/>
          <w:sz w:val="22"/>
          <w:szCs w:val="22"/>
        </w:rPr>
        <w:t xml:space="preserve">2. </w:t>
      </w:r>
      <w:r w:rsidR="00005C10">
        <w:rPr>
          <w:rFonts w:ascii="Century Gothic" w:hAnsi="Century Gothic" w:cs="Arial"/>
          <w:color w:val="000000" w:themeColor="text1"/>
          <w:sz w:val="22"/>
          <w:szCs w:val="22"/>
        </w:rPr>
        <w:t xml:space="preserve"> </w:t>
      </w:r>
      <w:r>
        <w:rPr>
          <w:rFonts w:ascii="Century Gothic" w:hAnsi="Century Gothic" w:cs="Arial"/>
          <w:bCs/>
          <w:color w:val="000000" w:themeColor="text1"/>
          <w:sz w:val="22"/>
          <w:szCs w:val="22"/>
        </w:rPr>
        <w:t>M</w:t>
      </w:r>
      <w:r w:rsidRPr="003F37E2">
        <w:rPr>
          <w:rFonts w:ascii="Century Gothic" w:hAnsi="Century Gothic" w:cs="Arial"/>
          <w:bCs/>
          <w:color w:val="000000" w:themeColor="text1"/>
          <w:sz w:val="22"/>
          <w:szCs w:val="22"/>
        </w:rPr>
        <w:t>arco constitucional, legal y jurisprudencial colombiano.</w:t>
      </w:r>
      <w:r w:rsidRPr="003F37E2">
        <w:rPr>
          <w:rFonts w:ascii="Century Gothic" w:hAnsi="Century Gothic" w:cs="Arial"/>
          <w:b/>
          <w:color w:val="000000" w:themeColor="text1"/>
          <w:sz w:val="22"/>
          <w:szCs w:val="22"/>
        </w:rPr>
        <w:t xml:space="preserve">  </w:t>
      </w:r>
    </w:p>
    <w:p w14:paraId="11FCC9AB" w14:textId="659D0E92" w:rsidR="003F37E2" w:rsidRDefault="003F37E2" w:rsidP="003F37E2">
      <w:pPr>
        <w:ind w:firstLine="567"/>
        <w:jc w:val="both"/>
        <w:rPr>
          <w:rFonts w:ascii="Century Gothic" w:hAnsi="Century Gothic" w:cs="Arial"/>
          <w:bCs/>
          <w:color w:val="000000" w:themeColor="text1"/>
          <w:sz w:val="22"/>
          <w:szCs w:val="22"/>
        </w:rPr>
      </w:pPr>
      <w:r>
        <w:rPr>
          <w:rFonts w:ascii="Century Gothic" w:hAnsi="Century Gothic" w:cs="Arial"/>
          <w:bCs/>
          <w:color w:val="000000" w:themeColor="text1"/>
          <w:sz w:val="22"/>
          <w:szCs w:val="22"/>
        </w:rPr>
        <w:t>3.  Normatividad internacional.</w:t>
      </w:r>
    </w:p>
    <w:p w14:paraId="5544F1D8" w14:textId="743FB81E" w:rsidR="003F37E2" w:rsidRPr="003F37E2" w:rsidRDefault="003F37E2" w:rsidP="003F37E2">
      <w:pPr>
        <w:ind w:firstLine="567"/>
        <w:jc w:val="both"/>
        <w:rPr>
          <w:rFonts w:ascii="Century Gothic" w:hAnsi="Century Gothic" w:cs="Arial"/>
          <w:bCs/>
          <w:color w:val="000000" w:themeColor="text1"/>
          <w:sz w:val="22"/>
          <w:szCs w:val="22"/>
        </w:rPr>
      </w:pPr>
      <w:r>
        <w:rPr>
          <w:rFonts w:ascii="Century Gothic" w:hAnsi="Century Gothic" w:cs="Arial"/>
          <w:bCs/>
          <w:color w:val="000000" w:themeColor="text1"/>
          <w:sz w:val="22"/>
          <w:szCs w:val="22"/>
        </w:rPr>
        <w:t>4. Derecho comparado.</w:t>
      </w:r>
    </w:p>
    <w:p w14:paraId="0EC8F331" w14:textId="27657B09" w:rsidR="00005C10" w:rsidRPr="00005C10" w:rsidRDefault="00005C10" w:rsidP="00005C10">
      <w:pPr>
        <w:jc w:val="both"/>
        <w:rPr>
          <w:rFonts w:ascii="Century Gothic" w:hAnsi="Century Gothic" w:cs="Arial"/>
          <w:color w:val="000000" w:themeColor="text1"/>
          <w:sz w:val="22"/>
          <w:szCs w:val="22"/>
        </w:rPr>
      </w:pPr>
    </w:p>
    <w:p w14:paraId="6944FE24" w14:textId="77777777" w:rsidR="004F3125" w:rsidRPr="002051CB" w:rsidRDefault="004F3125" w:rsidP="004F3125">
      <w:pPr>
        <w:numPr>
          <w:ilvl w:val="0"/>
          <w:numId w:val="15"/>
        </w:numPr>
        <w:pBdr>
          <w:top w:val="nil"/>
          <w:left w:val="nil"/>
          <w:bottom w:val="nil"/>
          <w:right w:val="nil"/>
          <w:between w:val="nil"/>
        </w:pBdr>
        <w:spacing w:after="240"/>
        <w:ind w:left="1134" w:hanging="567"/>
        <w:jc w:val="both"/>
        <w:rPr>
          <w:rFonts w:ascii="Century Gothic" w:eastAsia="Century Gothic" w:hAnsi="Century Gothic" w:cs="Century Gothic"/>
          <w:b/>
          <w:color w:val="000000"/>
          <w:sz w:val="22"/>
          <w:szCs w:val="22"/>
        </w:rPr>
      </w:pPr>
      <w:r w:rsidRPr="002051CB">
        <w:rPr>
          <w:rFonts w:ascii="Century Gothic" w:eastAsia="Century Gothic" w:hAnsi="Century Gothic" w:cs="Century Gothic"/>
          <w:b/>
          <w:color w:val="000000"/>
          <w:sz w:val="22"/>
          <w:szCs w:val="22"/>
        </w:rPr>
        <w:t>JUSTIFICACIÓN.</w:t>
      </w:r>
    </w:p>
    <w:p w14:paraId="16D68D04" w14:textId="77777777" w:rsidR="004F3125" w:rsidRPr="002051CB" w:rsidRDefault="004F3125" w:rsidP="004F3125">
      <w:pPr>
        <w:spacing w:line="276" w:lineRule="auto"/>
        <w:jc w:val="both"/>
        <w:rPr>
          <w:rFonts w:ascii="Century Gothic" w:hAnsi="Century Gothic"/>
          <w:sz w:val="22"/>
          <w:szCs w:val="22"/>
        </w:rPr>
      </w:pPr>
      <w:bookmarkStart w:id="1" w:name="OLE_LINK1"/>
      <w:bookmarkStart w:id="2" w:name="OLE_LINK2"/>
      <w:r w:rsidRPr="002051CB">
        <w:rPr>
          <w:rFonts w:ascii="Century Gothic" w:eastAsia="Century Gothic" w:hAnsi="Century Gothic" w:cs="Century Gothic"/>
          <w:sz w:val="22"/>
          <w:szCs w:val="22"/>
        </w:rPr>
        <w:t xml:space="preserve">Colombia se encuentra constituida dentro de un régimen de Estado Social de Derecho, por lo tanto, debe propender por garantizar a sus asociados la protección de los derechos fundamentales reconocidos en la Carta Política, así como en los tratados internacionales suscritos y ratificados, asegurando su plena aplicación. De este modo, a las autoridades del Estado colombiano les corresponde adoptar todas las medidas necesarias para asegurar </w:t>
      </w:r>
      <w:r w:rsidRPr="002051CB">
        <w:rPr>
          <w:rFonts w:ascii="Century Gothic" w:eastAsia="Century Gothic" w:hAnsi="Century Gothic" w:cs="Century Gothic"/>
          <w:sz w:val="22"/>
          <w:szCs w:val="22"/>
          <w:u w:val="single"/>
        </w:rPr>
        <w:t>sin discriminación alguna</w:t>
      </w:r>
      <w:r w:rsidRPr="002051CB">
        <w:rPr>
          <w:rFonts w:ascii="Century Gothic" w:eastAsia="Century Gothic" w:hAnsi="Century Gothic" w:cs="Century Gothic"/>
          <w:sz w:val="22"/>
          <w:szCs w:val="22"/>
        </w:rPr>
        <w:t>, el pleno ejercicio de esos derechos, especialmente el de la dignidad humana, el cual se erige según la Corte Constitucional</w:t>
      </w:r>
      <w:r w:rsidRPr="002051CB">
        <w:rPr>
          <w:rFonts w:ascii="Century Gothic" w:eastAsia="Century Gothic" w:hAnsi="Century Gothic" w:cs="Century Gothic"/>
          <w:i/>
          <w:sz w:val="22"/>
          <w:szCs w:val="22"/>
          <w:vertAlign w:val="superscript"/>
        </w:rPr>
        <w:footnoteReference w:id="1"/>
      </w:r>
      <w:r w:rsidRPr="002051CB">
        <w:rPr>
          <w:rFonts w:ascii="Century Gothic" w:eastAsia="Century Gothic" w:hAnsi="Century Gothic" w:cs="Century Gothic"/>
          <w:i/>
          <w:sz w:val="22"/>
          <w:szCs w:val="22"/>
        </w:rPr>
        <w:t xml:space="preserve"> “como un derecho fundamental, de eficacia </w:t>
      </w:r>
      <w:r w:rsidRPr="002051CB">
        <w:rPr>
          <w:rFonts w:ascii="Century Gothic" w:eastAsia="Century Gothic" w:hAnsi="Century Gothic" w:cs="Century Gothic"/>
          <w:i/>
          <w:sz w:val="22"/>
          <w:szCs w:val="22"/>
        </w:rPr>
        <w:lastRenderedPageBreak/>
        <w:t>directa, cuyo reconocimiento general compromete el fundamento político del Estado</w:t>
      </w:r>
      <w:r w:rsidRPr="002051CB">
        <w:rPr>
          <w:rFonts w:ascii="Century Gothic" w:eastAsia="Century Gothic" w:hAnsi="Century Gothic" w:cs="Century Gothic"/>
          <w:sz w:val="22"/>
          <w:szCs w:val="22"/>
        </w:rPr>
        <w:t>” al ser equivalente  “</w:t>
      </w:r>
      <w:r w:rsidRPr="002051CB">
        <w:rPr>
          <w:rFonts w:ascii="Century Gothic" w:eastAsia="Century Gothic" w:hAnsi="Century Gothic" w:cs="Century Gothic"/>
          <w:i/>
          <w:sz w:val="22"/>
          <w:szCs w:val="22"/>
        </w:rPr>
        <w:t>(i) al merecimiento de un trato especial que tiene toda persona por el hecho de ser tal; y (ii) a la facultad que tiene toda persona de exigir de los demás un trato acorde con su condición humana¨.</w:t>
      </w:r>
    </w:p>
    <w:p w14:paraId="3FEC7D76" w14:textId="77777777" w:rsidR="004F3125" w:rsidRPr="002051CB" w:rsidRDefault="004F3125" w:rsidP="004F3125">
      <w:pPr>
        <w:rPr>
          <w:rFonts w:ascii="Century Gothic" w:hAnsi="Century Gothic"/>
          <w:sz w:val="22"/>
          <w:szCs w:val="22"/>
        </w:rPr>
      </w:pPr>
    </w:p>
    <w:p w14:paraId="6E95FBBE"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Es importante precisar, que la protección del derecho a la dignidad humana debe ser garantizado en igualdad de condiciones a todo el conglomerado social, incluyendo a aquellas personas que se encuentran privadas de la libertad, pues así lo dispone la Ley 65 de 1993</w:t>
      </w:r>
      <w:r w:rsidRPr="002051CB">
        <w:rPr>
          <w:rFonts w:ascii="Century Gothic" w:eastAsia="Century Gothic" w:hAnsi="Century Gothic" w:cs="Century Gothic"/>
          <w:sz w:val="22"/>
          <w:szCs w:val="22"/>
          <w:vertAlign w:val="superscript"/>
        </w:rPr>
        <w:footnoteReference w:id="2"/>
      </w:r>
      <w:r w:rsidRPr="002051CB">
        <w:rPr>
          <w:rFonts w:ascii="Century Gothic" w:eastAsia="Century Gothic" w:hAnsi="Century Gothic" w:cs="Century Gothic"/>
          <w:sz w:val="22"/>
          <w:szCs w:val="22"/>
        </w:rPr>
        <w:t>, actual Código Penitenciario y Carcelario:</w:t>
      </w:r>
    </w:p>
    <w:p w14:paraId="0AE7AD1A" w14:textId="77777777" w:rsidR="004F3125" w:rsidRPr="002051CB" w:rsidRDefault="004F3125" w:rsidP="004F3125">
      <w:pPr>
        <w:pBdr>
          <w:top w:val="nil"/>
          <w:left w:val="nil"/>
          <w:bottom w:val="nil"/>
          <w:right w:val="nil"/>
          <w:between w:val="nil"/>
        </w:pBdr>
        <w:jc w:val="both"/>
        <w:rPr>
          <w:rFonts w:ascii="Century Gothic" w:eastAsia="Century Gothic" w:hAnsi="Century Gothic" w:cs="Century Gothic"/>
          <w:i/>
          <w:color w:val="000000"/>
          <w:sz w:val="22"/>
          <w:szCs w:val="22"/>
        </w:rPr>
      </w:pPr>
    </w:p>
    <w:p w14:paraId="74E86255" w14:textId="45893C00"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r w:rsidRPr="002051CB">
        <w:rPr>
          <w:rFonts w:ascii="Century Gothic" w:eastAsia="Century Gothic" w:hAnsi="Century Gothic" w:cs="Century Gothic"/>
          <w:i/>
          <w:color w:val="000000"/>
          <w:sz w:val="22"/>
          <w:szCs w:val="22"/>
        </w:rPr>
        <w:t>“Artículo 5. RESPETO A LA DIGNIDAD HUMANA. “</w:t>
      </w:r>
      <w:r w:rsidRPr="002051CB">
        <w:rPr>
          <w:rFonts w:ascii="Century Gothic" w:eastAsia="Century Gothic" w:hAnsi="Century Gothic" w:cs="Century Gothic"/>
          <w:b/>
          <w:i/>
          <w:color w:val="000000"/>
          <w:sz w:val="22"/>
          <w:szCs w:val="22"/>
          <w:u w:val="single"/>
        </w:rPr>
        <w:t>En los establecimientos de reclusión prevalecerá el respeto a la dignidad humana,</w:t>
      </w:r>
      <w:r w:rsidRPr="002051CB">
        <w:rPr>
          <w:rFonts w:ascii="Century Gothic" w:eastAsia="Century Gothic" w:hAnsi="Century Gothic" w:cs="Century Gothic"/>
          <w:i/>
          <w:color w:val="000000"/>
          <w:sz w:val="22"/>
          <w:szCs w:val="22"/>
        </w:rPr>
        <w:t xml:space="preserve"> a las garantías constitucionales y a los Derechos Humanos universalmente reconocidos. Se prohíbe toda forma de violencia síquica, física o moral.</w:t>
      </w:r>
    </w:p>
    <w:p w14:paraId="3CCFB679" w14:textId="77777777" w:rsidR="004F6EE0" w:rsidRPr="002051CB" w:rsidRDefault="004F6EE0"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p>
    <w:p w14:paraId="1211574F" w14:textId="07981E12"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r w:rsidRPr="002051CB">
        <w:rPr>
          <w:rFonts w:ascii="Century Gothic" w:eastAsia="Century Gothic" w:hAnsi="Century Gothic" w:cs="Century Gothic"/>
          <w:i/>
          <w:color w:val="000000"/>
          <w:sz w:val="22"/>
          <w:szCs w:val="22"/>
        </w:rPr>
        <w:t>Las restricciones impuestas a las personas privadas de la libertad estarán limitadas a un estricto criterio de necesidad y deben ser proporcionales a los objetivos legítimos para los que se han impuesto.</w:t>
      </w:r>
    </w:p>
    <w:p w14:paraId="71C65168" w14:textId="77777777" w:rsidR="004F6EE0" w:rsidRPr="002051CB" w:rsidRDefault="004F6EE0"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p>
    <w:p w14:paraId="3E4F3210" w14:textId="237C4BCF"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r w:rsidRPr="002051CB">
        <w:rPr>
          <w:rFonts w:ascii="Century Gothic" w:eastAsia="Century Gothic" w:hAnsi="Century Gothic" w:cs="Century Gothic"/>
          <w:b/>
          <w:i/>
          <w:color w:val="000000"/>
          <w:sz w:val="22"/>
          <w:szCs w:val="22"/>
          <w:u w:val="single"/>
        </w:rPr>
        <w:t>L</w:t>
      </w:r>
      <w:r w:rsidR="00592E63">
        <w:rPr>
          <w:rFonts w:ascii="Century Gothic" w:eastAsia="Century Gothic" w:hAnsi="Century Gothic" w:cs="Century Gothic"/>
          <w:b/>
          <w:i/>
          <w:color w:val="000000"/>
          <w:sz w:val="22"/>
          <w:szCs w:val="22"/>
          <w:u w:val="single"/>
        </w:rPr>
        <w:t>a</w:t>
      </w:r>
      <w:r w:rsidRPr="002051CB">
        <w:rPr>
          <w:rFonts w:ascii="Century Gothic" w:eastAsia="Century Gothic" w:hAnsi="Century Gothic" w:cs="Century Gothic"/>
          <w:b/>
          <w:i/>
          <w:color w:val="000000"/>
          <w:sz w:val="22"/>
          <w:szCs w:val="22"/>
          <w:u w:val="single"/>
        </w:rPr>
        <w:t xml:space="preserve"> carencia de recursos no podrá justificar que las condiciones de reclusión vulneren los derechos fundamentales de las personas privadas de la libertad</w:t>
      </w:r>
      <w:r w:rsidRPr="002051CB">
        <w:rPr>
          <w:rFonts w:ascii="Century Gothic" w:eastAsia="Century Gothic" w:hAnsi="Century Gothic" w:cs="Century Gothic"/>
          <w:i/>
          <w:color w:val="000000"/>
          <w:sz w:val="22"/>
          <w:szCs w:val="22"/>
        </w:rPr>
        <w:t>.”</w:t>
      </w:r>
      <w:r w:rsidRPr="002051CB">
        <w:rPr>
          <w:rFonts w:ascii="Century Gothic" w:eastAsia="Century Gothic" w:hAnsi="Century Gothic" w:cs="Century Gothic"/>
          <w:color w:val="000000"/>
          <w:sz w:val="22"/>
          <w:szCs w:val="22"/>
        </w:rPr>
        <w:t xml:space="preserve"> (Negrilla y subrayado fuera del texto)</w:t>
      </w:r>
    </w:p>
    <w:p w14:paraId="7F406AC6" w14:textId="77777777" w:rsidR="004F3125" w:rsidRPr="002051CB" w:rsidRDefault="004F3125" w:rsidP="004F3125">
      <w:pPr>
        <w:pBdr>
          <w:top w:val="nil"/>
          <w:left w:val="nil"/>
          <w:bottom w:val="nil"/>
          <w:right w:val="nil"/>
          <w:between w:val="nil"/>
        </w:pBdr>
        <w:ind w:left="142" w:right="276"/>
        <w:jc w:val="both"/>
        <w:rPr>
          <w:rFonts w:ascii="Century Gothic" w:eastAsia="Century Gothic" w:hAnsi="Century Gothic" w:cs="Century Gothic"/>
          <w:i/>
          <w:color w:val="000000"/>
          <w:sz w:val="22"/>
          <w:szCs w:val="22"/>
        </w:rPr>
      </w:pPr>
    </w:p>
    <w:p w14:paraId="654D1B66" w14:textId="36ED8F3C"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la legislación interna y los estándares internacionales vinculantes para Colombia, contienen disposiciones que obligan a las autoridades penitenciarias, a garantizar unas condiciones mínimas que le permitan a todo aquel que esta privado de la libertad, llevar una subsistencia digna en el lugar en el que se encuentr</w:t>
      </w:r>
      <w:r w:rsidR="004F6EE0" w:rsidRPr="002051CB">
        <w:rPr>
          <w:rFonts w:ascii="Century Gothic" w:eastAsia="Century Gothic" w:hAnsi="Century Gothic" w:cs="Century Gothic"/>
          <w:sz w:val="22"/>
          <w:szCs w:val="22"/>
        </w:rPr>
        <w:t>a</w:t>
      </w:r>
      <w:r w:rsidRPr="002051CB">
        <w:rPr>
          <w:rFonts w:ascii="Century Gothic" w:eastAsia="Century Gothic" w:hAnsi="Century Gothic" w:cs="Century Gothic"/>
          <w:sz w:val="22"/>
          <w:szCs w:val="22"/>
        </w:rPr>
        <w:t xml:space="preserve"> recluido, no obstante, ello ha sido de difícil acatamiento, por la situación crítica de las prisiones, tan es así que la Corte Constitucional en tres oportunidades</w:t>
      </w:r>
      <w:r w:rsidRPr="002051CB">
        <w:rPr>
          <w:rFonts w:ascii="Century Gothic" w:eastAsia="Century Gothic" w:hAnsi="Century Gothic" w:cs="Century Gothic"/>
          <w:sz w:val="22"/>
          <w:szCs w:val="22"/>
          <w:vertAlign w:val="superscript"/>
        </w:rPr>
        <w:footnoteReference w:id="3"/>
      </w:r>
      <w:r w:rsidRPr="002051CB">
        <w:rPr>
          <w:rFonts w:ascii="Century Gothic" w:eastAsia="Century Gothic" w:hAnsi="Century Gothic" w:cs="Century Gothic"/>
          <w:sz w:val="22"/>
          <w:szCs w:val="22"/>
        </w:rPr>
        <w:t xml:space="preserve"> ha procedido a declarar el estado de cosas inconstitucional</w:t>
      </w:r>
      <w:r w:rsidRPr="002051CB">
        <w:rPr>
          <w:rFonts w:ascii="Century Gothic" w:eastAsia="Century Gothic" w:hAnsi="Century Gothic" w:cs="Century Gothic"/>
          <w:sz w:val="22"/>
          <w:szCs w:val="22"/>
          <w:vertAlign w:val="superscript"/>
        </w:rPr>
        <w:footnoteReference w:id="4"/>
      </w:r>
      <w:r w:rsidRPr="002051CB">
        <w:rPr>
          <w:rFonts w:ascii="Century Gothic" w:eastAsia="Century Gothic" w:hAnsi="Century Gothic" w:cs="Century Gothic"/>
          <w:sz w:val="22"/>
          <w:szCs w:val="22"/>
        </w:rPr>
        <w:t xml:space="preserve">, debido a las indignas condiciones de reclusión en las que habitan decenas de personas privadas de la libertad en las cárceles y </w:t>
      </w:r>
      <w:r w:rsidR="004F6EE0" w:rsidRPr="002051CB">
        <w:rPr>
          <w:rFonts w:ascii="Century Gothic" w:eastAsia="Century Gothic" w:hAnsi="Century Gothic" w:cs="Century Gothic"/>
          <w:sz w:val="22"/>
          <w:szCs w:val="22"/>
        </w:rPr>
        <w:t>establecimientos penitenciarios</w:t>
      </w:r>
      <w:r w:rsidRPr="002051CB">
        <w:rPr>
          <w:rFonts w:ascii="Century Gothic" w:eastAsia="Century Gothic" w:hAnsi="Century Gothic" w:cs="Century Gothic"/>
          <w:sz w:val="22"/>
          <w:szCs w:val="22"/>
        </w:rPr>
        <w:t xml:space="preserve"> del país, en virtud de medidas de aseguramiento o condenas.</w:t>
      </w:r>
    </w:p>
    <w:p w14:paraId="5A21006E" w14:textId="77777777" w:rsidR="004F3125" w:rsidRPr="002051CB" w:rsidRDefault="004F3125" w:rsidP="004F3125">
      <w:pPr>
        <w:jc w:val="both"/>
        <w:rPr>
          <w:rFonts w:ascii="Century Gothic" w:eastAsia="Century Gothic" w:hAnsi="Century Gothic" w:cs="Century Gothic"/>
          <w:sz w:val="22"/>
          <w:szCs w:val="22"/>
        </w:rPr>
      </w:pPr>
    </w:p>
    <w:p w14:paraId="3F1A56C6" w14:textId="26315D51" w:rsidR="004F3125" w:rsidRPr="002051CB" w:rsidRDefault="004F3125" w:rsidP="004F3125">
      <w:pPr>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La primera declaratoria se produjo con la Sentencia T-153 de 1998</w:t>
      </w:r>
      <w:r w:rsidRPr="002051CB">
        <w:rPr>
          <w:rFonts w:ascii="Century Gothic" w:eastAsia="Century Gothic" w:hAnsi="Century Gothic" w:cs="Century Gothic"/>
          <w:sz w:val="22"/>
          <w:szCs w:val="22"/>
          <w:vertAlign w:val="superscript"/>
        </w:rPr>
        <w:footnoteReference w:id="5"/>
      </w:r>
      <w:r w:rsidRPr="002051CB">
        <w:rPr>
          <w:rFonts w:ascii="Century Gothic" w:eastAsia="Century Gothic" w:hAnsi="Century Gothic" w:cs="Century Gothic"/>
          <w:sz w:val="22"/>
          <w:szCs w:val="22"/>
        </w:rPr>
        <w:t xml:space="preserve"> en la cual </w:t>
      </w:r>
      <w:r w:rsidR="004F6EE0" w:rsidRPr="002051CB">
        <w:rPr>
          <w:rFonts w:ascii="Century Gothic" w:eastAsia="Century Gothic" w:hAnsi="Century Gothic" w:cs="Century Gothic"/>
          <w:sz w:val="22"/>
          <w:szCs w:val="22"/>
        </w:rPr>
        <w:t xml:space="preserve">la </w:t>
      </w:r>
      <w:r w:rsidRPr="002051CB">
        <w:rPr>
          <w:rFonts w:ascii="Century Gothic" w:eastAsia="Century Gothic" w:hAnsi="Century Gothic" w:cs="Century Gothic"/>
          <w:sz w:val="22"/>
          <w:szCs w:val="22"/>
        </w:rPr>
        <w:t>Corte precisó:</w:t>
      </w:r>
    </w:p>
    <w:p w14:paraId="707FC976" w14:textId="77777777" w:rsidR="004F3125" w:rsidRPr="002051CB" w:rsidRDefault="004F3125" w:rsidP="004F3125">
      <w:pPr>
        <w:rPr>
          <w:rFonts w:ascii="Century Gothic" w:eastAsia="Century Gothic" w:hAnsi="Century Gothic" w:cs="Century Gothic"/>
          <w:sz w:val="22"/>
          <w:szCs w:val="22"/>
        </w:rPr>
      </w:pPr>
    </w:p>
    <w:p w14:paraId="7160A468" w14:textId="77777777" w:rsidR="004F3125" w:rsidRPr="002051CB" w:rsidRDefault="004F3125" w:rsidP="004F3125">
      <w:pPr>
        <w:ind w:left="284" w:right="276"/>
        <w:jc w:val="both"/>
        <w:rPr>
          <w:rFonts w:ascii="Century Gothic" w:eastAsia="Century Gothic" w:hAnsi="Century Gothic" w:cs="Century Gothic"/>
          <w:i/>
          <w:sz w:val="22"/>
          <w:szCs w:val="22"/>
        </w:rPr>
      </w:pPr>
      <w:r w:rsidRPr="002051CB">
        <w:rPr>
          <w:rFonts w:ascii="Century Gothic" w:eastAsia="Century Gothic" w:hAnsi="Century Gothic" w:cs="Century Gothic"/>
          <w:i/>
          <w:sz w:val="22"/>
          <w:szCs w:val="22"/>
        </w:rPr>
        <w:t xml:space="preserve">Las cárceles colombianas se caracterizan por el hacinamiento, las graves deficiencias en materia de servicios públicos y asistenciales, el imperio de la violencia, la extorsión y la corrupción, y la carencia de oportunidades y medios para la resocialización de los reclusos. Esta situación se ajusta plenamente a la definición del estado de cosas inconstitucional. </w:t>
      </w:r>
      <w:r w:rsidRPr="002051CB">
        <w:rPr>
          <w:rFonts w:ascii="Century Gothic" w:eastAsia="Century Gothic" w:hAnsi="Century Gothic" w:cs="Century Gothic"/>
          <w:b/>
          <w:i/>
          <w:sz w:val="22"/>
          <w:szCs w:val="22"/>
          <w:u w:val="single"/>
        </w:rPr>
        <w:t xml:space="preserve">Y de allí se deduce una flagrante violación de un abanico de derechos fundamentales de los internos en los centros penitenciarios colombianos, tales como la dignidad, la vida e integridad personal, los derechos a la familia, a la salud, al trabajo y a la presunción de inocencia, </w:t>
      </w:r>
      <w:r w:rsidRPr="002051CB">
        <w:rPr>
          <w:rFonts w:ascii="Century Gothic" w:eastAsia="Century Gothic" w:hAnsi="Century Gothic" w:cs="Century Gothic"/>
          <w:i/>
          <w:sz w:val="22"/>
          <w:szCs w:val="22"/>
        </w:rPr>
        <w:t xml:space="preserve">etc. Durante muchos años, la sociedad y el Estado se han cruzado de brazos frente a esta situación, observando con indiferencia la tragedia diaria de las cárceles, a pesar de que ella representaba día a día la transgresión de la Constitución y de las leyes. </w:t>
      </w:r>
      <w:r w:rsidRPr="002051CB">
        <w:rPr>
          <w:rFonts w:ascii="Century Gothic" w:eastAsia="Century Gothic" w:hAnsi="Century Gothic" w:cs="Century Gothic"/>
          <w:b/>
          <w:i/>
          <w:sz w:val="22"/>
          <w:szCs w:val="22"/>
          <w:u w:val="single"/>
        </w:rPr>
        <w:t>Las circunstancias en las que transcurre la vida en las cárceles exigen una pronta solución. En realidad, el problema carcelario representa no sólo un delicado asunto de orden público, como se percibe actualmente, sino una situación de extrema gravedad social que no puede dejarse desatendida</w:t>
      </w:r>
      <w:r w:rsidRPr="002051CB">
        <w:rPr>
          <w:rFonts w:ascii="Century Gothic" w:eastAsia="Century Gothic" w:hAnsi="Century Gothic" w:cs="Century Gothic"/>
          <w:i/>
          <w:sz w:val="22"/>
          <w:szCs w:val="22"/>
        </w:rPr>
        <w:t>. Pero el remedio de los males que azotan al sistema penitenciario no está únicamente en las manos del INPEC o del Ministerio de Justicia. Por eso, la Corte tiene que pasar a requerir a distintas ramas y órganos del Poder Público para que tomen las medidas adecuadas en dirección a la solución de este problema</w:t>
      </w:r>
      <w:r w:rsidRPr="002051CB">
        <w:rPr>
          <w:rFonts w:ascii="Century Gothic" w:eastAsia="Century Gothic" w:hAnsi="Century Gothic" w:cs="Century Gothic"/>
          <w:sz w:val="22"/>
          <w:szCs w:val="22"/>
        </w:rPr>
        <w:t>. (Negrilla y subrayado fuera del texto)</w:t>
      </w:r>
    </w:p>
    <w:p w14:paraId="23902364"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6BAA85AC" w14:textId="196D5B2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Lo anterior permite evidenciar el inadecuado funcionamiento del Sistema Penitenciario y Carcelario en Colombia, </w:t>
      </w:r>
      <w:r w:rsidR="00483216">
        <w:rPr>
          <w:rFonts w:ascii="Century Gothic" w:eastAsia="Century Gothic" w:hAnsi="Century Gothic" w:cs="Century Gothic"/>
          <w:sz w:val="22"/>
          <w:szCs w:val="22"/>
        </w:rPr>
        <w:t>el</w:t>
      </w:r>
      <w:r w:rsidR="004F6EE0" w:rsidRPr="002051CB">
        <w:rPr>
          <w:rFonts w:ascii="Century Gothic" w:eastAsia="Century Gothic" w:hAnsi="Century Gothic" w:cs="Century Gothic"/>
          <w:sz w:val="22"/>
          <w:szCs w:val="22"/>
        </w:rPr>
        <w:t xml:space="preserve"> cual se considera</w:t>
      </w:r>
      <w:r w:rsidRPr="002051CB">
        <w:rPr>
          <w:rFonts w:ascii="Century Gothic" w:eastAsia="Century Gothic" w:hAnsi="Century Gothic" w:cs="Century Gothic"/>
          <w:sz w:val="22"/>
          <w:szCs w:val="22"/>
        </w:rPr>
        <w:t xml:space="preserve"> una problemática de antaño que logró se</w:t>
      </w:r>
      <w:r w:rsidR="004F6EE0" w:rsidRPr="002051CB">
        <w:rPr>
          <w:rFonts w:ascii="Century Gothic" w:eastAsia="Century Gothic" w:hAnsi="Century Gothic" w:cs="Century Gothic"/>
          <w:sz w:val="22"/>
          <w:szCs w:val="22"/>
        </w:rPr>
        <w:t>r</w:t>
      </w:r>
      <w:r w:rsidRPr="002051CB">
        <w:rPr>
          <w:rFonts w:ascii="Century Gothic" w:eastAsia="Century Gothic" w:hAnsi="Century Gothic" w:cs="Century Gothic"/>
          <w:sz w:val="22"/>
          <w:szCs w:val="22"/>
        </w:rPr>
        <w:t xml:space="preserve"> corregida con la declaratoria enunciada, al punto que la Corte Constitucional reconoció que los esfuerzos en la creación de una infraestructura penitenciaria que ampliara la cobertura, fueron en su mayoría exitosos. Sin embargo, 15 años después la evidencia fáctica, conllevó a que el Tribunal Constitucional mediante la sentencia T-388 de 2013, tuviera que volverse a pronunciar expresando que nuevamente, el sistema penitenciario y carcelario colombiano se encontraba en un estado de cosas contrario al orden constitucional vigente, que conllevaba al desconocimiento de la dignidad humana, principio fundante de un estado social de derecho, precisando además:</w:t>
      </w:r>
      <w:r w:rsidRPr="002051CB">
        <w:rPr>
          <w:rFonts w:ascii="Century Gothic" w:eastAsia="Century Gothic" w:hAnsi="Century Gothic" w:cs="Century Gothic"/>
          <w:sz w:val="22"/>
          <w:szCs w:val="22"/>
          <w:vertAlign w:val="superscript"/>
        </w:rPr>
        <w:footnoteReference w:id="6"/>
      </w:r>
      <w:r w:rsidRPr="002051CB">
        <w:rPr>
          <w:rFonts w:ascii="Century Gothic" w:eastAsia="Century Gothic" w:hAnsi="Century Gothic" w:cs="Century Gothic"/>
          <w:sz w:val="22"/>
          <w:szCs w:val="22"/>
        </w:rPr>
        <w:t xml:space="preserve"> </w:t>
      </w:r>
      <w:r w:rsidRPr="002051CB">
        <w:rPr>
          <w:rFonts w:ascii="Century Gothic" w:eastAsia="Century Gothic" w:hAnsi="Century Gothic" w:cs="Century Gothic"/>
          <w:i/>
          <w:sz w:val="22"/>
          <w:szCs w:val="22"/>
        </w:rPr>
        <w:t>“</w:t>
      </w:r>
      <w:r w:rsidRPr="002051CB">
        <w:rPr>
          <w:rFonts w:ascii="Century Gothic" w:eastAsia="Century Gothic" w:hAnsi="Century Gothic" w:cs="Century Gothic"/>
          <w:b/>
          <w:i/>
          <w:sz w:val="22"/>
          <w:szCs w:val="22"/>
        </w:rPr>
        <w:t>Las cárceles y penitenciarias están en un estado de cosas, que se han convertido en vertederos o depósitos de seres humanos</w:t>
      </w:r>
      <w:r w:rsidRPr="002051CB">
        <w:rPr>
          <w:rFonts w:ascii="Century Gothic" w:eastAsia="Century Gothic" w:hAnsi="Century Gothic" w:cs="Century Gothic"/>
          <w:i/>
          <w:sz w:val="22"/>
          <w:szCs w:val="22"/>
        </w:rPr>
        <w:t xml:space="preserve">, antes que instituciones respetuosas de la dignidad, de los derechos fundamentales de las personas y orientadas a resocializarlas.  Esta </w:t>
      </w:r>
      <w:r w:rsidRPr="002051CB">
        <w:rPr>
          <w:rFonts w:ascii="Century Gothic" w:eastAsia="Century Gothic" w:hAnsi="Century Gothic" w:cs="Century Gothic"/>
          <w:i/>
          <w:sz w:val="22"/>
          <w:szCs w:val="22"/>
        </w:rPr>
        <w:lastRenderedPageBreak/>
        <w:t>grave afectación a la libertad, constituye una grave amenaza para la igualdad y para el principio de la dignidad humana</w:t>
      </w:r>
      <w:r w:rsidR="00483216">
        <w:rPr>
          <w:rFonts w:ascii="Century Gothic" w:eastAsia="Century Gothic" w:hAnsi="Century Gothic" w:cs="Century Gothic"/>
          <w:sz w:val="22"/>
          <w:szCs w:val="22"/>
        </w:rPr>
        <w:t>"</w:t>
      </w:r>
      <w:r w:rsidRPr="002051CB">
        <w:rPr>
          <w:rFonts w:ascii="Century Gothic" w:eastAsia="Century Gothic" w:hAnsi="Century Gothic" w:cs="Century Gothic"/>
          <w:sz w:val="22"/>
          <w:szCs w:val="22"/>
        </w:rPr>
        <w:t xml:space="preserve"> (Negrilla y subrayado fuera del texto), pronunciamiento que fue reiterado posteriormente, mediante la sentencia T-762 de 2015, en la que se impartieron ordenes complementarias a las establecidas en el año 2013, al no estar basada la política criminal en estudios empíricos, lo cual propiciaba una descoordinación.</w:t>
      </w:r>
    </w:p>
    <w:p w14:paraId="07D7093B"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5F89C5B8"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sin lugar a dudas los pronunciamientos enunciados, son importantes referentes jurisprudenciales que han mostrado un diagnóstico de la problemática carcelaria y penitenciaria del país y además constituyen una prueba fehaciente que el compromiso adquirido constitucionalmente por el Estado colombiano, con la dignidad humana de toda persona, en especial de aquellas privadas de la libertad, no ha logrado ser materializado a plenitud.</w:t>
      </w:r>
    </w:p>
    <w:p w14:paraId="437300E8"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2DF68EB0" w14:textId="50C2C481" w:rsidR="004F3125" w:rsidRPr="002051CB" w:rsidRDefault="004F3125" w:rsidP="004F3125">
      <w:pPr>
        <w:spacing w:line="276" w:lineRule="auto"/>
        <w:jc w:val="both"/>
        <w:rPr>
          <w:rFonts w:ascii="Century Gothic" w:eastAsia="Century Gothic" w:hAnsi="Century Gothic" w:cs="Century Gothic"/>
          <w:b/>
          <w:sz w:val="22"/>
          <w:szCs w:val="22"/>
        </w:rPr>
      </w:pPr>
      <w:r w:rsidRPr="002051CB">
        <w:rPr>
          <w:rFonts w:ascii="Century Gothic" w:eastAsia="Century Gothic" w:hAnsi="Century Gothic" w:cs="Century Gothic"/>
          <w:sz w:val="22"/>
          <w:szCs w:val="22"/>
        </w:rPr>
        <w:t xml:space="preserve">Por lo enunciado, se debe precisar que son más de ciento setenta y </w:t>
      </w:r>
      <w:r w:rsidR="00D24EFC">
        <w:rPr>
          <w:rFonts w:ascii="Century Gothic" w:eastAsia="Century Gothic" w:hAnsi="Century Gothic" w:cs="Century Gothic"/>
          <w:sz w:val="22"/>
          <w:szCs w:val="22"/>
        </w:rPr>
        <w:t>dos</w:t>
      </w:r>
      <w:r w:rsidRPr="002051CB">
        <w:rPr>
          <w:rFonts w:ascii="Century Gothic" w:eastAsia="Century Gothic" w:hAnsi="Century Gothic" w:cs="Century Gothic"/>
          <w:sz w:val="22"/>
          <w:szCs w:val="22"/>
        </w:rPr>
        <w:t xml:space="preserve"> mil</w:t>
      </w:r>
      <w:r w:rsidRPr="002051CB">
        <w:rPr>
          <w:rFonts w:ascii="Century Gothic" w:eastAsia="Century Gothic" w:hAnsi="Century Gothic" w:cs="Century Gothic"/>
          <w:b/>
          <w:sz w:val="22"/>
          <w:szCs w:val="22"/>
        </w:rPr>
        <w:t xml:space="preserve"> </w:t>
      </w:r>
      <w:r w:rsidRPr="002051CB">
        <w:rPr>
          <w:rFonts w:ascii="Century Gothic" w:eastAsia="Century Gothic" w:hAnsi="Century Gothic" w:cs="Century Gothic"/>
          <w:sz w:val="22"/>
          <w:szCs w:val="22"/>
        </w:rPr>
        <w:t>personas privadas de la libertad (17</w:t>
      </w:r>
      <w:r w:rsidR="00D24EFC">
        <w:rPr>
          <w:rFonts w:ascii="Century Gothic" w:eastAsia="Century Gothic" w:hAnsi="Century Gothic" w:cs="Century Gothic"/>
          <w:sz w:val="22"/>
          <w:szCs w:val="22"/>
        </w:rPr>
        <w:t>2</w:t>
      </w:r>
      <w:r w:rsidRPr="002051CB">
        <w:rPr>
          <w:rFonts w:ascii="Century Gothic" w:eastAsia="Century Gothic" w:hAnsi="Century Gothic" w:cs="Century Gothic"/>
          <w:sz w:val="22"/>
          <w:szCs w:val="22"/>
        </w:rPr>
        <w:t>.</w:t>
      </w:r>
      <w:r w:rsidR="00D24EFC">
        <w:rPr>
          <w:rFonts w:ascii="Century Gothic" w:eastAsia="Century Gothic" w:hAnsi="Century Gothic" w:cs="Century Gothic"/>
          <w:sz w:val="22"/>
          <w:szCs w:val="22"/>
        </w:rPr>
        <w:t>709</w:t>
      </w:r>
      <w:r w:rsidRPr="002051CB">
        <w:rPr>
          <w:rFonts w:ascii="Century Gothic" w:eastAsia="Century Gothic" w:hAnsi="Century Gothic" w:cs="Century Gothic"/>
          <w:sz w:val="22"/>
          <w:szCs w:val="22"/>
        </w:rPr>
        <w:t xml:space="preserve"> con corte </w:t>
      </w:r>
      <w:r w:rsidR="00D24EFC">
        <w:rPr>
          <w:rFonts w:ascii="Century Gothic" w:eastAsia="Century Gothic" w:hAnsi="Century Gothic" w:cs="Century Gothic"/>
          <w:sz w:val="22"/>
          <w:szCs w:val="22"/>
        </w:rPr>
        <w:t>octubre</w:t>
      </w:r>
      <w:r w:rsidRPr="002051CB">
        <w:rPr>
          <w:rFonts w:ascii="Century Gothic" w:eastAsia="Century Gothic" w:hAnsi="Century Gothic" w:cs="Century Gothic"/>
          <w:sz w:val="22"/>
          <w:szCs w:val="22"/>
        </w:rPr>
        <w:t>/2021)</w:t>
      </w:r>
      <w:r w:rsidRPr="002051CB">
        <w:rPr>
          <w:rFonts w:ascii="Century Gothic" w:eastAsia="Century Gothic" w:hAnsi="Century Gothic" w:cs="Century Gothic"/>
          <w:sz w:val="22"/>
          <w:szCs w:val="22"/>
          <w:vertAlign w:val="superscript"/>
        </w:rPr>
        <w:footnoteReference w:id="7"/>
      </w:r>
      <w:r w:rsidRPr="002051CB">
        <w:rPr>
          <w:rFonts w:ascii="Century Gothic" w:eastAsia="Century Gothic" w:hAnsi="Century Gothic" w:cs="Century Gothic"/>
          <w:sz w:val="22"/>
          <w:szCs w:val="22"/>
        </w:rPr>
        <w:t>, que tiene que padecer a diario las falencias</w:t>
      </w:r>
      <w:r w:rsidRPr="002051CB">
        <w:rPr>
          <w:rFonts w:ascii="Century Gothic" w:eastAsia="Century Gothic" w:hAnsi="Century Gothic" w:cs="Century Gothic"/>
          <w:b/>
          <w:sz w:val="22"/>
          <w:szCs w:val="22"/>
        </w:rPr>
        <w:t xml:space="preserve"> </w:t>
      </w:r>
      <w:r w:rsidRPr="002051CB">
        <w:rPr>
          <w:rFonts w:ascii="Century Gothic" w:eastAsia="Century Gothic" w:hAnsi="Century Gothic" w:cs="Century Gothic"/>
          <w:sz w:val="22"/>
          <w:szCs w:val="22"/>
        </w:rPr>
        <w:t>del sistema carcelario y penitenciario colombiano, y más puntualmente las  96.</w:t>
      </w:r>
      <w:r w:rsidR="00103EAB" w:rsidRPr="002051CB">
        <w:rPr>
          <w:rFonts w:ascii="Century Gothic" w:eastAsia="Century Gothic" w:hAnsi="Century Gothic" w:cs="Century Gothic"/>
          <w:sz w:val="22"/>
          <w:szCs w:val="22"/>
        </w:rPr>
        <w:t>386</w:t>
      </w:r>
      <w:r w:rsidRPr="002051CB">
        <w:rPr>
          <w:rFonts w:ascii="Century Gothic" w:eastAsia="Century Gothic" w:hAnsi="Century Gothic" w:cs="Century Gothic"/>
          <w:sz w:val="22"/>
          <w:szCs w:val="22"/>
        </w:rPr>
        <w:t xml:space="preserve"> que se encuentran privadas de la libertad intramuros, en los 133 establecimientos de reclusión a nivel nacional:</w:t>
      </w:r>
    </w:p>
    <w:p w14:paraId="66CCB793" w14:textId="77777777" w:rsidR="004F3125" w:rsidRPr="002051CB" w:rsidRDefault="004F3125" w:rsidP="004F3125">
      <w:pPr>
        <w:jc w:val="both"/>
        <w:rPr>
          <w:rFonts w:ascii="Century Gothic" w:eastAsia="Century Gothic" w:hAnsi="Century Gothic" w:cs="Century Gothic"/>
          <w:b/>
          <w:sz w:val="22"/>
          <w:szCs w:val="22"/>
        </w:rPr>
      </w:pPr>
    </w:p>
    <w:p w14:paraId="56AB60BC" w14:textId="77777777" w:rsidR="004F3125" w:rsidRPr="002051CB" w:rsidRDefault="004F3125" w:rsidP="004F3125">
      <w:pPr>
        <w:spacing w:line="276" w:lineRule="auto"/>
        <w:rPr>
          <w:rFonts w:ascii="Century Gothic" w:eastAsia="Century Gothic" w:hAnsi="Century Gothic" w:cs="Century Gothic"/>
          <w:sz w:val="22"/>
          <w:szCs w:val="22"/>
        </w:rPr>
      </w:pPr>
    </w:p>
    <w:p w14:paraId="07AB0071"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rPr>
        <w:drawing>
          <wp:inline distT="0" distB="0" distL="0" distR="0" wp14:anchorId="2DA2A9D3" wp14:editId="57C74475">
            <wp:extent cx="5612130" cy="1536700"/>
            <wp:effectExtent l="0" t="0" r="0"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3C90FE" w14:textId="2C412006" w:rsidR="004F3125" w:rsidRPr="002051CB" w:rsidRDefault="00103EAB"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r w:rsidRPr="002051CB">
        <w:rPr>
          <w:rStyle w:val="Refdenotaalpie"/>
          <w:rFonts w:ascii="Century Gothic" w:eastAsia="Century Gothic" w:hAnsi="Century Gothic" w:cs="Century Gothic"/>
          <w:sz w:val="22"/>
          <w:szCs w:val="22"/>
        </w:rPr>
        <w:footnoteReference w:id="8"/>
      </w:r>
    </w:p>
    <w:p w14:paraId="1C9344FB"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58CA0974" w14:textId="54DE771F"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Esas más de 96 mil PPL, se han visto enfrentadas a graves problemáticas como el hacinamiento que para el mes de </w:t>
      </w:r>
      <w:r w:rsidR="00D24EFC">
        <w:rPr>
          <w:rFonts w:ascii="Century Gothic" w:eastAsia="Century Gothic" w:hAnsi="Century Gothic" w:cs="Century Gothic"/>
          <w:sz w:val="22"/>
          <w:szCs w:val="22"/>
        </w:rPr>
        <w:t>octubre</w:t>
      </w:r>
      <w:r w:rsidRPr="002051CB">
        <w:rPr>
          <w:rFonts w:ascii="Century Gothic" w:eastAsia="Century Gothic" w:hAnsi="Century Gothic" w:cs="Century Gothic"/>
          <w:sz w:val="22"/>
          <w:szCs w:val="22"/>
        </w:rPr>
        <w:t xml:space="preserve"> superó el </w:t>
      </w:r>
      <w:r w:rsidR="00103EAB" w:rsidRPr="002051CB">
        <w:rPr>
          <w:rFonts w:ascii="Century Gothic" w:eastAsia="Century Gothic" w:hAnsi="Century Gothic" w:cs="Century Gothic"/>
          <w:sz w:val="22"/>
          <w:szCs w:val="22"/>
        </w:rPr>
        <w:t>17,</w:t>
      </w:r>
      <w:r w:rsidR="00D24EFC">
        <w:rPr>
          <w:rFonts w:ascii="Century Gothic" w:eastAsia="Century Gothic" w:hAnsi="Century Gothic" w:cs="Century Gothic"/>
          <w:sz w:val="22"/>
          <w:szCs w:val="22"/>
        </w:rPr>
        <w:t>6</w:t>
      </w:r>
      <w:r w:rsidRPr="002051CB">
        <w:rPr>
          <w:rFonts w:ascii="Century Gothic" w:eastAsia="Century Gothic" w:hAnsi="Century Gothic" w:cs="Century Gothic"/>
          <w:sz w:val="22"/>
          <w:szCs w:val="22"/>
        </w:rPr>
        <w:t xml:space="preserve">% al reportarse una sobrepoblación de </w:t>
      </w:r>
      <w:r w:rsidR="00D24EFC" w:rsidRPr="00D24EFC">
        <w:rPr>
          <w:rFonts w:ascii="Century Gothic" w:eastAsia="Century Gothic" w:hAnsi="Century Gothic" w:cs="Century Gothic"/>
          <w:sz w:val="22"/>
          <w:szCs w:val="22"/>
        </w:rPr>
        <w:t>14.493</w:t>
      </w:r>
      <w:r w:rsidRPr="002051CB">
        <w:rPr>
          <w:rFonts w:ascii="Century Gothic" w:eastAsia="Century Gothic" w:hAnsi="Century Gothic" w:cs="Century Gothic"/>
          <w:sz w:val="22"/>
          <w:szCs w:val="22"/>
        </w:rPr>
        <w:t xml:space="preserve"> reclusos</w:t>
      </w:r>
      <w:r w:rsidRPr="002051CB">
        <w:rPr>
          <w:rFonts w:ascii="Century Gothic" w:eastAsia="Century Gothic" w:hAnsi="Century Gothic" w:cs="Century Gothic"/>
          <w:sz w:val="22"/>
          <w:szCs w:val="22"/>
          <w:vertAlign w:val="superscript"/>
        </w:rPr>
        <w:footnoteReference w:id="9"/>
      </w:r>
      <w:r w:rsidRPr="002051CB">
        <w:rPr>
          <w:rFonts w:ascii="Century Gothic" w:eastAsia="Century Gothic" w:hAnsi="Century Gothic" w:cs="Century Gothic"/>
          <w:sz w:val="22"/>
          <w:szCs w:val="22"/>
        </w:rPr>
        <w:t xml:space="preserve">, pero además de ello también existen falencias como la escasez de elementos de aseo, la precariedad de los sistemas de agua y </w:t>
      </w:r>
      <w:r w:rsidRPr="002051CB">
        <w:rPr>
          <w:rFonts w:ascii="Century Gothic" w:eastAsia="Century Gothic" w:hAnsi="Century Gothic" w:cs="Century Gothic"/>
          <w:sz w:val="22"/>
          <w:szCs w:val="22"/>
        </w:rPr>
        <w:lastRenderedPageBreak/>
        <w:t>la imposibilidad del sistema de salud extramural para atender a todos los reclusos, situaciones que empeoraron con la emergencia generada por el coronavirus.</w:t>
      </w:r>
    </w:p>
    <w:p w14:paraId="59D990CA"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A947392" w14:textId="4B26CB31"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es importante señalar que uno de los sujetos mayormente afectados por la problemática carcelaria son las mujeres, quienes deben enfrentar un panorama desalentador en los centros de reclusión, tal y como lo fue advertido por el Tribunal Constitucional en la segunda declaratoria de estado de cosas inconstitucional</w:t>
      </w:r>
      <w:r w:rsidRPr="002051CB">
        <w:rPr>
          <w:rFonts w:ascii="Century Gothic" w:eastAsia="Century Gothic" w:hAnsi="Century Gothic" w:cs="Century Gothic"/>
          <w:sz w:val="22"/>
          <w:szCs w:val="22"/>
          <w:vertAlign w:val="superscript"/>
        </w:rPr>
        <w:footnoteReference w:id="10"/>
      </w:r>
      <w:r w:rsidRPr="002051CB">
        <w:rPr>
          <w:rFonts w:ascii="Century Gothic" w:eastAsia="Century Gothic" w:hAnsi="Century Gothic" w:cs="Century Gothic"/>
          <w:sz w:val="22"/>
          <w:szCs w:val="22"/>
        </w:rPr>
        <w:t>:</w:t>
      </w:r>
    </w:p>
    <w:p w14:paraId="7C2267E0" w14:textId="77777777" w:rsidR="004F3125" w:rsidRPr="002051CB" w:rsidRDefault="004F3125" w:rsidP="004F3125">
      <w:pPr>
        <w:jc w:val="both"/>
        <w:rPr>
          <w:rFonts w:ascii="Century Gothic" w:eastAsia="Century Gothic" w:hAnsi="Century Gothic" w:cs="Century Gothic"/>
          <w:sz w:val="22"/>
          <w:szCs w:val="22"/>
        </w:rPr>
      </w:pPr>
    </w:p>
    <w:p w14:paraId="4EF7F349" w14:textId="77777777" w:rsidR="004F3125" w:rsidRPr="002051CB" w:rsidRDefault="004F3125" w:rsidP="004F3125">
      <w:pPr>
        <w:shd w:val="clear" w:color="auto" w:fill="FFFFFF"/>
        <w:ind w:left="284" w:right="276"/>
        <w:jc w:val="both"/>
        <w:rPr>
          <w:rFonts w:ascii="Century Gothic" w:eastAsia="Century Gothic" w:hAnsi="Century Gothic" w:cs="Century Gothic"/>
          <w:sz w:val="22"/>
          <w:szCs w:val="22"/>
        </w:rPr>
      </w:pPr>
      <w:r w:rsidRPr="002051CB">
        <w:rPr>
          <w:rFonts w:ascii="Century Gothic" w:eastAsia="Century Gothic" w:hAnsi="Century Gothic" w:cs="Century Gothic"/>
          <w:i/>
          <w:sz w:val="22"/>
          <w:szCs w:val="22"/>
        </w:rPr>
        <w:t xml:space="preserve">Como lo muestran las estadísticas aportadas por los diferentes actores dentro del proceso la población carcelaria es fundamentalmente masculina. Son hombres las personas que mayoritariamente son privadas de la libertad, por cometer grandes ofensas legales, a pesar de que la mayoría de la población de toda la sociedad es femenina. </w:t>
      </w:r>
      <w:r w:rsidRPr="002051CB">
        <w:rPr>
          <w:rFonts w:ascii="Century Gothic" w:eastAsia="Century Gothic" w:hAnsi="Century Gothic" w:cs="Century Gothic"/>
          <w:b/>
          <w:i/>
          <w:sz w:val="22"/>
          <w:szCs w:val="22"/>
          <w:u w:val="single"/>
        </w:rPr>
        <w:t>Esta baja participación de las mujeres en la población recluida en prisión, repercute de forma grave en aquellas que son privadas de la libertad pues, como se indicó, se convierte en un grupo cuyas necesidades se tornan invisibles para los diseñadores de políticas públicas</w:t>
      </w:r>
      <w:r w:rsidRPr="002051CB">
        <w:rPr>
          <w:rFonts w:ascii="Century Gothic" w:eastAsia="Century Gothic" w:hAnsi="Century Gothic" w:cs="Century Gothic"/>
          <w:i/>
          <w:sz w:val="22"/>
          <w:szCs w:val="22"/>
        </w:rPr>
        <w:t xml:space="preserve">. Primero, </w:t>
      </w:r>
      <w:r w:rsidRPr="002051CB">
        <w:rPr>
          <w:rFonts w:ascii="Century Gothic" w:eastAsia="Century Gothic" w:hAnsi="Century Gothic" w:cs="Century Gothic"/>
          <w:b/>
          <w:i/>
          <w:sz w:val="22"/>
          <w:szCs w:val="22"/>
          <w:u w:val="single"/>
        </w:rPr>
        <w:t>no existe infraestructura especial destinada a recluir a las mujeres</w:t>
      </w:r>
      <w:r w:rsidRPr="002051CB">
        <w:rPr>
          <w:rFonts w:ascii="Century Gothic" w:eastAsia="Century Gothic" w:hAnsi="Century Gothic" w:cs="Century Gothic"/>
          <w:i/>
          <w:sz w:val="22"/>
          <w:szCs w:val="22"/>
        </w:rPr>
        <w:t xml:space="preserve">. Como la mayoría de necesidades en materia de nuevos cupos se refiere a población masculina, </w:t>
      </w:r>
      <w:r w:rsidRPr="002051CB">
        <w:rPr>
          <w:rFonts w:ascii="Century Gothic" w:eastAsia="Century Gothic" w:hAnsi="Century Gothic" w:cs="Century Gothic"/>
          <w:b/>
          <w:i/>
          <w:sz w:val="22"/>
          <w:szCs w:val="22"/>
          <w:u w:val="single"/>
        </w:rPr>
        <w:t>las necesidades de la población femenina pasan a un segundo plano.</w:t>
      </w:r>
      <w:r w:rsidRPr="002051CB">
        <w:rPr>
          <w:rFonts w:ascii="Century Gothic" w:eastAsia="Century Gothic" w:hAnsi="Century Gothic" w:cs="Century Gothic"/>
          <w:i/>
          <w:sz w:val="22"/>
          <w:szCs w:val="22"/>
        </w:rPr>
        <w:t xml:space="preserve"> Los planes de construcción, por la demanda misma del Sistema, se concentran en elaborar espacios penitenciarios y carcelarios destinados a la reclusión de hombres, no de mujeres. Segundo, </w:t>
      </w:r>
      <w:r w:rsidRPr="002051CB">
        <w:rPr>
          <w:rFonts w:ascii="Century Gothic" w:eastAsia="Century Gothic" w:hAnsi="Century Gothic" w:cs="Century Gothic"/>
          <w:b/>
          <w:i/>
          <w:sz w:val="22"/>
          <w:szCs w:val="22"/>
          <w:u w:val="single"/>
        </w:rPr>
        <w:t>el hacinamiento tiene un impacto mayor en ellas que en ellos.</w:t>
      </w:r>
      <w:r w:rsidRPr="002051CB">
        <w:rPr>
          <w:rFonts w:ascii="Century Gothic" w:eastAsia="Century Gothic" w:hAnsi="Century Gothic" w:cs="Century Gothic"/>
          <w:i/>
          <w:sz w:val="22"/>
          <w:szCs w:val="22"/>
        </w:rPr>
        <w:t xml:space="preserve"> Como la forma para solucionar la ausencia de cupos suficientes es recluir a las personas más allá de la capacidad instalada, </w:t>
      </w:r>
      <w:r w:rsidRPr="002051CB">
        <w:rPr>
          <w:rFonts w:ascii="Century Gothic" w:eastAsia="Century Gothic" w:hAnsi="Century Gothic" w:cs="Century Gothic"/>
          <w:b/>
          <w:i/>
          <w:sz w:val="22"/>
          <w:szCs w:val="22"/>
          <w:u w:val="single"/>
        </w:rPr>
        <w:t>el hacinamiento implica muchas veces para las mujeres, además de tener que compartir el espacio vital con una gran cantidad de personas, compartirlo con hombres, lo cual puede representar riesgos adicionales a su integridad</w:t>
      </w:r>
      <w:r w:rsidRPr="002051CB">
        <w:rPr>
          <w:rFonts w:ascii="Century Gothic" w:eastAsia="Century Gothic" w:hAnsi="Century Gothic" w:cs="Century Gothic"/>
          <w:i/>
          <w:sz w:val="22"/>
          <w:szCs w:val="22"/>
        </w:rPr>
        <w:t xml:space="preserve">. Tercero, las actividades y oficios con que se cuentan, suelen ser pensados para hombres. Muchas de las actividades laborales orientadas a la resocialización no tienen en cuenta muchos de los oficios y labores que también suelen desarrollar las mujeres. No es un problema únicamente colombiano, también es regional. </w:t>
      </w:r>
      <w:r w:rsidRPr="002051CB">
        <w:rPr>
          <w:rFonts w:ascii="Century Gothic" w:eastAsia="Century Gothic" w:hAnsi="Century Gothic" w:cs="Century Gothic"/>
          <w:sz w:val="22"/>
          <w:szCs w:val="22"/>
        </w:rPr>
        <w:t>(Negrilla y subrayado fuera del texto)</w:t>
      </w:r>
    </w:p>
    <w:p w14:paraId="193D1B8D" w14:textId="77777777" w:rsidR="004F3125" w:rsidRPr="002051CB" w:rsidRDefault="004F3125" w:rsidP="004F3125">
      <w:pPr>
        <w:shd w:val="clear" w:color="auto" w:fill="FFFFFF"/>
        <w:ind w:right="276"/>
        <w:jc w:val="both"/>
        <w:rPr>
          <w:rFonts w:ascii="Century Gothic" w:eastAsia="Century Gothic" w:hAnsi="Century Gothic" w:cs="Century Gothic"/>
          <w:i/>
          <w:sz w:val="22"/>
          <w:szCs w:val="22"/>
        </w:rPr>
      </w:pPr>
    </w:p>
    <w:p w14:paraId="5856B681" w14:textId="78844D41"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Si bien la situación precisada, fue esbozada por la Corte Constitucional hace 8 años, la ausencia de un enfoque diferencial de género persiste a la fecha, pese a ser hoy un</w:t>
      </w:r>
      <w:r w:rsidR="00103EAB" w:rsidRPr="002051CB">
        <w:rPr>
          <w:rFonts w:ascii="Century Gothic" w:eastAsia="Century Gothic" w:hAnsi="Century Gothic" w:cs="Century Gothic"/>
          <w:sz w:val="22"/>
          <w:szCs w:val="22"/>
        </w:rPr>
        <w:t xml:space="preserve">o de los </w:t>
      </w:r>
      <w:r w:rsidRPr="002051CB">
        <w:rPr>
          <w:rFonts w:ascii="Century Gothic" w:eastAsia="Century Gothic" w:hAnsi="Century Gothic" w:cs="Century Gothic"/>
          <w:sz w:val="22"/>
          <w:szCs w:val="22"/>
        </w:rPr>
        <w:t xml:space="preserve"> principio</w:t>
      </w:r>
      <w:r w:rsidR="00103EAB" w:rsidRPr="002051CB">
        <w:rPr>
          <w:rFonts w:ascii="Century Gothic" w:eastAsia="Century Gothic" w:hAnsi="Century Gothic" w:cs="Century Gothic"/>
          <w:sz w:val="22"/>
          <w:szCs w:val="22"/>
        </w:rPr>
        <w:t>s</w:t>
      </w:r>
      <w:r w:rsidRPr="002051CB">
        <w:rPr>
          <w:rFonts w:ascii="Century Gothic" w:eastAsia="Century Gothic" w:hAnsi="Century Gothic" w:cs="Century Gothic"/>
          <w:sz w:val="22"/>
          <w:szCs w:val="22"/>
          <w:vertAlign w:val="superscript"/>
        </w:rPr>
        <w:footnoteReference w:id="11"/>
      </w:r>
      <w:r w:rsidRPr="002051CB">
        <w:rPr>
          <w:rFonts w:ascii="Century Gothic" w:eastAsia="Century Gothic" w:hAnsi="Century Gothic" w:cs="Century Gothic"/>
          <w:sz w:val="22"/>
          <w:szCs w:val="22"/>
        </w:rPr>
        <w:t xml:space="preserve"> del Sistema Penitenciario y Carcelario, ello bajo la </w:t>
      </w:r>
      <w:r w:rsidRPr="002051CB">
        <w:rPr>
          <w:rFonts w:ascii="Century Gothic" w:eastAsia="Century Gothic" w:hAnsi="Century Gothic" w:cs="Century Gothic"/>
          <w:sz w:val="22"/>
          <w:szCs w:val="22"/>
        </w:rPr>
        <w:lastRenderedPageBreak/>
        <w:t xml:space="preserve">justificación de que históricamente la criminalidad femenina ha sido inferior al porcentaje de delitos cometidos por hombres, no obstante, los índices de mujeres privadas de la libertad en centros penitenciarios, han tenido un incremento significativo, al </w:t>
      </w:r>
      <w:r w:rsidRPr="002051CB">
        <w:rPr>
          <w:rFonts w:ascii="Century Gothic" w:eastAsia="Century Gothic" w:hAnsi="Century Gothic" w:cs="Century Gothic"/>
          <w:b/>
          <w:sz w:val="22"/>
          <w:szCs w:val="22"/>
        </w:rPr>
        <w:t>pasar de 1.500 mujeres en 1991</w:t>
      </w:r>
      <w:r w:rsidRPr="002051CB">
        <w:rPr>
          <w:rFonts w:ascii="Century Gothic" w:eastAsia="Century Gothic" w:hAnsi="Century Gothic" w:cs="Century Gothic"/>
          <w:b/>
          <w:sz w:val="22"/>
          <w:szCs w:val="22"/>
          <w:vertAlign w:val="superscript"/>
        </w:rPr>
        <w:footnoteReference w:id="12"/>
      </w:r>
      <w:r w:rsidRPr="002051CB">
        <w:rPr>
          <w:rFonts w:ascii="Century Gothic" w:eastAsia="Century Gothic" w:hAnsi="Century Gothic" w:cs="Century Gothic"/>
          <w:b/>
          <w:sz w:val="22"/>
          <w:szCs w:val="22"/>
        </w:rPr>
        <w:t xml:space="preserve"> a 6.</w:t>
      </w:r>
      <w:r w:rsidR="00352962">
        <w:rPr>
          <w:rFonts w:ascii="Century Gothic" w:eastAsia="Century Gothic" w:hAnsi="Century Gothic" w:cs="Century Gothic"/>
          <w:b/>
          <w:sz w:val="22"/>
          <w:szCs w:val="22"/>
        </w:rPr>
        <w:t>765</w:t>
      </w:r>
      <w:r w:rsidRPr="002051CB">
        <w:rPr>
          <w:rFonts w:ascii="Century Gothic" w:eastAsia="Century Gothic" w:hAnsi="Century Gothic" w:cs="Century Gothic"/>
          <w:b/>
          <w:sz w:val="22"/>
          <w:szCs w:val="22"/>
        </w:rPr>
        <w:t xml:space="preserve"> en </w:t>
      </w:r>
      <w:r w:rsidR="00352962">
        <w:rPr>
          <w:rFonts w:ascii="Century Gothic" w:eastAsia="Century Gothic" w:hAnsi="Century Gothic" w:cs="Century Gothic"/>
          <w:b/>
          <w:sz w:val="22"/>
          <w:szCs w:val="22"/>
        </w:rPr>
        <w:t>octubre</w:t>
      </w:r>
      <w:r w:rsidRPr="002051CB">
        <w:rPr>
          <w:rFonts w:ascii="Century Gothic" w:eastAsia="Century Gothic" w:hAnsi="Century Gothic" w:cs="Century Gothic"/>
          <w:b/>
          <w:sz w:val="22"/>
          <w:szCs w:val="22"/>
        </w:rPr>
        <w:t xml:space="preserve"> de 2021</w:t>
      </w:r>
      <w:r w:rsidRPr="002051CB">
        <w:rPr>
          <w:rFonts w:ascii="Century Gothic" w:eastAsia="Century Gothic" w:hAnsi="Century Gothic" w:cs="Century Gothic"/>
          <w:b/>
          <w:sz w:val="22"/>
          <w:szCs w:val="22"/>
          <w:vertAlign w:val="superscript"/>
        </w:rPr>
        <w:footnoteReference w:id="13"/>
      </w:r>
      <w:r w:rsidRPr="002051CB">
        <w:rPr>
          <w:rFonts w:ascii="Century Gothic" w:eastAsia="Century Gothic" w:hAnsi="Century Gothic" w:cs="Century Gothic"/>
          <w:b/>
          <w:sz w:val="22"/>
          <w:szCs w:val="22"/>
        </w:rPr>
        <w:t>, lo que representa un incremento del 357,6%</w:t>
      </w:r>
      <w:r w:rsidRPr="002051CB">
        <w:rPr>
          <w:rFonts w:ascii="Century Gothic" w:eastAsia="Century Gothic" w:hAnsi="Century Gothic" w:cs="Century Gothic"/>
          <w:sz w:val="22"/>
          <w:szCs w:val="22"/>
        </w:rPr>
        <w:t>, datos que fueron reafirmados con los reportes allegados por el INPEC para los últimos 7 años:</w:t>
      </w:r>
    </w:p>
    <w:p w14:paraId="11A45B3E" w14:textId="77777777" w:rsidR="004F3125" w:rsidRPr="002051CB" w:rsidRDefault="004F3125" w:rsidP="004F3125">
      <w:pPr>
        <w:spacing w:line="276" w:lineRule="auto"/>
        <w:jc w:val="both"/>
        <w:rPr>
          <w:rFonts w:ascii="Century Gothic" w:hAnsi="Century Gothic"/>
          <w:sz w:val="22"/>
          <w:szCs w:val="22"/>
        </w:rPr>
      </w:pPr>
    </w:p>
    <w:p w14:paraId="694D0DF9"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rPr>
        <w:drawing>
          <wp:inline distT="0" distB="0" distL="0" distR="0" wp14:anchorId="1345E278" wp14:editId="3E0AFD67">
            <wp:extent cx="5562600" cy="1032163"/>
            <wp:effectExtent l="0" t="0" r="12700" b="9525"/>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802274" w14:textId="03B60B1F" w:rsidR="004F3125" w:rsidRPr="002051CB" w:rsidRDefault="001E222E"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r w:rsidRPr="002051CB">
        <w:rPr>
          <w:rStyle w:val="Refdenotaalpie"/>
          <w:rFonts w:ascii="Century Gothic" w:eastAsia="Century Gothic" w:hAnsi="Century Gothic" w:cs="Century Gothic"/>
          <w:sz w:val="22"/>
          <w:szCs w:val="22"/>
        </w:rPr>
        <w:footnoteReference w:id="14"/>
      </w:r>
    </w:p>
    <w:p w14:paraId="0AE16395" w14:textId="77777777" w:rsidR="001E222E" w:rsidRPr="002051CB" w:rsidRDefault="001E222E" w:rsidP="004F3125">
      <w:pPr>
        <w:spacing w:line="276" w:lineRule="auto"/>
        <w:jc w:val="center"/>
        <w:rPr>
          <w:rFonts w:ascii="Century Gothic" w:eastAsia="Century Gothic" w:hAnsi="Century Gothic" w:cs="Century Gothic"/>
          <w:sz w:val="22"/>
          <w:szCs w:val="22"/>
        </w:rPr>
      </w:pPr>
    </w:p>
    <w:p w14:paraId="78B68F3C" w14:textId="6A03F410"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Adicionalmente, es preocupante evidenciar como el llamado de la Corte no ha producido los efectos que se esperaba, ello ante la inexistencia de infraestructura especial</w:t>
      </w:r>
      <w:r w:rsidRPr="002051CB">
        <w:rPr>
          <w:rFonts w:ascii="Century Gothic" w:eastAsia="Century Gothic" w:hAnsi="Century Gothic" w:cs="Century Gothic"/>
          <w:sz w:val="22"/>
          <w:szCs w:val="22"/>
          <w:vertAlign w:val="superscript"/>
        </w:rPr>
        <w:footnoteReference w:id="15"/>
      </w:r>
      <w:r w:rsidRPr="002051CB">
        <w:rPr>
          <w:rFonts w:ascii="Century Gothic" w:eastAsia="Century Gothic" w:hAnsi="Century Gothic" w:cs="Century Gothic"/>
          <w:sz w:val="22"/>
          <w:szCs w:val="22"/>
        </w:rPr>
        <w:t xml:space="preserve"> a la que se ven enfrentadas las </w:t>
      </w:r>
      <w:r w:rsidR="003F0095">
        <w:rPr>
          <w:rFonts w:ascii="Century Gothic" w:eastAsia="Century Gothic" w:hAnsi="Century Gothic" w:cs="Century Gothic"/>
          <w:color w:val="000000"/>
          <w:sz w:val="22"/>
          <w:szCs w:val="22"/>
        </w:rPr>
        <w:t>3.523</w:t>
      </w:r>
      <w:r w:rsidRPr="002051CB">
        <w:rPr>
          <w:rFonts w:ascii="Century Gothic" w:eastAsia="Century Gothic" w:hAnsi="Century Gothic" w:cs="Century Gothic"/>
          <w:color w:val="000000"/>
          <w:sz w:val="22"/>
          <w:szCs w:val="22"/>
        </w:rPr>
        <w:t xml:space="preserve"> mujeres que </w:t>
      </w:r>
      <w:r w:rsidRPr="002051CB">
        <w:rPr>
          <w:rFonts w:ascii="Century Gothic" w:eastAsia="Century Gothic" w:hAnsi="Century Gothic" w:cs="Century Gothic"/>
          <w:sz w:val="22"/>
          <w:szCs w:val="22"/>
        </w:rPr>
        <w:t xml:space="preserve">se encuentran recluidas en establecimientos penitenciarios masculinos, los cuales han tenido que ser adecuados a través de pabellones para la población femenina (30 centros de reclusión a </w:t>
      </w:r>
      <w:r w:rsidR="003F0095">
        <w:rPr>
          <w:rFonts w:ascii="Century Gothic" w:eastAsia="Century Gothic" w:hAnsi="Century Gothic" w:cs="Century Gothic"/>
          <w:sz w:val="22"/>
          <w:szCs w:val="22"/>
        </w:rPr>
        <w:t>oct</w:t>
      </w:r>
      <w:r w:rsidRPr="002051CB">
        <w:rPr>
          <w:rFonts w:ascii="Century Gothic" w:eastAsia="Century Gothic" w:hAnsi="Century Gothic" w:cs="Century Gothic"/>
          <w:sz w:val="22"/>
          <w:szCs w:val="22"/>
        </w:rPr>
        <w:t>/2021)</w:t>
      </w:r>
      <w:r w:rsidRPr="002051CB">
        <w:rPr>
          <w:rFonts w:ascii="Century Gothic" w:eastAsia="Century Gothic" w:hAnsi="Century Gothic" w:cs="Century Gothic"/>
          <w:sz w:val="22"/>
          <w:szCs w:val="22"/>
          <w:vertAlign w:val="superscript"/>
        </w:rPr>
        <w:footnoteReference w:id="16"/>
      </w:r>
      <w:r w:rsidRPr="002051CB">
        <w:rPr>
          <w:rFonts w:ascii="Century Gothic" w:eastAsia="Century Gothic" w:hAnsi="Century Gothic" w:cs="Century Gothic"/>
          <w:sz w:val="22"/>
          <w:szCs w:val="22"/>
        </w:rPr>
        <w:t>, como quiera que Colombia tan solo cuenta con 6 centros de reclusión exclusivos para mujeres (que albergan a 2.7</w:t>
      </w:r>
      <w:r w:rsidR="003F0095">
        <w:rPr>
          <w:rFonts w:ascii="Century Gothic" w:eastAsia="Century Gothic" w:hAnsi="Century Gothic" w:cs="Century Gothic"/>
          <w:sz w:val="22"/>
          <w:szCs w:val="22"/>
        </w:rPr>
        <w:t>52</w:t>
      </w:r>
      <w:r w:rsidRPr="002051CB">
        <w:rPr>
          <w:rFonts w:ascii="Century Gothic" w:eastAsia="Century Gothic" w:hAnsi="Century Gothic" w:cs="Century Gothic"/>
          <w:sz w:val="22"/>
          <w:szCs w:val="22"/>
        </w:rPr>
        <w:t xml:space="preserve"> mujeres privadas de la libertad, es decir, que tan solo el 40.</w:t>
      </w:r>
      <w:r w:rsidR="003F0095">
        <w:rPr>
          <w:rFonts w:ascii="Century Gothic" w:eastAsia="Century Gothic" w:hAnsi="Century Gothic" w:cs="Century Gothic"/>
          <w:sz w:val="22"/>
          <w:szCs w:val="22"/>
        </w:rPr>
        <w:t>7</w:t>
      </w:r>
      <w:r w:rsidRPr="002051CB">
        <w:rPr>
          <w:rFonts w:ascii="Century Gothic" w:eastAsia="Century Gothic" w:hAnsi="Century Gothic" w:cs="Century Gothic"/>
          <w:sz w:val="22"/>
          <w:szCs w:val="22"/>
        </w:rPr>
        <w:t xml:space="preserve">% del total están recluidas en verdaderas cárceles para mujeres, datos que permite señalar que </w:t>
      </w:r>
      <w:r w:rsidR="00EC3022" w:rsidRPr="002051CB">
        <w:rPr>
          <w:rFonts w:ascii="Century Gothic" w:eastAsia="Century Gothic" w:hAnsi="Century Gothic" w:cs="Century Gothic"/>
          <w:i/>
          <w:sz w:val="22"/>
          <w:szCs w:val="22"/>
        </w:rPr>
        <w:t>"</w:t>
      </w:r>
      <w:r w:rsidRPr="002051CB">
        <w:rPr>
          <w:rFonts w:ascii="Century Gothic" w:eastAsia="Century Gothic" w:hAnsi="Century Gothic" w:cs="Century Gothic"/>
          <w:i/>
          <w:sz w:val="22"/>
          <w:szCs w:val="22"/>
        </w:rPr>
        <w:t>las mujeres privadas de la libertad siguen siendo minorías que deben soportar un tratamiento penitenciario desigual en razón de su género (…)”</w:t>
      </w:r>
      <w:r w:rsidRPr="002051CB">
        <w:rPr>
          <w:rFonts w:ascii="Century Gothic" w:eastAsia="Century Gothic" w:hAnsi="Century Gothic" w:cs="Century Gothic"/>
          <w:i/>
          <w:sz w:val="22"/>
          <w:szCs w:val="22"/>
          <w:vertAlign w:val="superscript"/>
        </w:rPr>
        <w:footnoteReference w:id="17"/>
      </w:r>
      <w:r w:rsidRPr="002051CB">
        <w:rPr>
          <w:rFonts w:ascii="Century Gothic" w:eastAsia="Century Gothic" w:hAnsi="Century Gothic" w:cs="Century Gothic"/>
          <w:i/>
          <w:sz w:val="22"/>
          <w:szCs w:val="22"/>
        </w:rPr>
        <w:t>.</w:t>
      </w:r>
    </w:p>
    <w:p w14:paraId="0EA1DB80"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FF70F42" w14:textId="69C847A8"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Ahora bien, el que no existan cárceles suficientes para mujeres tiene como consecuencia un mayor hacinamiento en las que ya existen, e incluso en aquellos establecimientos mixtos que cuentan con pabellones para mujeres y así lo reportan las cifras del INPEC: </w:t>
      </w:r>
    </w:p>
    <w:p w14:paraId="4371F995" w14:textId="77777777" w:rsidR="001E222E" w:rsidRPr="002051CB" w:rsidRDefault="001E222E" w:rsidP="004F3125">
      <w:pPr>
        <w:spacing w:line="276" w:lineRule="auto"/>
        <w:jc w:val="both"/>
        <w:rPr>
          <w:rFonts w:ascii="Century Gothic" w:eastAsia="Century Gothic" w:hAnsi="Century Gothic" w:cs="Century Gothic"/>
          <w:sz w:val="22"/>
          <w:szCs w:val="22"/>
        </w:rPr>
      </w:pPr>
    </w:p>
    <w:p w14:paraId="5627986C" w14:textId="77777777" w:rsidR="001E222E" w:rsidRPr="002051CB" w:rsidRDefault="004F3125" w:rsidP="003F0095">
      <w:pPr>
        <w:pStyle w:val="Textoindependiente"/>
        <w:rPr>
          <w:rFonts w:eastAsia="Century Gothic"/>
        </w:rPr>
      </w:pPr>
      <w:r w:rsidRPr="002051CB">
        <w:rPr>
          <w:rFonts w:eastAsia="Century Gothic"/>
          <w:noProof/>
        </w:rPr>
        <w:drawing>
          <wp:inline distT="0" distB="0" distL="0" distR="0" wp14:anchorId="5E2EE372" wp14:editId="79952440">
            <wp:extent cx="5773270" cy="2187388"/>
            <wp:effectExtent l="0" t="0" r="18415" b="10160"/>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355C89" w14:textId="104C3205" w:rsidR="004F3125" w:rsidRPr="002051CB" w:rsidRDefault="001E222E"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r w:rsidR="004F3125" w:rsidRPr="002051CB">
        <w:rPr>
          <w:rFonts w:ascii="Century Gothic" w:eastAsia="Century Gothic" w:hAnsi="Century Gothic" w:cs="Century Gothic"/>
          <w:sz w:val="22"/>
          <w:szCs w:val="22"/>
          <w:vertAlign w:val="superscript"/>
        </w:rPr>
        <w:footnoteReference w:id="18"/>
      </w:r>
      <w:r w:rsidRPr="002051CB">
        <w:rPr>
          <w:rFonts w:ascii="Century Gothic" w:eastAsia="Century Gothic" w:hAnsi="Century Gothic" w:cs="Century Gothic"/>
          <w:sz w:val="22"/>
          <w:szCs w:val="22"/>
        </w:rPr>
        <w:br/>
      </w:r>
    </w:p>
    <w:p w14:paraId="562BE3A3" w14:textId="43C41092" w:rsidR="004F3125" w:rsidRPr="002051CB" w:rsidRDefault="004F3125" w:rsidP="004F3125">
      <w:pPr>
        <w:spacing w:line="276" w:lineRule="auto"/>
        <w:jc w:val="both"/>
        <w:rPr>
          <w:rFonts w:ascii="Century Gothic" w:hAnsi="Century Gothic"/>
          <w:i/>
          <w:sz w:val="22"/>
          <w:szCs w:val="22"/>
        </w:rPr>
      </w:pPr>
      <w:r w:rsidRPr="002051CB">
        <w:rPr>
          <w:rFonts w:ascii="Century Gothic" w:eastAsia="Century Gothic" w:hAnsi="Century Gothic" w:cs="Century Gothic"/>
          <w:sz w:val="22"/>
          <w:szCs w:val="22"/>
        </w:rPr>
        <w:t xml:space="preserve">De lo anterior se puede evidenciar, una grave sobrepoblación en algunos de los centros de reclusión de mujeres que supera el </w:t>
      </w:r>
      <w:r w:rsidR="00374426">
        <w:rPr>
          <w:rFonts w:ascii="Century Gothic" w:eastAsia="Century Gothic" w:hAnsi="Century Gothic" w:cs="Century Gothic"/>
          <w:sz w:val="22"/>
          <w:szCs w:val="22"/>
        </w:rPr>
        <w:t>43</w:t>
      </w:r>
      <w:r w:rsidRPr="002051CB">
        <w:rPr>
          <w:rFonts w:ascii="Century Gothic" w:eastAsia="Century Gothic" w:hAnsi="Century Gothic" w:cs="Century Gothic"/>
          <w:sz w:val="22"/>
          <w:szCs w:val="22"/>
        </w:rPr>
        <w:t>%, no obstante, esta situación se agrava aun más en los establecimientos de reclusión para hombres, adecuados con pabellones para mujeres, donde por ejemplo</w:t>
      </w:r>
      <w:r w:rsidRPr="002051CB">
        <w:rPr>
          <w:rFonts w:ascii="Century Gothic" w:eastAsia="Century Gothic" w:hAnsi="Century Gothic" w:cs="Century Gothic"/>
          <w:i/>
          <w:sz w:val="22"/>
          <w:szCs w:val="22"/>
          <w:vertAlign w:val="superscript"/>
        </w:rPr>
        <w:footnoteReference w:id="19"/>
      </w:r>
      <w:r w:rsidRPr="002051CB">
        <w:rPr>
          <w:rFonts w:ascii="Century Gothic" w:eastAsia="Century Gothic" w:hAnsi="Century Gothic" w:cs="Century Gothic"/>
          <w:sz w:val="22"/>
          <w:szCs w:val="22"/>
        </w:rPr>
        <w:t xml:space="preserve"> el EPMSC Santa Marta reporta </w:t>
      </w:r>
      <w:r w:rsidR="001E222E" w:rsidRPr="002051CB">
        <w:rPr>
          <w:rFonts w:ascii="Century Gothic" w:eastAsia="Century Gothic" w:hAnsi="Century Gothic" w:cs="Century Gothic"/>
          <w:sz w:val="22"/>
          <w:szCs w:val="22"/>
        </w:rPr>
        <w:t>un índice de hacinamiento</w:t>
      </w:r>
      <w:r w:rsidRPr="002051CB">
        <w:rPr>
          <w:rFonts w:ascii="Century Gothic" w:eastAsia="Century Gothic" w:hAnsi="Century Gothic" w:cs="Century Gothic"/>
          <w:sz w:val="22"/>
          <w:szCs w:val="22"/>
        </w:rPr>
        <w:t xml:space="preserve"> del 1</w:t>
      </w:r>
      <w:r w:rsidR="00374426">
        <w:rPr>
          <w:rFonts w:ascii="Century Gothic" w:eastAsia="Century Gothic" w:hAnsi="Century Gothic" w:cs="Century Gothic"/>
          <w:sz w:val="22"/>
          <w:szCs w:val="22"/>
        </w:rPr>
        <w:t>62.</w:t>
      </w:r>
      <w:r w:rsidR="001E222E" w:rsidRPr="002051CB">
        <w:rPr>
          <w:rFonts w:ascii="Century Gothic" w:eastAsia="Century Gothic" w:hAnsi="Century Gothic" w:cs="Century Gothic"/>
          <w:sz w:val="22"/>
          <w:szCs w:val="22"/>
        </w:rPr>
        <w:t>1</w:t>
      </w:r>
      <w:r w:rsidRPr="002051CB">
        <w:rPr>
          <w:rFonts w:ascii="Century Gothic" w:eastAsia="Century Gothic" w:hAnsi="Century Gothic" w:cs="Century Gothic"/>
          <w:sz w:val="22"/>
          <w:szCs w:val="22"/>
        </w:rPr>
        <w:t>% , el EPMSC Valledupar del 16</w:t>
      </w:r>
      <w:r w:rsidR="00374426">
        <w:rPr>
          <w:rFonts w:ascii="Century Gothic" w:eastAsia="Century Gothic" w:hAnsi="Century Gothic" w:cs="Century Gothic"/>
          <w:sz w:val="22"/>
          <w:szCs w:val="22"/>
        </w:rPr>
        <w:t>3</w:t>
      </w:r>
      <w:r w:rsidRPr="002051CB">
        <w:rPr>
          <w:rFonts w:ascii="Century Gothic" w:eastAsia="Century Gothic" w:hAnsi="Century Gothic" w:cs="Century Gothic"/>
          <w:sz w:val="22"/>
          <w:szCs w:val="22"/>
        </w:rPr>
        <w:t>.</w:t>
      </w:r>
      <w:r w:rsidR="00374426">
        <w:rPr>
          <w:rFonts w:ascii="Century Gothic" w:eastAsia="Century Gothic" w:hAnsi="Century Gothic" w:cs="Century Gothic"/>
          <w:sz w:val="22"/>
          <w:szCs w:val="22"/>
        </w:rPr>
        <w:t>3</w:t>
      </w:r>
      <w:r w:rsidRPr="002051CB">
        <w:rPr>
          <w:rFonts w:ascii="Century Gothic" w:eastAsia="Century Gothic" w:hAnsi="Century Gothic" w:cs="Century Gothic"/>
          <w:sz w:val="22"/>
          <w:szCs w:val="22"/>
        </w:rPr>
        <w:t xml:space="preserve">%  y EPMSC Ocaña del </w:t>
      </w:r>
      <w:r w:rsidR="001E222E" w:rsidRPr="002051CB">
        <w:rPr>
          <w:rFonts w:ascii="Century Gothic" w:eastAsia="Century Gothic" w:hAnsi="Century Gothic" w:cs="Century Gothic"/>
          <w:sz w:val="22"/>
          <w:szCs w:val="22"/>
        </w:rPr>
        <w:t>8</w:t>
      </w:r>
      <w:r w:rsidR="00374426">
        <w:rPr>
          <w:rFonts w:ascii="Century Gothic" w:eastAsia="Century Gothic" w:hAnsi="Century Gothic" w:cs="Century Gothic"/>
          <w:sz w:val="22"/>
          <w:szCs w:val="22"/>
        </w:rPr>
        <w:t>7</w:t>
      </w:r>
      <w:r w:rsidR="001E222E" w:rsidRPr="002051CB">
        <w:rPr>
          <w:rFonts w:ascii="Century Gothic" w:eastAsia="Century Gothic" w:hAnsi="Century Gothic" w:cs="Century Gothic"/>
          <w:sz w:val="22"/>
          <w:szCs w:val="22"/>
        </w:rPr>
        <w:t>,</w:t>
      </w:r>
      <w:r w:rsidR="00374426">
        <w:rPr>
          <w:rFonts w:ascii="Century Gothic" w:eastAsia="Century Gothic" w:hAnsi="Century Gothic" w:cs="Century Gothic"/>
          <w:sz w:val="22"/>
          <w:szCs w:val="22"/>
        </w:rPr>
        <w:t>4</w:t>
      </w:r>
      <w:r w:rsidRPr="002051CB">
        <w:rPr>
          <w:rFonts w:ascii="Century Gothic" w:eastAsia="Century Gothic" w:hAnsi="Century Gothic" w:cs="Century Gothic"/>
          <w:sz w:val="22"/>
          <w:szCs w:val="22"/>
        </w:rPr>
        <w:t>%, convirtiéndose este hecho en una violación a la dignidad y a los derechos humanos de estas mujeres.</w:t>
      </w:r>
    </w:p>
    <w:p w14:paraId="6CC8C565"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6D49A415" w14:textId="34AADA7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Así las cosas, la ausencia de infraestructura exclusiva para mujeres en Colombia y el hacinamiento, son solo algunos de los aspectos que afectan a las internas durante su reclusión, y que demuestran la necesidad de implementar un enfoque de género en la política carcelaria del país, no obstante, hay una problemática que ha sido </w:t>
      </w:r>
      <w:r w:rsidR="00483D54" w:rsidRPr="002051CB">
        <w:rPr>
          <w:rFonts w:ascii="Century Gothic" w:eastAsia="Century Gothic" w:hAnsi="Century Gothic" w:cs="Century Gothic"/>
          <w:sz w:val="22"/>
          <w:szCs w:val="22"/>
        </w:rPr>
        <w:t>invisibilizada, la cual es</w:t>
      </w:r>
      <w:r w:rsidRPr="002051CB">
        <w:rPr>
          <w:rFonts w:ascii="Century Gothic" w:eastAsia="Century Gothic" w:hAnsi="Century Gothic" w:cs="Century Gothic"/>
          <w:sz w:val="22"/>
          <w:szCs w:val="22"/>
        </w:rPr>
        <w:t xml:space="preserve"> la </w:t>
      </w:r>
      <w:r w:rsidRPr="002051CB">
        <w:rPr>
          <w:rFonts w:ascii="Century Gothic" w:eastAsia="Century Gothic" w:hAnsi="Century Gothic" w:cs="Century Gothic"/>
          <w:b/>
          <w:sz w:val="22"/>
          <w:szCs w:val="22"/>
        </w:rPr>
        <w:t>insuficiente dotación de los elementos para la higiene propia del género</w:t>
      </w:r>
      <w:r w:rsidRPr="002051CB">
        <w:rPr>
          <w:rFonts w:ascii="Century Gothic" w:eastAsia="Century Gothic" w:hAnsi="Century Gothic" w:cs="Century Gothic"/>
          <w:sz w:val="22"/>
          <w:szCs w:val="22"/>
        </w:rPr>
        <w:t>, bienes que la Corte Constitucional en la Sentencia T. 398/2019, consideró como insustituibles y de cuyo acceso depende el ejercicio del derecho a la dignidad, la igualdad, la salud y el libre desarrollo de la personalidad de las mujeres, entre otros, ello por cuanto</w:t>
      </w:r>
      <w:r w:rsidRPr="002051CB">
        <w:rPr>
          <w:rFonts w:ascii="Century Gothic" w:eastAsia="Century Gothic" w:hAnsi="Century Gothic" w:cs="Century Gothic"/>
          <w:sz w:val="22"/>
          <w:szCs w:val="22"/>
          <w:vertAlign w:val="superscript"/>
        </w:rPr>
        <w:footnoteReference w:id="20"/>
      </w:r>
      <w:r w:rsidRPr="002051CB">
        <w:rPr>
          <w:rFonts w:ascii="Century Gothic" w:eastAsia="Century Gothic" w:hAnsi="Century Gothic" w:cs="Century Gothic"/>
          <w:sz w:val="22"/>
          <w:szCs w:val="22"/>
        </w:rPr>
        <w:t>:</w:t>
      </w:r>
    </w:p>
    <w:p w14:paraId="3D28A527" w14:textId="77777777" w:rsidR="004F3125" w:rsidRPr="002051CB" w:rsidRDefault="004F3125" w:rsidP="004F3125">
      <w:pPr>
        <w:spacing w:line="276" w:lineRule="auto"/>
        <w:jc w:val="both"/>
        <w:rPr>
          <w:rFonts w:ascii="Century Gothic" w:hAnsi="Century Gothic"/>
          <w:sz w:val="22"/>
          <w:szCs w:val="22"/>
        </w:rPr>
      </w:pPr>
    </w:p>
    <w:p w14:paraId="5B5495D1" w14:textId="77777777" w:rsidR="004F3125" w:rsidRPr="002051CB" w:rsidRDefault="004F3125" w:rsidP="004F3125">
      <w:pPr>
        <w:shd w:val="clear" w:color="auto" w:fill="FFFFFF"/>
        <w:ind w:left="284" w:right="276"/>
        <w:jc w:val="both"/>
        <w:rPr>
          <w:rFonts w:ascii="Century Gothic" w:eastAsia="Century Gothic" w:hAnsi="Century Gothic" w:cs="Century Gothic"/>
          <w:sz w:val="22"/>
          <w:szCs w:val="22"/>
        </w:rPr>
      </w:pPr>
      <w:r w:rsidRPr="002051CB">
        <w:rPr>
          <w:rFonts w:ascii="Century Gothic" w:eastAsia="Century Gothic" w:hAnsi="Century Gothic" w:cs="Century Gothic"/>
          <w:i/>
          <w:sz w:val="22"/>
          <w:szCs w:val="22"/>
        </w:rPr>
        <w:t>“</w:t>
      </w:r>
      <w:r w:rsidRPr="002051CB">
        <w:rPr>
          <w:rFonts w:ascii="Century Gothic" w:eastAsia="Century Gothic" w:hAnsi="Century Gothic" w:cs="Century Gothic"/>
          <w:b/>
          <w:i/>
          <w:sz w:val="22"/>
          <w:szCs w:val="22"/>
          <w:u w:val="single"/>
        </w:rPr>
        <w:t>Las toallas higiénicas o sanitarias y los tampones desechables son productos que tienen como objetivo satisfacer las necesidades de las mujeres en edad fértil para el manejo de la menstruación</w:t>
      </w:r>
      <w:r w:rsidRPr="002051CB">
        <w:rPr>
          <w:rFonts w:ascii="Century Gothic" w:eastAsia="Century Gothic" w:hAnsi="Century Gothic" w:cs="Century Gothic"/>
          <w:i/>
          <w:sz w:val="22"/>
          <w:szCs w:val="22"/>
        </w:rPr>
        <w:t xml:space="preserve">. Entre las ventajas de este tipo de bienes es que controlan riesgos de salud, por oposición a alternativas como el </w:t>
      </w:r>
      <w:r w:rsidRPr="002051CB">
        <w:rPr>
          <w:rFonts w:ascii="Century Gothic" w:eastAsia="Century Gothic" w:hAnsi="Century Gothic" w:cs="Century Gothic"/>
          <w:i/>
          <w:sz w:val="22"/>
          <w:szCs w:val="22"/>
        </w:rPr>
        <w:lastRenderedPageBreak/>
        <w:t xml:space="preserve">uso de elementos caseros que, al no tener una tecnología de absorción y niveles de higiene adecuados, pueden generar riesgos de infecciones. Igualmente, permiten controlar olores que surgen del sangrado vaginal y manchas en la ropa que tienen consecuencias de estigma y presentación personal, atados a los tabúes alrededor de este fenómeno biológico. (…) </w:t>
      </w:r>
      <w:r w:rsidRPr="002051CB">
        <w:rPr>
          <w:rFonts w:ascii="Century Gothic" w:eastAsia="Century Gothic" w:hAnsi="Century Gothic" w:cs="Century Gothic"/>
          <w:sz w:val="22"/>
          <w:szCs w:val="22"/>
        </w:rPr>
        <w:t>(Negrilla y subrayado fuera del texto)</w:t>
      </w:r>
    </w:p>
    <w:p w14:paraId="57046C29" w14:textId="77777777" w:rsidR="004F3125" w:rsidRPr="002051CB" w:rsidRDefault="004F3125" w:rsidP="004F3125">
      <w:pPr>
        <w:shd w:val="clear" w:color="auto" w:fill="FFFFFF"/>
        <w:ind w:right="50"/>
        <w:jc w:val="both"/>
        <w:rPr>
          <w:rFonts w:ascii="Century Gothic" w:eastAsia="Century Gothic" w:hAnsi="Century Gothic" w:cs="Century Gothic"/>
          <w:i/>
          <w:sz w:val="22"/>
          <w:szCs w:val="22"/>
        </w:rPr>
      </w:pPr>
    </w:p>
    <w:p w14:paraId="5FB636B0"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es tan importante el acceso a este material de higiene, que el Tribunal Constitucional en la Sentencia T 398 de 2019</w:t>
      </w:r>
      <w:r w:rsidRPr="002051CB">
        <w:rPr>
          <w:rFonts w:ascii="Century Gothic" w:eastAsia="Century Gothic" w:hAnsi="Century Gothic" w:cs="Century Gothic"/>
          <w:sz w:val="22"/>
          <w:szCs w:val="22"/>
          <w:vertAlign w:val="superscript"/>
        </w:rPr>
        <w:footnoteReference w:id="21"/>
      </w:r>
      <w:r w:rsidRPr="002051CB">
        <w:rPr>
          <w:rFonts w:ascii="Century Gothic" w:eastAsia="Century Gothic" w:hAnsi="Century Gothic" w:cs="Century Gothic"/>
          <w:sz w:val="22"/>
          <w:szCs w:val="22"/>
        </w:rPr>
        <w:t xml:space="preserve"> reconoció el manejo de la higiene menstrual como un derecho derivado de la salud sexual y reproductiva, definiéndolo como la posibilidad que tiene toda mujer a usar adecuadamente el material para absorber o recoger la sangre menstrual, precisando de igual forma que la titularidad de este derecho debe revisarse desde las situaciones especiales en las cuales viven las mujeres, conforme al artículo 13 inciso 3 de la Constitución Política de Colombia, es decir, aquellas que se encuentran en circunstancias de debilidad manifiesta por su condición económica, física o mental, escenario en el que por supuesto se hallan las mujeres privadas de la libertad. </w:t>
      </w:r>
    </w:p>
    <w:p w14:paraId="6C5CD6F3" w14:textId="77777777" w:rsidR="004F3125" w:rsidRPr="002051CB" w:rsidRDefault="004F3125" w:rsidP="004F3125">
      <w:pPr>
        <w:jc w:val="both"/>
        <w:rPr>
          <w:rFonts w:ascii="Century Gothic" w:eastAsia="Century Gothic" w:hAnsi="Century Gothic" w:cs="Century Gothic"/>
          <w:sz w:val="22"/>
          <w:szCs w:val="22"/>
        </w:rPr>
      </w:pPr>
    </w:p>
    <w:p w14:paraId="40AF2063" w14:textId="77777777"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Adicionalmente, dispuso que el manejo de la higiene menstrual comprende cuatro elementos, a saber</w:t>
      </w:r>
      <w:r w:rsidRPr="002051CB">
        <w:rPr>
          <w:rFonts w:ascii="Century Gothic" w:hAnsi="Century Gothic"/>
          <w:color w:val="2D2D2D"/>
          <w:sz w:val="22"/>
          <w:szCs w:val="22"/>
          <w:highlight w:val="white"/>
        </w:rPr>
        <w:t>:</w:t>
      </w:r>
      <w:r w:rsidRPr="002051CB">
        <w:rPr>
          <w:rFonts w:ascii="Century Gothic" w:hAnsi="Century Gothic"/>
          <w:sz w:val="22"/>
          <w:szCs w:val="22"/>
        </w:rPr>
        <w:t xml:space="preserve"> </w:t>
      </w:r>
      <w:r w:rsidRPr="002051CB">
        <w:rPr>
          <w:rFonts w:ascii="Century Gothic" w:eastAsia="Century Gothic" w:hAnsi="Century Gothic" w:cs="Century Gothic"/>
          <w:b/>
          <w:i/>
          <w:sz w:val="22"/>
          <w:szCs w:val="22"/>
          <w:u w:val="single"/>
        </w:rPr>
        <w:t>a) el empleo de material idóneo para absorber la sangre</w:t>
      </w:r>
      <w:r w:rsidRPr="002051CB">
        <w:rPr>
          <w:rFonts w:ascii="Century Gothic" w:eastAsia="Century Gothic" w:hAnsi="Century Gothic" w:cs="Century Gothic"/>
          <w:i/>
          <w:sz w:val="22"/>
          <w:szCs w:val="22"/>
        </w:rPr>
        <w:t xml:space="preserve">; </w:t>
      </w:r>
      <w:r w:rsidRPr="002051CB">
        <w:rPr>
          <w:rFonts w:ascii="Century Gothic" w:eastAsia="Century Gothic" w:hAnsi="Century Gothic" w:cs="Century Gothic"/>
          <w:b/>
          <w:i/>
          <w:sz w:val="22"/>
          <w:szCs w:val="22"/>
          <w:u w:val="single"/>
        </w:rPr>
        <w:t>b) la capacidad para hacer el cambio de dicho material en privacidad y tan seguido como sea necesario;</w:t>
      </w:r>
      <w:r w:rsidRPr="002051CB">
        <w:rPr>
          <w:rFonts w:ascii="Century Gothic" w:eastAsia="Century Gothic" w:hAnsi="Century Gothic" w:cs="Century Gothic"/>
          <w:i/>
          <w:sz w:val="22"/>
          <w:szCs w:val="22"/>
        </w:rPr>
        <w:t xml:space="preserve"> c) el acceso a instalaciones, agua y jabón para lavar el cuerpo, así como para desechar el material usado y; d) </w:t>
      </w:r>
      <w:r w:rsidRPr="002051CB">
        <w:rPr>
          <w:rFonts w:ascii="Century Gothic" w:eastAsia="Century Gothic" w:hAnsi="Century Gothic" w:cs="Century Gothic"/>
          <w:b/>
          <w:i/>
          <w:sz w:val="22"/>
          <w:szCs w:val="22"/>
          <w:u w:val="single"/>
        </w:rPr>
        <w:t>la educación que permitan comprender los aspectos básicos relacionados con el ciclo menstrual y cómo manejarlos de forma digna y sin incomodidad alguna</w:t>
      </w:r>
      <w:r w:rsidRPr="002051CB">
        <w:rPr>
          <w:rFonts w:ascii="Century Gothic" w:eastAsia="Century Gothic" w:hAnsi="Century Gothic" w:cs="Century Gothic"/>
          <w:i/>
          <w:sz w:val="22"/>
          <w:szCs w:val="22"/>
        </w:rPr>
        <w:t>.</w:t>
      </w:r>
      <w:r w:rsidRPr="002051CB">
        <w:rPr>
          <w:rFonts w:ascii="Century Gothic" w:eastAsia="Century Gothic" w:hAnsi="Century Gothic" w:cs="Century Gothic"/>
          <w:sz w:val="22"/>
          <w:szCs w:val="22"/>
        </w:rPr>
        <w:t xml:space="preserve"> (…)¨. (Negrilla y subrayado por fuera del texto).</w:t>
      </w:r>
    </w:p>
    <w:p w14:paraId="197A5666"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5515822" w14:textId="22330C8E"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 xml:space="preserve">En consideración a lo anterior, es significativo precisar que la Corte dispuso que las mujeres tienen derecho a elegir libremente el insumo que ellas consideren adecuado, de acuerdo a criterios tales como convicciones personales y la identidad étnica y cultural, y adicional a ello aclaró, que una vez elegido dicho insumo, </w:t>
      </w:r>
      <w:r w:rsidRPr="002051CB">
        <w:rPr>
          <w:rFonts w:ascii="Century Gothic" w:eastAsia="Century Gothic" w:hAnsi="Century Gothic" w:cs="Century Gothic"/>
          <w:b/>
          <w:sz w:val="22"/>
          <w:szCs w:val="22"/>
        </w:rPr>
        <w:t>surge el derecho a acceder a ellos sin que medie barrera alguna,</w:t>
      </w:r>
      <w:r w:rsidRPr="002051CB">
        <w:rPr>
          <w:rFonts w:ascii="Century Gothic" w:eastAsia="Century Gothic" w:hAnsi="Century Gothic" w:cs="Century Gothic"/>
          <w:sz w:val="22"/>
          <w:szCs w:val="22"/>
        </w:rPr>
        <w:t xml:space="preserve"> con lo cual se materializa el derecho a la dignidad de las mujeres, ante hechos biológicos de su condición. Pero no solo la elección y su acceso son suficientes, también es necesario permitirles realizar el cambio del material absorbente por otro </w:t>
      </w:r>
      <w:r w:rsidR="00483D54" w:rsidRPr="002051CB">
        <w:rPr>
          <w:rFonts w:ascii="Century Gothic" w:eastAsia="Century Gothic" w:hAnsi="Century Gothic" w:cs="Century Gothic"/>
          <w:sz w:val="22"/>
          <w:szCs w:val="22"/>
        </w:rPr>
        <w:t>nuevo</w:t>
      </w:r>
      <w:r w:rsidRPr="002051CB">
        <w:rPr>
          <w:rFonts w:ascii="Century Gothic" w:eastAsia="Century Gothic" w:hAnsi="Century Gothic" w:cs="Century Gothic"/>
          <w:sz w:val="22"/>
          <w:szCs w:val="22"/>
        </w:rPr>
        <w:t xml:space="preserve">, las veces que sea necesario, como quiera que, en caso de no hacerse, la mujer en período de menstruación se podría exponer a afectaciones en su salud, de ahí la </w:t>
      </w:r>
      <w:r w:rsidRPr="002051CB">
        <w:rPr>
          <w:rFonts w:ascii="Century Gothic" w:eastAsia="Century Gothic" w:hAnsi="Century Gothic" w:cs="Century Gothic"/>
          <w:sz w:val="22"/>
          <w:szCs w:val="22"/>
        </w:rPr>
        <w:lastRenderedPageBreak/>
        <w:t>importancia de garantizarles a las mujeres privadas de la libertad una suficiente y oportuna dotación de los elementos de higiene menstrual.</w:t>
      </w:r>
    </w:p>
    <w:p w14:paraId="1CAEB1FF"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74EF4C77" w14:textId="0FC3EB66" w:rsidR="004F3125" w:rsidRPr="002051CB" w:rsidRDefault="00483D54"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Es de precisar</w:t>
      </w:r>
      <w:r w:rsidR="004F3125" w:rsidRPr="002051CB">
        <w:rPr>
          <w:rFonts w:ascii="Century Gothic" w:eastAsia="Century Gothic" w:hAnsi="Century Gothic" w:cs="Century Gothic"/>
          <w:sz w:val="22"/>
          <w:szCs w:val="22"/>
        </w:rPr>
        <w:t xml:space="preserve"> que el manejo de la higiene menstrual es un derecho que si bien fue desarrollado de manera amplia en 2019, el Tribunal Constitucional en consideración a la situación especial de indefensión y debilidad de las mujeres recluidas lo ha venido salvaguar</w:t>
      </w:r>
      <w:r w:rsidR="00483216">
        <w:rPr>
          <w:rFonts w:ascii="Century Gothic" w:eastAsia="Century Gothic" w:hAnsi="Century Gothic" w:cs="Century Gothic"/>
          <w:sz w:val="22"/>
          <w:szCs w:val="22"/>
        </w:rPr>
        <w:t>dan</w:t>
      </w:r>
      <w:r w:rsidR="004F3125" w:rsidRPr="002051CB">
        <w:rPr>
          <w:rFonts w:ascii="Century Gothic" w:eastAsia="Century Gothic" w:hAnsi="Century Gothic" w:cs="Century Gothic"/>
          <w:sz w:val="22"/>
          <w:szCs w:val="22"/>
        </w:rPr>
        <w:t xml:space="preserve">do, al incluir como uno de los mínimos constitucionalmente asegurables en materia de infraestructura y servicios públicos, </w:t>
      </w:r>
      <w:r w:rsidR="004F3125" w:rsidRPr="002051CB">
        <w:rPr>
          <w:rFonts w:ascii="Century Gothic" w:eastAsia="Century Gothic" w:hAnsi="Century Gothic" w:cs="Century Gothic"/>
          <w:sz w:val="22"/>
          <w:szCs w:val="22"/>
          <w:u w:val="single"/>
        </w:rPr>
        <w:t>la atención de las necesidades básicas radicales que, por su condición de mujeres, están expuestas a sufrir</w:t>
      </w:r>
      <w:r w:rsidR="004F3125" w:rsidRPr="002051CB">
        <w:rPr>
          <w:rFonts w:ascii="Century Gothic" w:eastAsia="Century Gothic" w:hAnsi="Century Gothic" w:cs="Century Gothic"/>
          <w:sz w:val="22"/>
          <w:szCs w:val="22"/>
        </w:rPr>
        <w:t>, en palabras de la Corte Constitucional</w:t>
      </w:r>
      <w:r w:rsidR="004F3125" w:rsidRPr="002051CB">
        <w:rPr>
          <w:rFonts w:ascii="Century Gothic" w:eastAsia="Century Gothic" w:hAnsi="Century Gothic" w:cs="Century Gothic"/>
          <w:sz w:val="22"/>
          <w:szCs w:val="22"/>
          <w:vertAlign w:val="superscript"/>
        </w:rPr>
        <w:footnoteReference w:id="22"/>
      </w:r>
      <w:r w:rsidR="004F3125" w:rsidRPr="002051CB">
        <w:rPr>
          <w:rFonts w:ascii="Century Gothic" w:eastAsia="Century Gothic" w:hAnsi="Century Gothic" w:cs="Century Gothic"/>
          <w:sz w:val="22"/>
          <w:szCs w:val="22"/>
        </w:rPr>
        <w:t>:</w:t>
      </w:r>
    </w:p>
    <w:p w14:paraId="1B55605A" w14:textId="77777777" w:rsidR="004F3125" w:rsidRPr="002051CB" w:rsidRDefault="004F3125" w:rsidP="004F3125">
      <w:pPr>
        <w:rPr>
          <w:rFonts w:ascii="Century Gothic" w:hAnsi="Century Gothic"/>
          <w:i/>
          <w:color w:val="2D2D2D"/>
          <w:sz w:val="22"/>
          <w:szCs w:val="22"/>
        </w:rPr>
      </w:pPr>
    </w:p>
    <w:p w14:paraId="355E1E8F" w14:textId="77777777" w:rsidR="004F3125" w:rsidRPr="002051CB" w:rsidRDefault="004F3125" w:rsidP="004F3125">
      <w:pPr>
        <w:ind w:left="284" w:right="276"/>
        <w:jc w:val="both"/>
        <w:rPr>
          <w:rFonts w:ascii="Century Gothic" w:eastAsia="Century Gothic" w:hAnsi="Century Gothic" w:cs="Century Gothic"/>
          <w:i/>
          <w:sz w:val="22"/>
          <w:szCs w:val="22"/>
        </w:rPr>
      </w:pPr>
      <w:r w:rsidRPr="002051CB">
        <w:rPr>
          <w:rFonts w:ascii="Century Gothic" w:eastAsia="Century Gothic" w:hAnsi="Century Gothic" w:cs="Century Gothic"/>
          <w:i/>
          <w:sz w:val="22"/>
          <w:szCs w:val="22"/>
        </w:rPr>
        <w:t xml:space="preserve">Los mínimos constitucionalmente asegurables en materia de infraestructura y servicios públicos en el ámbito penitenciario y carcelario, cuando se trata de los derechos fundamentales de las mujeres, son cualificados. Implican, cuando menos: </w:t>
      </w:r>
      <w:r w:rsidRPr="002051CB">
        <w:rPr>
          <w:rFonts w:ascii="Century Gothic" w:eastAsia="Century Gothic" w:hAnsi="Century Gothic" w:cs="Century Gothic"/>
          <w:b/>
          <w:i/>
          <w:sz w:val="22"/>
          <w:szCs w:val="22"/>
        </w:rPr>
        <w:t xml:space="preserve">i) el aseguramiento de condiciones sanitarias adecuadas para que puedan mantener su  higiene y su salud, permitiéndoles acceso regular a baterías sanitarias y posibilitar su aseo personal y limpieza de ropa regularmente; </w:t>
      </w:r>
      <w:r w:rsidRPr="002051CB">
        <w:rPr>
          <w:rFonts w:ascii="Century Gothic" w:eastAsia="Century Gothic" w:hAnsi="Century Gothic" w:cs="Century Gothic"/>
          <w:b/>
          <w:i/>
          <w:sz w:val="22"/>
          <w:szCs w:val="22"/>
          <w:u w:val="single"/>
        </w:rPr>
        <w:t>ii) a recintos destinados al alojamiento con las instalaciones y artículos necesarios para satisfacer las necesidades de higiene propias de su género, incluidas toallas sanitarias gratuitas y el suministro permanente de agua para el cuidado personal de niños y mujeres, en particular las que cocinen, las embarazadas y las que se encuentren en período de lactancia o menstruación</w:t>
      </w:r>
      <w:r w:rsidRPr="002051CB">
        <w:rPr>
          <w:rFonts w:ascii="Century Gothic" w:eastAsia="Century Gothic" w:hAnsi="Century Gothic" w:cs="Century Gothic"/>
          <w:i/>
          <w:sz w:val="22"/>
          <w:szCs w:val="22"/>
        </w:rPr>
        <w:t xml:space="preserve">; y, por último, iii) condiciones apropiadas para las detenidas que se encuentren en estado de embarazadas, o acompañadas por sus hijos, que aseguren su subsistencia en condiciones dignas. Naturalmente, los mínimos aquí descritos en materia de infraestructura, están relacionados con la satisfacción de los derechos sociales fundamentales de las mujeres privadas de la libertad en centros de reclusión. </w:t>
      </w:r>
      <w:r w:rsidRPr="002051CB">
        <w:rPr>
          <w:rFonts w:ascii="Century Gothic" w:eastAsia="Century Gothic" w:hAnsi="Century Gothic" w:cs="Century Gothic"/>
          <w:b/>
          <w:i/>
          <w:sz w:val="22"/>
          <w:szCs w:val="22"/>
          <w:u w:val="single"/>
        </w:rPr>
        <w:t>Ello supone que, pese al desarrollo de estos parámetros, las autoridades estatales, a nivel legislativo, administrativo y presupuestal, siguen contando -más en esta específica materia, compleja desde el punto de vista técnico y financiero-, con un margen amplio de configuración en la definición del contenido específico de tales derechos.</w:t>
      </w:r>
      <w:r w:rsidRPr="002051CB">
        <w:rPr>
          <w:rFonts w:ascii="Century Gothic" w:eastAsia="Century Gothic" w:hAnsi="Century Gothic" w:cs="Century Gothic"/>
          <w:i/>
          <w:sz w:val="22"/>
          <w:szCs w:val="22"/>
        </w:rPr>
        <w:t xml:space="preserve"> Los remedios judiciales necesarios para que las medidas diseñadas para esta protección se implementen efectivamente, o para que, con la debida concertación institucional, las aún inexistentes se formulen, conservando el equilibrio entre el amparo que demanda la dignidad humana de las reclusas y los principios de legalidad, separación de poderes y sostenibilidad fiscal, están en manos del juez de tutela en cada caso concreto. </w:t>
      </w:r>
      <w:r w:rsidRPr="002051CB">
        <w:rPr>
          <w:rFonts w:ascii="Century Gothic" w:eastAsia="Century Gothic" w:hAnsi="Century Gothic" w:cs="Century Gothic"/>
          <w:sz w:val="22"/>
          <w:szCs w:val="22"/>
        </w:rPr>
        <w:t>(Negrilla y subrayado fuera del texto)</w:t>
      </w:r>
    </w:p>
    <w:p w14:paraId="76C720D3" w14:textId="77777777" w:rsidR="004F3125" w:rsidRPr="002051CB" w:rsidRDefault="004F3125" w:rsidP="004F3125">
      <w:pPr>
        <w:ind w:left="284" w:right="276"/>
        <w:jc w:val="both"/>
        <w:rPr>
          <w:rFonts w:ascii="Century Gothic" w:eastAsia="Century Gothic" w:hAnsi="Century Gothic" w:cs="Century Gothic"/>
          <w:i/>
          <w:sz w:val="22"/>
          <w:szCs w:val="22"/>
        </w:rPr>
      </w:pPr>
    </w:p>
    <w:p w14:paraId="5043266D" w14:textId="3C0365D3"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 xml:space="preserve">Lo enunciado permite colegir que el Estado tiene el deber de desplegar todas las acciones posibles, para que la mujer, en especial aquellas privadas de su libertad, cuenten con las condiciones necesarias para poder practicar adecuadamente su higiene menstrual, no obstante, esta responsabilidad no se cumple a cabalidad en Colombia, ello por cuanto si bien, el artículos 69 de la Ley 65 de 1993, establece que el Instituto Nacional Penitenciario y Carcelario –INPEC- tendrá a su cargo el suministro  de artículos de primera necesidad y uso personal para los detenidos y condenados, al revisar el memorando N.° 0251 del 10 de marzo de 2004, que materializa este articulo, describe que el kit de aseo personal que compone el mínimo vital para la población privada de la libertad esta compuesto por: </w:t>
      </w:r>
      <w:r w:rsidR="00483D54" w:rsidRPr="002051CB">
        <w:rPr>
          <w:rFonts w:ascii="Century Gothic" w:eastAsia="Century Gothic" w:hAnsi="Century Gothic" w:cs="Century Gothic"/>
          <w:sz w:val="22"/>
          <w:szCs w:val="22"/>
        </w:rPr>
        <w:t>"</w:t>
      </w:r>
      <w:r w:rsidRPr="002051CB">
        <w:rPr>
          <w:rFonts w:ascii="Century Gothic" w:eastAsia="Century Gothic" w:hAnsi="Century Gothic" w:cs="Century Gothic"/>
          <w:sz w:val="22"/>
          <w:szCs w:val="22"/>
        </w:rPr>
        <w:t xml:space="preserve">papel higiénico (2 rollos), máquina de afeitar (1), crema dental (1), jabón de tocador (1), desodorante (2), cepillo dental (1) y </w:t>
      </w:r>
      <w:r w:rsidRPr="002051CB">
        <w:rPr>
          <w:rFonts w:ascii="Century Gothic" w:eastAsia="Century Gothic" w:hAnsi="Century Gothic" w:cs="Century Gothic"/>
          <w:sz w:val="22"/>
          <w:szCs w:val="22"/>
          <w:u w:val="single"/>
        </w:rPr>
        <w:t>toallas higiénicas</w:t>
      </w:r>
      <w:r w:rsidRPr="002051CB">
        <w:rPr>
          <w:rFonts w:ascii="Century Gothic" w:eastAsia="Century Gothic" w:hAnsi="Century Gothic" w:cs="Century Gothic"/>
          <w:sz w:val="22"/>
          <w:szCs w:val="22"/>
        </w:rPr>
        <w:t xml:space="preserve"> (2 paquetes), elementos que le son suministrados a su ingreso y una vez cada cuatro meses en abril, agosto y diciembre”,</w:t>
      </w:r>
      <w:r w:rsidRPr="002051CB">
        <w:rPr>
          <w:rFonts w:ascii="Century Gothic" w:eastAsia="Arial" w:hAnsi="Century Gothic" w:cs="Arial"/>
          <w:sz w:val="22"/>
          <w:szCs w:val="22"/>
          <w:vertAlign w:val="superscript"/>
        </w:rPr>
        <w:footnoteReference w:id="23"/>
      </w:r>
      <w:r w:rsidRPr="002051CB">
        <w:rPr>
          <w:rFonts w:ascii="Century Gothic" w:eastAsia="Century Gothic" w:hAnsi="Century Gothic" w:cs="Century Gothic"/>
          <w:sz w:val="22"/>
          <w:szCs w:val="22"/>
        </w:rPr>
        <w:t xml:space="preserve"> datos que permiten evidenciar que la periodicidad y cantidad de los elementos de aseo, no admiten que estas mujeres puedan tener una vida digna intramural.</w:t>
      </w:r>
    </w:p>
    <w:p w14:paraId="3B261377" w14:textId="77777777" w:rsidR="004F3125" w:rsidRPr="002051CB" w:rsidRDefault="004F3125" w:rsidP="004F3125">
      <w:pPr>
        <w:jc w:val="both"/>
        <w:rPr>
          <w:rFonts w:ascii="Century Gothic" w:hAnsi="Century Gothic"/>
          <w:sz w:val="22"/>
          <w:szCs w:val="22"/>
        </w:rPr>
      </w:pPr>
    </w:p>
    <w:p w14:paraId="3EC59D57"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En relación a las toallas higiénicas, único elemento suministrado a las mujeres privadas de la libertad, para hacer efectivo su derecho al manejo de la higiene menstrual, se debe precisar que el Memorando enunciado determina que las mujeres recluidas deben recibir un paquete de toallas higiénicas</w:t>
      </w:r>
      <w:r w:rsidRPr="002051CB">
        <w:rPr>
          <w:rFonts w:ascii="Century Gothic" w:eastAsia="Century Gothic" w:hAnsi="Century Gothic" w:cs="Century Gothic"/>
          <w:sz w:val="22"/>
          <w:szCs w:val="22"/>
          <w:vertAlign w:val="superscript"/>
        </w:rPr>
        <w:footnoteReference w:id="24"/>
      </w:r>
      <w:r w:rsidRPr="002051CB">
        <w:rPr>
          <w:rFonts w:ascii="Century Gothic" w:eastAsia="Century Gothic" w:hAnsi="Century Gothic" w:cs="Century Gothic"/>
          <w:sz w:val="22"/>
          <w:szCs w:val="22"/>
        </w:rPr>
        <w:t xml:space="preserve"> cada 4 meses, no obstante, en cumplimiento de diferentes sentencias, especialmente la T-762 de 2015</w:t>
      </w:r>
      <w:r w:rsidRPr="002051CB">
        <w:rPr>
          <w:rFonts w:ascii="Century Gothic" w:eastAsia="Century Gothic" w:hAnsi="Century Gothic" w:cs="Century Gothic"/>
          <w:sz w:val="22"/>
          <w:szCs w:val="22"/>
          <w:vertAlign w:val="superscript"/>
        </w:rPr>
        <w:footnoteReference w:id="25"/>
      </w:r>
      <w:r w:rsidRPr="002051CB">
        <w:rPr>
          <w:rFonts w:ascii="Century Gothic" w:eastAsia="Century Gothic" w:hAnsi="Century Gothic" w:cs="Century Gothic"/>
          <w:sz w:val="22"/>
          <w:szCs w:val="22"/>
        </w:rPr>
        <w:t>, en la que se ordenó la entrega de elementos de dotación, para las personas privadas de la libertad en una mayor cantidad y adicionalmente en armonía con la Resolución 6349 de 2016</w:t>
      </w:r>
      <w:r w:rsidRPr="002051CB">
        <w:rPr>
          <w:rFonts w:ascii="Century Gothic" w:eastAsia="Century Gothic" w:hAnsi="Century Gothic" w:cs="Century Gothic"/>
          <w:sz w:val="22"/>
          <w:szCs w:val="22"/>
          <w:vertAlign w:val="superscript"/>
        </w:rPr>
        <w:footnoteReference w:id="26"/>
      </w:r>
      <w:r w:rsidRPr="002051CB">
        <w:rPr>
          <w:rFonts w:ascii="Century Gothic" w:eastAsia="Century Gothic" w:hAnsi="Century Gothic" w:cs="Century Gothic"/>
          <w:sz w:val="22"/>
          <w:szCs w:val="22"/>
        </w:rPr>
        <w:t xml:space="preserve"> que actualizó el Reglamento General de los Establecimientos de Reclusión del orden Nacional incluyendo dentro de sus principios el enfoque diferencial (articulo 5), le son suministrados dos paquetes (cada uno de 8 unidades)</w:t>
      </w:r>
      <w:r w:rsidRPr="002051CB">
        <w:rPr>
          <w:rFonts w:ascii="Century Gothic" w:eastAsia="Century Gothic" w:hAnsi="Century Gothic" w:cs="Century Gothic"/>
          <w:sz w:val="22"/>
          <w:szCs w:val="22"/>
          <w:vertAlign w:val="superscript"/>
        </w:rPr>
        <w:footnoteReference w:id="27"/>
      </w:r>
      <w:r w:rsidRPr="002051CB">
        <w:rPr>
          <w:rFonts w:ascii="Century Gothic" w:eastAsia="Century Gothic" w:hAnsi="Century Gothic" w:cs="Century Gothic"/>
          <w:sz w:val="22"/>
          <w:szCs w:val="22"/>
        </w:rPr>
        <w:t xml:space="preserve">, cifra que sigue siendo baja y que da muestra de la precariedad en materia de elementos de higiene que deben soportar las mujeres. </w:t>
      </w:r>
    </w:p>
    <w:p w14:paraId="3E31D5AB"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18DECA67"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Ello por cuanto la dotación suministrada tiene una duración de uso aproximada de sesenta días (1 paquete por mes), por lo cual, deben esperar dos meses para volver a recibir los insumos de higiene menstrual, conllevando la reglamentación </w:t>
      </w:r>
      <w:r w:rsidRPr="002051CB">
        <w:rPr>
          <w:rFonts w:ascii="Century Gothic" w:eastAsia="Century Gothic" w:hAnsi="Century Gothic" w:cs="Century Gothic"/>
          <w:sz w:val="22"/>
          <w:szCs w:val="22"/>
        </w:rPr>
        <w:lastRenderedPageBreak/>
        <w:t>referenciada (Memorando Interno) a que una mujer deba desarrollar su vida durante 60 días, sin toallas higiénicas, olvidando el Estado colombiano que la falta de acceso a elementos para la higiene femenina durante el periodo menstrual, obstaculiza la garantía de los derechos a la vida digna, salud y saneamiento.</w:t>
      </w:r>
    </w:p>
    <w:p w14:paraId="36079D9F" w14:textId="53B9D1E9" w:rsidR="004F3125" w:rsidRPr="002051CB" w:rsidRDefault="00005C10"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r w:rsidRPr="002051CB">
        <w:rPr>
          <w:rFonts w:ascii="Century Gothic" w:hAnsi="Century Gothic"/>
          <w:noProof/>
          <w:sz w:val="22"/>
          <w:szCs w:val="22"/>
        </w:rPr>
        <mc:AlternateContent>
          <mc:Choice Requires="wps">
            <w:drawing>
              <wp:anchor distT="0" distB="0" distL="114300" distR="114300" simplePos="0" relativeHeight="251659264" behindDoc="0" locked="0" layoutInCell="1" hidden="0" allowOverlap="1" wp14:anchorId="576F73E6" wp14:editId="5A61179C">
                <wp:simplePos x="0" y="0"/>
                <wp:positionH relativeFrom="column">
                  <wp:posOffset>1613477</wp:posOffset>
                </wp:positionH>
                <wp:positionV relativeFrom="paragraph">
                  <wp:posOffset>1531158</wp:posOffset>
                </wp:positionV>
                <wp:extent cx="2432050" cy="763154"/>
                <wp:effectExtent l="12700" t="12700" r="19050" b="12065"/>
                <wp:wrapNone/>
                <wp:docPr id="92" name="Rectángulo redondeado 92"/>
                <wp:cNvGraphicFramePr/>
                <a:graphic xmlns:a="http://schemas.openxmlformats.org/drawingml/2006/main">
                  <a:graphicData uri="http://schemas.microsoft.com/office/word/2010/wordprocessingShape">
                    <wps:wsp>
                      <wps:cNvSpPr/>
                      <wps:spPr>
                        <a:xfrm>
                          <a:off x="0" y="0"/>
                          <a:ext cx="2432050" cy="763154"/>
                        </a:xfrm>
                        <a:prstGeom prst="roundRect">
                          <a:avLst>
                            <a:gd name="adj" fmla="val 16667"/>
                          </a:avLst>
                        </a:prstGeom>
                        <a:solidFill>
                          <a:schemeClr val="tx2">
                            <a:lumMod val="40000"/>
                            <a:lumOff val="60000"/>
                          </a:schemeClr>
                        </a:solidFill>
                        <a:ln w="25400" cap="flat" cmpd="sng">
                          <a:solidFill>
                            <a:srgbClr val="395E89"/>
                          </a:solidFill>
                          <a:prstDash val="solid"/>
                          <a:round/>
                          <a:headEnd type="none" w="sm" len="sm"/>
                          <a:tailEnd type="none" w="sm" len="sm"/>
                        </a:ln>
                      </wps:spPr>
                      <wps:txbx>
                        <w:txbxContent>
                          <w:p w14:paraId="1D81066E"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 xml:space="preserve">El </w:t>
                            </w:r>
                            <w:r w:rsidRPr="002051CB">
                              <w:rPr>
                                <w:rFonts w:ascii="Century Gothic" w:eastAsia="Century Gothic" w:hAnsi="Century Gothic" w:cs="Century Gothic"/>
                                <w:b/>
                                <w:color w:val="FF0000"/>
                                <w:sz w:val="28"/>
                                <w:szCs w:val="20"/>
                              </w:rPr>
                              <w:t>76.5%</w:t>
                            </w:r>
                            <w:r w:rsidRPr="002051CB">
                              <w:rPr>
                                <w:rFonts w:ascii="Century Gothic" w:eastAsia="Century Gothic" w:hAnsi="Century Gothic" w:cs="Century Gothic"/>
                                <w:color w:val="FF0000"/>
                                <w:sz w:val="18"/>
                                <w:szCs w:val="20"/>
                              </w:rPr>
                              <w:t xml:space="preserve"> </w:t>
                            </w:r>
                            <w:r w:rsidRPr="002051CB">
                              <w:rPr>
                                <w:rFonts w:ascii="Century Gothic" w:eastAsia="Century Gothic" w:hAnsi="Century Gothic" w:cs="Century Gothic"/>
                                <w:color w:val="000000"/>
                                <w:sz w:val="18"/>
                                <w:szCs w:val="20"/>
                              </w:rPr>
                              <w:t xml:space="preserve">de las participantes considera que la cantidad de toallas higiénicas </w:t>
                            </w:r>
                            <w:r w:rsidRPr="002051CB">
                              <w:rPr>
                                <w:rFonts w:ascii="Century Gothic" w:eastAsia="Century Gothic" w:hAnsi="Century Gothic" w:cs="Century Gothic"/>
                                <w:b/>
                                <w:color w:val="FF0000"/>
                                <w:sz w:val="18"/>
                                <w:szCs w:val="20"/>
                                <w:u w:val="single"/>
                              </w:rPr>
                              <w:t>no es suficiente</w:t>
                            </w:r>
                            <w:r w:rsidRPr="002051CB">
                              <w:rPr>
                                <w:rFonts w:ascii="Century Gothic" w:eastAsia="Century Gothic" w:hAnsi="Century Gothic" w:cs="Century Gothic"/>
                                <w:color w:val="000000"/>
                                <w:sz w:val="18"/>
                                <w:szCs w:val="20"/>
                              </w:rPr>
                              <w:t>.</w:t>
                            </w:r>
                          </w:p>
                          <w:p w14:paraId="79E073D7" w14:textId="77777777" w:rsidR="004F3125" w:rsidRPr="002051CB" w:rsidRDefault="004F3125" w:rsidP="004F3125">
                            <w:pPr>
                              <w:jc w:val="center"/>
                              <w:textDirection w:val="btLr"/>
                              <w:rPr>
                                <w:sz w:val="22"/>
                                <w:szCs w:val="22"/>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576F73E6" id="Rectángulo redondeado 92" o:spid="_x0000_s1026" style="position:absolute;left:0;text-align:left;margin-left:127.05pt;margin-top:120.55pt;width:191.5pt;height:6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" fillcolor="#8db3e2 [1311]" strokecolor="#395e89" strokeweight="2pt">
                <v:stroke startarrowwidth="narrow" startarrowlength="short" endarrowwidth="narrow" endarrowlength="short"/>
                <v:textbox inset="2.53958mm,1.2694mm,2.53958mm,1.2694mm">
                  <w:txbxContent>
                    <w:p w14:paraId="1D81066E"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 xml:space="preserve">El </w:t>
                      </w:r>
                      <w:r w:rsidRPr="002051CB">
                        <w:rPr>
                          <w:rFonts w:ascii="Century Gothic" w:eastAsia="Century Gothic" w:hAnsi="Century Gothic" w:cs="Century Gothic"/>
                          <w:b/>
                          <w:color w:val="FF0000"/>
                          <w:sz w:val="28"/>
                          <w:szCs w:val="20"/>
                        </w:rPr>
                        <w:t>76.5%</w:t>
                      </w:r>
                      <w:r w:rsidRPr="002051CB">
                        <w:rPr>
                          <w:rFonts w:ascii="Century Gothic" w:eastAsia="Century Gothic" w:hAnsi="Century Gothic" w:cs="Century Gothic"/>
                          <w:color w:val="FF0000"/>
                          <w:sz w:val="18"/>
                          <w:szCs w:val="20"/>
                        </w:rPr>
                        <w:t xml:space="preserve"> </w:t>
                      </w:r>
                      <w:r w:rsidRPr="002051CB">
                        <w:rPr>
                          <w:rFonts w:ascii="Century Gothic" w:eastAsia="Century Gothic" w:hAnsi="Century Gothic" w:cs="Century Gothic"/>
                          <w:color w:val="000000"/>
                          <w:sz w:val="18"/>
                          <w:szCs w:val="20"/>
                        </w:rPr>
                        <w:t xml:space="preserve">de las participantes considera que la cantidad de toallas higiénicas </w:t>
                      </w:r>
                      <w:r w:rsidRPr="002051CB">
                        <w:rPr>
                          <w:rFonts w:ascii="Century Gothic" w:eastAsia="Century Gothic" w:hAnsi="Century Gothic" w:cs="Century Gothic"/>
                          <w:b/>
                          <w:color w:val="FF0000"/>
                          <w:sz w:val="18"/>
                          <w:szCs w:val="20"/>
                          <w:u w:val="single"/>
                        </w:rPr>
                        <w:t>no es suficiente</w:t>
                      </w:r>
                      <w:r w:rsidRPr="002051CB">
                        <w:rPr>
                          <w:rFonts w:ascii="Century Gothic" w:eastAsia="Century Gothic" w:hAnsi="Century Gothic" w:cs="Century Gothic"/>
                          <w:color w:val="000000"/>
                          <w:sz w:val="18"/>
                          <w:szCs w:val="20"/>
                        </w:rPr>
                        <w:t>.</w:t>
                      </w:r>
                    </w:p>
                    <w:p w14:paraId="79E073D7" w14:textId="77777777" w:rsidR="004F3125" w:rsidRPr="002051CB" w:rsidRDefault="004F3125" w:rsidP="004F3125">
                      <w:pPr>
                        <w:jc w:val="center"/>
                        <w:textDirection w:val="btLr"/>
                        <w:rPr>
                          <w:sz w:val="22"/>
                          <w:szCs w:val="22"/>
                        </w:rPr>
                      </w:pPr>
                    </w:p>
                  </w:txbxContent>
                </v:textbox>
              </v:roundrect>
            </w:pict>
          </mc:Fallback>
        </mc:AlternateContent>
      </w:r>
      <w:r w:rsidR="002051CB" w:rsidRPr="002051CB">
        <w:rPr>
          <w:rFonts w:ascii="Century Gothic" w:hAnsi="Century Gothic"/>
          <w:noProof/>
          <w:sz w:val="22"/>
          <w:szCs w:val="22"/>
        </w:rPr>
        <mc:AlternateContent>
          <mc:Choice Requires="wps">
            <w:drawing>
              <wp:anchor distT="0" distB="0" distL="114300" distR="114300" simplePos="0" relativeHeight="251661312" behindDoc="0" locked="0" layoutInCell="1" hidden="0" allowOverlap="1" wp14:anchorId="4CCBFD3E" wp14:editId="656F2CC1">
                <wp:simplePos x="0" y="0"/>
                <wp:positionH relativeFrom="column">
                  <wp:posOffset>4194002</wp:posOffset>
                </wp:positionH>
                <wp:positionV relativeFrom="paragraph">
                  <wp:posOffset>1679055</wp:posOffset>
                </wp:positionV>
                <wp:extent cx="1856105" cy="1424594"/>
                <wp:effectExtent l="12700" t="12700" r="10795" b="10795"/>
                <wp:wrapNone/>
                <wp:docPr id="95" name="Rectángulo redondeado 95"/>
                <wp:cNvGraphicFramePr/>
                <a:graphic xmlns:a="http://schemas.openxmlformats.org/drawingml/2006/main">
                  <a:graphicData uri="http://schemas.microsoft.com/office/word/2010/wordprocessingShape">
                    <wps:wsp>
                      <wps:cNvSpPr/>
                      <wps:spPr>
                        <a:xfrm>
                          <a:off x="0" y="0"/>
                          <a:ext cx="1856105" cy="1424594"/>
                        </a:xfrm>
                        <a:prstGeom prst="roundRect">
                          <a:avLst>
                            <a:gd name="adj" fmla="val 16667"/>
                          </a:avLst>
                        </a:prstGeom>
                        <a:solidFill>
                          <a:schemeClr val="tx2">
                            <a:lumMod val="40000"/>
                            <a:lumOff val="60000"/>
                          </a:schemeClr>
                        </a:solidFill>
                        <a:ln w="25400" cap="flat" cmpd="sng">
                          <a:solidFill>
                            <a:srgbClr val="395E89"/>
                          </a:solidFill>
                          <a:prstDash val="solid"/>
                          <a:round/>
                          <a:headEnd type="none" w="sm" len="sm"/>
                          <a:tailEnd type="none" w="sm" len="sm"/>
                        </a:ln>
                      </wps:spPr>
                      <wps:txbx>
                        <w:txbxContent>
                          <w:p w14:paraId="01787FF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Percepción de limpieza de los baños:</w:t>
                            </w:r>
                          </w:p>
                          <w:p w14:paraId="06D29275" w14:textId="77777777" w:rsidR="004F3125" w:rsidRPr="002051CB" w:rsidRDefault="004F3125" w:rsidP="004F3125">
                            <w:pPr>
                              <w:jc w:val="both"/>
                              <w:textDirection w:val="btLr"/>
                              <w:rPr>
                                <w:sz w:val="20"/>
                                <w:szCs w:val="20"/>
                              </w:rPr>
                            </w:pPr>
                          </w:p>
                          <w:p w14:paraId="574956EA"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32.1%</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no son limpios.</w:t>
                            </w:r>
                          </w:p>
                          <w:p w14:paraId="33982E21"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25.9% muy limpios</w:t>
                            </w:r>
                          </w:p>
                          <w:p w14:paraId="702E8559"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22.6% algo limpios</w:t>
                            </w:r>
                          </w:p>
                          <w:p w14:paraId="43BE8D9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19.4%</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poco limpios</w:t>
                            </w:r>
                            <w:r w:rsidRPr="002051CB">
                              <w:rPr>
                                <w:color w:val="000000"/>
                                <w:sz w:val="18"/>
                                <w:szCs w:val="2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CCBFD3E" id="Rectángulo redondeado 95" o:spid="_x0000_s1027" style="position:absolute;left:0;text-align:left;margin-left:330.25pt;margin-top:132.2pt;width:146.15pt;height:1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" fillcolor="#8db3e2 [1311]" strokecolor="#395e89" strokeweight="2pt">
                <v:stroke startarrowwidth="narrow" startarrowlength="short" endarrowwidth="narrow" endarrowlength="short"/>
                <v:textbox inset="2.53958mm,1.2694mm,2.53958mm,1.2694mm">
                  <w:txbxContent>
                    <w:p w14:paraId="01787FF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Percepción de limpieza de los baños:</w:t>
                      </w:r>
                    </w:p>
                    <w:p w14:paraId="06D29275" w14:textId="77777777" w:rsidR="004F3125" w:rsidRPr="002051CB" w:rsidRDefault="004F3125" w:rsidP="004F3125">
                      <w:pPr>
                        <w:jc w:val="both"/>
                        <w:textDirection w:val="btLr"/>
                        <w:rPr>
                          <w:sz w:val="20"/>
                          <w:szCs w:val="20"/>
                        </w:rPr>
                      </w:pPr>
                    </w:p>
                    <w:p w14:paraId="574956EA"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32.1%</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no son limpios.</w:t>
                      </w:r>
                    </w:p>
                    <w:p w14:paraId="33982E21"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25.9% muy limpios</w:t>
                      </w:r>
                    </w:p>
                    <w:p w14:paraId="702E8559"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color w:val="000000"/>
                          <w:sz w:val="18"/>
                          <w:szCs w:val="20"/>
                        </w:rPr>
                        <w:t>22.6% algo limpios</w:t>
                      </w:r>
                    </w:p>
                    <w:p w14:paraId="43BE8D9C" w14:textId="77777777" w:rsidR="004F3125" w:rsidRPr="002051CB" w:rsidRDefault="004F3125" w:rsidP="004F3125">
                      <w:pPr>
                        <w:jc w:val="both"/>
                        <w:textDirection w:val="btLr"/>
                        <w:rPr>
                          <w:sz w:val="20"/>
                          <w:szCs w:val="20"/>
                        </w:rPr>
                      </w:pPr>
                      <w:r w:rsidRPr="002051CB">
                        <w:rPr>
                          <w:rFonts w:ascii="Century Gothic" w:eastAsia="Century Gothic" w:hAnsi="Century Gothic" w:cs="Century Gothic"/>
                          <w:b/>
                          <w:color w:val="FF0000"/>
                          <w:szCs w:val="20"/>
                        </w:rPr>
                        <w:t>19.4%</w:t>
                      </w:r>
                      <w:r w:rsidRPr="002051CB">
                        <w:rPr>
                          <w:rFonts w:ascii="Century Gothic" w:eastAsia="Century Gothic" w:hAnsi="Century Gothic" w:cs="Century Gothic"/>
                          <w:color w:val="FF0000"/>
                          <w:sz w:val="15"/>
                          <w:szCs w:val="20"/>
                        </w:rPr>
                        <w:t xml:space="preserve"> </w:t>
                      </w:r>
                      <w:r w:rsidRPr="002051CB">
                        <w:rPr>
                          <w:rFonts w:ascii="Century Gothic" w:eastAsia="Century Gothic" w:hAnsi="Century Gothic" w:cs="Century Gothic"/>
                          <w:color w:val="000000"/>
                          <w:sz w:val="18"/>
                          <w:szCs w:val="20"/>
                        </w:rPr>
                        <w:t>poco limpios</w:t>
                      </w:r>
                      <w:r w:rsidRPr="002051CB">
                        <w:rPr>
                          <w:color w:val="000000"/>
                          <w:sz w:val="18"/>
                          <w:szCs w:val="20"/>
                        </w:rPr>
                        <w:t xml:space="preserve">. </w:t>
                      </w:r>
                    </w:p>
                  </w:txbxContent>
                </v:textbox>
              </v:roundrect>
            </w:pict>
          </mc:Fallback>
        </mc:AlternateContent>
      </w:r>
      <w:r w:rsidR="004F3125" w:rsidRPr="002051CB">
        <w:rPr>
          <w:rFonts w:ascii="Century Gothic" w:eastAsia="Century Gothic" w:hAnsi="Century Gothic" w:cs="Century Gothic"/>
          <w:color w:val="000000"/>
          <w:sz w:val="22"/>
          <w:szCs w:val="22"/>
        </w:rPr>
        <w:t xml:space="preserve">La anterior problemática ha sido reafirmada en un estudio realizado en el año 2018 por la Pontificia Universidad Javeriana con el apoyo del Comité́ Internacional de la Cruz Roja (CICR) y el Centro de Investigación y Docencia Económicas (CIDE) denominado </w:t>
      </w:r>
      <w:r w:rsidR="004F3125" w:rsidRPr="002051CB">
        <w:rPr>
          <w:rFonts w:ascii="Century Gothic" w:eastAsia="Century Gothic" w:hAnsi="Century Gothic" w:cs="Century Gothic"/>
          <w:i/>
          <w:color w:val="000000"/>
          <w:sz w:val="22"/>
          <w:szCs w:val="22"/>
        </w:rPr>
        <w:t>“Mujeres y prisión en Colombia. Desafíos para la política criminal desde un enfoque de género”</w:t>
      </w:r>
      <w:r w:rsidR="004F3125" w:rsidRPr="002051CB">
        <w:rPr>
          <w:rFonts w:ascii="Century Gothic" w:eastAsia="Century Gothic" w:hAnsi="Century Gothic" w:cs="Century Gothic"/>
          <w:i/>
          <w:color w:val="000000"/>
          <w:sz w:val="22"/>
          <w:szCs w:val="22"/>
          <w:vertAlign w:val="superscript"/>
        </w:rPr>
        <w:footnoteReference w:id="28"/>
      </w:r>
      <w:r w:rsidR="004F3125" w:rsidRPr="002051CB">
        <w:rPr>
          <w:rFonts w:ascii="Century Gothic" w:eastAsia="Century Gothic" w:hAnsi="Century Gothic" w:cs="Century Gothic"/>
          <w:i/>
          <w:color w:val="000000"/>
          <w:sz w:val="22"/>
          <w:szCs w:val="22"/>
        </w:rPr>
        <w:t xml:space="preserve">, </w:t>
      </w:r>
      <w:r w:rsidR="004F3125" w:rsidRPr="002051CB">
        <w:rPr>
          <w:rFonts w:ascii="Century Gothic" w:eastAsia="Century Gothic" w:hAnsi="Century Gothic" w:cs="Century Gothic"/>
          <w:color w:val="000000"/>
          <w:sz w:val="22"/>
          <w:szCs w:val="22"/>
        </w:rPr>
        <w:t xml:space="preserve">en el cual se analizaron las necesidades de las mujeres privadas de la libertad, mediante entrevistas a 536 reclusas, arrojando como resultado que: </w:t>
      </w:r>
    </w:p>
    <w:p w14:paraId="1112D80C" w14:textId="5D501805" w:rsidR="004F3125" w:rsidRPr="002051CB" w:rsidRDefault="002051CB"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r w:rsidRPr="002051CB">
        <w:rPr>
          <w:rFonts w:ascii="Century Gothic" w:hAnsi="Century Gothic"/>
          <w:noProof/>
          <w:sz w:val="22"/>
          <w:szCs w:val="22"/>
        </w:rPr>
        <mc:AlternateContent>
          <mc:Choice Requires="wps">
            <w:drawing>
              <wp:anchor distT="0" distB="0" distL="114300" distR="114300" simplePos="0" relativeHeight="251660288" behindDoc="0" locked="0" layoutInCell="1" hidden="0" allowOverlap="1" wp14:anchorId="404143C1" wp14:editId="5AA77A0A">
                <wp:simplePos x="0" y="0"/>
                <wp:positionH relativeFrom="column">
                  <wp:posOffset>-697692</wp:posOffset>
                </wp:positionH>
                <wp:positionV relativeFrom="paragraph">
                  <wp:posOffset>4849</wp:posOffset>
                </wp:positionV>
                <wp:extent cx="2102428" cy="1271155"/>
                <wp:effectExtent l="12700" t="12700" r="19050" b="12065"/>
                <wp:wrapNone/>
                <wp:docPr id="96" name="Rectángulo redondeado 96"/>
                <wp:cNvGraphicFramePr/>
                <a:graphic xmlns:a="http://schemas.openxmlformats.org/drawingml/2006/main">
                  <a:graphicData uri="http://schemas.microsoft.com/office/word/2010/wordprocessingShape">
                    <wps:wsp>
                      <wps:cNvSpPr/>
                      <wps:spPr>
                        <a:xfrm>
                          <a:off x="0" y="0"/>
                          <a:ext cx="2102428" cy="1271155"/>
                        </a:xfrm>
                        <a:prstGeom prst="roundRect">
                          <a:avLst>
                            <a:gd name="adj" fmla="val 16667"/>
                          </a:avLst>
                        </a:prstGeom>
                        <a:solidFill>
                          <a:schemeClr val="tx2">
                            <a:lumMod val="40000"/>
                            <a:lumOff val="60000"/>
                          </a:schemeClr>
                        </a:solidFill>
                        <a:ln w="25400" cap="flat" cmpd="sng">
                          <a:solidFill>
                            <a:srgbClr val="395E89"/>
                          </a:solidFill>
                          <a:prstDash val="solid"/>
                          <a:round/>
                          <a:headEnd type="none" w="sm" len="sm"/>
                          <a:tailEnd type="none" w="sm" len="sm"/>
                        </a:ln>
                      </wps:spPr>
                      <wps:txbx>
                        <w:txbxContent>
                          <w:p w14:paraId="60EF2E5D"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Las encuestadas indicaron como proveedor de toallas higiénicas:</w:t>
                            </w:r>
                          </w:p>
                          <w:p w14:paraId="52D2864B"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27.8%</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al </w:t>
                            </w:r>
                            <w:r w:rsidRPr="002051CB">
                              <w:rPr>
                                <w:rFonts w:ascii="Century Gothic" w:eastAsia="Century Gothic" w:hAnsi="Century Gothic" w:cs="Century Gothic"/>
                                <w:b/>
                                <w:color w:val="FF0000"/>
                                <w:sz w:val="18"/>
                                <w:szCs w:val="18"/>
                                <w:u w:val="single"/>
                              </w:rPr>
                              <w:t>centro penitenciario</w:t>
                            </w:r>
                          </w:p>
                          <w:p w14:paraId="7176C349"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10.2%</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reportó que </w:t>
                            </w:r>
                            <w:r w:rsidRPr="002051CB">
                              <w:rPr>
                                <w:rFonts w:ascii="Century Gothic" w:eastAsia="Century Gothic" w:hAnsi="Century Gothic" w:cs="Century Gothic"/>
                                <w:b/>
                                <w:color w:val="FF0000"/>
                                <w:sz w:val="18"/>
                                <w:szCs w:val="18"/>
                                <w:u w:val="single"/>
                              </w:rPr>
                              <w:t>no hay quien se las suministre.</w:t>
                            </w:r>
                          </w:p>
                          <w:p w14:paraId="742EB1C4" w14:textId="77777777" w:rsidR="004F3125" w:rsidRPr="002051CB" w:rsidRDefault="004F3125" w:rsidP="004F3125">
                            <w:pPr>
                              <w:jc w:val="center"/>
                              <w:textDirection w:val="btLr"/>
                              <w:rPr>
                                <w:sz w:val="18"/>
                                <w:szCs w:val="18"/>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04143C1" id="Rectángulo redondeado 96" o:spid="_x0000_s1028" style="position:absolute;left:0;text-align:left;margin-left:-54.95pt;margin-top:.4pt;width:165.55pt;height:1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" fillcolor="#8db3e2 [1311]" strokecolor="#395e89" strokeweight="2pt">
                <v:stroke startarrowwidth="narrow" startarrowlength="short" endarrowwidth="narrow" endarrowlength="short"/>
                <v:textbox inset="2.53958mm,1.2694mm,2.53958mm,1.2694mm">
                  <w:txbxContent>
                    <w:p w14:paraId="60EF2E5D"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Las encuestadas indicaron como proveedor de toallas higiénicas:</w:t>
                      </w:r>
                    </w:p>
                    <w:p w14:paraId="52D2864B"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27.8%</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al </w:t>
                      </w:r>
                      <w:r w:rsidRPr="002051CB">
                        <w:rPr>
                          <w:rFonts w:ascii="Century Gothic" w:eastAsia="Century Gothic" w:hAnsi="Century Gothic" w:cs="Century Gothic"/>
                          <w:b/>
                          <w:color w:val="FF0000"/>
                          <w:sz w:val="18"/>
                          <w:szCs w:val="18"/>
                          <w:u w:val="single"/>
                        </w:rPr>
                        <w:t>centro penitenciario</w:t>
                      </w:r>
                    </w:p>
                    <w:p w14:paraId="7176C349" w14:textId="77777777" w:rsidR="004F3125" w:rsidRPr="002051CB" w:rsidRDefault="004F3125" w:rsidP="004F3125">
                      <w:pPr>
                        <w:jc w:val="both"/>
                        <w:textDirection w:val="btLr"/>
                        <w:rPr>
                          <w:sz w:val="18"/>
                          <w:szCs w:val="18"/>
                        </w:rPr>
                      </w:pPr>
                      <w:r w:rsidRPr="002051CB">
                        <w:rPr>
                          <w:rFonts w:ascii="Century Gothic" w:eastAsia="Century Gothic" w:hAnsi="Century Gothic" w:cs="Century Gothic"/>
                          <w:color w:val="000000"/>
                          <w:sz w:val="18"/>
                          <w:szCs w:val="18"/>
                        </w:rPr>
                        <w:t xml:space="preserve">El </w:t>
                      </w:r>
                      <w:r w:rsidRPr="002051CB">
                        <w:rPr>
                          <w:rFonts w:ascii="Century Gothic" w:eastAsia="Century Gothic" w:hAnsi="Century Gothic" w:cs="Century Gothic"/>
                          <w:b/>
                          <w:color w:val="FF0000"/>
                          <w:sz w:val="21"/>
                          <w:szCs w:val="21"/>
                        </w:rPr>
                        <w:t>10.2%</w:t>
                      </w:r>
                      <w:r w:rsidRPr="002051CB">
                        <w:rPr>
                          <w:rFonts w:ascii="Century Gothic" w:eastAsia="Century Gothic" w:hAnsi="Century Gothic" w:cs="Century Gothic"/>
                          <w:color w:val="FF0000"/>
                          <w:sz w:val="21"/>
                          <w:szCs w:val="21"/>
                        </w:rPr>
                        <w:t xml:space="preserve"> </w:t>
                      </w:r>
                      <w:r w:rsidRPr="002051CB">
                        <w:rPr>
                          <w:rFonts w:ascii="Century Gothic" w:eastAsia="Century Gothic" w:hAnsi="Century Gothic" w:cs="Century Gothic"/>
                          <w:color w:val="000000"/>
                          <w:sz w:val="18"/>
                          <w:szCs w:val="18"/>
                        </w:rPr>
                        <w:t xml:space="preserve">reportó que </w:t>
                      </w:r>
                      <w:r w:rsidRPr="002051CB">
                        <w:rPr>
                          <w:rFonts w:ascii="Century Gothic" w:eastAsia="Century Gothic" w:hAnsi="Century Gothic" w:cs="Century Gothic"/>
                          <w:b/>
                          <w:color w:val="FF0000"/>
                          <w:sz w:val="18"/>
                          <w:szCs w:val="18"/>
                          <w:u w:val="single"/>
                        </w:rPr>
                        <w:t>no hay quien se las suministre.</w:t>
                      </w:r>
                    </w:p>
                    <w:p w14:paraId="742EB1C4" w14:textId="77777777" w:rsidR="004F3125" w:rsidRPr="002051CB" w:rsidRDefault="004F3125" w:rsidP="004F3125">
                      <w:pPr>
                        <w:jc w:val="center"/>
                        <w:textDirection w:val="btLr"/>
                        <w:rPr>
                          <w:sz w:val="18"/>
                          <w:szCs w:val="18"/>
                        </w:rPr>
                      </w:pPr>
                    </w:p>
                  </w:txbxContent>
                </v:textbox>
              </v:roundrect>
            </w:pict>
          </mc:Fallback>
        </mc:AlternateContent>
      </w:r>
    </w:p>
    <w:p w14:paraId="5D36AC2F" w14:textId="6B3A0851" w:rsidR="004F3125" w:rsidRPr="002051CB" w:rsidRDefault="004F3125"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14:paraId="5565906C" w14:textId="2DE2BD65" w:rsidR="004F3125" w:rsidRPr="002051CB" w:rsidRDefault="004F3125" w:rsidP="004F3125">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14:paraId="2E3D740A"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w:t>
      </w:r>
    </w:p>
    <w:p w14:paraId="06996EB7"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4739161B" w14:textId="3938DEFC"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Los datos referenciados permiten demostrar que es el kit de higiene menstrual suministrado, es insuficiente para el período de tiempo correspondiente (4 meses), omisión que deben soportar hoy en Colombia más de 6 mil mujeres, de las cuales el 29.4% ostentan la condición de sindicadas, es decir, ni siquiera tienen su situación jurídica definida, y si bien se podría afirmar que ellas cuentan con otras fuentes de acceso a estos productos, como lo son las encomiendas remitidas por familiares o donaciones, es el Estado quien debe desplegar todas las acciones para garantizar los mandatos establecidos en el artículo 13 inciso 2 en concordancia con el artículo 43 de la Constitución Política, como quiera que resulta contrario a toda lógica, que adicional a la carga de haber perdido su libertad se les imponga la carga económica a ellas o a sus familias de adquirir los productos de higiene menstrual, cuando el estatus socioeconómico de la gran mayoría es bajo y así lo confirma la Pontificia Universidad Javeriana</w:t>
      </w:r>
      <w:r w:rsidRPr="002051CB">
        <w:rPr>
          <w:rFonts w:ascii="Century Gothic" w:eastAsia="Century Gothic" w:hAnsi="Century Gothic" w:cs="Century Gothic"/>
          <w:sz w:val="22"/>
          <w:szCs w:val="22"/>
          <w:vertAlign w:val="superscript"/>
        </w:rPr>
        <w:footnoteReference w:id="29"/>
      </w:r>
      <w:r w:rsidRPr="002051CB">
        <w:rPr>
          <w:rFonts w:ascii="Century Gothic" w:eastAsia="Century Gothic" w:hAnsi="Century Gothic" w:cs="Century Gothic"/>
          <w:sz w:val="22"/>
          <w:szCs w:val="22"/>
        </w:rPr>
        <w:t>:</w:t>
      </w:r>
    </w:p>
    <w:p w14:paraId="55CF3333" w14:textId="77777777" w:rsidR="00483D54" w:rsidRPr="002051CB" w:rsidRDefault="00483D54" w:rsidP="004F3125">
      <w:pPr>
        <w:spacing w:line="276" w:lineRule="auto"/>
        <w:jc w:val="both"/>
        <w:rPr>
          <w:rFonts w:ascii="Century Gothic" w:eastAsia="Century Gothic" w:hAnsi="Century Gothic" w:cs="Century Gothic"/>
          <w:sz w:val="22"/>
          <w:szCs w:val="22"/>
        </w:rPr>
      </w:pPr>
    </w:p>
    <w:p w14:paraId="7411E96A" w14:textId="60D16FD1" w:rsidR="004F3125" w:rsidRPr="002051CB" w:rsidRDefault="004F3125" w:rsidP="004F3125">
      <w:pPr>
        <w:pBdr>
          <w:top w:val="nil"/>
          <w:left w:val="nil"/>
          <w:bottom w:val="nil"/>
          <w:right w:val="nil"/>
          <w:between w:val="nil"/>
        </w:pBdr>
        <w:ind w:left="284" w:right="276"/>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i/>
          <w:color w:val="000000"/>
          <w:sz w:val="22"/>
          <w:szCs w:val="22"/>
        </w:rPr>
        <w:t xml:space="preserve">La mayoría de las mujeres privadas de la libertad en Colombia cumplen con el siguiente perfil: se encuentran en edad productiva y reproductiva, se </w:t>
      </w:r>
      <w:r w:rsidRPr="002051CB">
        <w:rPr>
          <w:rFonts w:ascii="Century Gothic" w:eastAsia="Century Gothic" w:hAnsi="Century Gothic" w:cs="Century Gothic"/>
          <w:i/>
          <w:color w:val="000000"/>
          <w:sz w:val="22"/>
          <w:szCs w:val="22"/>
        </w:rPr>
        <w:lastRenderedPageBreak/>
        <w:t xml:space="preserve">identifican como heterosexuales, son solteras </w:t>
      </w:r>
      <w:r w:rsidRPr="002051CB">
        <w:rPr>
          <w:rFonts w:ascii="Century Gothic" w:eastAsia="Century Gothic" w:hAnsi="Century Gothic" w:cs="Century Gothic"/>
          <w:b/>
          <w:i/>
          <w:color w:val="000000"/>
          <w:sz w:val="22"/>
          <w:szCs w:val="22"/>
          <w:u w:val="single"/>
        </w:rPr>
        <w:t>y pertenecen a estratos socioeconómicos bajos</w:t>
      </w:r>
      <w:r w:rsidRPr="002051CB">
        <w:rPr>
          <w:rFonts w:ascii="Century Gothic" w:eastAsia="Century Gothic" w:hAnsi="Century Gothic" w:cs="Century Gothic"/>
          <w:i/>
          <w:color w:val="000000"/>
          <w:sz w:val="22"/>
          <w:szCs w:val="22"/>
        </w:rPr>
        <w:t xml:space="preserve">. </w:t>
      </w:r>
      <w:r w:rsidRPr="002051CB">
        <w:rPr>
          <w:rFonts w:ascii="Century Gothic" w:eastAsia="Century Gothic" w:hAnsi="Century Gothic" w:cs="Century Gothic"/>
          <w:b/>
          <w:i/>
          <w:color w:val="000000"/>
          <w:sz w:val="22"/>
          <w:szCs w:val="22"/>
          <w:u w:val="single"/>
        </w:rPr>
        <w:t>Antes de su detención, los ingresos mensuales del hogar de un alto porcentaje de estas mujeres eran inferiores a dos salarios mínimos mensuales legales vigentes (s.m.m.l.v.). La mayoría de estas mujeres eran cabeza de familia (…) es decir, tenía la responsabilidad económica exclusiva del hogar.</w:t>
      </w:r>
      <w:r w:rsidRPr="002051CB">
        <w:rPr>
          <w:rFonts w:ascii="Century Gothic" w:eastAsia="Century Gothic" w:hAnsi="Century Gothic" w:cs="Century Gothic"/>
          <w:i/>
          <w:color w:val="000000"/>
          <w:sz w:val="22"/>
          <w:szCs w:val="22"/>
        </w:rPr>
        <w:t xml:space="preserve"> Debido a su bajo nivel de escolaridad, estas mujeres se encuentran en condición de acceder a trabajos precarios. </w:t>
      </w:r>
      <w:r w:rsidRPr="002051CB">
        <w:rPr>
          <w:rFonts w:ascii="Century Gothic" w:eastAsia="Century Gothic" w:hAnsi="Century Gothic" w:cs="Century Gothic"/>
          <w:color w:val="000000"/>
          <w:sz w:val="22"/>
          <w:szCs w:val="22"/>
        </w:rPr>
        <w:t>(Negrilla y subrayado fuera del texto)</w:t>
      </w:r>
    </w:p>
    <w:p w14:paraId="5DBB97DD" w14:textId="77777777" w:rsidR="00483D54" w:rsidRPr="002051CB" w:rsidRDefault="00483D54" w:rsidP="004F3125">
      <w:pPr>
        <w:pBdr>
          <w:top w:val="nil"/>
          <w:left w:val="nil"/>
          <w:bottom w:val="nil"/>
          <w:right w:val="nil"/>
          <w:between w:val="nil"/>
        </w:pBdr>
        <w:ind w:left="284" w:right="276"/>
        <w:jc w:val="both"/>
        <w:rPr>
          <w:rFonts w:ascii="Century Gothic" w:eastAsia="Century Gothic" w:hAnsi="Century Gothic" w:cs="Century Gothic"/>
          <w:color w:val="000000"/>
          <w:sz w:val="22"/>
          <w:szCs w:val="22"/>
        </w:rPr>
      </w:pPr>
    </w:p>
    <w:p w14:paraId="6E347F04" w14:textId="7D457A7D"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Adicionalmente es importante señalar que “en promedio un paquete de toallas higiénicas contiene 10 unidades y su costo e</w:t>
      </w:r>
      <w:r w:rsidR="00791330">
        <w:rPr>
          <w:rFonts w:ascii="Century Gothic" w:eastAsia="Century Gothic" w:hAnsi="Century Gothic" w:cs="Century Gothic"/>
          <w:sz w:val="22"/>
          <w:szCs w:val="22"/>
        </w:rPr>
        <w:t xml:space="preserve">s de alrededor de </w:t>
      </w:r>
      <w:r w:rsidRPr="002051CB">
        <w:rPr>
          <w:rFonts w:ascii="Century Gothic" w:eastAsia="Century Gothic" w:hAnsi="Century Gothic" w:cs="Century Gothic"/>
          <w:sz w:val="22"/>
          <w:szCs w:val="22"/>
        </w:rPr>
        <w:t>3.700 pesos colombianos, esto significa que en un año una mujer gasta</w:t>
      </w:r>
      <w:r w:rsidR="00791330">
        <w:rPr>
          <w:rFonts w:ascii="Century Gothic" w:eastAsia="Century Gothic" w:hAnsi="Century Gothic" w:cs="Century Gothic"/>
          <w:sz w:val="22"/>
          <w:szCs w:val="22"/>
        </w:rPr>
        <w:t xml:space="preserve"> aproximadamente</w:t>
      </w:r>
      <w:r w:rsidRPr="002051CB">
        <w:rPr>
          <w:rFonts w:ascii="Century Gothic" w:eastAsia="Century Gothic" w:hAnsi="Century Gothic" w:cs="Century Gothic"/>
          <w:sz w:val="22"/>
          <w:szCs w:val="22"/>
        </w:rPr>
        <w:t xml:space="preserve"> 44.400 pesos en este producto”</w:t>
      </w:r>
      <w:r w:rsidRPr="002051CB">
        <w:rPr>
          <w:rFonts w:ascii="Century Gothic" w:hAnsi="Century Gothic"/>
          <w:sz w:val="22"/>
          <w:szCs w:val="22"/>
          <w:vertAlign w:val="superscript"/>
        </w:rPr>
        <w:footnoteReference w:id="30"/>
      </w:r>
      <w:r w:rsidRPr="002051CB">
        <w:rPr>
          <w:rFonts w:ascii="Century Gothic" w:hAnsi="Century Gothic"/>
          <w:sz w:val="22"/>
          <w:szCs w:val="22"/>
        </w:rPr>
        <w:t>,</w:t>
      </w:r>
      <w:r w:rsidRPr="002051CB">
        <w:rPr>
          <w:rFonts w:ascii="Century Gothic" w:eastAsia="Century Gothic" w:hAnsi="Century Gothic" w:cs="Century Gothic"/>
          <w:sz w:val="22"/>
          <w:szCs w:val="22"/>
        </w:rPr>
        <w:t xml:space="preserve"> dato que permite colegir que una mujer privada de la libertad en Colombia, al quedar 6 meses al año sin provisión de productos de higiene menstrual, tendrá que asumir la carga económica en promedio de $22.200 de pesos, no obstante, se debe precisar que el número de toallas higiénicas que una mujer utiliza en su ciclo menstrual depende de si existe un sangrado abundante o por el contrario, el sangrado es menos intenso, de ello dependerá la carga económica que deba asumir, y así lo ha precisado la Federación Internacional de Ginecología y Obstetricia (FIGO)</w:t>
      </w:r>
      <w:r w:rsidRPr="002051CB">
        <w:rPr>
          <w:rFonts w:ascii="Century Gothic" w:hAnsi="Century Gothic"/>
          <w:sz w:val="22"/>
          <w:szCs w:val="22"/>
          <w:vertAlign w:val="superscript"/>
        </w:rPr>
        <w:footnoteReference w:id="31"/>
      </w:r>
      <w:r w:rsidRPr="002051CB">
        <w:rPr>
          <w:rFonts w:ascii="Century Gothic" w:hAnsi="Century Gothic"/>
          <w:sz w:val="22"/>
          <w:szCs w:val="22"/>
        </w:rPr>
        <w:t>:</w:t>
      </w:r>
    </w:p>
    <w:p w14:paraId="6EF9B1DD" w14:textId="77777777" w:rsidR="004F3125" w:rsidRPr="002051CB" w:rsidRDefault="004F3125" w:rsidP="004F3125">
      <w:pPr>
        <w:spacing w:line="276" w:lineRule="auto"/>
        <w:jc w:val="both"/>
        <w:rPr>
          <w:rFonts w:ascii="Century Gothic" w:hAnsi="Century Gothic"/>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31"/>
        <w:gridCol w:w="3044"/>
        <w:gridCol w:w="3653"/>
      </w:tblGrid>
      <w:tr w:rsidR="004F3125" w:rsidRPr="002051CB" w14:paraId="21F8EB79" w14:textId="77777777" w:rsidTr="004F3125">
        <w:tc>
          <w:tcPr>
            <w:tcW w:w="1207" w:type="pct"/>
          </w:tcPr>
          <w:p w14:paraId="7C295D66" w14:textId="77777777" w:rsidR="004F3125" w:rsidRPr="002051CB" w:rsidRDefault="004F3125" w:rsidP="00605126">
            <w:pPr>
              <w:jc w:val="center"/>
              <w:rPr>
                <w:rFonts w:ascii="Century Gothic" w:eastAsia="Century Gothic" w:hAnsi="Century Gothic" w:cs="Century Gothic"/>
                <w:sz w:val="22"/>
                <w:szCs w:val="22"/>
              </w:rPr>
            </w:pPr>
            <w:r w:rsidRPr="002051CB">
              <w:rPr>
                <w:rFonts w:ascii="Century Gothic" w:eastAsia="Century Gothic" w:hAnsi="Century Gothic" w:cs="Century Gothic"/>
                <w:b/>
                <w:sz w:val="22"/>
                <w:szCs w:val="22"/>
              </w:rPr>
              <w:t>Sangrado menstrual abundante</w:t>
            </w:r>
          </w:p>
        </w:tc>
        <w:tc>
          <w:tcPr>
            <w:tcW w:w="1724" w:type="pct"/>
          </w:tcPr>
          <w:p w14:paraId="59F10478" w14:textId="77777777" w:rsidR="004F3125" w:rsidRPr="002051CB" w:rsidRDefault="004F3125" w:rsidP="004F3125">
            <w:pPr>
              <w:numPr>
                <w:ilvl w:val="0"/>
                <w:numId w:val="16"/>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Sangrado mayor de 80 ml.</w:t>
            </w:r>
          </w:p>
          <w:p w14:paraId="0E455786" w14:textId="77777777" w:rsidR="004F3125" w:rsidRPr="002051CB" w:rsidRDefault="004F3125" w:rsidP="004F3125">
            <w:pPr>
              <w:numPr>
                <w:ilvl w:val="0"/>
                <w:numId w:val="16"/>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Duración de siete días o más: el cambio de toallas higiénicas o tampones es de cada dos horas o menos.</w:t>
            </w:r>
          </w:p>
        </w:tc>
        <w:tc>
          <w:tcPr>
            <w:tcW w:w="2069" w:type="pct"/>
          </w:tcPr>
          <w:p w14:paraId="153B60B0" w14:textId="77777777" w:rsidR="004F3125" w:rsidRPr="002051CB" w:rsidRDefault="004F3125" w:rsidP="00605126">
            <w:pPr>
              <w:jc w:val="both"/>
              <w:rPr>
                <w:rFonts w:ascii="Century Gothic" w:eastAsia="Century Gothic" w:hAnsi="Century Gothic" w:cs="Century Gothic"/>
                <w:sz w:val="22"/>
                <w:szCs w:val="22"/>
              </w:rPr>
            </w:pPr>
            <w:r w:rsidRPr="002051CB">
              <w:rPr>
                <w:rFonts w:ascii="Century Gothic" w:eastAsia="Century Gothic" w:hAnsi="Century Gothic" w:cs="Century Gothic"/>
                <w:b/>
                <w:sz w:val="22"/>
                <w:szCs w:val="22"/>
              </w:rPr>
              <w:t>Costo económico de un sangrado menstrual abundante</w:t>
            </w:r>
            <w:r w:rsidRPr="002051CB">
              <w:rPr>
                <w:rFonts w:ascii="Century Gothic" w:eastAsia="Century Gothic" w:hAnsi="Century Gothic" w:cs="Century Gothic"/>
                <w:b/>
                <w:sz w:val="22"/>
                <w:szCs w:val="22"/>
                <w:vertAlign w:val="superscript"/>
              </w:rPr>
              <w:footnoteReference w:id="32"/>
            </w:r>
            <w:r w:rsidRPr="002051CB">
              <w:rPr>
                <w:rFonts w:ascii="Century Gothic" w:eastAsia="Century Gothic" w:hAnsi="Century Gothic" w:cs="Century Gothic"/>
                <w:b/>
                <w:sz w:val="22"/>
                <w:szCs w:val="22"/>
              </w:rPr>
              <w:t xml:space="preserve">: </w:t>
            </w:r>
            <w:r w:rsidRPr="002051CB">
              <w:rPr>
                <w:rFonts w:ascii="Century Gothic" w:eastAsia="Century Gothic" w:hAnsi="Century Gothic" w:cs="Century Gothic"/>
                <w:sz w:val="22"/>
                <w:szCs w:val="22"/>
              </w:rPr>
              <w:t>El cambio de la compresa conllevaría a alrededor de 10 – 12 toallas higiénicas por día, es decir, un costo promedio de 3.700 pesos colombianos diarios, lo cual implica un costo promedio de 25.900-37.000 pesos colombianos por ciclo menstrual.</w:t>
            </w:r>
          </w:p>
        </w:tc>
      </w:tr>
      <w:tr w:rsidR="004F3125" w:rsidRPr="002051CB" w14:paraId="054B720F" w14:textId="77777777" w:rsidTr="004F3125">
        <w:tc>
          <w:tcPr>
            <w:tcW w:w="1207" w:type="pct"/>
          </w:tcPr>
          <w:p w14:paraId="656E48E3" w14:textId="77777777" w:rsidR="004F3125" w:rsidRPr="002051CB" w:rsidRDefault="004F3125" w:rsidP="00605126">
            <w:pPr>
              <w:jc w:val="center"/>
              <w:rPr>
                <w:rFonts w:ascii="Century Gothic" w:eastAsia="Century Gothic" w:hAnsi="Century Gothic" w:cs="Century Gothic"/>
                <w:b/>
                <w:sz w:val="22"/>
                <w:szCs w:val="22"/>
              </w:rPr>
            </w:pPr>
            <w:r w:rsidRPr="002051CB">
              <w:rPr>
                <w:rFonts w:ascii="Century Gothic" w:eastAsia="Century Gothic" w:hAnsi="Century Gothic" w:cs="Century Gothic"/>
                <w:b/>
                <w:sz w:val="22"/>
                <w:szCs w:val="22"/>
              </w:rPr>
              <w:t>Sangrado menstrual menos intenso</w:t>
            </w:r>
          </w:p>
        </w:tc>
        <w:tc>
          <w:tcPr>
            <w:tcW w:w="1724" w:type="pct"/>
          </w:tcPr>
          <w:p w14:paraId="52EF14B0" w14:textId="77777777" w:rsidR="004F3125" w:rsidRPr="002051CB" w:rsidRDefault="004F3125" w:rsidP="004F3125">
            <w:pPr>
              <w:numPr>
                <w:ilvl w:val="0"/>
                <w:numId w:val="17"/>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Sangrado dentro los términos normales, entre 5 a 80 ml,</w:t>
            </w:r>
          </w:p>
          <w:p w14:paraId="38F9972E" w14:textId="77777777" w:rsidR="004F3125" w:rsidRPr="002051CB" w:rsidRDefault="004F3125" w:rsidP="004F3125">
            <w:pPr>
              <w:numPr>
                <w:ilvl w:val="0"/>
                <w:numId w:val="17"/>
              </w:numPr>
              <w:pBdr>
                <w:top w:val="nil"/>
                <w:left w:val="nil"/>
                <w:bottom w:val="nil"/>
                <w:right w:val="nil"/>
                <w:between w:val="nil"/>
              </w:pBdr>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lastRenderedPageBreak/>
              <w:t>Duración entre 5 a 7 días: cambio de compresa cada 4 a 6 horas.</w:t>
            </w:r>
          </w:p>
        </w:tc>
        <w:tc>
          <w:tcPr>
            <w:tcW w:w="2069" w:type="pct"/>
          </w:tcPr>
          <w:p w14:paraId="5A29811F" w14:textId="77777777" w:rsidR="004F3125" w:rsidRPr="002051CB" w:rsidRDefault="004F3125" w:rsidP="00605126">
            <w:pPr>
              <w:jc w:val="both"/>
              <w:rPr>
                <w:rFonts w:ascii="Century Gothic" w:eastAsia="Century Gothic" w:hAnsi="Century Gothic" w:cs="Century Gothic"/>
                <w:sz w:val="22"/>
                <w:szCs w:val="22"/>
              </w:rPr>
            </w:pPr>
            <w:r w:rsidRPr="002051CB">
              <w:rPr>
                <w:rFonts w:ascii="Century Gothic" w:eastAsia="Century Gothic" w:hAnsi="Century Gothic" w:cs="Century Gothic"/>
                <w:b/>
                <w:sz w:val="22"/>
                <w:szCs w:val="22"/>
              </w:rPr>
              <w:lastRenderedPageBreak/>
              <w:t>Costo económico de un sangrado menstrual menos intenso</w:t>
            </w:r>
            <w:r w:rsidRPr="002051CB">
              <w:rPr>
                <w:rFonts w:ascii="Century Gothic" w:eastAsia="Century Gothic" w:hAnsi="Century Gothic" w:cs="Century Gothic"/>
                <w:b/>
                <w:sz w:val="22"/>
                <w:szCs w:val="22"/>
                <w:vertAlign w:val="superscript"/>
              </w:rPr>
              <w:footnoteReference w:id="33"/>
            </w:r>
            <w:r w:rsidRPr="002051CB">
              <w:rPr>
                <w:rFonts w:ascii="Century Gothic" w:eastAsia="Century Gothic" w:hAnsi="Century Gothic" w:cs="Century Gothic"/>
                <w:b/>
                <w:sz w:val="22"/>
                <w:szCs w:val="22"/>
              </w:rPr>
              <w:t>: I</w:t>
            </w:r>
            <w:r w:rsidRPr="002051CB">
              <w:rPr>
                <w:rFonts w:ascii="Century Gothic" w:eastAsia="Century Gothic" w:hAnsi="Century Gothic" w:cs="Century Gothic"/>
                <w:sz w:val="22"/>
                <w:szCs w:val="22"/>
              </w:rPr>
              <w:t xml:space="preserve">ndica que en promedio se utilizarían </w:t>
            </w:r>
            <w:r w:rsidRPr="002051CB">
              <w:rPr>
                <w:rFonts w:ascii="Century Gothic" w:eastAsia="Century Gothic" w:hAnsi="Century Gothic" w:cs="Century Gothic"/>
                <w:sz w:val="22"/>
                <w:szCs w:val="22"/>
              </w:rPr>
              <w:lastRenderedPageBreak/>
              <w:t>alrededor de 4-6 toallas higiénicas por día, es decir, un costo promedio entre 1.480-2.220 pesos colombianos diarios. En este sentido, el costo promedio sería de 7.400-15.540 pesos colombianos por ciclo.</w:t>
            </w:r>
          </w:p>
        </w:tc>
      </w:tr>
    </w:tbl>
    <w:p w14:paraId="3A635D3A" w14:textId="77777777" w:rsidR="004F3125" w:rsidRPr="002051CB" w:rsidRDefault="004F3125" w:rsidP="004F3125">
      <w:pPr>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lastRenderedPageBreak/>
        <w:t>Elaboración propia</w:t>
      </w:r>
    </w:p>
    <w:p w14:paraId="10FC4141" w14:textId="77777777" w:rsidR="004F3125" w:rsidRPr="002051CB" w:rsidRDefault="004F3125" w:rsidP="004F3125">
      <w:pPr>
        <w:jc w:val="center"/>
        <w:rPr>
          <w:rFonts w:ascii="Century Gothic" w:eastAsia="Century Gothic" w:hAnsi="Century Gothic" w:cs="Century Gothic"/>
          <w:sz w:val="22"/>
          <w:szCs w:val="22"/>
        </w:rPr>
      </w:pPr>
    </w:p>
    <w:p w14:paraId="38602385" w14:textId="3215F159"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Además de lo anterior, se debe recordar que el acceso a los productos de higiene menstrual </w:t>
      </w:r>
      <w:r w:rsidRPr="002051CB">
        <w:rPr>
          <w:rFonts w:ascii="Century Gothic" w:eastAsia="Century Gothic" w:hAnsi="Century Gothic" w:cs="Century Gothic"/>
          <w:i/>
          <w:sz w:val="22"/>
          <w:szCs w:val="22"/>
        </w:rPr>
        <w:t>“es especialmente importante después del parto, cuando las mujeres sangran los días siguientes al mismo, lo cual se conoce como los “loquios del postparto” y puede durar entre cuatro y seis semanas”</w:t>
      </w:r>
      <w:r w:rsidRPr="002051CB">
        <w:rPr>
          <w:rFonts w:ascii="Century Gothic" w:eastAsia="Century Gothic" w:hAnsi="Century Gothic" w:cs="Century Gothic"/>
          <w:i/>
          <w:sz w:val="22"/>
          <w:szCs w:val="22"/>
          <w:vertAlign w:val="superscript"/>
        </w:rPr>
        <w:footnoteReference w:id="34"/>
      </w:r>
      <w:r w:rsidRPr="002051CB">
        <w:rPr>
          <w:rFonts w:ascii="Century Gothic" w:eastAsia="Century Gothic" w:hAnsi="Century Gothic" w:cs="Century Gothic"/>
          <w:sz w:val="22"/>
          <w:szCs w:val="22"/>
        </w:rPr>
        <w:t>, es decir, que actualmente 4</w:t>
      </w:r>
      <w:r w:rsidR="00374426">
        <w:rPr>
          <w:rFonts w:ascii="Century Gothic" w:eastAsia="Century Gothic" w:hAnsi="Century Gothic" w:cs="Century Gothic"/>
          <w:sz w:val="22"/>
          <w:szCs w:val="22"/>
        </w:rPr>
        <w:t>4</w:t>
      </w:r>
      <w:r w:rsidRPr="002051CB">
        <w:rPr>
          <w:rFonts w:ascii="Century Gothic" w:eastAsia="Century Gothic" w:hAnsi="Century Gothic" w:cs="Century Gothic"/>
          <w:sz w:val="22"/>
          <w:szCs w:val="22"/>
        </w:rPr>
        <w:t xml:space="preserve"> mujeres gestantes y 12 mujeres lactantes privadas de la libertad intramuros a nivel nacional</w:t>
      </w:r>
      <w:r w:rsidRPr="002051CB">
        <w:rPr>
          <w:rFonts w:ascii="Century Gothic" w:hAnsi="Century Gothic"/>
          <w:sz w:val="22"/>
          <w:szCs w:val="22"/>
          <w:vertAlign w:val="superscript"/>
        </w:rPr>
        <w:footnoteReference w:id="35"/>
      </w:r>
      <w:r w:rsidRPr="002051CB">
        <w:rPr>
          <w:rFonts w:ascii="Century Gothic" w:eastAsia="Century Gothic" w:hAnsi="Century Gothic" w:cs="Century Gothic"/>
          <w:sz w:val="22"/>
          <w:szCs w:val="22"/>
        </w:rPr>
        <w:t xml:space="preserve">, tendrán que afrontar un sangrado abundante después del parto, teniendo que efectuar el cambio de las toallas higiénicas en promedio cada dos horas o menos, de acuerdo a las recomendaciones de la FIGO, con el fin de evitar afectaciones en su salud, sin embargo, esta es una garantía que la normatividad carcelaria y penitenciaria a obviado, pues en ella no se conciben situaciones excepcionales, como es el caso de las mujeres gestantes o lactantes, teniendo por lo tanto que ser ellas quienes asuman el costo económico de las compresas que requieran. </w:t>
      </w:r>
    </w:p>
    <w:p w14:paraId="5B3F750A"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2C79E4AA" w14:textId="1AD2A8A6" w:rsidR="004F3125"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Por otro lado, a la fecha se encuentran privadas de su libertad en centros de reclusión del país 1</w:t>
      </w:r>
      <w:r w:rsidR="00791330">
        <w:rPr>
          <w:rFonts w:ascii="Century Gothic" w:eastAsia="Century Gothic" w:hAnsi="Century Gothic" w:cs="Century Gothic"/>
          <w:sz w:val="22"/>
          <w:szCs w:val="22"/>
        </w:rPr>
        <w:t>7</w:t>
      </w:r>
      <w:r w:rsidR="001D75DF">
        <w:rPr>
          <w:rFonts w:ascii="Century Gothic" w:eastAsia="Century Gothic" w:hAnsi="Century Gothic" w:cs="Century Gothic"/>
          <w:sz w:val="22"/>
          <w:szCs w:val="22"/>
        </w:rPr>
        <w:t>8</w:t>
      </w:r>
      <w:r w:rsidRPr="002051CB">
        <w:rPr>
          <w:rFonts w:ascii="Century Gothic" w:eastAsia="Century Gothic" w:hAnsi="Century Gothic" w:cs="Century Gothic"/>
          <w:sz w:val="22"/>
          <w:szCs w:val="22"/>
        </w:rPr>
        <w:t xml:space="preserve"> mujeres extranjeras</w:t>
      </w:r>
      <w:r w:rsidRPr="002051CB">
        <w:rPr>
          <w:rFonts w:ascii="Century Gothic" w:eastAsia="Century Gothic" w:hAnsi="Century Gothic" w:cs="Century Gothic"/>
          <w:sz w:val="22"/>
          <w:szCs w:val="22"/>
          <w:vertAlign w:val="superscript"/>
        </w:rPr>
        <w:footnoteReference w:id="36"/>
      </w:r>
      <w:r w:rsidRPr="002051CB">
        <w:rPr>
          <w:rFonts w:ascii="Century Gothic" w:eastAsia="Century Gothic" w:hAnsi="Century Gothic" w:cs="Century Gothic"/>
          <w:sz w:val="22"/>
          <w:szCs w:val="22"/>
        </w:rPr>
        <w:t>, quienes por su condición pueden no tener familiares que les remitan encomiendas o los recursos para adquirirlas, conllevando a que los meses en que no reciben las toallas higiénicas, queden a la voluntad de organizaciones de caridad, y ello en caso de existir donaciones.</w:t>
      </w:r>
    </w:p>
    <w:p w14:paraId="1E9CA1C7" w14:textId="7D19FB07" w:rsidR="001D75DF" w:rsidRDefault="001D75DF" w:rsidP="004F3125">
      <w:pPr>
        <w:spacing w:line="276" w:lineRule="auto"/>
        <w:jc w:val="both"/>
        <w:rPr>
          <w:rFonts w:ascii="Century Gothic" w:eastAsia="Century Gothic" w:hAnsi="Century Gothic" w:cs="Century Gothic"/>
          <w:sz w:val="22"/>
          <w:szCs w:val="22"/>
        </w:rPr>
      </w:pPr>
    </w:p>
    <w:p w14:paraId="68C03A9F" w14:textId="48000361" w:rsidR="001D75DF" w:rsidRPr="002051CB" w:rsidRDefault="004F45B3" w:rsidP="004F3125">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Según el INPEC</w:t>
      </w:r>
      <w:r w:rsidR="001D75DF">
        <w:rPr>
          <w:rFonts w:ascii="Century Gothic" w:eastAsia="Century Gothic" w:hAnsi="Century Gothic" w:cs="Century Gothic"/>
          <w:sz w:val="22"/>
          <w:szCs w:val="22"/>
        </w:rPr>
        <w:t xml:space="preserve"> en la actualidad se encuentran recluidas en centros penitenciarios 2.016 personas pertenecientes a la comunidad LGTBI</w:t>
      </w:r>
      <w:r w:rsidR="001321E7">
        <w:rPr>
          <w:rStyle w:val="Refdenotaalpie"/>
          <w:rFonts w:ascii="Century Gothic" w:eastAsia="Century Gothic" w:hAnsi="Century Gothic" w:cs="Century Gothic"/>
          <w:sz w:val="22"/>
          <w:szCs w:val="22"/>
        </w:rPr>
        <w:footnoteReference w:id="37"/>
      </w:r>
      <w:r>
        <w:rPr>
          <w:rFonts w:ascii="Century Gothic" w:eastAsia="Century Gothic" w:hAnsi="Century Gothic" w:cs="Century Gothic"/>
          <w:sz w:val="22"/>
          <w:szCs w:val="22"/>
        </w:rPr>
        <w:t xml:space="preserve"> de las cuales 200 pertenecen a la comunidad transexual</w:t>
      </w:r>
      <w:r w:rsidR="001D75DF">
        <w:rPr>
          <w:rFonts w:ascii="Century Gothic" w:eastAsia="Century Gothic" w:hAnsi="Century Gothic" w:cs="Century Gothic"/>
          <w:sz w:val="22"/>
          <w:szCs w:val="22"/>
        </w:rPr>
        <w:t xml:space="preserve">.  </w:t>
      </w:r>
    </w:p>
    <w:p w14:paraId="5B46140A" w14:textId="551F112A" w:rsidR="004F3125" w:rsidRPr="002051CB" w:rsidRDefault="004F3125" w:rsidP="004F3125">
      <w:pPr>
        <w:pBdr>
          <w:top w:val="nil"/>
          <w:left w:val="nil"/>
          <w:bottom w:val="nil"/>
          <w:right w:val="nil"/>
          <w:between w:val="nil"/>
        </w:pBdr>
        <w:spacing w:before="280" w:after="280" w:line="276" w:lineRule="auto"/>
        <w:ind w:right="-7"/>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 xml:space="preserve">Así las cosas, el garantizarles a las </w:t>
      </w:r>
      <w:r w:rsidR="001D75DF">
        <w:rPr>
          <w:rFonts w:ascii="Century Gothic" w:eastAsia="Century Gothic" w:hAnsi="Century Gothic" w:cs="Century Gothic"/>
          <w:color w:val="000000"/>
          <w:sz w:val="22"/>
          <w:szCs w:val="22"/>
        </w:rPr>
        <w:t>personas</w:t>
      </w:r>
      <w:r w:rsidRPr="002051CB">
        <w:rPr>
          <w:rFonts w:ascii="Century Gothic" w:eastAsia="Century Gothic" w:hAnsi="Century Gothic" w:cs="Century Gothic"/>
          <w:color w:val="000000"/>
          <w:sz w:val="22"/>
          <w:szCs w:val="22"/>
        </w:rPr>
        <w:t xml:space="preserve"> privadas de la libertad su derecho a llevar adecuadamente una higiene menstrual es una tarea esencial del Estado, en virtud de la relación de especial sujeción que se genera entre el y la interna, la cual </w:t>
      </w:r>
      <w:r w:rsidRPr="002051CB">
        <w:rPr>
          <w:rFonts w:ascii="Century Gothic" w:eastAsia="Century Gothic" w:hAnsi="Century Gothic" w:cs="Century Gothic"/>
          <w:color w:val="000000"/>
          <w:sz w:val="22"/>
          <w:szCs w:val="22"/>
        </w:rPr>
        <w:lastRenderedPageBreak/>
        <w:t>“</w:t>
      </w:r>
      <w:r w:rsidRPr="002051CB">
        <w:rPr>
          <w:rFonts w:ascii="Century Gothic" w:eastAsia="Century Gothic" w:hAnsi="Century Gothic" w:cs="Century Gothic"/>
          <w:i/>
          <w:color w:val="000000"/>
          <w:sz w:val="22"/>
          <w:szCs w:val="22"/>
        </w:rPr>
        <w:t xml:space="preserve">le impone al primero la obligación de dotar a las PPL con implementos que le </w:t>
      </w:r>
      <w:r w:rsidRPr="002051CB">
        <w:rPr>
          <w:rFonts w:ascii="Century Gothic" w:eastAsia="Century Gothic" w:hAnsi="Century Gothic" w:cs="Century Gothic"/>
          <w:b/>
          <w:i/>
          <w:color w:val="000000"/>
          <w:sz w:val="22"/>
          <w:szCs w:val="22"/>
          <w:u w:val="single"/>
        </w:rPr>
        <w:t>permitan llevar su vida cotidiana en forma digna, asegurar su estado de salud y su integridad física</w:t>
      </w:r>
      <w:r w:rsidRPr="002051CB">
        <w:rPr>
          <w:rFonts w:ascii="Century Gothic" w:eastAsia="Century Gothic" w:hAnsi="Century Gothic" w:cs="Century Gothic"/>
          <w:i/>
          <w:color w:val="000000"/>
          <w:sz w:val="22"/>
          <w:szCs w:val="22"/>
        </w:rPr>
        <w:t>”.</w:t>
      </w:r>
      <w:r w:rsidRPr="002051CB">
        <w:rPr>
          <w:rFonts w:ascii="Century Gothic" w:eastAsia="Century Gothic" w:hAnsi="Century Gothic" w:cs="Century Gothic"/>
          <w:i/>
          <w:color w:val="000000"/>
          <w:sz w:val="22"/>
          <w:szCs w:val="22"/>
          <w:vertAlign w:val="superscript"/>
        </w:rPr>
        <w:footnoteReference w:id="38"/>
      </w:r>
      <w:r w:rsidRPr="002051CB">
        <w:rPr>
          <w:rFonts w:ascii="Century Gothic" w:eastAsia="Century Gothic" w:hAnsi="Century Gothic" w:cs="Century Gothic"/>
          <w:color w:val="000000"/>
          <w:sz w:val="22"/>
          <w:szCs w:val="22"/>
        </w:rPr>
        <w:t xml:space="preserve"> (Negrilla y subrayado fuera del texto).</w:t>
      </w:r>
    </w:p>
    <w:p w14:paraId="2A7BAC02"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En consideración a esa obligación del Estado de salvaguardar la salud, resulta necesario indicar que una mala higiene (uso prolongado de las toallas higiénicas, ausencia del lavado de manos al momento de realizar el cambio de las compresas y de limpieza diaria de la zona genital o el no uso de paños húmedos o papel higiénico para mantener limpia la zona intima), puede causar consecuencias adversas para la salud, como lo son el aumento de infecciones urogenitales o infecciones vaginales bacterianas, entre las que se destacan: </w:t>
      </w:r>
    </w:p>
    <w:p w14:paraId="6582A38A" w14:textId="77777777" w:rsidR="004F3125" w:rsidRPr="002051CB" w:rsidRDefault="004F3125" w:rsidP="004F3125">
      <w:pPr>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 xml:space="preserve"> </w:t>
      </w:r>
    </w:p>
    <w:p w14:paraId="5FC8C4AA" w14:textId="77777777" w:rsidR="004F3125" w:rsidRPr="002051CB" w:rsidRDefault="004F3125" w:rsidP="004F3125">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Riesgo al síndrome de choque tóxico</w:t>
      </w:r>
      <w:r w:rsidRPr="002051CB">
        <w:rPr>
          <w:rFonts w:ascii="Century Gothic" w:eastAsia="Century Gothic" w:hAnsi="Century Gothic" w:cs="Century Gothic"/>
          <w:color w:val="000000"/>
          <w:sz w:val="22"/>
          <w:szCs w:val="22"/>
        </w:rPr>
        <w:t>: El síndrome de shock tóxico (SST) es una “enfermedad sistémica aguda, poco frecuente, pero con altos índices de mortalidad y morbilidad”</w:t>
      </w:r>
      <w:r w:rsidRPr="002051CB">
        <w:rPr>
          <w:rFonts w:ascii="Century Gothic" w:eastAsia="Century Gothic" w:hAnsi="Century Gothic" w:cs="Century Gothic"/>
          <w:color w:val="000000"/>
          <w:sz w:val="22"/>
          <w:szCs w:val="22"/>
          <w:vertAlign w:val="superscript"/>
        </w:rPr>
        <w:footnoteReference w:id="39"/>
      </w:r>
      <w:r w:rsidRPr="002051CB">
        <w:rPr>
          <w:rFonts w:ascii="Century Gothic" w:eastAsia="Century Gothic" w:hAnsi="Century Gothic" w:cs="Century Gothic"/>
          <w:color w:val="000000"/>
          <w:sz w:val="22"/>
          <w:szCs w:val="22"/>
        </w:rPr>
        <w:t xml:space="preserve"> causada por exotoxinas de estafilococos o estreptococos.</w:t>
      </w:r>
    </w:p>
    <w:p w14:paraId="342D9E4D" w14:textId="77777777" w:rsidR="004F3125" w:rsidRPr="002051CB" w:rsidRDefault="004F3125" w:rsidP="004F3125">
      <w:pPr>
        <w:pBdr>
          <w:top w:val="nil"/>
          <w:left w:val="nil"/>
          <w:bottom w:val="nil"/>
          <w:right w:val="nil"/>
          <w:between w:val="nil"/>
        </w:pBdr>
        <w:ind w:left="360"/>
        <w:jc w:val="both"/>
        <w:rPr>
          <w:rFonts w:ascii="Century Gothic" w:eastAsia="Century Gothic" w:hAnsi="Century Gothic" w:cs="Century Gothic"/>
          <w:b/>
          <w:color w:val="000000"/>
          <w:sz w:val="22"/>
          <w:szCs w:val="22"/>
        </w:rPr>
      </w:pPr>
    </w:p>
    <w:p w14:paraId="551EC311" w14:textId="77777777" w:rsidR="004F3125" w:rsidRPr="002051CB" w:rsidRDefault="004F3125" w:rsidP="004F3125">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 xml:space="preserve">Shock tóxico por estafilococos: </w:t>
      </w:r>
      <w:r w:rsidRPr="002051CB">
        <w:rPr>
          <w:rFonts w:ascii="Century Gothic" w:eastAsia="Century Gothic" w:hAnsi="Century Gothic" w:cs="Century Gothic"/>
          <w:color w:val="000000"/>
          <w:sz w:val="22"/>
          <w:szCs w:val="22"/>
        </w:rPr>
        <w:t>Las mujeres con colonización vaginal previa por estafilococos y que dejan tampones u otros dispositivos en la vagina, tienen un mayor riesgo de sufrir SST estafilocócico. Aproximadamente un 15% de los casos se produce después del parto o como complicación de infecciones estafilocócicas de heridas quirúrgicas.</w:t>
      </w:r>
      <w:r w:rsidRPr="002051CB">
        <w:rPr>
          <w:rFonts w:ascii="Century Gothic" w:eastAsia="Century Gothic" w:hAnsi="Century Gothic" w:cs="Century Gothic"/>
          <w:color w:val="000000"/>
          <w:sz w:val="22"/>
          <w:szCs w:val="22"/>
          <w:vertAlign w:val="superscript"/>
        </w:rPr>
        <w:footnoteReference w:id="40"/>
      </w:r>
      <w:r w:rsidRPr="002051CB">
        <w:rPr>
          <w:rFonts w:ascii="Century Gothic" w:eastAsia="Century Gothic" w:hAnsi="Century Gothic" w:cs="Century Gothic"/>
          <w:color w:val="000000"/>
          <w:sz w:val="22"/>
          <w:szCs w:val="22"/>
        </w:rPr>
        <w:t xml:space="preserve"> Por lo anterior, los médicos recomiendan que tanto en un ciclo menstrual como en una hemorragia posparto es importante prevenir esta infección, alternando el uso de tampones y toallas higiénicas, cambiándolos en periodos de 4 a 8 horas dependiendo la intensidad del flujo vaginal. </w:t>
      </w:r>
    </w:p>
    <w:p w14:paraId="182E4DE0" w14:textId="77777777" w:rsidR="004F3125" w:rsidRPr="002051CB" w:rsidRDefault="004F3125" w:rsidP="004F3125">
      <w:pPr>
        <w:pBdr>
          <w:top w:val="nil"/>
          <w:left w:val="nil"/>
          <w:bottom w:val="nil"/>
          <w:right w:val="nil"/>
          <w:between w:val="nil"/>
        </w:pBdr>
        <w:ind w:left="360"/>
        <w:jc w:val="both"/>
        <w:rPr>
          <w:rFonts w:ascii="Century Gothic" w:eastAsia="Century Gothic" w:hAnsi="Century Gothic" w:cs="Century Gothic"/>
          <w:b/>
          <w:color w:val="000000"/>
          <w:sz w:val="22"/>
          <w:szCs w:val="22"/>
        </w:rPr>
      </w:pPr>
    </w:p>
    <w:p w14:paraId="436E5707" w14:textId="77777777" w:rsidR="004F3125" w:rsidRPr="002051CB" w:rsidRDefault="004F3125" w:rsidP="004F3125">
      <w:pPr>
        <w:numPr>
          <w:ilvl w:val="0"/>
          <w:numId w:val="1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Vulvovaginitis:</w:t>
      </w:r>
      <w:r w:rsidRPr="002051CB">
        <w:rPr>
          <w:rFonts w:ascii="Century Gothic" w:eastAsia="Century Gothic" w:hAnsi="Century Gothic" w:cs="Century Gothic"/>
          <w:color w:val="000000"/>
          <w:sz w:val="22"/>
          <w:szCs w:val="22"/>
        </w:rPr>
        <w:t xml:space="preserve"> “La vulvovaginitis es la inflamación de la vulva, la vagina o ambas estructuras a la vez. Alrededor del 90% están causadas por cándida, tricomonas o son vaginosis bacterianas”</w:t>
      </w:r>
      <w:r w:rsidRPr="002051CB">
        <w:rPr>
          <w:rFonts w:ascii="Century Gothic" w:eastAsia="Century Gothic" w:hAnsi="Century Gothic" w:cs="Century Gothic"/>
          <w:color w:val="000000"/>
          <w:sz w:val="22"/>
          <w:szCs w:val="22"/>
          <w:vertAlign w:val="superscript"/>
        </w:rPr>
        <w:footnoteReference w:id="41"/>
      </w:r>
      <w:r w:rsidRPr="002051CB">
        <w:rPr>
          <w:rFonts w:ascii="Century Gothic" w:eastAsia="Century Gothic" w:hAnsi="Century Gothic" w:cs="Century Gothic"/>
          <w:color w:val="000000"/>
          <w:sz w:val="22"/>
          <w:szCs w:val="22"/>
        </w:rPr>
        <w:t>. Las causas de la vulvovaginitis pueden ser hormonales, infecciones de transmisión sexual o prácticas de higiene deficientes. A su vez, las consecuencias de esta enfermedad son las secreciones vaginales blanquecinas y densas, picazón y ardor en la zona genital y en ocasiones mal olor.</w:t>
      </w:r>
    </w:p>
    <w:p w14:paraId="7B0D7A69" w14:textId="77777777" w:rsidR="004F3125" w:rsidRPr="002051CB" w:rsidRDefault="004F3125" w:rsidP="004F3125">
      <w:pPr>
        <w:pBdr>
          <w:top w:val="nil"/>
          <w:left w:val="nil"/>
          <w:bottom w:val="nil"/>
          <w:right w:val="nil"/>
          <w:between w:val="nil"/>
        </w:pBdr>
        <w:ind w:left="360"/>
        <w:jc w:val="both"/>
        <w:rPr>
          <w:rFonts w:ascii="Century Gothic" w:eastAsia="Century Gothic" w:hAnsi="Century Gothic" w:cs="Century Gothic"/>
          <w:color w:val="000000"/>
          <w:sz w:val="22"/>
          <w:szCs w:val="22"/>
        </w:rPr>
      </w:pPr>
    </w:p>
    <w:p w14:paraId="4F1E0A4D" w14:textId="77777777" w:rsidR="004F3125" w:rsidRPr="002051CB" w:rsidRDefault="004F3125" w:rsidP="004F3125">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Los principales tipos de vulvovaginitis son:</w:t>
      </w:r>
    </w:p>
    <w:p w14:paraId="4E7E0510" w14:textId="77777777" w:rsidR="004F3125" w:rsidRPr="002051CB" w:rsidRDefault="004F3125" w:rsidP="004F3125">
      <w:pPr>
        <w:pBdr>
          <w:top w:val="nil"/>
          <w:left w:val="nil"/>
          <w:bottom w:val="nil"/>
          <w:right w:val="nil"/>
          <w:between w:val="nil"/>
        </w:pBdr>
        <w:jc w:val="both"/>
        <w:rPr>
          <w:rFonts w:ascii="Century Gothic" w:eastAsia="Century Gothic" w:hAnsi="Century Gothic" w:cs="Century Gothic"/>
          <w:color w:val="000000"/>
          <w:sz w:val="22"/>
          <w:szCs w:val="22"/>
        </w:rPr>
      </w:pPr>
    </w:p>
    <w:p w14:paraId="53950F87" w14:textId="77777777" w:rsidR="004F3125" w:rsidRPr="002051CB" w:rsidRDefault="004F3125" w:rsidP="004F3125">
      <w:pPr>
        <w:numPr>
          <w:ilvl w:val="0"/>
          <w:numId w:val="14"/>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La vaginosis bacteriana:</w:t>
      </w:r>
      <w:r w:rsidRPr="002051CB">
        <w:rPr>
          <w:rFonts w:ascii="Century Gothic" w:eastAsia="Century Gothic" w:hAnsi="Century Gothic" w:cs="Century Gothic"/>
          <w:color w:val="000000"/>
          <w:sz w:val="22"/>
          <w:szCs w:val="22"/>
        </w:rPr>
        <w:t xml:space="preserve"> La vaginosis bacteriana</w:t>
      </w:r>
      <w:r w:rsidRPr="002051CB">
        <w:rPr>
          <w:rFonts w:ascii="Century Gothic" w:eastAsia="Century Gothic" w:hAnsi="Century Gothic" w:cs="Century Gothic"/>
          <w:color w:val="000000"/>
          <w:sz w:val="22"/>
          <w:szCs w:val="22"/>
          <w:vertAlign w:val="superscript"/>
        </w:rPr>
        <w:footnoteReference w:id="42"/>
      </w:r>
      <w:r w:rsidRPr="002051CB">
        <w:rPr>
          <w:rFonts w:ascii="Century Gothic" w:eastAsia="Century Gothic" w:hAnsi="Century Gothic" w:cs="Century Gothic"/>
          <w:color w:val="000000"/>
          <w:sz w:val="22"/>
          <w:szCs w:val="22"/>
        </w:rPr>
        <w:t xml:space="preserve"> es definida como una afección polimicrobiana producto de la sustitución de los lactobacilos normales en la vagina, generadores de peróxido de hidrógeno, debido a altas concentraciones de bacterias anaerobias. Adicionalmente, esta enfermedad está caracterizada por “un cambio en la flora vaginal”</w:t>
      </w:r>
      <w:r w:rsidRPr="002051CB">
        <w:rPr>
          <w:rFonts w:ascii="Century Gothic" w:eastAsia="Century Gothic" w:hAnsi="Century Gothic" w:cs="Century Gothic"/>
          <w:color w:val="000000"/>
          <w:sz w:val="22"/>
          <w:szCs w:val="22"/>
          <w:vertAlign w:val="superscript"/>
        </w:rPr>
        <w:footnoteReference w:id="43"/>
      </w:r>
      <w:r w:rsidRPr="002051CB">
        <w:rPr>
          <w:rFonts w:ascii="Century Gothic" w:eastAsia="Century Gothic" w:hAnsi="Century Gothic" w:cs="Century Gothic"/>
          <w:color w:val="000000"/>
          <w:sz w:val="22"/>
          <w:szCs w:val="22"/>
        </w:rPr>
        <w:t xml:space="preserve">, que puede derivar en enfermedades con mayores complicaciones como la pérdida del útero, la infertilidad o infección intraamniótica. </w:t>
      </w:r>
    </w:p>
    <w:p w14:paraId="18818A48" w14:textId="77777777" w:rsidR="004F3125" w:rsidRPr="002051CB" w:rsidRDefault="004F3125" w:rsidP="004F3125">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p>
    <w:p w14:paraId="3CA2B6A3" w14:textId="77777777" w:rsidR="004F3125" w:rsidRPr="002051CB" w:rsidRDefault="004F3125" w:rsidP="004F3125">
      <w:pPr>
        <w:numPr>
          <w:ilvl w:val="0"/>
          <w:numId w:val="14"/>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Candidiasis vaginal:</w:t>
      </w:r>
      <w:r w:rsidRPr="002051CB">
        <w:rPr>
          <w:rFonts w:ascii="Century Gothic" w:eastAsia="Century Gothic" w:hAnsi="Century Gothic" w:cs="Century Gothic"/>
          <w:color w:val="000000"/>
          <w:sz w:val="22"/>
          <w:szCs w:val="22"/>
        </w:rPr>
        <w:t xml:space="preserve"> Se define como la “infección ocasionada por hongos del género Cándida”</w:t>
      </w:r>
      <w:r w:rsidRPr="002051CB">
        <w:rPr>
          <w:rFonts w:ascii="Century Gothic" w:eastAsia="Century Gothic" w:hAnsi="Century Gothic" w:cs="Century Gothic"/>
          <w:color w:val="000000"/>
          <w:sz w:val="22"/>
          <w:szCs w:val="22"/>
          <w:vertAlign w:val="superscript"/>
        </w:rPr>
        <w:footnoteReference w:id="44"/>
      </w:r>
      <w:r w:rsidRPr="002051CB">
        <w:rPr>
          <w:rFonts w:ascii="Century Gothic" w:eastAsia="Century Gothic" w:hAnsi="Century Gothic" w:cs="Century Gothic"/>
          <w:color w:val="000000"/>
          <w:sz w:val="22"/>
          <w:szCs w:val="22"/>
        </w:rPr>
        <w:t xml:space="preserve"> y la segunda causa más frecuente de infección en mujeres entre 20 y 45 años, así mismo “la infección se produce por la invasión de cepas colonizantes del tracto gastrointestinal o la piel” y es posible que se transmitan por el contacto directo con algún producto o alimento. Además, existen distintas causas fisiológicas y ambientales que facilitan la permanencia de este hongo en la zona genital ocasionando el enrojecimiento y/o ardor en la piel de la vulva.</w:t>
      </w:r>
    </w:p>
    <w:p w14:paraId="494553D2" w14:textId="77777777" w:rsidR="004F3125" w:rsidRPr="002051CB" w:rsidRDefault="004F3125" w:rsidP="004F3125">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p>
    <w:p w14:paraId="03AD7982" w14:textId="77777777" w:rsidR="004F3125" w:rsidRPr="002051CB" w:rsidRDefault="004F3125" w:rsidP="004F3125">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Según un estudio realizado por estudiantes de la Universidad de Córdoba, sobre los factores de riesgos relacionados a vaginosis bacteriana, aplicado a una muestra de 60 mujeres entre los 18 y 24 años pertenecientes a una institución de educación superior de Montería, encontraron los siguientes resultados con respecto a la menstruación</w:t>
      </w:r>
      <w:r w:rsidRPr="002051CB">
        <w:rPr>
          <w:rFonts w:ascii="Century Gothic" w:eastAsia="Century Gothic" w:hAnsi="Century Gothic" w:cs="Century Gothic"/>
          <w:color w:val="000000"/>
          <w:sz w:val="22"/>
          <w:szCs w:val="22"/>
          <w:vertAlign w:val="superscript"/>
        </w:rPr>
        <w:footnoteReference w:id="45"/>
      </w:r>
      <w:r w:rsidRPr="002051CB">
        <w:rPr>
          <w:rFonts w:ascii="Century Gothic" w:eastAsia="Century Gothic" w:hAnsi="Century Gothic" w:cs="Century Gothic"/>
          <w:color w:val="000000"/>
          <w:sz w:val="22"/>
          <w:szCs w:val="22"/>
        </w:rPr>
        <w:t>:</w:t>
      </w:r>
    </w:p>
    <w:p w14:paraId="311B1804" w14:textId="77777777" w:rsidR="004F3125" w:rsidRPr="002051CB" w:rsidRDefault="004F3125" w:rsidP="004F3125">
      <w:pPr>
        <w:pBdr>
          <w:top w:val="nil"/>
          <w:left w:val="nil"/>
          <w:bottom w:val="nil"/>
          <w:right w:val="nil"/>
          <w:between w:val="nil"/>
        </w:pBdr>
        <w:ind w:left="1080"/>
        <w:jc w:val="both"/>
        <w:rPr>
          <w:rFonts w:ascii="Century Gothic" w:eastAsia="Century Gothic" w:hAnsi="Century Gothic" w:cs="Century Gothic"/>
          <w:color w:val="000000"/>
          <w:sz w:val="22"/>
          <w:szCs w:val="22"/>
        </w:rPr>
      </w:pPr>
    </w:p>
    <w:p w14:paraId="7775163C"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 xml:space="preserve">“La vaginosis bacteriana predomina en aquellas jóvenes que nunca o pocas veces se lavan las manos al cambio de toalla (28%) y en las que nunca o pocas veces se cambian la toalla higiénica cada 4 horas (45%)”. </w:t>
      </w:r>
    </w:p>
    <w:p w14:paraId="61E2F242"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 xml:space="preserve">Al igual que las otras patologías, como la candidiasis en la que predomino en un (20%) en ambos factores (lavado de manos y cambio de compresa) y en la infección mixta en un (3%), el lavarse las manos </w:t>
      </w:r>
      <w:r w:rsidRPr="002051CB">
        <w:rPr>
          <w:rFonts w:ascii="Century Gothic" w:eastAsia="Century Gothic" w:hAnsi="Century Gothic" w:cs="Century Gothic"/>
          <w:color w:val="000000"/>
          <w:sz w:val="22"/>
          <w:szCs w:val="22"/>
        </w:rPr>
        <w:lastRenderedPageBreak/>
        <w:t>puede hacer la diferencia en un (5%) para evitar la aparición de la vaginosis y de otras patologías como la candidiasis, y el realizar un cambio de toalla higiénica cada 4 horas disminuye el riesgo de adquirir vaginosis bacteriana.</w:t>
      </w:r>
    </w:p>
    <w:p w14:paraId="5A74AE8F"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“Las jóvenes que siempre o con frecuencia realizan el cambio de toalla higiénica solo dos veces al día (51%), presentan una distribución de morbilidad de (27%) para vaginosis bacteriana, (12%) de candidiasis, (2%) de infección mixta y resultados negativos de (10%)”. A su vez, aquellas que nunca o pocas veces lo hacen (48%) presentan una distribución de morbilidad en un (25%) para vaginosis bacteriana, (12%) candidiasis y (3%) infección mixta.</w:t>
      </w:r>
    </w:p>
    <w:p w14:paraId="495982F5" w14:textId="77777777" w:rsidR="004F3125" w:rsidRPr="002051CB" w:rsidRDefault="004F3125" w:rsidP="004F3125">
      <w:pPr>
        <w:numPr>
          <w:ilvl w:val="0"/>
          <w:numId w:val="1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color w:val="000000"/>
          <w:sz w:val="22"/>
          <w:szCs w:val="22"/>
        </w:rPr>
        <w:t>“Se encontró que la ocurrencia de flujo vaginal recurrente era mayor en aquellas adolescentes que se quedaban más tiempo con la toalla higiénica que en aquellas que la cambiaban con mayor frecuencia”.</w:t>
      </w:r>
    </w:p>
    <w:p w14:paraId="0A01D723" w14:textId="77777777" w:rsidR="004F3125" w:rsidRPr="002051CB" w:rsidRDefault="004F3125" w:rsidP="004F3125">
      <w:pPr>
        <w:pBdr>
          <w:top w:val="nil"/>
          <w:left w:val="nil"/>
          <w:bottom w:val="nil"/>
          <w:right w:val="nil"/>
          <w:between w:val="nil"/>
        </w:pBdr>
        <w:jc w:val="both"/>
        <w:rPr>
          <w:rFonts w:ascii="Century Gothic" w:eastAsia="Century Gothic" w:hAnsi="Century Gothic" w:cs="Century Gothic"/>
          <w:color w:val="000000"/>
          <w:sz w:val="22"/>
          <w:szCs w:val="22"/>
        </w:rPr>
      </w:pPr>
    </w:p>
    <w:p w14:paraId="03A6FCEF" w14:textId="77777777" w:rsidR="004F3125" w:rsidRPr="002051CB" w:rsidRDefault="004F3125" w:rsidP="004F3125">
      <w:pPr>
        <w:numPr>
          <w:ilvl w:val="0"/>
          <w:numId w:val="12"/>
        </w:numPr>
        <w:pBdr>
          <w:top w:val="nil"/>
          <w:left w:val="nil"/>
          <w:bottom w:val="nil"/>
          <w:right w:val="nil"/>
          <w:between w:val="nil"/>
        </w:pBdr>
        <w:spacing w:after="160" w:line="276" w:lineRule="auto"/>
        <w:jc w:val="both"/>
        <w:rPr>
          <w:rFonts w:ascii="Century Gothic" w:eastAsia="Century Gothic" w:hAnsi="Century Gothic" w:cs="Century Gothic"/>
          <w:color w:val="000000"/>
          <w:sz w:val="22"/>
          <w:szCs w:val="22"/>
        </w:rPr>
      </w:pPr>
      <w:r w:rsidRPr="002051CB">
        <w:rPr>
          <w:rFonts w:ascii="Century Gothic" w:eastAsia="Century Gothic" w:hAnsi="Century Gothic" w:cs="Century Gothic"/>
          <w:b/>
          <w:color w:val="000000"/>
          <w:sz w:val="22"/>
          <w:szCs w:val="22"/>
        </w:rPr>
        <w:t xml:space="preserve">Enfermedad inflamatoria pélvica: </w:t>
      </w:r>
      <w:r w:rsidRPr="002051CB">
        <w:rPr>
          <w:rFonts w:ascii="Century Gothic" w:eastAsia="Century Gothic" w:hAnsi="Century Gothic" w:cs="Century Gothic"/>
          <w:color w:val="000000"/>
          <w:sz w:val="22"/>
          <w:szCs w:val="22"/>
        </w:rPr>
        <w:t>Es definida como</w:t>
      </w:r>
      <w:r w:rsidRPr="002051CB">
        <w:rPr>
          <w:rFonts w:ascii="Century Gothic" w:eastAsia="Century Gothic" w:hAnsi="Century Gothic" w:cs="Century Gothic"/>
          <w:b/>
          <w:color w:val="000000"/>
          <w:sz w:val="22"/>
          <w:szCs w:val="22"/>
        </w:rPr>
        <w:t xml:space="preserve"> “</w:t>
      </w:r>
      <w:r w:rsidRPr="002051CB">
        <w:rPr>
          <w:rFonts w:ascii="Century Gothic" w:eastAsia="Century Gothic" w:hAnsi="Century Gothic" w:cs="Century Gothic"/>
          <w:color w:val="000000"/>
          <w:sz w:val="22"/>
          <w:szCs w:val="22"/>
        </w:rPr>
        <w:t>el conjunto de alteraciones inflamatorias de tracto genital femenino que incluyen: endometritis, salpingitis, absceso tubo-ovárico y peritonitis pelviana. Estas alteraciones se producen por el ascenso de microorganismos desde el cérvix hacia el interior”</w:t>
      </w:r>
      <w:r w:rsidRPr="002051CB">
        <w:rPr>
          <w:rFonts w:ascii="Century Gothic" w:eastAsia="Century Gothic" w:hAnsi="Century Gothic" w:cs="Century Gothic"/>
          <w:color w:val="000000"/>
          <w:sz w:val="22"/>
          <w:szCs w:val="22"/>
          <w:vertAlign w:val="superscript"/>
        </w:rPr>
        <w:footnoteReference w:id="46"/>
      </w:r>
      <w:r w:rsidRPr="002051CB">
        <w:rPr>
          <w:rFonts w:ascii="Century Gothic" w:eastAsia="Century Gothic" w:hAnsi="Century Gothic" w:cs="Century Gothic"/>
          <w:color w:val="000000"/>
          <w:sz w:val="22"/>
          <w:szCs w:val="22"/>
        </w:rPr>
        <w:t>. Las causas de esta enfermedad pueden variar, sin embargo, gran parte de las infecciones son causadas por la acumulación de bacterias que viajan de la vagina o cuello uterino hasta el útero y pueden producir fiebre, dolor en la parte baja del abdomen, secreción vaginal con mal olor y hemorragia irregular.</w:t>
      </w:r>
    </w:p>
    <w:p w14:paraId="38421E8A" w14:textId="77777777" w:rsidR="004F3125" w:rsidRPr="002051CB" w:rsidRDefault="004F3125" w:rsidP="004F3125">
      <w:pPr>
        <w:jc w:val="both"/>
        <w:rPr>
          <w:rFonts w:ascii="Century Gothic" w:eastAsia="Century Gothic" w:hAnsi="Century Gothic" w:cs="Century Gothic"/>
          <w:sz w:val="22"/>
          <w:szCs w:val="22"/>
        </w:rPr>
      </w:pPr>
    </w:p>
    <w:p w14:paraId="5B9A5312"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En consideración a estas graves afectaciones en la salud, que se pueden presentar en las mujeres por una mala higiene o aquellas de otra naturaleza como el cáncer de cuello de útero, las cuales pueden propiciar hemorragias o sangrados vaginales anormales, es decir, la necesidad de una mayor cantidad de productos de higiene menstrual, resulta preocupante que los encargados de la salud de las reclusas</w:t>
      </w:r>
      <w:r w:rsidRPr="002051CB">
        <w:rPr>
          <w:rFonts w:ascii="Century Gothic" w:eastAsia="Century Gothic" w:hAnsi="Century Gothic" w:cs="Century Gothic"/>
          <w:sz w:val="22"/>
          <w:szCs w:val="22"/>
          <w:vertAlign w:val="superscript"/>
        </w:rPr>
        <w:footnoteReference w:id="47"/>
      </w:r>
      <w:r w:rsidRPr="002051CB">
        <w:rPr>
          <w:rFonts w:ascii="Century Gothic" w:eastAsia="Century Gothic" w:hAnsi="Century Gothic" w:cs="Century Gothic"/>
          <w:sz w:val="22"/>
          <w:szCs w:val="22"/>
        </w:rPr>
        <w:t xml:space="preserve"> desconozcan, cuántas de las mujeres privadas de la libertad presentan alguna patología clínica que exija el suministro en una mayor cantidad de estos productos, omisión que acredita aún más la necesidad de materializar el enfoque de género en los establecimiento de reclusión, por cuanto de nada sirve que se haya normativizado hace siete años (Ley 1709 de 2014), sino se pone en practica por parte de las autoridades, por lo menos mediante la consolidación de estadísticas claras sobre este género. </w:t>
      </w:r>
    </w:p>
    <w:p w14:paraId="4A71C98E"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0A4E3BA2"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Bajo esta línea de ideas, resulta significativo recordar lo manifestado la OMS, a partir del estudio “Patterns and perceptions of menstruation: a World Health Organization international collaborative study in Egypt, India, Indonesia, Jamaica, México, Pakistan, Philippines, Republic of Korea, United Kingdom and Yugoslavia”, realizado en 10 países, quien subrayó que</w:t>
      </w:r>
      <w:r w:rsidRPr="002051CB">
        <w:rPr>
          <w:rFonts w:ascii="Century Gothic" w:eastAsia="Century Gothic" w:hAnsi="Century Gothic" w:cs="Century Gothic"/>
          <w:sz w:val="22"/>
          <w:szCs w:val="22"/>
          <w:vertAlign w:val="superscript"/>
        </w:rPr>
        <w:footnoteReference w:id="48"/>
      </w:r>
      <w:r w:rsidRPr="002051CB">
        <w:rPr>
          <w:rFonts w:ascii="Century Gothic" w:eastAsia="Century Gothic" w:hAnsi="Century Gothic" w:cs="Century Gothic"/>
          <w:sz w:val="22"/>
          <w:szCs w:val="22"/>
        </w:rPr>
        <w:t>:</w:t>
      </w:r>
    </w:p>
    <w:p w14:paraId="765270AB" w14:textId="77777777" w:rsidR="004F3125" w:rsidRPr="002051CB" w:rsidRDefault="004F3125" w:rsidP="004F3125">
      <w:pPr>
        <w:spacing w:line="276" w:lineRule="auto"/>
        <w:jc w:val="both"/>
        <w:rPr>
          <w:rFonts w:ascii="Century Gothic" w:eastAsia="Century Gothic" w:hAnsi="Century Gothic" w:cs="Century Gothic"/>
          <w:sz w:val="22"/>
          <w:szCs w:val="22"/>
        </w:rPr>
      </w:pPr>
    </w:p>
    <w:p w14:paraId="53B94083" w14:textId="77777777" w:rsidR="004F3125" w:rsidRPr="002051CB" w:rsidRDefault="004F3125" w:rsidP="004F3125">
      <w:pPr>
        <w:spacing w:line="276" w:lineRule="auto"/>
        <w:ind w:left="284" w:right="276"/>
        <w:jc w:val="both"/>
        <w:rPr>
          <w:rFonts w:ascii="Century Gothic" w:eastAsia="Century Gothic" w:hAnsi="Century Gothic" w:cs="Century Gothic"/>
          <w:sz w:val="22"/>
          <w:szCs w:val="22"/>
        </w:rPr>
      </w:pPr>
      <w:r w:rsidRPr="002051CB">
        <w:rPr>
          <w:rFonts w:ascii="Century Gothic" w:eastAsia="Century Gothic" w:hAnsi="Century Gothic" w:cs="Century Gothic"/>
          <w:i/>
          <w:sz w:val="22"/>
          <w:szCs w:val="22"/>
        </w:rPr>
        <w:t xml:space="preserve">“(…)  la menstruación continúa siendo causa de vergüenza y estigma y exclusión social y que, sumado  a  la  falta  de  acción  por  parte  de  los  estados,  </w:t>
      </w:r>
      <w:r w:rsidRPr="002051CB">
        <w:rPr>
          <w:rFonts w:ascii="Century Gothic" w:eastAsia="Century Gothic" w:hAnsi="Century Gothic" w:cs="Century Gothic"/>
          <w:b/>
          <w:i/>
          <w:sz w:val="22"/>
          <w:szCs w:val="22"/>
          <w:u w:val="single"/>
        </w:rPr>
        <w:t>pone  en  riesgo  la  salud  de  gran  parte  de  la  población  dado  que  la  falta  de  medios  e  información  para  manejar  y  correctamente  la  menstruación  puede  resultar  en  infecciones,  daños  a  la  salud  mental  a  largo  plazo  y  embarazos  no  deseados.  También  lleva  a  que  se  repliquen  prácticas  menstruales  antihigiénicas  (como  el  uso  de  paños  viejos  o  desgastados  o  trapos  que  no  son  correctamente  esterilizados  o  el  no  recambio  de  los  materiales  de  gestión  menstrual  con  la  regularidad  requerida),  lo  que  puede  llevar  a  riesgosas  infecciones  (como  el  síndrome  de  shock  tóxico)  o  causar  infecciones  del  tracto  urinario,  problemas  de  salud  reproductiva,  infertilidad  e  inclusive  la  muerte.¨</w:t>
      </w:r>
      <w:r w:rsidRPr="002051CB">
        <w:rPr>
          <w:rFonts w:ascii="Century Gothic" w:eastAsia="Century Gothic" w:hAnsi="Century Gothic" w:cs="Century Gothic"/>
          <w:sz w:val="22"/>
          <w:szCs w:val="22"/>
        </w:rPr>
        <w:t xml:space="preserve"> (Negrilla y subrayado por fuera del texto)</w:t>
      </w:r>
    </w:p>
    <w:p w14:paraId="04ECCD1E" w14:textId="77777777" w:rsidR="004F3125" w:rsidRPr="002051CB" w:rsidRDefault="004F3125" w:rsidP="004F3125">
      <w:pPr>
        <w:spacing w:line="276" w:lineRule="auto"/>
        <w:ind w:left="284" w:right="276"/>
        <w:jc w:val="both"/>
        <w:rPr>
          <w:rFonts w:ascii="Century Gothic" w:eastAsia="Century Gothic" w:hAnsi="Century Gothic" w:cs="Century Gothic"/>
          <w:b/>
          <w:i/>
          <w:sz w:val="22"/>
          <w:szCs w:val="22"/>
          <w:u w:val="single"/>
        </w:rPr>
      </w:pPr>
    </w:p>
    <w:p w14:paraId="0B859E1E" w14:textId="5B944C7D" w:rsidR="004F3125" w:rsidRPr="002051CB" w:rsidRDefault="00E94F6F"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S</w:t>
      </w:r>
      <w:r w:rsidR="004F3125" w:rsidRPr="002051CB">
        <w:rPr>
          <w:rFonts w:ascii="Century Gothic" w:eastAsia="Century Gothic" w:hAnsi="Century Gothic" w:cs="Century Gothic"/>
          <w:sz w:val="22"/>
          <w:szCs w:val="22"/>
        </w:rPr>
        <w:t>i bien</w:t>
      </w:r>
      <w:r w:rsidRPr="002051CB">
        <w:rPr>
          <w:rFonts w:ascii="Century Gothic" w:eastAsia="Century Gothic" w:hAnsi="Century Gothic" w:cs="Century Gothic"/>
          <w:sz w:val="22"/>
          <w:szCs w:val="22"/>
        </w:rPr>
        <w:t xml:space="preserve"> el estudio enunciado</w:t>
      </w:r>
      <w:r w:rsidR="004F3125" w:rsidRPr="002051CB">
        <w:rPr>
          <w:rFonts w:ascii="Century Gothic" w:eastAsia="Century Gothic" w:hAnsi="Century Gothic" w:cs="Century Gothic"/>
          <w:sz w:val="22"/>
          <w:szCs w:val="22"/>
        </w:rPr>
        <w:t xml:space="preserve"> no tuvo como país de análisis a Colombia, sin lugar a dudas las prácticas  menstruales  antihigiénica</w:t>
      </w:r>
      <w:r w:rsidRPr="002051CB">
        <w:rPr>
          <w:rFonts w:ascii="Century Gothic" w:eastAsia="Century Gothic" w:hAnsi="Century Gothic" w:cs="Century Gothic"/>
          <w:sz w:val="22"/>
          <w:szCs w:val="22"/>
        </w:rPr>
        <w:t>s</w:t>
      </w:r>
      <w:r w:rsidR="004F3125" w:rsidRPr="002051CB">
        <w:rPr>
          <w:rFonts w:ascii="Century Gothic" w:eastAsia="Century Gothic" w:hAnsi="Century Gothic" w:cs="Century Gothic"/>
          <w:sz w:val="22"/>
          <w:szCs w:val="22"/>
        </w:rPr>
        <w:t xml:space="preserve"> reseñadas, se presentan en las cárceles del país, donde un gran número de mujeres tienen que menstruar en muchas ocasiones su ropa o improvisar toallas higiénicas con “trapos viejos”, al no contar con los elementos suficientes durante todo su ciclo menstrual, lo cual propicia una afectación en su autoestima, al no poder interrelacionarse con sus compañeras.  </w:t>
      </w:r>
    </w:p>
    <w:p w14:paraId="200F8A71" w14:textId="77777777" w:rsidR="004F3125" w:rsidRPr="002051CB" w:rsidRDefault="004F3125" w:rsidP="004F3125">
      <w:pPr>
        <w:jc w:val="both"/>
        <w:rPr>
          <w:rFonts w:ascii="Century Gothic" w:eastAsia="Century Gothic" w:hAnsi="Century Gothic" w:cs="Century Gothic"/>
          <w:sz w:val="22"/>
          <w:szCs w:val="22"/>
        </w:rPr>
      </w:pPr>
    </w:p>
    <w:p w14:paraId="0F3EC49B" w14:textId="4ED22718"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En consideración a todo lo enunciado y bajo el entendido que la menstruación es un proceso biológico que se predica del género femenino</w:t>
      </w:r>
      <w:r w:rsidR="00F674D3">
        <w:rPr>
          <w:rFonts w:ascii="Century Gothic" w:eastAsia="Century Gothic" w:hAnsi="Century Gothic" w:cs="Century Gothic"/>
          <w:sz w:val="22"/>
          <w:szCs w:val="22"/>
        </w:rPr>
        <w:t xml:space="preserve"> y personas menstruantes pertenecientes a la comunidad LGTBI</w:t>
      </w:r>
      <w:r w:rsidRPr="002051CB">
        <w:rPr>
          <w:rFonts w:ascii="Century Gothic" w:eastAsia="Century Gothic" w:hAnsi="Century Gothic" w:cs="Century Gothic"/>
          <w:sz w:val="22"/>
          <w:szCs w:val="22"/>
        </w:rPr>
        <w:t>, es hora de que las autoridades emprendan las acciones necesarias que conduzcan a garantizar la higiene menstrual como un asunto de derechos humanos, y más aun si se trata de un sector poblacional vulnerable y débil como lo son las mujeres privadas</w:t>
      </w:r>
      <w:r w:rsidR="00F674D3">
        <w:rPr>
          <w:rFonts w:ascii="Century Gothic" w:eastAsia="Century Gothic" w:hAnsi="Century Gothic" w:cs="Century Gothic"/>
          <w:sz w:val="22"/>
          <w:szCs w:val="22"/>
        </w:rPr>
        <w:t xml:space="preserve"> y algunas pertenecientes a la comunidad LGTBI</w:t>
      </w:r>
      <w:r w:rsidRPr="002051CB">
        <w:rPr>
          <w:rFonts w:ascii="Century Gothic" w:eastAsia="Century Gothic" w:hAnsi="Century Gothic" w:cs="Century Gothic"/>
          <w:sz w:val="22"/>
          <w:szCs w:val="22"/>
        </w:rPr>
        <w:t xml:space="preserve"> </w:t>
      </w:r>
      <w:r w:rsidR="0066415C">
        <w:rPr>
          <w:rFonts w:ascii="Century Gothic" w:eastAsia="Century Gothic" w:hAnsi="Century Gothic" w:cs="Century Gothic"/>
          <w:sz w:val="22"/>
          <w:szCs w:val="22"/>
        </w:rPr>
        <w:t xml:space="preserve">privadas </w:t>
      </w:r>
      <w:r w:rsidRPr="002051CB">
        <w:rPr>
          <w:rFonts w:ascii="Century Gothic" w:eastAsia="Century Gothic" w:hAnsi="Century Gothic" w:cs="Century Gothic"/>
          <w:sz w:val="22"/>
          <w:szCs w:val="22"/>
        </w:rPr>
        <w:t xml:space="preserve">de la libertad. De ahí la importancia de esta iniciativa con la cual se busca que aproximadamente </w:t>
      </w:r>
      <w:r w:rsidR="00F674D3" w:rsidRPr="00F674D3">
        <w:rPr>
          <w:rFonts w:ascii="Century Gothic" w:eastAsia="Century Gothic" w:hAnsi="Century Gothic" w:cs="Century Gothic"/>
          <w:sz w:val="22"/>
          <w:szCs w:val="22"/>
        </w:rPr>
        <w:t>6.765</w:t>
      </w:r>
      <w:r w:rsidR="00F674D3">
        <w:rPr>
          <w:rFonts w:ascii="Century Gothic" w:eastAsia="Century Gothic" w:hAnsi="Century Gothic" w:cs="Century Gothic"/>
          <w:sz w:val="22"/>
          <w:szCs w:val="22"/>
        </w:rPr>
        <w:t xml:space="preserve"> </w:t>
      </w:r>
      <w:r w:rsidRPr="002051CB">
        <w:rPr>
          <w:rFonts w:ascii="Century Gothic" w:eastAsia="Century Gothic" w:hAnsi="Century Gothic" w:cs="Century Gothic"/>
          <w:sz w:val="22"/>
          <w:szCs w:val="22"/>
        </w:rPr>
        <w:t xml:space="preserve">mujeres </w:t>
      </w:r>
      <w:r w:rsidR="0066415C">
        <w:rPr>
          <w:rFonts w:ascii="Century Gothic" w:eastAsia="Century Gothic" w:hAnsi="Century Gothic" w:cs="Century Gothic"/>
          <w:sz w:val="22"/>
          <w:szCs w:val="22"/>
        </w:rPr>
        <w:t xml:space="preserve">y personas </w:t>
      </w:r>
      <w:r w:rsidR="0066415C">
        <w:rPr>
          <w:rFonts w:ascii="Century Gothic" w:eastAsia="Century Gothic" w:hAnsi="Century Gothic" w:cs="Century Gothic"/>
          <w:sz w:val="22"/>
          <w:szCs w:val="22"/>
        </w:rPr>
        <w:lastRenderedPageBreak/>
        <w:t>menstruantes</w:t>
      </w:r>
      <w:r w:rsidRPr="002051CB">
        <w:rPr>
          <w:rFonts w:ascii="Century Gothic" w:eastAsia="Century Gothic" w:hAnsi="Century Gothic" w:cs="Century Gothic"/>
          <w:sz w:val="22"/>
          <w:szCs w:val="22"/>
        </w:rPr>
        <w:t xml:space="preserve">(corte </w:t>
      </w:r>
      <w:r w:rsidR="00F674D3">
        <w:rPr>
          <w:rFonts w:ascii="Century Gothic" w:eastAsia="Century Gothic" w:hAnsi="Century Gothic" w:cs="Century Gothic"/>
          <w:sz w:val="22"/>
          <w:szCs w:val="22"/>
        </w:rPr>
        <w:t>octubre</w:t>
      </w:r>
      <w:r w:rsidRPr="002051CB">
        <w:rPr>
          <w:rFonts w:ascii="Century Gothic" w:eastAsia="Century Gothic" w:hAnsi="Century Gothic" w:cs="Century Gothic"/>
          <w:sz w:val="22"/>
          <w:szCs w:val="22"/>
        </w:rPr>
        <w:t>/2021)</w:t>
      </w:r>
      <w:r w:rsidRPr="002051CB">
        <w:rPr>
          <w:rFonts w:ascii="Century Gothic" w:eastAsia="Century Gothic" w:hAnsi="Century Gothic" w:cs="Century Gothic"/>
          <w:sz w:val="22"/>
          <w:szCs w:val="22"/>
          <w:vertAlign w:val="superscript"/>
        </w:rPr>
        <w:footnoteReference w:id="49"/>
      </w:r>
      <w:r w:rsidRPr="002051CB">
        <w:rPr>
          <w:rFonts w:ascii="Century Gothic" w:eastAsia="Century Gothic" w:hAnsi="Century Gothic" w:cs="Century Gothic"/>
          <w:sz w:val="22"/>
          <w:szCs w:val="22"/>
        </w:rPr>
        <w:t xml:space="preserve"> en edades en las que se manifiesta la menstruación y que tienen limitado su derecho a la libertad, accedan de manera gratuita y con una periodicidad adecuada (cada mes) a los productos de higiene menstrual, y que además de ello, se les garantice el suministro suficiente, en caso de estar inmersas en situaciones especiales como lo son el periodo de gestación, lactancia o patologías clínicas.</w:t>
      </w:r>
    </w:p>
    <w:p w14:paraId="76092095" w14:textId="77777777" w:rsidR="004F3125" w:rsidRPr="002051CB" w:rsidRDefault="004F3125" w:rsidP="004F3125">
      <w:pPr>
        <w:jc w:val="both"/>
        <w:rPr>
          <w:rFonts w:ascii="Century Gothic" w:eastAsia="Century Gothic" w:hAnsi="Century Gothic" w:cs="Century Gothic"/>
          <w:sz w:val="22"/>
          <w:szCs w:val="22"/>
        </w:rPr>
      </w:pPr>
    </w:p>
    <w:p w14:paraId="5733EFC2" w14:textId="77777777" w:rsidR="004F3125" w:rsidRPr="002051CB" w:rsidRDefault="004F3125" w:rsidP="004F3125">
      <w:pPr>
        <w:spacing w:line="276" w:lineRule="auto"/>
        <w:jc w:val="both"/>
        <w:rPr>
          <w:rFonts w:ascii="Century Gothic" w:hAnsi="Century Gothic"/>
          <w:sz w:val="22"/>
          <w:szCs w:val="22"/>
        </w:rPr>
      </w:pPr>
      <w:r w:rsidRPr="002051CB">
        <w:rPr>
          <w:rFonts w:ascii="Century Gothic" w:eastAsia="Century Gothic" w:hAnsi="Century Gothic" w:cs="Century Gothic"/>
          <w:sz w:val="22"/>
          <w:szCs w:val="22"/>
        </w:rPr>
        <w:t>Ahora bien, se hace alusión a más de 6 mil mujeres por cuanto son aquellas que se encuentran en edades entre 18 a 54 años, rango etario en el que se manifiesta el proceso natural denominado menstruación, y ello se indica por cuanto según “la OMS en todo el mundo, la menopausia natural se produce entre los 45 y 55 años y en las sociedades industrializadas el promedio de edad es de unos 51 años.”</w:t>
      </w:r>
      <w:r w:rsidRPr="002051CB">
        <w:rPr>
          <w:rFonts w:ascii="Century Gothic" w:eastAsia="Century Gothic" w:hAnsi="Century Gothic" w:cs="Century Gothic"/>
          <w:sz w:val="22"/>
          <w:szCs w:val="22"/>
          <w:vertAlign w:val="superscript"/>
        </w:rPr>
        <w:footnoteReference w:id="50"/>
      </w:r>
    </w:p>
    <w:p w14:paraId="7E81DA96" w14:textId="77777777" w:rsidR="004F3125" w:rsidRPr="002051CB" w:rsidRDefault="004F3125" w:rsidP="004F3125">
      <w:pPr>
        <w:jc w:val="both"/>
        <w:rPr>
          <w:rFonts w:ascii="Century Gothic" w:eastAsia="Century Gothic" w:hAnsi="Century Gothic" w:cs="Century Gothic"/>
          <w:sz w:val="22"/>
          <w:szCs w:val="22"/>
        </w:rPr>
      </w:pPr>
    </w:p>
    <w:p w14:paraId="56ABA906" w14:textId="77777777"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Para lograr evidenciar el impacto de esta iniciativa que beneficiará al 92% aproximadamente de las mujeres privadas de la libertad (el otro 8% son mayores de 55 años)</w:t>
      </w:r>
      <w:r w:rsidRPr="002051CB">
        <w:rPr>
          <w:rFonts w:ascii="Century Gothic" w:eastAsia="Century Gothic" w:hAnsi="Century Gothic" w:cs="Century Gothic"/>
          <w:sz w:val="22"/>
          <w:szCs w:val="22"/>
          <w:vertAlign w:val="superscript"/>
        </w:rPr>
        <w:footnoteReference w:id="51"/>
      </w:r>
      <w:r w:rsidRPr="002051CB">
        <w:rPr>
          <w:rFonts w:ascii="Century Gothic" w:eastAsia="Century Gothic" w:hAnsi="Century Gothic" w:cs="Century Gothic"/>
          <w:sz w:val="22"/>
          <w:szCs w:val="22"/>
        </w:rPr>
        <w:t>, a continuación, se presenta el número de mujeres por rango etario y regional:</w:t>
      </w:r>
    </w:p>
    <w:p w14:paraId="128020D3"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rPr>
        <w:drawing>
          <wp:inline distT="0" distB="0" distL="0" distR="0" wp14:anchorId="6356C721" wp14:editId="6B0DB85A">
            <wp:extent cx="5292725" cy="1663700"/>
            <wp:effectExtent l="0" t="0" r="15875" b="12700"/>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7809BB"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hAnsi="Century Gothic"/>
          <w:noProof/>
          <w:sz w:val="22"/>
          <w:szCs w:val="22"/>
        </w:rPr>
        <w:lastRenderedPageBreak/>
        <w:drawing>
          <wp:inline distT="0" distB="0" distL="0" distR="0" wp14:anchorId="20C9728C" wp14:editId="086642FE">
            <wp:extent cx="5283200" cy="2244436"/>
            <wp:effectExtent l="0" t="0" r="12700" b="1651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1A24ED" w14:textId="63F84CDA" w:rsidR="004F3125" w:rsidRPr="002051CB" w:rsidRDefault="00E94F6F"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Elaboración propia, f</w:t>
      </w:r>
      <w:r w:rsidR="004F3125" w:rsidRPr="002051CB">
        <w:rPr>
          <w:rFonts w:ascii="Century Gothic" w:eastAsia="Century Gothic" w:hAnsi="Century Gothic" w:cs="Century Gothic"/>
          <w:sz w:val="22"/>
          <w:szCs w:val="22"/>
        </w:rPr>
        <w:t>uente: INPEC</w:t>
      </w:r>
    </w:p>
    <w:p w14:paraId="56075158"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71C86E1D" w14:textId="2D87B694"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Los datos referenciados permiten evidenciar, que la regional central integrada por los departamentos de Boyacá, Caquetá, Huila, Meta, Casanare y Amazonas, tendrá</w:t>
      </w:r>
      <w:r w:rsidR="00791330">
        <w:rPr>
          <w:rFonts w:ascii="Century Gothic" w:eastAsia="Century Gothic" w:hAnsi="Century Gothic" w:cs="Century Gothic"/>
          <w:sz w:val="22"/>
          <w:szCs w:val="22"/>
        </w:rPr>
        <w:t>n</w:t>
      </w:r>
      <w:r w:rsidRPr="002051CB">
        <w:rPr>
          <w:rFonts w:ascii="Century Gothic" w:eastAsia="Century Gothic" w:hAnsi="Century Gothic" w:cs="Century Gothic"/>
          <w:sz w:val="22"/>
          <w:szCs w:val="22"/>
        </w:rPr>
        <w:t xml:space="preserve"> el mayor número de beneficiadas con la iniciativa, al representar el 33% (2.111) del total de mujeres privadas de la libertad, que requieren de los productos de higiene menstrual.</w:t>
      </w:r>
    </w:p>
    <w:p w14:paraId="313543E0" w14:textId="77777777" w:rsidR="004F3125" w:rsidRPr="002051CB" w:rsidRDefault="004F3125" w:rsidP="004F3125">
      <w:pPr>
        <w:jc w:val="both"/>
        <w:rPr>
          <w:rFonts w:ascii="Century Gothic" w:eastAsia="Century Gothic" w:hAnsi="Century Gothic" w:cs="Century Gothic"/>
          <w:sz w:val="22"/>
          <w:szCs w:val="22"/>
        </w:rPr>
      </w:pPr>
    </w:p>
    <w:p w14:paraId="6379AD3B" w14:textId="6F32A13A" w:rsidR="004F3125"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De otra parte y en relación al impacto económico de la presente propuesta es importante precisar que, de acuerdo a los valores allegados por el INPEC, el costo estimado de un kit de aseo para mujer (papel higiénico (2 rollos), máquina de afeitar (1), crema dental (1), jabón de tocador (1), desodorante (2), cepillo dental (1) y toallas higiénicas (2 paquetes), en la vigencia 202</w:t>
      </w:r>
      <w:r w:rsidR="00E94F6F" w:rsidRPr="002051CB">
        <w:rPr>
          <w:rFonts w:ascii="Century Gothic" w:eastAsia="Century Gothic" w:hAnsi="Century Gothic" w:cs="Century Gothic"/>
          <w:sz w:val="22"/>
          <w:szCs w:val="22"/>
        </w:rPr>
        <w:t>1</w:t>
      </w:r>
      <w:r w:rsidRPr="002051CB">
        <w:rPr>
          <w:rFonts w:ascii="Century Gothic" w:eastAsia="Century Gothic" w:hAnsi="Century Gothic" w:cs="Century Gothic"/>
          <w:sz w:val="22"/>
          <w:szCs w:val="22"/>
        </w:rPr>
        <w:t xml:space="preserve"> fue de $</w:t>
      </w:r>
      <w:r w:rsidR="002051CB" w:rsidRPr="002051CB">
        <w:rPr>
          <w:rFonts w:ascii="Century Gothic" w:eastAsia="Century Gothic" w:hAnsi="Century Gothic" w:cs="Century Gothic"/>
          <w:sz w:val="22"/>
          <w:szCs w:val="22"/>
        </w:rPr>
        <w:t>18.479</w:t>
      </w:r>
      <w:r w:rsidRPr="002051CB">
        <w:rPr>
          <w:rFonts w:ascii="Century Gothic" w:eastAsia="Century Gothic" w:hAnsi="Century Gothic" w:cs="Century Gothic"/>
          <w:sz w:val="22"/>
          <w:szCs w:val="22"/>
          <w:vertAlign w:val="superscript"/>
        </w:rPr>
        <w:footnoteReference w:id="52"/>
      </w:r>
      <w:r w:rsidRPr="002051CB">
        <w:rPr>
          <w:rFonts w:ascii="Century Gothic" w:eastAsia="Century Gothic" w:hAnsi="Century Gothic" w:cs="Century Gothic"/>
          <w:sz w:val="22"/>
          <w:szCs w:val="22"/>
        </w:rPr>
        <w:t>, no obstante, ese valor es variable por región y ello se corrobora con los datos allegados por diversos establecimientos de reclusión, los cuales efectivamente plantean costos diferentes respecto del kit de aseo y especialmente del rubro relacionado con los productos de higiene menstrual:</w:t>
      </w:r>
    </w:p>
    <w:p w14:paraId="63131127" w14:textId="77777777" w:rsidR="00791330" w:rsidRPr="002051CB" w:rsidRDefault="00791330" w:rsidP="004F3125">
      <w:pPr>
        <w:spacing w:line="276" w:lineRule="auto"/>
        <w:jc w:val="both"/>
        <w:rPr>
          <w:rFonts w:ascii="Century Gothic" w:eastAsia="Century Gothic" w:hAnsi="Century Gothic" w:cs="Century Gothic"/>
          <w:sz w:val="22"/>
          <w:szCs w:val="22"/>
        </w:rPr>
      </w:pPr>
    </w:p>
    <w:p w14:paraId="4DF7ADDD" w14:textId="77777777" w:rsidR="004F3125" w:rsidRPr="002051CB" w:rsidRDefault="004F3125" w:rsidP="004F3125">
      <w:pPr>
        <w:spacing w:line="276" w:lineRule="auto"/>
        <w:ind w:left="-284" w:right="-291" w:firstLine="284"/>
        <w:jc w:val="both"/>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rPr>
        <w:lastRenderedPageBreak/>
        <w:drawing>
          <wp:inline distT="0" distB="0" distL="0" distR="0" wp14:anchorId="7F1C0344" wp14:editId="70B65730">
            <wp:extent cx="5667375" cy="1773382"/>
            <wp:effectExtent l="0" t="0" r="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D5D3AC" w14:textId="77777777" w:rsidR="004F3125" w:rsidRPr="002051CB" w:rsidRDefault="004F3125" w:rsidP="004F3125">
      <w:pPr>
        <w:spacing w:line="276" w:lineRule="auto"/>
        <w:ind w:left="-426" w:firstLine="426"/>
        <w:jc w:val="both"/>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rPr>
        <w:drawing>
          <wp:inline distT="0" distB="0" distL="0" distR="0" wp14:anchorId="1E3BC6A6" wp14:editId="76408BAB">
            <wp:extent cx="5667375" cy="1828800"/>
            <wp:effectExtent l="0" t="0" r="0"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2645E6" w14:textId="77777777" w:rsidR="004F3125" w:rsidRPr="002051CB" w:rsidRDefault="004F3125" w:rsidP="004F3125">
      <w:pPr>
        <w:spacing w:line="276" w:lineRule="auto"/>
        <w:ind w:left="-426" w:firstLine="426"/>
        <w:jc w:val="both"/>
        <w:rPr>
          <w:rFonts w:ascii="Century Gothic" w:eastAsia="Century Gothic" w:hAnsi="Century Gothic" w:cs="Century Gothic"/>
          <w:sz w:val="22"/>
          <w:szCs w:val="22"/>
        </w:rPr>
      </w:pPr>
      <w:r w:rsidRPr="002051CB">
        <w:rPr>
          <w:rFonts w:ascii="Century Gothic" w:eastAsia="Century Gothic" w:hAnsi="Century Gothic" w:cs="Century Gothic"/>
          <w:noProof/>
          <w:sz w:val="22"/>
          <w:szCs w:val="22"/>
          <w:highlight w:val="yellow"/>
        </w:rPr>
        <w:drawing>
          <wp:inline distT="0" distB="0" distL="0" distR="0" wp14:anchorId="253B1642" wp14:editId="66D1B49F">
            <wp:extent cx="5667375" cy="1828800"/>
            <wp:effectExtent l="0" t="0" r="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546F49" w14:textId="77777777" w:rsidR="004F3125" w:rsidRPr="002051CB" w:rsidRDefault="004F3125" w:rsidP="004F3125">
      <w:pPr>
        <w:spacing w:line="276" w:lineRule="auto"/>
        <w:jc w:val="center"/>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Fuente: Respuestas DP Establecimientos de Reclusión del 24, 3 y 16 de febrero de 2021</w:t>
      </w:r>
    </w:p>
    <w:p w14:paraId="283DF832" w14:textId="77777777" w:rsidR="004F3125" w:rsidRPr="002051CB" w:rsidRDefault="004F3125" w:rsidP="004F3125">
      <w:pPr>
        <w:spacing w:line="276" w:lineRule="auto"/>
        <w:jc w:val="center"/>
        <w:rPr>
          <w:rFonts w:ascii="Century Gothic" w:eastAsia="Century Gothic" w:hAnsi="Century Gothic" w:cs="Century Gothic"/>
          <w:sz w:val="22"/>
          <w:szCs w:val="22"/>
        </w:rPr>
      </w:pPr>
    </w:p>
    <w:p w14:paraId="6C67643D" w14:textId="43EC353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Lo anterior permite colegir que los productos de higiene menstrual representan entre el 10 y 30% del costo de un kit de aseo para una mujer privada de la libertad, así es que si se toma el valor más alto de los casos planteados, que es el reportado por el COJAM Jamundí se puede evidenciar que el costo anual en promedio de las toallas higiénicas para el estado colombiano, respecto a una mujer privada de la libertad hoy, es de $</w:t>
      </w:r>
      <w:r w:rsidR="00510DC6">
        <w:rPr>
          <w:rFonts w:ascii="Century Gothic" w:eastAsia="Century Gothic" w:hAnsi="Century Gothic" w:cs="Century Gothic"/>
          <w:sz w:val="22"/>
          <w:szCs w:val="22"/>
        </w:rPr>
        <w:t>21</w:t>
      </w:r>
      <w:r w:rsidR="00791330">
        <w:rPr>
          <w:rFonts w:ascii="Century Gothic" w:eastAsia="Century Gothic" w:hAnsi="Century Gothic" w:cs="Century Gothic"/>
          <w:sz w:val="22"/>
          <w:szCs w:val="22"/>
        </w:rPr>
        <w:t>.000</w:t>
      </w:r>
      <w:r w:rsidRPr="002051CB">
        <w:rPr>
          <w:rFonts w:ascii="Century Gothic" w:eastAsia="Century Gothic" w:hAnsi="Century Gothic" w:cs="Century Gothic"/>
          <w:sz w:val="22"/>
          <w:szCs w:val="22"/>
        </w:rPr>
        <w:t xml:space="preserve"> (entrega de 3 kit al año), es decir, que si se hace el cálculo con corte </w:t>
      </w:r>
      <w:r w:rsidR="0066415C">
        <w:rPr>
          <w:rFonts w:ascii="Century Gothic" w:eastAsia="Century Gothic" w:hAnsi="Century Gothic" w:cs="Century Gothic"/>
          <w:sz w:val="22"/>
          <w:szCs w:val="22"/>
        </w:rPr>
        <w:t>octubre</w:t>
      </w:r>
      <w:r w:rsidRPr="002051CB">
        <w:rPr>
          <w:rFonts w:ascii="Century Gothic" w:eastAsia="Century Gothic" w:hAnsi="Century Gothic" w:cs="Century Gothic"/>
          <w:sz w:val="22"/>
          <w:szCs w:val="22"/>
        </w:rPr>
        <w:t>/2021 para el total de mujeres privadas de</w:t>
      </w:r>
      <w:r w:rsidR="00510DC6">
        <w:rPr>
          <w:rFonts w:ascii="Century Gothic" w:eastAsia="Century Gothic" w:hAnsi="Century Gothic" w:cs="Century Gothic"/>
          <w:sz w:val="22"/>
          <w:szCs w:val="22"/>
        </w:rPr>
        <w:t xml:space="preserve"> la</w:t>
      </w:r>
      <w:r w:rsidRPr="002051CB">
        <w:rPr>
          <w:rFonts w:ascii="Century Gothic" w:eastAsia="Century Gothic" w:hAnsi="Century Gothic" w:cs="Century Gothic"/>
          <w:sz w:val="22"/>
          <w:szCs w:val="22"/>
        </w:rPr>
        <w:t xml:space="preserve"> libertad en </w:t>
      </w:r>
      <w:r w:rsidRPr="002051CB">
        <w:rPr>
          <w:rFonts w:ascii="Century Gothic" w:eastAsia="Century Gothic" w:hAnsi="Century Gothic" w:cs="Century Gothic"/>
          <w:sz w:val="22"/>
          <w:szCs w:val="22"/>
        </w:rPr>
        <w:lastRenderedPageBreak/>
        <w:t>edad de menstruar (</w:t>
      </w:r>
      <w:r w:rsidR="002051CB" w:rsidRPr="002051CB">
        <w:rPr>
          <w:rFonts w:ascii="Century Gothic" w:eastAsia="Century Gothic" w:hAnsi="Century Gothic" w:cs="Century Gothic"/>
          <w:sz w:val="22"/>
          <w:szCs w:val="22"/>
        </w:rPr>
        <w:t>6.</w:t>
      </w:r>
      <w:r w:rsidR="0066415C">
        <w:rPr>
          <w:rFonts w:ascii="Century Gothic" w:eastAsia="Century Gothic" w:hAnsi="Century Gothic" w:cs="Century Gothic"/>
          <w:sz w:val="22"/>
          <w:szCs w:val="22"/>
        </w:rPr>
        <w:t>765</w:t>
      </w:r>
      <w:r w:rsidRPr="002051CB">
        <w:rPr>
          <w:rFonts w:ascii="Century Gothic" w:eastAsia="Century Gothic" w:hAnsi="Century Gothic" w:cs="Century Gothic"/>
          <w:sz w:val="22"/>
          <w:szCs w:val="22"/>
        </w:rPr>
        <w:t>), el valor anual promediado en que incurre el Estado ser</w:t>
      </w:r>
      <w:r w:rsidR="0066415C">
        <w:rPr>
          <w:rFonts w:ascii="Century Gothic" w:eastAsia="Century Gothic" w:hAnsi="Century Gothic" w:cs="Century Gothic"/>
          <w:sz w:val="22"/>
          <w:szCs w:val="22"/>
        </w:rPr>
        <w:t>í</w:t>
      </w:r>
      <w:r w:rsidRPr="002051CB">
        <w:rPr>
          <w:rFonts w:ascii="Century Gothic" w:eastAsia="Century Gothic" w:hAnsi="Century Gothic" w:cs="Century Gothic"/>
          <w:sz w:val="22"/>
          <w:szCs w:val="22"/>
        </w:rPr>
        <w:t>a de $</w:t>
      </w:r>
      <w:r w:rsidR="0066415C">
        <w:rPr>
          <w:rFonts w:ascii="Century Gothic" w:eastAsia="Century Gothic" w:hAnsi="Century Gothic" w:cs="Century Gothic"/>
          <w:sz w:val="22"/>
          <w:szCs w:val="22"/>
        </w:rPr>
        <w:t>142.065</w:t>
      </w:r>
      <w:r w:rsidR="00510DC6">
        <w:rPr>
          <w:rFonts w:ascii="Century Gothic" w:eastAsia="Century Gothic" w:hAnsi="Century Gothic" w:cs="Century Gothic"/>
          <w:sz w:val="22"/>
          <w:szCs w:val="22"/>
        </w:rPr>
        <w:t>.000</w:t>
      </w:r>
      <w:r w:rsidRPr="002051CB">
        <w:rPr>
          <w:rFonts w:ascii="Century Gothic" w:eastAsia="Century Gothic" w:hAnsi="Century Gothic" w:cs="Century Gothic"/>
          <w:sz w:val="22"/>
          <w:szCs w:val="22"/>
        </w:rPr>
        <w:t xml:space="preserve"> (cubre los 3 kit). </w:t>
      </w:r>
    </w:p>
    <w:p w14:paraId="557D5C57" w14:textId="77777777" w:rsidR="004F3125" w:rsidRPr="002051CB" w:rsidRDefault="004F3125" w:rsidP="004F3125">
      <w:pPr>
        <w:jc w:val="both"/>
        <w:rPr>
          <w:rFonts w:ascii="Century Gothic" w:eastAsia="Century Gothic" w:hAnsi="Century Gothic" w:cs="Century Gothic"/>
          <w:sz w:val="22"/>
          <w:szCs w:val="22"/>
        </w:rPr>
      </w:pPr>
    </w:p>
    <w:p w14:paraId="454C49E6" w14:textId="73F72276"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Ahora bien, como actualmente se realiza una entrega de 2 paquetes de toallas higiénicas cada 4 meses, lo cual conlleva a una insuficiencia de los productos de higiene menstrual para 2 meses entre cada cuatrimestre, se requiere cubrir los 6 meses en los que hoy las mujeres no cuentan con provisión, lo cual generaría que el Estado tenga que hacer una inversión adicional anual de aproximadamente $</w:t>
      </w:r>
      <w:r w:rsidR="00510DC6">
        <w:rPr>
          <w:rFonts w:ascii="Century Gothic" w:eastAsia="Century Gothic" w:hAnsi="Century Gothic" w:cs="Century Gothic"/>
          <w:sz w:val="22"/>
          <w:szCs w:val="22"/>
        </w:rPr>
        <w:t>2</w:t>
      </w:r>
      <w:r w:rsidR="0066415C">
        <w:rPr>
          <w:rFonts w:ascii="Century Gothic" w:eastAsia="Century Gothic" w:hAnsi="Century Gothic" w:cs="Century Gothic"/>
          <w:sz w:val="22"/>
          <w:szCs w:val="22"/>
        </w:rPr>
        <w:t>84</w:t>
      </w:r>
      <w:r w:rsidRPr="002051CB">
        <w:rPr>
          <w:rFonts w:ascii="Century Gothic" w:eastAsia="Century Gothic" w:hAnsi="Century Gothic" w:cs="Century Gothic"/>
          <w:sz w:val="22"/>
          <w:szCs w:val="22"/>
        </w:rPr>
        <w:t>.</w:t>
      </w:r>
      <w:r w:rsidR="0066415C">
        <w:rPr>
          <w:rFonts w:ascii="Century Gothic" w:eastAsia="Century Gothic" w:hAnsi="Century Gothic" w:cs="Century Gothic"/>
          <w:sz w:val="22"/>
          <w:szCs w:val="22"/>
        </w:rPr>
        <w:t>130</w:t>
      </w:r>
      <w:r w:rsidRPr="002051CB">
        <w:rPr>
          <w:rFonts w:ascii="Century Gothic" w:eastAsia="Century Gothic" w:hAnsi="Century Gothic" w:cs="Century Gothic"/>
          <w:sz w:val="22"/>
          <w:szCs w:val="22"/>
        </w:rPr>
        <w:t>.000 respecto a lo que invierte hoy, monto que no implicará un impacto fiscal significativo, pero si social, ello por cuanto permitirá la materialización de derechos humanos universalmente aceptados, como lo son la dignidad humana, la salud y bienestar, la no discriminación y la igualdad de género.</w:t>
      </w:r>
    </w:p>
    <w:p w14:paraId="1ABBE3A9" w14:textId="77777777" w:rsidR="004F3125" w:rsidRPr="002051CB" w:rsidRDefault="004F3125" w:rsidP="004F3125">
      <w:pPr>
        <w:rPr>
          <w:rFonts w:ascii="Century Gothic" w:eastAsia="Century Gothic" w:hAnsi="Century Gothic" w:cs="Century Gothic"/>
          <w:sz w:val="22"/>
          <w:szCs w:val="22"/>
        </w:rPr>
      </w:pPr>
    </w:p>
    <w:p w14:paraId="35197B79" w14:textId="3AC4F231" w:rsidR="004F3125" w:rsidRPr="002051CB" w:rsidRDefault="004F3125" w:rsidP="004F3125">
      <w:pPr>
        <w:spacing w:line="276" w:lineRule="auto"/>
        <w:jc w:val="both"/>
        <w:rPr>
          <w:rFonts w:ascii="Century Gothic" w:eastAsia="Century Gothic" w:hAnsi="Century Gothic" w:cs="Century Gothic"/>
          <w:sz w:val="22"/>
          <w:szCs w:val="22"/>
        </w:rPr>
      </w:pPr>
      <w:r w:rsidRPr="002051CB">
        <w:rPr>
          <w:rFonts w:ascii="Century Gothic" w:eastAsia="Century Gothic" w:hAnsi="Century Gothic" w:cs="Century Gothic"/>
          <w:sz w:val="22"/>
          <w:szCs w:val="22"/>
        </w:rPr>
        <w:t>Así las cosas, esta iniciativa sin lugar a dudas va a permitir que las más de 6 mil mujeres</w:t>
      </w:r>
      <w:r w:rsidR="0066415C">
        <w:rPr>
          <w:rFonts w:ascii="Century Gothic" w:eastAsia="Century Gothic" w:hAnsi="Century Gothic" w:cs="Century Gothic"/>
          <w:sz w:val="22"/>
          <w:szCs w:val="22"/>
        </w:rPr>
        <w:t xml:space="preserve"> y personas menstruantes</w:t>
      </w:r>
      <w:r w:rsidRPr="002051CB">
        <w:rPr>
          <w:rFonts w:ascii="Century Gothic" w:eastAsia="Century Gothic" w:hAnsi="Century Gothic" w:cs="Century Gothic"/>
          <w:sz w:val="22"/>
          <w:szCs w:val="22"/>
        </w:rPr>
        <w:t xml:space="preserve"> privadas de su libertad en centros de reclusión, puedan manejar su menstruación con dignidad, al contar con un suministro de productos de higiene gratuitos, pero especialmente suficientes y no solo respecto a su cantidad sino también a su periodicidad (cada mes).</w:t>
      </w:r>
    </w:p>
    <w:p w14:paraId="2FF0CFB3" w14:textId="5A374AA6" w:rsidR="002051CB" w:rsidRDefault="002051CB" w:rsidP="004F3125">
      <w:pPr>
        <w:spacing w:line="276" w:lineRule="auto"/>
        <w:jc w:val="both"/>
        <w:rPr>
          <w:rFonts w:ascii="Century Gothic" w:eastAsia="Century Gothic" w:hAnsi="Century Gothic" w:cs="Century Gothic"/>
        </w:rPr>
      </w:pPr>
    </w:p>
    <w:p w14:paraId="7054B778" w14:textId="77777777" w:rsidR="002051CB" w:rsidRDefault="002051CB" w:rsidP="002051CB">
      <w:pPr>
        <w:numPr>
          <w:ilvl w:val="0"/>
          <w:numId w:val="15"/>
        </w:numPr>
        <w:pBdr>
          <w:top w:val="nil"/>
          <w:left w:val="nil"/>
          <w:bottom w:val="nil"/>
          <w:right w:val="nil"/>
          <w:between w:val="nil"/>
        </w:pBdr>
        <w:spacing w:line="276" w:lineRule="auto"/>
        <w:ind w:left="1080"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MARCO CONSTITUCIONAL, LEGAL Y JURISPRUDENCIAL COLOMBIANO.  </w:t>
      </w:r>
    </w:p>
    <w:p w14:paraId="7D0F5CF1" w14:textId="77777777" w:rsidR="002051CB" w:rsidRDefault="002051CB" w:rsidP="002051CB">
      <w:pPr>
        <w:spacing w:line="276" w:lineRule="auto"/>
        <w:rPr>
          <w:rFonts w:ascii="Century Gothic" w:eastAsia="Century Gothic" w:hAnsi="Century Gothic" w:cs="Century Gothic"/>
          <w:sz w:val="22"/>
          <w:szCs w:val="22"/>
        </w:rPr>
      </w:pPr>
    </w:p>
    <w:p w14:paraId="516D8E8C" w14:textId="77777777" w:rsidR="002051CB" w:rsidRDefault="002051CB" w:rsidP="002051CB">
      <w:pPr>
        <w:numPr>
          <w:ilvl w:val="0"/>
          <w:numId w:val="21"/>
        </w:num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MARCO CONSTITUCIONAL. </w:t>
      </w:r>
    </w:p>
    <w:p w14:paraId="73027A9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higiene menstrual y su correlación con los derechos a la dignidad humana, la igualdad y la salud: </w:t>
      </w:r>
    </w:p>
    <w:p w14:paraId="41258B48" w14:textId="77777777" w:rsidR="002051CB" w:rsidRDefault="002051CB" w:rsidP="002051CB">
      <w:pPr>
        <w:spacing w:line="276" w:lineRule="auto"/>
        <w:rPr>
          <w:rFonts w:ascii="Century Gothic" w:eastAsia="Century Gothic" w:hAnsi="Century Gothic" w:cs="Century Gothic"/>
          <w:sz w:val="22"/>
          <w:szCs w:val="22"/>
        </w:rPr>
      </w:pPr>
    </w:p>
    <w:p w14:paraId="585D2B63"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DIGNIDAD HUMANA</w:t>
      </w:r>
      <w:r>
        <w:rPr>
          <w:rFonts w:ascii="Century Gothic" w:eastAsia="Century Gothic" w:hAnsi="Century Gothic" w:cs="Century Gothic"/>
          <w:color w:val="000000"/>
          <w:sz w:val="22"/>
          <w:szCs w:val="22"/>
        </w:rPr>
        <w:t>: La Constitución Política en su artículo 1 establece que nuestro Estado Social de Derecho esta fundado en el respeto a la dignidad humana, la cual se instituye como un derecho fundamental, de eficacia directa, cuyo reconocimiento general compromete el fundamento político del Estado</w:t>
      </w:r>
      <w:r>
        <w:rPr>
          <w:rFonts w:ascii="Century Gothic" w:eastAsia="Century Gothic" w:hAnsi="Century Gothic" w:cs="Century Gothic"/>
          <w:color w:val="000000"/>
          <w:sz w:val="22"/>
          <w:szCs w:val="22"/>
          <w:vertAlign w:val="superscript"/>
        </w:rPr>
        <w:footnoteReference w:id="53"/>
      </w:r>
      <w:r>
        <w:rPr>
          <w:rFonts w:ascii="Century Gothic" w:eastAsia="Century Gothic" w:hAnsi="Century Gothic" w:cs="Century Gothic"/>
          <w:color w:val="000000"/>
          <w:sz w:val="22"/>
          <w:szCs w:val="22"/>
        </w:rPr>
        <w:t>, el cual se ve menoscabado cuando las mujeres privadas de la libertad no pueden manejar su menstruación en condiciones que no afecten su autonomía e integridad física o moral.</w:t>
      </w:r>
    </w:p>
    <w:p w14:paraId="095653D4"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p>
    <w:p w14:paraId="4FDA9DD8"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Fondo de Población de las Naciones Unidas ha manifestado que el derecho a la dignidad humana se ve socavado cuando "las mujeres y las niñas no pueden acceder a instalaciones de baño seguras y medios seguros y eficaces de manejo </w:t>
      </w:r>
      <w:r>
        <w:rPr>
          <w:rFonts w:ascii="Century Gothic" w:eastAsia="Century Gothic" w:hAnsi="Century Gothic" w:cs="Century Gothic"/>
          <w:sz w:val="22"/>
          <w:szCs w:val="22"/>
        </w:rPr>
        <w:lastRenderedPageBreak/>
        <w:t>de la higiene menstrual”</w:t>
      </w:r>
      <w:r>
        <w:rPr>
          <w:rFonts w:ascii="Century Gothic" w:eastAsia="Century Gothic" w:hAnsi="Century Gothic" w:cs="Century Gothic"/>
          <w:sz w:val="22"/>
          <w:szCs w:val="22"/>
          <w:vertAlign w:val="superscript"/>
        </w:rPr>
        <w:footnoteReference w:id="54"/>
      </w:r>
      <w:r>
        <w:rPr>
          <w:rFonts w:ascii="Century Gothic" w:eastAsia="Century Gothic" w:hAnsi="Century Gothic" w:cs="Century Gothic"/>
          <w:sz w:val="22"/>
          <w:szCs w:val="22"/>
        </w:rPr>
        <w:t xml:space="preserve">.  Las mujeres privadas de la libertad en algunos centros de reclusión han manifestado que reciben en promedio 25 toallas al año, por lo que tienen que valerse de ropa y cualquier material para poder utilizarlo como método de recolección de la sangre menstrual tales como, </w:t>
      </w:r>
      <w:r>
        <w:rPr>
          <w:rFonts w:ascii="Century Gothic" w:eastAsia="Century Gothic" w:hAnsi="Century Gothic" w:cs="Century Gothic"/>
          <w:sz w:val="20"/>
          <w:szCs w:val="20"/>
        </w:rPr>
        <w:t>"cobijas apretadas a la cintura", sumando a esta situación el hecho de tener acceso limitado al servicio de baño</w:t>
      </w:r>
      <w:r>
        <w:rPr>
          <w:rFonts w:ascii="Century Gothic" w:eastAsia="Century Gothic" w:hAnsi="Century Gothic" w:cs="Century Gothic"/>
          <w:sz w:val="20"/>
          <w:szCs w:val="20"/>
          <w:vertAlign w:val="superscript"/>
        </w:rPr>
        <w:footnoteReference w:id="55"/>
      </w:r>
      <w:r>
        <w:rPr>
          <w:rFonts w:ascii="Century Gothic" w:eastAsia="Century Gothic" w:hAnsi="Century Gothic" w:cs="Century Gothic"/>
          <w:sz w:val="20"/>
          <w:szCs w:val="20"/>
        </w:rPr>
        <w:t xml:space="preserve">. De otra parte, han indicado </w:t>
      </w:r>
      <w:r>
        <w:rPr>
          <w:rFonts w:ascii="Century Gothic" w:eastAsia="Century Gothic" w:hAnsi="Century Gothic" w:cs="Century Gothic"/>
          <w:i/>
          <w:sz w:val="20"/>
          <w:szCs w:val="20"/>
        </w:rPr>
        <w:t xml:space="preserve">"sangrar en los días del periodo es normal. Pero permanecer manchadas y sin acceso a formas de lidiar con el sangrado </w:t>
      </w:r>
      <w:r>
        <w:rPr>
          <w:rFonts w:ascii="Century Gothic" w:eastAsia="Century Gothic" w:hAnsi="Century Gothic" w:cs="Century Gothic"/>
          <w:i/>
          <w:sz w:val="20"/>
          <w:szCs w:val="20"/>
          <w:u w:val="single"/>
        </w:rPr>
        <w:t xml:space="preserve">es </w:t>
      </w:r>
      <w:r>
        <w:rPr>
          <w:rFonts w:ascii="Century Gothic" w:eastAsia="Century Gothic" w:hAnsi="Century Gothic" w:cs="Century Gothic"/>
          <w:b/>
          <w:i/>
          <w:sz w:val="20"/>
          <w:szCs w:val="20"/>
          <w:u w:val="single"/>
        </w:rPr>
        <w:t>indignante</w:t>
      </w:r>
      <w:r>
        <w:rPr>
          <w:rFonts w:ascii="Century Gothic" w:eastAsia="Century Gothic" w:hAnsi="Century Gothic" w:cs="Century Gothic"/>
          <w:i/>
          <w:sz w:val="20"/>
          <w:szCs w:val="20"/>
        </w:rPr>
        <w:t xml:space="preserve"> y esto ataca la confianza de cualquier niña o mujer, y nos hace percibir la menstruación como </w:t>
      </w:r>
      <w:r>
        <w:rPr>
          <w:rFonts w:ascii="Century Gothic" w:eastAsia="Century Gothic" w:hAnsi="Century Gothic" w:cs="Century Gothic"/>
          <w:b/>
          <w:i/>
          <w:sz w:val="20"/>
          <w:szCs w:val="20"/>
          <w:u w:val="single"/>
        </w:rPr>
        <w:t>sinónimo de estrés, vergüenza y castigo</w:t>
      </w:r>
      <w:r>
        <w:rPr>
          <w:rFonts w:ascii="Century Gothic" w:eastAsia="Century Gothic" w:hAnsi="Century Gothic" w:cs="Century Gothic"/>
          <w:i/>
          <w:sz w:val="20"/>
          <w:szCs w:val="20"/>
        </w:rPr>
        <w:t>"</w:t>
      </w:r>
      <w:r>
        <w:rPr>
          <w:rFonts w:ascii="Century Gothic" w:eastAsia="Century Gothic" w:hAnsi="Century Gothic" w:cs="Century Gothic"/>
          <w:sz w:val="22"/>
          <w:szCs w:val="22"/>
          <w:vertAlign w:val="superscript"/>
        </w:rPr>
        <w:footnoteReference w:id="56"/>
      </w:r>
      <w:r>
        <w:rPr>
          <w:rFonts w:ascii="Century Gothic" w:eastAsia="Century Gothic" w:hAnsi="Century Gothic" w:cs="Century Gothic"/>
          <w:sz w:val="22"/>
          <w:szCs w:val="22"/>
        </w:rPr>
        <w:t xml:space="preserve"> (Negrilla y subrayado fuera del texto).</w:t>
      </w:r>
    </w:p>
    <w:p w14:paraId="10E6394B" w14:textId="77777777" w:rsidR="002051CB" w:rsidRDefault="002051CB" w:rsidP="002051CB">
      <w:pPr>
        <w:spacing w:line="276" w:lineRule="auto"/>
        <w:jc w:val="both"/>
        <w:rPr>
          <w:rFonts w:ascii="Century Gothic" w:eastAsia="Century Gothic" w:hAnsi="Century Gothic" w:cs="Century Gothic"/>
          <w:sz w:val="22"/>
          <w:szCs w:val="22"/>
        </w:rPr>
      </w:pPr>
    </w:p>
    <w:p w14:paraId="6B30B33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otro lado, es importante mencionar que la Organización Human Rights Watch afirma que para lograr una menstruación en donde no se menoscabe la dignidad de las niñas y mujeres se deben garantizar materiales para el manejo menstrual adecuados, aceptables y asequibles; tales como: el acceso a instalaciones, saneamiento, infraestructura e insumos adecuados que permitan a las mujeres y niñas cambiar y desechar los materiales menstruales, y aunado a ello el conocimiento del proceso de menstruación y de las opciones disponibles para el manejo de la higiene menstrual.</w:t>
      </w:r>
    </w:p>
    <w:p w14:paraId="4657E49A" w14:textId="77777777" w:rsidR="002051CB" w:rsidRDefault="002051CB" w:rsidP="002051CB">
      <w:pPr>
        <w:spacing w:line="276" w:lineRule="auto"/>
        <w:jc w:val="both"/>
        <w:rPr>
          <w:rFonts w:ascii="Century Gothic" w:eastAsia="Century Gothic" w:hAnsi="Century Gothic" w:cs="Century Gothic"/>
          <w:sz w:val="22"/>
          <w:szCs w:val="22"/>
        </w:rPr>
      </w:pPr>
    </w:p>
    <w:p w14:paraId="34E9B499"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lo que respecta a la dignidad menstrual, la Corte Constitucional ha señalado que es obligación del Estado tomar medidas que prevengan y sancionen actos denigrantes y del legislador, crear normas que protejan la honra de las mujeres</w:t>
      </w:r>
      <w:r>
        <w:rPr>
          <w:rFonts w:ascii="Century Gothic" w:eastAsia="Century Gothic" w:hAnsi="Century Gothic" w:cs="Century Gothic"/>
          <w:sz w:val="22"/>
          <w:szCs w:val="22"/>
          <w:vertAlign w:val="superscript"/>
        </w:rPr>
        <w:footnoteReference w:id="57"/>
      </w:r>
      <w:r>
        <w:rPr>
          <w:rFonts w:ascii="Century Gothic" w:eastAsia="Century Gothic" w:hAnsi="Century Gothic" w:cs="Century Gothic"/>
          <w:sz w:val="22"/>
          <w:szCs w:val="22"/>
        </w:rPr>
        <w:t>, por lo que es esencial garantizar que las mujeres privadas de la libertad tengan un periodo menstrual con dignidad, sin tabús, ni limitaciones, tratos crueles, degradantes y libre de humillaciones,</w:t>
      </w:r>
      <w:r>
        <w:rPr>
          <w:rFonts w:ascii="Century Gothic" w:eastAsia="Century Gothic" w:hAnsi="Century Gothic" w:cs="Century Gothic"/>
          <w:sz w:val="22"/>
          <w:szCs w:val="22"/>
          <w:vertAlign w:val="superscript"/>
        </w:rPr>
        <w:footnoteReference w:id="58"/>
      </w:r>
      <w:r>
        <w:rPr>
          <w:rFonts w:ascii="Century Gothic" w:eastAsia="Century Gothic" w:hAnsi="Century Gothic" w:cs="Century Gothic"/>
          <w:sz w:val="22"/>
          <w:szCs w:val="22"/>
        </w:rPr>
        <w:t xml:space="preserve"> a través del acceso a espacios salubres y material suficiente de higiene menstrual para cada una de sus necesidades particulares.</w:t>
      </w:r>
    </w:p>
    <w:p w14:paraId="04C22475" w14:textId="77777777" w:rsidR="002051CB" w:rsidRDefault="002051CB" w:rsidP="002051CB">
      <w:pPr>
        <w:spacing w:line="276" w:lineRule="auto"/>
        <w:jc w:val="both"/>
        <w:rPr>
          <w:rFonts w:ascii="Century Gothic" w:eastAsia="Century Gothic" w:hAnsi="Century Gothic" w:cs="Century Gothic"/>
          <w:sz w:val="22"/>
          <w:szCs w:val="22"/>
        </w:rPr>
      </w:pPr>
    </w:p>
    <w:p w14:paraId="26FD4BEF"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DERECHO A LA IGUALDAD: </w:t>
      </w:r>
      <w:r>
        <w:rPr>
          <w:rFonts w:ascii="Century Gothic" w:eastAsia="Century Gothic" w:hAnsi="Century Gothic" w:cs="Century Gothic"/>
          <w:color w:val="000000"/>
          <w:sz w:val="22"/>
          <w:szCs w:val="22"/>
        </w:rPr>
        <w:t>En el artículo 13 Constitucional se encuentra consagrado el derecho a la igualdad, respecto del cual la Corte Constitucional ha indicado que:</w:t>
      </w:r>
    </w:p>
    <w:p w14:paraId="5E56E8D6"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p>
    <w:p w14:paraId="472F51DA" w14:textId="77777777" w:rsidR="002051CB" w:rsidRDefault="002051CB" w:rsidP="002051CB">
      <w:pPr>
        <w:pBdr>
          <w:top w:val="nil"/>
          <w:left w:val="nil"/>
          <w:bottom w:val="nil"/>
          <w:right w:val="nil"/>
          <w:between w:val="nil"/>
        </w:pBdr>
        <w:spacing w:line="276" w:lineRule="auto"/>
        <w:ind w:left="284"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lastRenderedPageBreak/>
        <w:t xml:space="preserve">" el inciso primero establece el principio de igualdad y la prohibición de trato discriminado; que en el inciso segundo se dispone el mandato de promoción de la igualdad material, mediante la implementación de medidas de discriminación afirmativa; y que </w:t>
      </w:r>
      <w:r>
        <w:rPr>
          <w:rFonts w:ascii="Century Gothic" w:eastAsia="Century Gothic" w:hAnsi="Century Gothic" w:cs="Century Gothic"/>
          <w:b/>
          <w:i/>
          <w:color w:val="000000"/>
          <w:sz w:val="18"/>
          <w:szCs w:val="18"/>
          <w:u w:val="single"/>
        </w:rPr>
        <w:t>el inciso tercero establece medidas asistenciales, por medio del mandato de protección a personas puestas en circunstancias de debilidad manifiesta en virtud de la pobreza</w:t>
      </w:r>
      <w:r>
        <w:rPr>
          <w:rFonts w:ascii="Century Gothic" w:eastAsia="Century Gothic" w:hAnsi="Century Gothic" w:cs="Century Gothic"/>
          <w:i/>
          <w:color w:val="000000"/>
          <w:sz w:val="18"/>
          <w:szCs w:val="18"/>
        </w:rPr>
        <w:t xml:space="preserve"> o su condición de discapacidad</w:t>
      </w:r>
      <w:r>
        <w:rPr>
          <w:rFonts w:ascii="Century Gothic" w:eastAsia="Century Gothic" w:hAnsi="Century Gothic" w:cs="Century Gothic"/>
          <w:i/>
          <w:color w:val="000000"/>
          <w:sz w:val="18"/>
          <w:szCs w:val="18"/>
          <w:vertAlign w:val="superscript"/>
        </w:rPr>
        <w:footnoteReference w:id="59"/>
      </w:r>
      <w:r>
        <w:rPr>
          <w:rFonts w:ascii="Century Gothic" w:eastAsia="Century Gothic" w:hAnsi="Century Gothic" w:cs="Century Gothic"/>
          <w:i/>
          <w:color w:val="000000"/>
          <w:sz w:val="18"/>
          <w:szCs w:val="18"/>
        </w:rPr>
        <w:t>"</w:t>
      </w:r>
      <w:r>
        <w:rPr>
          <w:rFonts w:ascii="Century Gothic" w:eastAsia="Century Gothic" w:hAnsi="Century Gothic" w:cs="Century Gothic"/>
          <w:color w:val="000000"/>
          <w:sz w:val="18"/>
          <w:szCs w:val="18"/>
        </w:rPr>
        <w:t>(Negrilla y subrayado por fuera del texto)</w:t>
      </w:r>
    </w:p>
    <w:p w14:paraId="7D63F88D" w14:textId="77777777" w:rsidR="002051CB" w:rsidRDefault="002051CB" w:rsidP="002051CB">
      <w:pPr>
        <w:pBdr>
          <w:top w:val="nil"/>
          <w:left w:val="nil"/>
          <w:bottom w:val="nil"/>
          <w:right w:val="nil"/>
          <w:between w:val="nil"/>
        </w:pBdr>
        <w:ind w:left="284" w:right="333"/>
        <w:jc w:val="both"/>
        <w:rPr>
          <w:rFonts w:ascii="Century Gothic" w:eastAsia="Century Gothic" w:hAnsi="Century Gothic" w:cs="Century Gothic"/>
          <w:i/>
          <w:color w:val="000000"/>
          <w:sz w:val="18"/>
          <w:szCs w:val="18"/>
        </w:rPr>
      </w:pPr>
    </w:p>
    <w:p w14:paraId="7F4329B0"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relación a  este principio fundamental, el Tribunal Constitucional ha reiterado que el Estado colombiano debe considerar aquellos aspectos en los cuales las mujeres han sido sujeto de discriminación histórica, a fin de establecer las medidas  necesarias para reconocer una igualdad efectiva entre hombres y mujeres, y desde una dimensión funcional, debe establecer los casos en los cuales la dignidad humana reforzará los ámbitos personal y material de protección de derechos fundamentales cuando se está ante una mujer</w:t>
      </w:r>
      <w:r>
        <w:rPr>
          <w:rFonts w:ascii="Century Gothic" w:eastAsia="Century Gothic" w:hAnsi="Century Gothic" w:cs="Century Gothic"/>
          <w:sz w:val="22"/>
          <w:szCs w:val="22"/>
          <w:vertAlign w:val="superscript"/>
        </w:rPr>
        <w:footnoteReference w:id="60"/>
      </w:r>
      <w:r>
        <w:rPr>
          <w:rFonts w:ascii="Century Gothic" w:eastAsia="Century Gothic" w:hAnsi="Century Gothic" w:cs="Century Gothic"/>
          <w:sz w:val="22"/>
          <w:szCs w:val="22"/>
        </w:rPr>
        <w:t>.</w:t>
      </w:r>
    </w:p>
    <w:p w14:paraId="4EA33781" w14:textId="77777777" w:rsidR="002051CB" w:rsidRDefault="002051CB" w:rsidP="002051CB">
      <w:pPr>
        <w:jc w:val="both"/>
        <w:rPr>
          <w:rFonts w:ascii="Century Gothic" w:eastAsia="Century Gothic" w:hAnsi="Century Gothic" w:cs="Century Gothic"/>
          <w:sz w:val="22"/>
          <w:szCs w:val="22"/>
        </w:rPr>
      </w:pPr>
    </w:p>
    <w:p w14:paraId="66951F5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Frente al tema de higiene menstrual, el precedente constitucional ha establecido que este constituye una garantía concreta al principio de igualdad, en otras palabras, dispuso </w:t>
      </w:r>
      <w:r>
        <w:rPr>
          <w:rFonts w:ascii="Century Gothic" w:eastAsia="Century Gothic" w:hAnsi="Century Gothic" w:cs="Century Gothic"/>
          <w:i/>
          <w:sz w:val="22"/>
          <w:szCs w:val="22"/>
        </w:rPr>
        <w:t>“el acceso a este tipo de productos es fundamental para que las mujeres puedan participar de la vida social y pública, con incidencia en el acceso a la educación y el trabajo.</w:t>
      </w:r>
      <w:r>
        <w:rPr>
          <w:rFonts w:ascii="Century Gothic" w:eastAsia="Century Gothic" w:hAnsi="Century Gothic" w:cs="Century Gothic"/>
          <w:i/>
          <w:sz w:val="22"/>
          <w:szCs w:val="22"/>
          <w:vertAlign w:val="superscript"/>
        </w:rPr>
        <w:footnoteReference w:id="61"/>
      </w:r>
      <w:r>
        <w:rPr>
          <w:rFonts w:ascii="Century Gothic" w:eastAsia="Century Gothic" w:hAnsi="Century Gothic" w:cs="Century Gothic"/>
          <w:i/>
          <w:sz w:val="22"/>
          <w:szCs w:val="22"/>
        </w:rPr>
        <w:t xml:space="preserve">” </w:t>
      </w:r>
    </w:p>
    <w:p w14:paraId="01E101EA" w14:textId="77777777" w:rsidR="002051CB" w:rsidRDefault="002051CB" w:rsidP="002051CB">
      <w:pPr>
        <w:spacing w:line="276" w:lineRule="auto"/>
        <w:jc w:val="both"/>
        <w:rPr>
          <w:rFonts w:ascii="Century Gothic" w:eastAsia="Century Gothic" w:hAnsi="Century Gothic" w:cs="Century Gothic"/>
          <w:sz w:val="22"/>
          <w:szCs w:val="22"/>
        </w:rPr>
      </w:pPr>
    </w:p>
    <w:p w14:paraId="30131A4B"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DERECHO FUNDAMENTAL A LA SALUD</w:t>
      </w:r>
      <w:r>
        <w:rPr>
          <w:rFonts w:ascii="Century Gothic" w:eastAsia="Century Gothic" w:hAnsi="Century Gothic" w:cs="Century Gothic"/>
          <w:color w:val="000000"/>
          <w:sz w:val="22"/>
          <w:szCs w:val="22"/>
        </w:rPr>
        <w:t>: La Carta Política establece en su artículo 49 que la salud es un servicio público a cargo del Estado, sin embargo, desde la expedición de la Ley Estatutaria 1751 de 2015 se configura como un derecho fundamental, del cual se predica, entre otras, su carácter de irrenunciable. Además de dicha condición, se desprende el acceso oportuno y de calidad a los servicios que se requieran para alcanzar el mejor nivel de salud posible</w:t>
      </w:r>
      <w:r>
        <w:rPr>
          <w:rFonts w:ascii="Century Gothic" w:eastAsia="Century Gothic" w:hAnsi="Century Gothic" w:cs="Century Gothic"/>
          <w:color w:val="000000"/>
          <w:sz w:val="22"/>
          <w:szCs w:val="22"/>
          <w:vertAlign w:val="superscript"/>
        </w:rPr>
        <w:footnoteReference w:id="62"/>
      </w:r>
      <w:r>
        <w:rPr>
          <w:rFonts w:ascii="Century Gothic" w:eastAsia="Century Gothic" w:hAnsi="Century Gothic" w:cs="Century Gothic"/>
          <w:color w:val="000000"/>
          <w:sz w:val="22"/>
          <w:szCs w:val="22"/>
        </w:rPr>
        <w:t>.</w:t>
      </w:r>
    </w:p>
    <w:p w14:paraId="67E47022" w14:textId="77777777" w:rsidR="002051CB" w:rsidRDefault="002051CB" w:rsidP="002051CB">
      <w:pPr>
        <w:jc w:val="both"/>
        <w:rPr>
          <w:rFonts w:ascii="Century Gothic" w:eastAsia="Century Gothic" w:hAnsi="Century Gothic" w:cs="Century Gothic"/>
          <w:sz w:val="22"/>
          <w:szCs w:val="22"/>
        </w:rPr>
      </w:pPr>
    </w:p>
    <w:p w14:paraId="41AEC4B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Fondo de la Población de las Naciones Unidas (UNFPA) ha indicado que </w:t>
      </w:r>
      <w:r>
        <w:rPr>
          <w:rFonts w:ascii="Century Gothic" w:eastAsia="Century Gothic" w:hAnsi="Century Gothic" w:cs="Century Gothic"/>
          <w:i/>
          <w:sz w:val="22"/>
          <w:szCs w:val="22"/>
        </w:rPr>
        <w:t>"las mujeres y las niñas pueden sufrir consecuencias negativas para la salud</w:t>
      </w:r>
      <w:r>
        <w:rPr>
          <w:rFonts w:ascii="Century Gothic" w:eastAsia="Century Gothic" w:hAnsi="Century Gothic" w:cs="Century Gothic"/>
          <w:b/>
          <w:i/>
          <w:sz w:val="22"/>
          <w:szCs w:val="22"/>
        </w:rPr>
        <w:t xml:space="preserve"> </w:t>
      </w:r>
      <w:r>
        <w:rPr>
          <w:rFonts w:ascii="Century Gothic" w:eastAsia="Century Gothic" w:hAnsi="Century Gothic" w:cs="Century Gothic"/>
          <w:b/>
          <w:i/>
          <w:sz w:val="22"/>
          <w:szCs w:val="22"/>
          <w:u w:val="single"/>
        </w:rPr>
        <w:t>cuando carecen de suministros y servicios para manejar su salud menstrual</w:t>
      </w:r>
      <w:r>
        <w:rPr>
          <w:rFonts w:ascii="Century Gothic" w:eastAsia="Century Gothic" w:hAnsi="Century Gothic" w:cs="Century Gothic"/>
          <w:b/>
          <w:i/>
          <w:sz w:val="22"/>
          <w:szCs w:val="22"/>
        </w:rPr>
        <w:t xml:space="preserve"> </w:t>
      </w:r>
      <w:r>
        <w:rPr>
          <w:rFonts w:ascii="Century Gothic" w:eastAsia="Century Gothic" w:hAnsi="Century Gothic" w:cs="Century Gothic"/>
          <w:i/>
          <w:sz w:val="22"/>
          <w:szCs w:val="22"/>
        </w:rPr>
        <w:t>(…)"</w:t>
      </w:r>
      <w:r>
        <w:rPr>
          <w:rFonts w:ascii="Century Gothic" w:eastAsia="Century Gothic" w:hAnsi="Century Gothic" w:cs="Century Gothic"/>
          <w:i/>
          <w:sz w:val="22"/>
          <w:szCs w:val="22"/>
          <w:vertAlign w:val="superscript"/>
        </w:rPr>
        <w:footnoteReference w:id="63"/>
      </w:r>
      <w:r>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 xml:space="preserve">(Negrilla y subrayado por fuera del texto), por ello es preocupante la situación en los establecimientos de reclusión colombianos, en donde las mujeres han manifestado que muchas veces por las condiciones en las cuales tienen que manejar su </w:t>
      </w:r>
      <w:r>
        <w:rPr>
          <w:rFonts w:ascii="Century Gothic" w:eastAsia="Century Gothic" w:hAnsi="Century Gothic" w:cs="Century Gothic"/>
          <w:sz w:val="22"/>
          <w:szCs w:val="22"/>
        </w:rPr>
        <w:lastRenderedPageBreak/>
        <w:t>menstruación, han padecido infecciones vaginales y otras mayores complicaciones debido a la acumulación de bacterias</w:t>
      </w:r>
      <w:r>
        <w:rPr>
          <w:rFonts w:ascii="Century Gothic" w:eastAsia="Century Gothic" w:hAnsi="Century Gothic" w:cs="Century Gothic"/>
          <w:sz w:val="22"/>
          <w:szCs w:val="22"/>
          <w:vertAlign w:val="superscript"/>
        </w:rPr>
        <w:footnoteReference w:id="64"/>
      </w:r>
      <w:r>
        <w:rPr>
          <w:rFonts w:ascii="Century Gothic" w:eastAsia="Century Gothic" w:hAnsi="Century Gothic" w:cs="Century Gothic"/>
          <w:sz w:val="22"/>
          <w:szCs w:val="22"/>
        </w:rPr>
        <w:t>.</w:t>
      </w:r>
    </w:p>
    <w:p w14:paraId="68BE27DA" w14:textId="77777777" w:rsidR="002051CB" w:rsidRDefault="002051CB" w:rsidP="002051CB">
      <w:pPr>
        <w:spacing w:line="276" w:lineRule="auto"/>
        <w:jc w:val="both"/>
        <w:rPr>
          <w:rFonts w:ascii="Century Gothic" w:eastAsia="Century Gothic" w:hAnsi="Century Gothic" w:cs="Century Gothic"/>
          <w:sz w:val="22"/>
          <w:szCs w:val="22"/>
        </w:rPr>
      </w:pPr>
    </w:p>
    <w:p w14:paraId="620BC1F1" w14:textId="77777777" w:rsidR="002051CB" w:rsidRDefault="002051CB" w:rsidP="002051CB">
      <w:pPr>
        <w:numPr>
          <w:ilvl w:val="0"/>
          <w:numId w:val="21"/>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MARCO LEGAL COLOMBIANO.</w:t>
      </w:r>
    </w:p>
    <w:p w14:paraId="781C1C08" w14:textId="77777777" w:rsidR="002051CB" w:rsidRDefault="002051CB" w:rsidP="002051CB">
      <w:pPr>
        <w:spacing w:line="276" w:lineRule="auto"/>
        <w:jc w:val="both"/>
        <w:rPr>
          <w:rFonts w:ascii="Century Gothic" w:eastAsia="Century Gothic" w:hAnsi="Century Gothic" w:cs="Century Gothic"/>
          <w:sz w:val="22"/>
          <w:szCs w:val="22"/>
        </w:rPr>
      </w:pPr>
    </w:p>
    <w:p w14:paraId="696C44CE"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Ley Estatutaria 1751 de 2015 </w:t>
      </w:r>
      <w:r>
        <w:rPr>
          <w:rFonts w:ascii="Century Gothic" w:eastAsia="Century Gothic" w:hAnsi="Century Gothic" w:cs="Century Gothic"/>
          <w:i/>
          <w:color w:val="000000"/>
          <w:sz w:val="22"/>
          <w:szCs w:val="22"/>
        </w:rPr>
        <w:t>“Por medio de la cual se regula el derecho fundamental a la salud y se dictan otras disposiciones”,</w:t>
      </w:r>
      <w:r>
        <w:rPr>
          <w:rFonts w:ascii="Century Gothic" w:eastAsia="Century Gothic" w:hAnsi="Century Gothic" w:cs="Century Gothic"/>
          <w:color w:val="000000"/>
          <w:sz w:val="22"/>
          <w:szCs w:val="22"/>
        </w:rPr>
        <w:t xml:space="preserve"> el cual tiene por objeto el de garantizar el derecho fundamental a la salud, regularlo y establecer sus mecanismos de protección. Es importante precisar que en su artículo 2 establece:</w:t>
      </w:r>
    </w:p>
    <w:p w14:paraId="7998943C" w14:textId="77777777" w:rsidR="002051CB" w:rsidRDefault="002051CB" w:rsidP="002051CB">
      <w:pPr>
        <w:jc w:val="both"/>
        <w:rPr>
          <w:rFonts w:ascii="Century Gothic" w:eastAsia="Century Gothic" w:hAnsi="Century Gothic" w:cs="Century Gothic"/>
          <w:sz w:val="22"/>
          <w:szCs w:val="22"/>
        </w:rPr>
      </w:pPr>
    </w:p>
    <w:p w14:paraId="6D7BB63C" w14:textId="77777777"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ARTÍCULO 2o. NATURALEZA Y CONTENIDO DEL DERECHO FUNDAMENTAL A LA SALUD. El derecho fundamental a la salud </w:t>
      </w:r>
      <w:r>
        <w:rPr>
          <w:rFonts w:ascii="Century Gothic" w:eastAsia="Century Gothic" w:hAnsi="Century Gothic" w:cs="Century Gothic"/>
          <w:b/>
          <w:i/>
          <w:sz w:val="18"/>
          <w:szCs w:val="18"/>
          <w:u w:val="single"/>
        </w:rPr>
        <w:t>es autónomo e irrenunciable</w:t>
      </w:r>
      <w:r>
        <w:rPr>
          <w:rFonts w:ascii="Century Gothic" w:eastAsia="Century Gothic" w:hAnsi="Century Gothic" w:cs="Century Gothic"/>
          <w:i/>
          <w:sz w:val="18"/>
          <w:szCs w:val="18"/>
        </w:rPr>
        <w:t xml:space="preserve"> en lo individual y en lo colectivo. (...) </w:t>
      </w:r>
      <w:r>
        <w:rPr>
          <w:rFonts w:ascii="Century Gothic" w:eastAsia="Century Gothic" w:hAnsi="Century Gothic" w:cs="Century Gothic"/>
          <w:sz w:val="18"/>
          <w:szCs w:val="18"/>
        </w:rPr>
        <w:t>(Negrilla y subrayado por fuera del texto)</w:t>
      </w:r>
    </w:p>
    <w:p w14:paraId="3E0B0020" w14:textId="77777777" w:rsidR="002051CB" w:rsidRDefault="002051CB" w:rsidP="002051CB">
      <w:pPr>
        <w:spacing w:line="276" w:lineRule="auto"/>
        <w:jc w:val="both"/>
        <w:rPr>
          <w:rFonts w:ascii="Century Gothic" w:eastAsia="Century Gothic" w:hAnsi="Century Gothic" w:cs="Century Gothic"/>
          <w:sz w:val="22"/>
          <w:szCs w:val="22"/>
        </w:rPr>
      </w:pPr>
    </w:p>
    <w:p w14:paraId="4710ADDB"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Así mismo, en el artículo 5 literal a) dispone que el Estado tiene como obligación:</w:t>
      </w:r>
    </w:p>
    <w:p w14:paraId="65EA896A" w14:textId="77777777" w:rsidR="002051CB" w:rsidRDefault="002051CB" w:rsidP="002051CB">
      <w:pPr>
        <w:jc w:val="both"/>
        <w:rPr>
          <w:rFonts w:ascii="Century Gothic" w:eastAsia="Century Gothic" w:hAnsi="Century Gothic" w:cs="Century Gothic"/>
          <w:sz w:val="22"/>
          <w:szCs w:val="22"/>
        </w:rPr>
      </w:pPr>
    </w:p>
    <w:p w14:paraId="71A6A60F" w14:textId="77777777" w:rsidR="002051CB" w:rsidRDefault="002051CB" w:rsidP="002051CB">
      <w:pPr>
        <w:spacing w:line="276" w:lineRule="auto"/>
        <w:ind w:left="567" w:right="333"/>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ARTÍCULO 5o. OBLIGACIONES DEL ESTADO. </w:t>
      </w:r>
      <w:r>
        <w:rPr>
          <w:rFonts w:ascii="Century Gothic" w:eastAsia="Century Gothic" w:hAnsi="Century Gothic" w:cs="Century Gothic"/>
          <w:b/>
          <w:i/>
          <w:color w:val="000000"/>
          <w:sz w:val="18"/>
          <w:szCs w:val="18"/>
        </w:rPr>
        <w:t>"</w:t>
      </w:r>
      <w:r>
        <w:rPr>
          <w:rFonts w:ascii="Century Gothic" w:eastAsia="Century Gothic" w:hAnsi="Century Gothic" w:cs="Century Gothic"/>
          <w:b/>
          <w:i/>
          <w:color w:val="000000"/>
          <w:sz w:val="18"/>
          <w:szCs w:val="18"/>
          <w:u w:val="single"/>
        </w:rPr>
        <w:t>El Estado es responsable de respetar, proteger y garantizar el goce efectivo del derecho fundamental a la salud</w:t>
      </w:r>
      <w:r>
        <w:rPr>
          <w:rFonts w:ascii="Century Gothic" w:eastAsia="Century Gothic" w:hAnsi="Century Gothic" w:cs="Century Gothic"/>
          <w:i/>
          <w:color w:val="000000"/>
          <w:sz w:val="18"/>
          <w:szCs w:val="18"/>
          <w:u w:val="single"/>
        </w:rPr>
        <w:t>;</w:t>
      </w:r>
      <w:r>
        <w:rPr>
          <w:rFonts w:ascii="Century Gothic" w:eastAsia="Century Gothic" w:hAnsi="Century Gothic" w:cs="Century Gothic"/>
          <w:i/>
          <w:color w:val="000000"/>
          <w:sz w:val="18"/>
          <w:szCs w:val="18"/>
        </w:rPr>
        <w:t xml:space="preserve"> para ello deberá:</w:t>
      </w:r>
    </w:p>
    <w:p w14:paraId="213D85A3" w14:textId="77777777" w:rsidR="002051CB" w:rsidRDefault="002051CB" w:rsidP="002051CB">
      <w:pPr>
        <w:spacing w:line="276" w:lineRule="auto"/>
        <w:ind w:left="567" w:right="333"/>
        <w:jc w:val="both"/>
        <w:rPr>
          <w:rFonts w:ascii="Century Gothic" w:eastAsia="Century Gothic" w:hAnsi="Century Gothic" w:cs="Century Gothic"/>
          <w:i/>
          <w:color w:val="000000"/>
          <w:sz w:val="18"/>
          <w:szCs w:val="18"/>
        </w:rPr>
      </w:pPr>
    </w:p>
    <w:p w14:paraId="503C7F2D" w14:textId="77777777" w:rsidR="002051CB" w:rsidRDefault="002051CB" w:rsidP="002051CB">
      <w:pPr>
        <w:spacing w:line="276" w:lineRule="auto"/>
        <w:ind w:left="567" w:right="333"/>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a)  Abstenerse de afectar directa o indirectamente en el disfrute del derecho fundamental a la salud, de </w:t>
      </w:r>
      <w:r>
        <w:rPr>
          <w:rFonts w:ascii="Century Gothic" w:eastAsia="Century Gothic" w:hAnsi="Century Gothic" w:cs="Century Gothic"/>
          <w:b/>
          <w:i/>
          <w:color w:val="000000"/>
          <w:sz w:val="18"/>
          <w:szCs w:val="18"/>
          <w:u w:val="single"/>
        </w:rPr>
        <w:t>adoptar decisiones que lleven al deterioro de la salud de la población</w:t>
      </w:r>
      <w:r>
        <w:rPr>
          <w:rFonts w:ascii="Century Gothic" w:eastAsia="Century Gothic" w:hAnsi="Century Gothic" w:cs="Century Gothic"/>
          <w:i/>
          <w:color w:val="000000"/>
          <w:sz w:val="18"/>
          <w:szCs w:val="18"/>
        </w:rPr>
        <w:t xml:space="preserve"> y de realizar cualquier acción u omisión que pueda resultar en un daño en la salud de las personas" (...) </w:t>
      </w:r>
      <w:r>
        <w:rPr>
          <w:rFonts w:ascii="Century Gothic" w:eastAsia="Century Gothic" w:hAnsi="Century Gothic" w:cs="Century Gothic"/>
          <w:sz w:val="18"/>
          <w:szCs w:val="18"/>
        </w:rPr>
        <w:t>(Negrilla y subrayado por fuera del texto)</w:t>
      </w:r>
    </w:p>
    <w:p w14:paraId="3BE7CDB2" w14:textId="77777777" w:rsidR="002051CB" w:rsidRDefault="002051CB" w:rsidP="002051CB">
      <w:pPr>
        <w:jc w:val="both"/>
        <w:rPr>
          <w:rFonts w:ascii="Century Gothic" w:eastAsia="Century Gothic" w:hAnsi="Century Gothic" w:cs="Century Gothic"/>
          <w:sz w:val="22"/>
          <w:szCs w:val="22"/>
        </w:rPr>
      </w:pPr>
    </w:p>
    <w:p w14:paraId="46CAF22A"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Con fundamento en lo enunciado, es esencial garantizarles a todas las mujeres y aún más a aquellas que se encuentran en situaciones de vulnerabilidad, como lo son las privadas de la libertad</w:t>
      </w:r>
      <w:r>
        <w:rPr>
          <w:rFonts w:ascii="Century Gothic" w:eastAsia="Century Gothic" w:hAnsi="Century Gothic" w:cs="Century Gothic"/>
          <w:sz w:val="22"/>
          <w:szCs w:val="22"/>
          <w:vertAlign w:val="superscript"/>
        </w:rPr>
        <w:footnoteReference w:id="65"/>
      </w:r>
      <w:r>
        <w:rPr>
          <w:rFonts w:ascii="Century Gothic" w:eastAsia="Century Gothic" w:hAnsi="Century Gothic" w:cs="Century Gothic"/>
          <w:sz w:val="22"/>
          <w:szCs w:val="22"/>
        </w:rPr>
        <w:t xml:space="preserve">, sus derechos fundamentales, en especial el derecho a la salud. </w:t>
      </w:r>
    </w:p>
    <w:p w14:paraId="72B9208D" w14:textId="77777777" w:rsidR="002051CB" w:rsidRDefault="002051CB" w:rsidP="002051CB">
      <w:pPr>
        <w:pBdr>
          <w:top w:val="nil"/>
          <w:left w:val="nil"/>
          <w:bottom w:val="nil"/>
          <w:right w:val="nil"/>
          <w:between w:val="nil"/>
        </w:pBdr>
        <w:spacing w:line="276" w:lineRule="auto"/>
        <w:jc w:val="both"/>
        <w:rPr>
          <w:rFonts w:ascii="Century Gothic" w:eastAsia="Century Gothic" w:hAnsi="Century Gothic" w:cs="Century Gothic"/>
          <w:color w:val="000000"/>
          <w:sz w:val="22"/>
          <w:szCs w:val="22"/>
          <w:u w:val="single"/>
        </w:rPr>
      </w:pPr>
    </w:p>
    <w:p w14:paraId="4322C59F" w14:textId="77777777" w:rsidR="002051CB" w:rsidRDefault="002051CB" w:rsidP="002051CB">
      <w:pPr>
        <w:pBdr>
          <w:top w:val="nil"/>
          <w:left w:val="nil"/>
          <w:bottom w:val="nil"/>
          <w:right w:val="nil"/>
          <w:between w:val="nil"/>
        </w:pBdr>
        <w:spacing w:line="276" w:lineRule="auto"/>
        <w:ind w:firstLine="284"/>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rPr>
        <w:t xml:space="preserve">Ley 65 de 1993 </w:t>
      </w:r>
      <w:r>
        <w:rPr>
          <w:rFonts w:ascii="Century Gothic" w:eastAsia="Century Gothic" w:hAnsi="Century Gothic" w:cs="Century Gothic"/>
          <w:i/>
          <w:color w:val="000000"/>
          <w:sz w:val="22"/>
          <w:szCs w:val="22"/>
        </w:rPr>
        <w:t xml:space="preserve">"Por la cual se expide el Código Penitenciario y Carcelario", </w:t>
      </w:r>
      <w:r>
        <w:rPr>
          <w:rFonts w:ascii="Century Gothic" w:eastAsia="Century Gothic" w:hAnsi="Century Gothic" w:cs="Century Gothic"/>
          <w:color w:val="000000"/>
          <w:sz w:val="22"/>
          <w:szCs w:val="22"/>
        </w:rPr>
        <w:t>cuyo objetivo es regular el cumplimiento de las medidas de aseguramiento, la ejecución de las penas privativas de la libertad personal y de las medidas de seguridad. Este cuerpo normativo establece en sus artículos lo siguiente:</w:t>
      </w:r>
    </w:p>
    <w:p w14:paraId="28043D1B" w14:textId="77777777" w:rsidR="002051CB" w:rsidRDefault="002051CB" w:rsidP="002051CB">
      <w:pPr>
        <w:spacing w:line="276" w:lineRule="auto"/>
        <w:jc w:val="both"/>
        <w:rPr>
          <w:rFonts w:ascii="Century Gothic" w:eastAsia="Century Gothic" w:hAnsi="Century Gothic" w:cs="Century Gothic"/>
          <w:b/>
          <w:sz w:val="22"/>
          <w:szCs w:val="22"/>
          <w:u w:val="single"/>
        </w:rPr>
      </w:pPr>
    </w:p>
    <w:p w14:paraId="45A8EE34"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ARTICULO 5o. "RESPETO A LA DIGNIDAD HUMANA. Modificado por el art. 4, Ley 1709 de 2014. En los establecimientos de reclusión </w:t>
      </w:r>
      <w:r>
        <w:rPr>
          <w:rFonts w:ascii="Century Gothic" w:eastAsia="Century Gothic" w:hAnsi="Century Gothic" w:cs="Century Gothic"/>
          <w:b/>
          <w:i/>
          <w:sz w:val="18"/>
          <w:szCs w:val="18"/>
          <w:u w:val="single"/>
        </w:rPr>
        <w:t>prevalecerá el respeto a la dignidad humana, a las garantías constitucionales y a los derechos humanos universalmente reconocidos</w:t>
      </w:r>
      <w:r>
        <w:rPr>
          <w:rFonts w:ascii="Century Gothic" w:eastAsia="Century Gothic" w:hAnsi="Century Gothic" w:cs="Century Gothic"/>
          <w:i/>
          <w:sz w:val="18"/>
          <w:szCs w:val="18"/>
        </w:rPr>
        <w:t xml:space="preserve">. Se </w:t>
      </w:r>
      <w:r>
        <w:rPr>
          <w:rFonts w:ascii="Century Gothic" w:eastAsia="Century Gothic" w:hAnsi="Century Gothic" w:cs="Century Gothic"/>
          <w:i/>
          <w:sz w:val="18"/>
          <w:szCs w:val="18"/>
        </w:rPr>
        <w:lastRenderedPageBreak/>
        <w:t xml:space="preserve">prohíbe toda forma de violencia síquica, física o moral". </w:t>
      </w:r>
      <w:r>
        <w:rPr>
          <w:rFonts w:ascii="Century Gothic" w:eastAsia="Century Gothic" w:hAnsi="Century Gothic" w:cs="Century Gothic"/>
          <w:sz w:val="18"/>
          <w:szCs w:val="18"/>
        </w:rPr>
        <w:t>(Negrilla y subrayado por fuera del texto)</w:t>
      </w:r>
    </w:p>
    <w:p w14:paraId="7CC71FF9" w14:textId="77777777" w:rsidR="002051CB" w:rsidRDefault="002051CB" w:rsidP="002051CB">
      <w:pPr>
        <w:spacing w:line="276" w:lineRule="auto"/>
        <w:ind w:left="708"/>
        <w:jc w:val="both"/>
        <w:rPr>
          <w:rFonts w:ascii="Century Gothic" w:eastAsia="Century Gothic" w:hAnsi="Century Gothic" w:cs="Century Gothic"/>
          <w:sz w:val="22"/>
          <w:szCs w:val="22"/>
        </w:rPr>
      </w:pPr>
    </w:p>
    <w:p w14:paraId="7E22808D" w14:textId="77777777" w:rsidR="002051CB" w:rsidRDefault="002051CB" w:rsidP="002051CB">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Respecto del tema puntual del expendio de artículos de primera necesidad, la ley dispone que:</w:t>
      </w:r>
    </w:p>
    <w:p w14:paraId="0CAA8D0C" w14:textId="77777777" w:rsidR="002051CB" w:rsidRDefault="002051CB" w:rsidP="002051CB">
      <w:pPr>
        <w:spacing w:line="276" w:lineRule="auto"/>
        <w:rPr>
          <w:rFonts w:ascii="Century Gothic" w:eastAsia="Century Gothic" w:hAnsi="Century Gothic" w:cs="Century Gothic"/>
          <w:sz w:val="22"/>
          <w:szCs w:val="22"/>
        </w:rPr>
      </w:pPr>
    </w:p>
    <w:p w14:paraId="05F1C786"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ARTICULO 69. "EXPENDIO DE ARTICULOS DE PRIMERA NECESIDAD. La dirección de </w:t>
      </w:r>
      <w:r>
        <w:rPr>
          <w:rFonts w:ascii="Century Gothic" w:eastAsia="Century Gothic" w:hAnsi="Century Gothic" w:cs="Century Gothic"/>
          <w:b/>
          <w:i/>
          <w:sz w:val="18"/>
          <w:szCs w:val="18"/>
          <w:u w:val="single"/>
        </w:rPr>
        <w:t>cada centro de reclusión organizará por cuenta de la administración</w:t>
      </w:r>
      <w:r>
        <w:rPr>
          <w:rFonts w:ascii="Century Gothic" w:eastAsia="Century Gothic" w:hAnsi="Century Gothic" w:cs="Century Gothic"/>
          <w:i/>
          <w:sz w:val="18"/>
          <w:szCs w:val="18"/>
        </w:rPr>
        <w:t xml:space="preserve">, el expendio de artículos de primera necesidad y uso personal para los detenidos y condenados". </w:t>
      </w:r>
      <w:r>
        <w:rPr>
          <w:rFonts w:ascii="Century Gothic" w:eastAsia="Century Gothic" w:hAnsi="Century Gothic" w:cs="Century Gothic"/>
          <w:sz w:val="18"/>
          <w:szCs w:val="18"/>
        </w:rPr>
        <w:t>(Negrilla y subrayado por fuera del texto)</w:t>
      </w:r>
    </w:p>
    <w:p w14:paraId="370B9451" w14:textId="77777777" w:rsidR="00510DC6" w:rsidRDefault="00510DC6" w:rsidP="002051CB">
      <w:pPr>
        <w:pBdr>
          <w:top w:val="nil"/>
          <w:left w:val="nil"/>
          <w:bottom w:val="nil"/>
          <w:right w:val="nil"/>
          <w:between w:val="nil"/>
        </w:pBdr>
        <w:spacing w:line="276" w:lineRule="auto"/>
        <w:ind w:firstLine="284"/>
        <w:jc w:val="both"/>
        <w:rPr>
          <w:rFonts w:ascii="Century Gothic" w:eastAsia="Century Gothic" w:hAnsi="Century Gothic" w:cs="Century Gothic"/>
          <w:sz w:val="22"/>
          <w:szCs w:val="22"/>
          <w:u w:val="single"/>
        </w:rPr>
      </w:pPr>
    </w:p>
    <w:p w14:paraId="79A7BD77" w14:textId="5D4EE748" w:rsidR="002051CB" w:rsidRDefault="002051CB" w:rsidP="00510DC6">
      <w:pPr>
        <w:pBdr>
          <w:top w:val="nil"/>
          <w:left w:val="nil"/>
          <w:bottom w:val="nil"/>
          <w:right w:val="nil"/>
          <w:between w:val="nil"/>
        </w:pBdr>
        <w:spacing w:line="276" w:lineRule="auto"/>
        <w:jc w:val="both"/>
        <w:rPr>
          <w:rFonts w:ascii="Century Gothic" w:eastAsia="Century Gothic" w:hAnsi="Century Gothic" w:cs="Century Gothic"/>
          <w:color w:val="000000"/>
          <w:sz w:val="22"/>
          <w:szCs w:val="22"/>
          <w:u w:val="single"/>
        </w:rPr>
      </w:pPr>
      <w:r>
        <w:rPr>
          <w:rFonts w:ascii="Century Gothic" w:eastAsia="Century Gothic" w:hAnsi="Century Gothic" w:cs="Century Gothic"/>
          <w:b/>
          <w:color w:val="000000"/>
          <w:sz w:val="22"/>
          <w:szCs w:val="22"/>
        </w:rPr>
        <w:t xml:space="preserve">Resolución 6349 de 2016 del INPEC. </w:t>
      </w:r>
      <w:r>
        <w:rPr>
          <w:rFonts w:ascii="Century Gothic" w:eastAsia="Century Gothic" w:hAnsi="Century Gothic" w:cs="Century Gothic"/>
          <w:color w:val="000000"/>
          <w:sz w:val="22"/>
          <w:szCs w:val="22"/>
        </w:rPr>
        <w:t xml:space="preserve">En primer lugar, es importante mencionar que esta Resolución fue expedida conforme al numeral 14 del artículo 8 del Decreto Ley 4151 de 2011 </w:t>
      </w:r>
      <w:r>
        <w:rPr>
          <w:rFonts w:ascii="Century Gothic" w:eastAsia="Century Gothic" w:hAnsi="Century Gothic" w:cs="Century Gothic"/>
          <w:i/>
          <w:color w:val="000000"/>
          <w:sz w:val="22"/>
          <w:szCs w:val="22"/>
        </w:rPr>
        <w:t xml:space="preserve">“Por el cual se modifica la estructura del Instituto Nacional Penitenciario y Carcelario INPEC y se dictan otras disposiciones”, </w:t>
      </w:r>
      <w:r>
        <w:rPr>
          <w:rFonts w:ascii="Century Gothic" w:eastAsia="Century Gothic" w:hAnsi="Century Gothic" w:cs="Century Gothic"/>
          <w:color w:val="000000"/>
          <w:sz w:val="22"/>
          <w:szCs w:val="22"/>
        </w:rPr>
        <w:t>norma que facultó al Director General del INPEC para expedir el reglamento general y aprobar los reglamentos del régimen interno a los cuales se sujetarían los diferentes establecimientos de reclusión. Ahora bien, esta Resolución consagra:</w:t>
      </w:r>
    </w:p>
    <w:p w14:paraId="331C6F86" w14:textId="77777777" w:rsidR="002051CB" w:rsidRDefault="002051CB" w:rsidP="002051CB">
      <w:pPr>
        <w:spacing w:line="276" w:lineRule="auto"/>
        <w:jc w:val="both"/>
        <w:rPr>
          <w:rFonts w:ascii="Century Gothic" w:eastAsia="Century Gothic" w:hAnsi="Century Gothic" w:cs="Century Gothic"/>
          <w:sz w:val="22"/>
          <w:szCs w:val="22"/>
        </w:rPr>
      </w:pPr>
    </w:p>
    <w:p w14:paraId="64EF33BB"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ARTÍCULO 1. DIGNIDAD HUMANA</w:t>
      </w: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En los establecimientos de reclusión prevalecerá el respeto a la dignidad humana,</w:t>
      </w:r>
      <w:r>
        <w:rPr>
          <w:rFonts w:ascii="Century Gothic" w:eastAsia="Century Gothic" w:hAnsi="Century Gothic" w:cs="Century Gothic"/>
          <w:i/>
          <w:sz w:val="18"/>
          <w:szCs w:val="18"/>
        </w:rPr>
        <w:t xml:space="preserve"> a las garantías constitucionales y a los derechos humanos universalmente reconocidos. Se prohíbe toda forma de violencia síquica, física o moral. (...)</w:t>
      </w:r>
    </w:p>
    <w:p w14:paraId="47A074C9" w14:textId="77777777" w:rsidR="002051CB" w:rsidRDefault="002051CB" w:rsidP="002051CB">
      <w:pPr>
        <w:ind w:left="567" w:right="333"/>
        <w:jc w:val="both"/>
        <w:rPr>
          <w:rFonts w:ascii="Century Gothic" w:eastAsia="Century Gothic" w:hAnsi="Century Gothic" w:cs="Century Gothic"/>
          <w:i/>
          <w:sz w:val="18"/>
          <w:szCs w:val="18"/>
          <w:u w:val="single"/>
        </w:rPr>
      </w:pPr>
    </w:p>
    <w:p w14:paraId="71AD136A"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u w:val="single"/>
        </w:rPr>
        <w:t>Toda actuación de la administración penitenciaria y carcelaria debe respetar la dignidad humana y los derechos constitucionales</w:t>
      </w:r>
      <w:r>
        <w:rPr>
          <w:rFonts w:ascii="Century Gothic" w:eastAsia="Century Gothic" w:hAnsi="Century Gothic" w:cs="Century Gothic"/>
          <w:i/>
          <w:sz w:val="18"/>
          <w:szCs w:val="18"/>
        </w:rPr>
        <w:t xml:space="preserve"> fundamentales de conformidad con las funciones de las medidas de aseguramiento y la pena, sin perjuicio de las restricciones propias a las que están sometidas las personas privadas de la libertad-PPL. </w:t>
      </w:r>
      <w:r>
        <w:rPr>
          <w:rFonts w:ascii="Century Gothic" w:eastAsia="Century Gothic" w:hAnsi="Century Gothic" w:cs="Century Gothic"/>
          <w:sz w:val="18"/>
          <w:szCs w:val="18"/>
        </w:rPr>
        <w:t>(Negrilla y subrayado por fuera del texto)</w:t>
      </w:r>
    </w:p>
    <w:p w14:paraId="17CEC5E4" w14:textId="77777777" w:rsidR="002051CB" w:rsidRDefault="002051CB" w:rsidP="002051CB">
      <w:pPr>
        <w:ind w:left="708"/>
        <w:jc w:val="both"/>
        <w:rPr>
          <w:rFonts w:ascii="Century Gothic" w:eastAsia="Century Gothic" w:hAnsi="Century Gothic" w:cs="Century Gothic"/>
          <w:sz w:val="22"/>
          <w:szCs w:val="22"/>
        </w:rPr>
      </w:pPr>
    </w:p>
    <w:p w14:paraId="728A8362"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otra parte, conviene señalar que en los artículos 4 y 5 se establece que:</w:t>
      </w:r>
    </w:p>
    <w:p w14:paraId="46DF3259" w14:textId="77777777" w:rsidR="002051CB" w:rsidRDefault="002051CB" w:rsidP="002051CB">
      <w:pPr>
        <w:jc w:val="both"/>
        <w:rPr>
          <w:rFonts w:ascii="Century Gothic" w:eastAsia="Century Gothic" w:hAnsi="Century Gothic" w:cs="Century Gothic"/>
          <w:sz w:val="22"/>
          <w:szCs w:val="22"/>
        </w:rPr>
      </w:pPr>
    </w:p>
    <w:p w14:paraId="7B9B61F6" w14:textId="0A4A97D5"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ARTÍCULO 4. ENFOQUE DE DERECHOS HUMANOS. El presente reglamento se </w:t>
      </w:r>
      <w:r>
        <w:rPr>
          <w:rFonts w:ascii="Century Gothic" w:eastAsia="Century Gothic" w:hAnsi="Century Gothic" w:cs="Century Gothic"/>
          <w:b/>
          <w:i/>
          <w:sz w:val="18"/>
          <w:szCs w:val="18"/>
          <w:u w:val="single"/>
        </w:rPr>
        <w:t>enmarca dentro de las normas y los estándares establecidos en la legislación internacional de los derechos humanos</w:t>
      </w:r>
      <w:r>
        <w:rPr>
          <w:rFonts w:ascii="Century Gothic" w:eastAsia="Century Gothic" w:hAnsi="Century Gothic" w:cs="Century Gothic"/>
          <w:i/>
          <w:sz w:val="18"/>
          <w:szCs w:val="18"/>
        </w:rPr>
        <w:t xml:space="preserve">, las obligaciones constitucionales y legales sobre la materia, como un marco conceptual aceptado por la comunidad internacional que puede ofrecer un sistema coherente de principios y reglas en el ámbito del desarrollo para las políticas y prácticas relacionadas con este. </w:t>
      </w:r>
      <w:r>
        <w:rPr>
          <w:rFonts w:ascii="Century Gothic" w:eastAsia="Century Gothic" w:hAnsi="Century Gothic" w:cs="Century Gothic"/>
          <w:sz w:val="18"/>
          <w:szCs w:val="18"/>
        </w:rPr>
        <w:t>(Negrilla y subrayado por fuera del texto)</w:t>
      </w:r>
    </w:p>
    <w:p w14:paraId="130A0E36" w14:textId="77777777" w:rsidR="002051CB" w:rsidRDefault="002051CB" w:rsidP="002051CB">
      <w:pPr>
        <w:spacing w:line="276" w:lineRule="auto"/>
        <w:ind w:left="567" w:right="333"/>
        <w:jc w:val="both"/>
        <w:rPr>
          <w:rFonts w:ascii="Century Gothic" w:eastAsia="Century Gothic" w:hAnsi="Century Gothic" w:cs="Century Gothic"/>
          <w:sz w:val="18"/>
          <w:szCs w:val="18"/>
        </w:rPr>
      </w:pPr>
    </w:p>
    <w:p w14:paraId="03CFDA34"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ARTÍCULO 5. ENFOQUE DIFERENCIAL. </w:t>
      </w:r>
      <w:r>
        <w:rPr>
          <w:rFonts w:ascii="Century Gothic" w:eastAsia="Century Gothic" w:hAnsi="Century Gothic" w:cs="Century Gothic"/>
          <w:b/>
          <w:i/>
          <w:sz w:val="18"/>
          <w:szCs w:val="18"/>
          <w:u w:val="single"/>
        </w:rPr>
        <w:t>El principio de enfoque diferencial reconoce que hay poblaciones con características particulares en razón de su</w:t>
      </w:r>
      <w:r>
        <w:rPr>
          <w:rFonts w:ascii="Century Gothic" w:eastAsia="Century Gothic" w:hAnsi="Century Gothic" w:cs="Century Gothic"/>
          <w:i/>
          <w:sz w:val="18"/>
          <w:szCs w:val="18"/>
        </w:rPr>
        <w:t xml:space="preserve"> edad,</w:t>
      </w:r>
      <w:r>
        <w:rPr>
          <w:rFonts w:ascii="Century Gothic" w:eastAsia="Century Gothic" w:hAnsi="Century Gothic" w:cs="Century Gothic"/>
          <w:b/>
          <w:i/>
          <w:sz w:val="18"/>
          <w:szCs w:val="18"/>
        </w:rPr>
        <w:t xml:space="preserve"> sexo</w:t>
      </w:r>
      <w:r>
        <w:rPr>
          <w:rFonts w:ascii="Century Gothic" w:eastAsia="Century Gothic" w:hAnsi="Century Gothic" w:cs="Century Gothic"/>
          <w:i/>
          <w:sz w:val="18"/>
          <w:szCs w:val="18"/>
        </w:rPr>
        <w:t xml:space="preserve">, religión, identidad, expresión de género, orientación sexual, diversidad corporal, raza, etnia, situación de discapacidad y cualquiera otra. </w:t>
      </w:r>
      <w:r>
        <w:rPr>
          <w:rFonts w:ascii="Century Gothic" w:eastAsia="Century Gothic" w:hAnsi="Century Gothic" w:cs="Century Gothic"/>
          <w:b/>
          <w:i/>
          <w:sz w:val="18"/>
          <w:szCs w:val="18"/>
          <w:u w:val="single"/>
        </w:rPr>
        <w:t>Por tal razón, las medidas penitenciarias y carcelarias del presente reglamento contarán con dicho enfoque</w:t>
      </w:r>
      <w:r>
        <w:rPr>
          <w:rFonts w:ascii="Century Gothic" w:eastAsia="Century Gothic" w:hAnsi="Century Gothic" w:cs="Century Gothic"/>
          <w:i/>
          <w:sz w:val="18"/>
          <w:szCs w:val="18"/>
        </w:rPr>
        <w:t xml:space="preserve">. El Director General del INPEC expedirá los lineamientos de enfoque diferencial para adoptar las medidas tendientes a la </w:t>
      </w:r>
      <w:r>
        <w:rPr>
          <w:rFonts w:ascii="Century Gothic" w:eastAsia="Century Gothic" w:hAnsi="Century Gothic" w:cs="Century Gothic"/>
          <w:i/>
          <w:sz w:val="18"/>
          <w:szCs w:val="18"/>
        </w:rPr>
        <w:lastRenderedPageBreak/>
        <w:t xml:space="preserve">protección, visibilización y garantía de derechos. (…) </w:t>
      </w:r>
      <w:r>
        <w:rPr>
          <w:rFonts w:ascii="Century Gothic" w:eastAsia="Century Gothic" w:hAnsi="Century Gothic" w:cs="Century Gothic"/>
          <w:sz w:val="18"/>
          <w:szCs w:val="18"/>
        </w:rPr>
        <w:t>(Negrilla y subrayado por fuera del texto)</w:t>
      </w:r>
    </w:p>
    <w:p w14:paraId="57F2B34A" w14:textId="77777777" w:rsidR="002051CB" w:rsidRDefault="002051CB" w:rsidP="002051CB">
      <w:pPr>
        <w:jc w:val="both"/>
        <w:rPr>
          <w:rFonts w:ascii="Century Gothic" w:eastAsia="Century Gothic" w:hAnsi="Century Gothic" w:cs="Century Gothic"/>
          <w:sz w:val="22"/>
          <w:szCs w:val="22"/>
        </w:rPr>
      </w:pPr>
    </w:p>
    <w:p w14:paraId="14D4F2C8"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Es de resaltar que lo relativo al tema de higiene menstrual, se encuentra dispuesto en el reglamento, dentro de los elementos de uso permitido en celdas y dormitorios, de la siguiente manera:</w:t>
      </w:r>
    </w:p>
    <w:p w14:paraId="48728E6A" w14:textId="77777777" w:rsidR="002051CB" w:rsidRDefault="002051CB" w:rsidP="002051CB">
      <w:pPr>
        <w:spacing w:line="276" w:lineRule="auto"/>
        <w:rPr>
          <w:rFonts w:ascii="Century Gothic" w:eastAsia="Century Gothic" w:hAnsi="Century Gothic" w:cs="Century Gothic"/>
          <w:sz w:val="22"/>
          <w:szCs w:val="22"/>
        </w:rPr>
      </w:pPr>
    </w:p>
    <w:p w14:paraId="6DCE5557"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ARTÍCULO 45. ELEMENTOS DE USO PERMITIDO EN CELDAS Y DORMITORIOS. En las celdas y dormitorios de las personas privadas de la libertad se permitirá exclusivamente la tenencia y uso de los siguientes elementos:</w:t>
      </w:r>
    </w:p>
    <w:p w14:paraId="1FACECD5"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p>
    <w:p w14:paraId="48067587" w14:textId="77777777"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1. Artículos de aseo (desodorante, jabón, papel higiénico, cuchilla de afeitar, crema dental, preservativos, cepillo de dientes, champú, cremas para el cuerpo</w:t>
      </w:r>
      <w:r>
        <w:rPr>
          <w:rFonts w:ascii="Century Gothic" w:eastAsia="Century Gothic" w:hAnsi="Century Gothic" w:cs="Century Gothic"/>
          <w:b/>
          <w:i/>
          <w:sz w:val="18"/>
          <w:szCs w:val="18"/>
        </w:rPr>
        <w:t>,</w:t>
      </w:r>
      <w:r>
        <w:rPr>
          <w:rFonts w:ascii="Century Gothic" w:eastAsia="Century Gothic" w:hAnsi="Century Gothic" w:cs="Century Gothic"/>
          <w:b/>
          <w:i/>
          <w:sz w:val="18"/>
          <w:szCs w:val="18"/>
          <w:u w:val="single"/>
        </w:rPr>
        <w:t xml:space="preserve"> toallas higiénicas, tampones,</w:t>
      </w:r>
      <w:r>
        <w:rPr>
          <w:rFonts w:ascii="Century Gothic" w:eastAsia="Century Gothic" w:hAnsi="Century Gothic" w:cs="Century Gothic"/>
          <w:i/>
          <w:sz w:val="18"/>
          <w:szCs w:val="18"/>
        </w:rPr>
        <w:t xml:space="preserve"> jabones íntimos) y demás elementos de higiene. (...) </w:t>
      </w:r>
      <w:r>
        <w:rPr>
          <w:rFonts w:ascii="Century Gothic" w:eastAsia="Century Gothic" w:hAnsi="Century Gothic" w:cs="Century Gothic"/>
          <w:sz w:val="18"/>
          <w:szCs w:val="18"/>
        </w:rPr>
        <w:t>(Negrilla y subrayado por fuera del texto)</w:t>
      </w:r>
    </w:p>
    <w:p w14:paraId="3AD7A731" w14:textId="77777777" w:rsidR="002051CB" w:rsidRDefault="002051CB" w:rsidP="002051CB">
      <w:pPr>
        <w:pBdr>
          <w:top w:val="nil"/>
          <w:left w:val="nil"/>
          <w:bottom w:val="nil"/>
          <w:right w:val="nil"/>
          <w:between w:val="nil"/>
        </w:pBdr>
        <w:spacing w:before="280" w:after="280" w:line="276" w:lineRule="auto"/>
        <w:jc w:val="both"/>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En consideración a lo anterior resulta significativo indicar que en el Tercer Informe de la Comisión de Seguimiento de la Sociedad Civil (2017) a la Sentencia T-388 de 2013, se menciona que uno de los temas que cobra gran importancia para las mujeres recluidas es el de la higiene personal, sin embargo, no se le da la relevancia que requiere:</w:t>
      </w:r>
    </w:p>
    <w:p w14:paraId="7E35D2E5" w14:textId="77777777" w:rsidR="002051CB" w:rsidRDefault="002051CB" w:rsidP="002051CB">
      <w:pPr>
        <w:pBdr>
          <w:top w:val="nil"/>
          <w:left w:val="nil"/>
          <w:bottom w:val="nil"/>
          <w:right w:val="nil"/>
          <w:between w:val="nil"/>
        </w:pBdr>
        <w:spacing w:before="280" w:after="280" w:line="276" w:lineRule="auto"/>
        <w:ind w:left="567"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"A pesar de esto</w:t>
      </w:r>
      <w:r>
        <w:rPr>
          <w:rFonts w:ascii="Century Gothic" w:eastAsia="Century Gothic" w:hAnsi="Century Gothic" w:cs="Century Gothic"/>
          <w:b/>
          <w:i/>
          <w:color w:val="000000"/>
          <w:sz w:val="18"/>
          <w:szCs w:val="18"/>
        </w:rPr>
        <w:t xml:space="preserve">, </w:t>
      </w:r>
      <w:r>
        <w:rPr>
          <w:rFonts w:ascii="Century Gothic" w:eastAsia="Century Gothic" w:hAnsi="Century Gothic" w:cs="Century Gothic"/>
          <w:b/>
          <w:i/>
          <w:color w:val="000000"/>
          <w:sz w:val="18"/>
          <w:szCs w:val="18"/>
          <w:u w:val="single"/>
        </w:rPr>
        <w:t>esta garantía no se encuentra clara en muchos de los artículos del Reglamento General</w:t>
      </w:r>
      <w:r>
        <w:rPr>
          <w:rFonts w:ascii="Century Gothic" w:eastAsia="Century Gothic" w:hAnsi="Century Gothic" w:cs="Century Gothic"/>
          <w:i/>
          <w:color w:val="000000"/>
          <w:sz w:val="18"/>
          <w:szCs w:val="18"/>
        </w:rPr>
        <w:t xml:space="preserve">. El Semillero Interuniversitario de Abolicionismo Penal ha podido corroborar con algunas mujeres del Complejo Carcelario y Penitenciario de Jamundí́, </w:t>
      </w:r>
      <w:r>
        <w:rPr>
          <w:rFonts w:ascii="Century Gothic" w:eastAsia="Century Gothic" w:hAnsi="Century Gothic" w:cs="Century Gothic"/>
          <w:b/>
          <w:i/>
          <w:color w:val="000000"/>
          <w:sz w:val="18"/>
          <w:szCs w:val="18"/>
          <w:u w:val="single"/>
        </w:rPr>
        <w:t>que la entrega gratuita de toallas higiénicas o tampones es prácticamente nula</w:t>
      </w:r>
      <w:r>
        <w:rPr>
          <w:rFonts w:ascii="Century Gothic" w:eastAsia="Century Gothic" w:hAnsi="Century Gothic" w:cs="Century Gothic"/>
          <w:i/>
          <w:color w:val="000000"/>
          <w:sz w:val="18"/>
          <w:szCs w:val="18"/>
        </w:rPr>
        <w:t>, tienen pocas horas de acceso a agua y la imposibilidad de estar en sus celdas cuando requieren descanso específico ante los malestares del ciclo menstrual</w:t>
      </w:r>
      <w:r>
        <w:rPr>
          <w:rFonts w:ascii="Century Gothic" w:eastAsia="Century Gothic" w:hAnsi="Century Gothic" w:cs="Century Gothic"/>
          <w:color w:val="000000"/>
          <w:sz w:val="18"/>
          <w:szCs w:val="18"/>
          <w:vertAlign w:val="superscript"/>
        </w:rPr>
        <w:footnoteReference w:id="66"/>
      </w:r>
      <w:r>
        <w:rPr>
          <w:rFonts w:ascii="Century Gothic" w:eastAsia="Century Gothic" w:hAnsi="Century Gothic" w:cs="Century Gothic"/>
          <w:i/>
          <w:color w:val="000000"/>
          <w:sz w:val="18"/>
          <w:szCs w:val="18"/>
        </w:rPr>
        <w:t>."</w:t>
      </w:r>
    </w:p>
    <w:p w14:paraId="71E8A20F" w14:textId="77777777"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"Por ejemplo, la obligación de entregar de manera gratuita toallas sanitarias y el suministro permanente de agua para las mujeres que estén en embarazo, en período de lactancia o de menstruación, etc</w:t>
      </w: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no se encuentra consignada en ninguna disposición del Reglamento</w:t>
      </w:r>
      <w:r>
        <w:rPr>
          <w:rFonts w:ascii="Century Gothic" w:eastAsia="Century Gothic" w:hAnsi="Century Gothic" w:cs="Century Gothic"/>
          <w:b/>
          <w:i/>
          <w:sz w:val="18"/>
          <w:szCs w:val="18"/>
          <w:u w:val="single"/>
          <w:vertAlign w:val="superscript"/>
        </w:rPr>
        <w:footnoteReference w:id="67"/>
      </w:r>
      <w:r>
        <w:rPr>
          <w:rFonts w:ascii="Century Gothic" w:eastAsia="Century Gothic" w:hAnsi="Century Gothic" w:cs="Century Gothic"/>
          <w:i/>
          <w:sz w:val="18"/>
          <w:szCs w:val="18"/>
        </w:rPr>
        <w:t>“. (</w:t>
      </w:r>
      <w:r>
        <w:rPr>
          <w:rFonts w:ascii="Century Gothic" w:eastAsia="Century Gothic" w:hAnsi="Century Gothic" w:cs="Century Gothic"/>
          <w:sz w:val="18"/>
          <w:szCs w:val="18"/>
        </w:rPr>
        <w:t>Negrilla y subrayado por fuera del texto)</w:t>
      </w:r>
    </w:p>
    <w:p w14:paraId="049E17DB" w14:textId="77777777" w:rsidR="002051CB" w:rsidRDefault="002051CB" w:rsidP="002051CB">
      <w:pPr>
        <w:spacing w:line="276" w:lineRule="auto"/>
        <w:ind w:left="567" w:right="333"/>
        <w:jc w:val="both"/>
        <w:rPr>
          <w:rFonts w:ascii="Century Gothic" w:eastAsia="Century Gothic" w:hAnsi="Century Gothic" w:cs="Century Gothic"/>
          <w:sz w:val="18"/>
          <w:szCs w:val="18"/>
        </w:rPr>
      </w:pPr>
    </w:p>
    <w:p w14:paraId="4005F08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consecuencia, dentro de la reglamentación interna de los establecimientos de reclusión a nivel nacional, se debe tener en cuenta no solo la legislación colombiana, sino que también, se debe responder a estándares internacionales, asegurando en su contenido un enfoque de derechos humanos y de género.</w:t>
      </w:r>
    </w:p>
    <w:p w14:paraId="3EE8EE7D" w14:textId="77777777" w:rsidR="002051CB" w:rsidRDefault="002051CB" w:rsidP="002051CB">
      <w:pPr>
        <w:spacing w:line="276" w:lineRule="auto"/>
        <w:jc w:val="both"/>
        <w:rPr>
          <w:rFonts w:ascii="Century Gothic" w:eastAsia="Century Gothic" w:hAnsi="Century Gothic" w:cs="Century Gothic"/>
          <w:sz w:val="22"/>
          <w:szCs w:val="22"/>
        </w:rPr>
      </w:pPr>
    </w:p>
    <w:p w14:paraId="091218E4" w14:textId="77777777" w:rsidR="002051CB" w:rsidRDefault="002051CB" w:rsidP="002051CB">
      <w:pPr>
        <w:numPr>
          <w:ilvl w:val="0"/>
          <w:numId w:val="21"/>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JURÍSPRUDENCIA NACIONAL.</w:t>
      </w:r>
    </w:p>
    <w:p w14:paraId="16519063" w14:textId="77777777" w:rsidR="002051CB" w:rsidRDefault="002051CB" w:rsidP="002051CB">
      <w:pPr>
        <w:spacing w:line="276" w:lineRule="auto"/>
        <w:ind w:left="360"/>
        <w:jc w:val="both"/>
        <w:rPr>
          <w:rFonts w:ascii="Century Gothic" w:eastAsia="Century Gothic" w:hAnsi="Century Gothic" w:cs="Century Gothic"/>
          <w:sz w:val="22"/>
          <w:szCs w:val="22"/>
        </w:rPr>
      </w:pPr>
    </w:p>
    <w:p w14:paraId="521CEA39"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 T-398/19. MP. Alberto Rojas Ríos</w:t>
      </w:r>
      <w:r>
        <w:rPr>
          <w:rFonts w:ascii="Century Gothic" w:eastAsia="Century Gothic" w:hAnsi="Century Gothic" w:cs="Century Gothic"/>
          <w:b/>
          <w:sz w:val="22"/>
          <w:szCs w:val="22"/>
          <w:vertAlign w:val="superscript"/>
        </w:rPr>
        <w:footnoteReference w:id="68"/>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La Sala Novena de Revisión de la Corte Constitucional, estudió el caso de una mujer en situación de habitanza de calle en la ciudad de Bogotá D.C., quien durante su menstruación carecía de las posibilidades de adquirir elementos de higiene menstrual y por lo tanto solía usar trapos, reutilizar toallas o buscarlas en la basura. En consideración a ello, el alto tribunal manifestó que estas mujeres no solo carecen de recursos económicos para costear estos productos, sino también se ven en la obligación de sobrellevar sus periodos menstruales bajo condiciones mínimas de salubridad</w:t>
      </w:r>
      <w:r>
        <w:rPr>
          <w:rFonts w:ascii="Century Gothic" w:eastAsia="Century Gothic" w:hAnsi="Century Gothic" w:cs="Century Gothic"/>
          <w:sz w:val="22"/>
          <w:szCs w:val="22"/>
          <w:vertAlign w:val="superscript"/>
        </w:rPr>
        <w:footnoteReference w:id="69"/>
      </w:r>
      <w:r>
        <w:rPr>
          <w:rFonts w:ascii="Century Gothic" w:eastAsia="Century Gothic" w:hAnsi="Century Gothic" w:cs="Century Gothic"/>
          <w:sz w:val="22"/>
          <w:szCs w:val="22"/>
        </w:rPr>
        <w:t>.</w:t>
      </w:r>
    </w:p>
    <w:p w14:paraId="3A5278C1" w14:textId="77777777" w:rsidR="002051CB" w:rsidRDefault="002051CB" w:rsidP="002051CB">
      <w:pPr>
        <w:jc w:val="both"/>
        <w:rPr>
          <w:rFonts w:ascii="Century Gothic" w:eastAsia="Century Gothic" w:hAnsi="Century Gothic" w:cs="Century Gothic"/>
          <w:sz w:val="22"/>
          <w:szCs w:val="22"/>
        </w:rPr>
      </w:pPr>
    </w:p>
    <w:p w14:paraId="08EF5B1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Tras analizar el contenido de la dignidad humana (visión normativa y funcional) y el derecho a la salud desde la dimensión sexual y reproductiva de la mujer, la Corte Constitucional resaltó que dentro de las facetas de la dignidad humana se encuentra el desarrollo de un proyecto de vida propio en el que la mujer pueda participar en su comunidad, en especial si se encuentra en condiciones de vulnerabilidad. En este sentido, el Tribunal sostuvo que los insumos de higiene menstrual son bienes insustituibles que le facilitan o permiten a la mujer realizar su proyecto de vida, y que por ningún motivo pueden ser considerados como un accesorio estético, que se usan bajo criterios diferentes a la necesidad y la dignidad humana</w:t>
      </w:r>
      <w:r>
        <w:rPr>
          <w:rFonts w:ascii="Century Gothic" w:eastAsia="Century Gothic" w:hAnsi="Century Gothic" w:cs="Century Gothic"/>
          <w:sz w:val="22"/>
          <w:szCs w:val="22"/>
          <w:vertAlign w:val="superscript"/>
        </w:rPr>
        <w:footnoteReference w:id="70"/>
      </w:r>
      <w:r>
        <w:rPr>
          <w:rFonts w:ascii="Century Gothic" w:eastAsia="Century Gothic" w:hAnsi="Century Gothic" w:cs="Century Gothic"/>
          <w:sz w:val="22"/>
          <w:szCs w:val="22"/>
        </w:rPr>
        <w:t>.</w:t>
      </w:r>
    </w:p>
    <w:p w14:paraId="6186F03A" w14:textId="77777777" w:rsidR="002051CB" w:rsidRDefault="002051CB" w:rsidP="002051CB">
      <w:pPr>
        <w:jc w:val="both"/>
        <w:rPr>
          <w:rFonts w:ascii="Century Gothic" w:eastAsia="Century Gothic" w:hAnsi="Century Gothic" w:cs="Century Gothic"/>
          <w:sz w:val="18"/>
          <w:szCs w:val="18"/>
        </w:rPr>
      </w:pPr>
    </w:p>
    <w:p w14:paraId="10BABD9C" w14:textId="77777777" w:rsidR="002051CB" w:rsidRDefault="002051CB" w:rsidP="002051CB">
      <w:pPr>
        <w:spacing w:line="276" w:lineRule="auto"/>
        <w:ind w:firstLine="284"/>
        <w:jc w:val="both"/>
        <w:rPr>
          <w:rFonts w:ascii="Century Gothic" w:eastAsia="Century Gothic" w:hAnsi="Century Gothic" w:cs="Century Gothic"/>
          <w:sz w:val="22"/>
          <w:szCs w:val="22"/>
          <w:highlight w:val="white"/>
        </w:rPr>
      </w:pPr>
      <w:r>
        <w:rPr>
          <w:rFonts w:ascii="Century Gothic" w:eastAsia="Century Gothic" w:hAnsi="Century Gothic" w:cs="Century Gothic"/>
          <w:b/>
          <w:sz w:val="22"/>
          <w:szCs w:val="22"/>
        </w:rPr>
        <w:t>Sentencia T-267 de 2018. M.P. Carlos Bernal Pulido</w:t>
      </w:r>
      <w:r>
        <w:rPr>
          <w:rFonts w:ascii="Century Gothic" w:eastAsia="Century Gothic" w:hAnsi="Century Gothic" w:cs="Century Gothic"/>
          <w:b/>
          <w:sz w:val="22"/>
          <w:szCs w:val="22"/>
          <w:vertAlign w:val="superscript"/>
        </w:rPr>
        <w:footnoteReference w:id="71"/>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La corte Constitucional en este proveído, precisó que </w:t>
      </w:r>
      <w:r>
        <w:rPr>
          <w:rFonts w:ascii="Century Gothic" w:eastAsia="Century Gothic" w:hAnsi="Century Gothic" w:cs="Century Gothic"/>
          <w:sz w:val="22"/>
          <w:szCs w:val="22"/>
          <w:highlight w:val="white"/>
        </w:rPr>
        <w:t>las mujeres privadas de la libertad, son consideradas personas en situación de vulnerabilidad:</w:t>
      </w:r>
    </w:p>
    <w:p w14:paraId="6708C9A9"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572D36E1"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"La violencia y la discriminación en contra de las mujeres tienen unas repercusiones concretas -a las que no suele prestársele suficiente atención- cuando ellas entran en contacto con el sistema penitenciario. No hay que hilar muy delgado para recordar que, en un marco como ese, </w:t>
      </w:r>
      <w:r>
        <w:rPr>
          <w:rFonts w:ascii="Century Gothic" w:eastAsia="Century Gothic" w:hAnsi="Century Gothic" w:cs="Century Gothic"/>
          <w:b/>
          <w:i/>
          <w:sz w:val="18"/>
          <w:szCs w:val="18"/>
          <w:u w:val="single"/>
        </w:rPr>
        <w:t>están expuestas a situaciones que aumentan exponencialmente su vulnerabilidad,</w:t>
      </w:r>
      <w:r>
        <w:rPr>
          <w:rFonts w:ascii="Century Gothic" w:eastAsia="Century Gothic" w:hAnsi="Century Gothic" w:cs="Century Gothic"/>
          <w:i/>
          <w:sz w:val="18"/>
          <w:szCs w:val="18"/>
        </w:rPr>
        <w:t xml:space="preserve"> con un impacto claramente diferenciado. Tampoco, que </w:t>
      </w:r>
      <w:r>
        <w:rPr>
          <w:rFonts w:ascii="Century Gothic" w:eastAsia="Century Gothic" w:hAnsi="Century Gothic" w:cs="Century Gothic"/>
          <w:b/>
          <w:i/>
          <w:sz w:val="18"/>
          <w:szCs w:val="18"/>
          <w:u w:val="single"/>
        </w:rPr>
        <w:t>las mujeres reclusas tienen, en dicha esfera de privación de su libertad, unas necesidades especiales que suplir y unos problemas concretos que enfrentar, desde los ámbitos más básicos y vitales</w:t>
      </w:r>
      <w:r>
        <w:rPr>
          <w:rFonts w:ascii="Century Gothic" w:eastAsia="Century Gothic" w:hAnsi="Century Gothic" w:cs="Century Gothic"/>
          <w:i/>
          <w:sz w:val="18"/>
          <w:szCs w:val="18"/>
          <w:vertAlign w:val="superscript"/>
        </w:rPr>
        <w:footnoteReference w:id="72"/>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14:paraId="7C9F3172" w14:textId="77777777" w:rsidR="002051CB" w:rsidRDefault="002051CB" w:rsidP="002051CB">
      <w:pPr>
        <w:ind w:left="708"/>
        <w:jc w:val="both"/>
        <w:rPr>
          <w:rFonts w:ascii="Century Gothic" w:eastAsia="Century Gothic" w:hAnsi="Century Gothic" w:cs="Century Gothic"/>
          <w:sz w:val="22"/>
          <w:szCs w:val="22"/>
        </w:rPr>
      </w:pPr>
    </w:p>
    <w:p w14:paraId="0238EF3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Frente a esta decisión judicial, es importante indicar que una de las necesidades básicas de las mujeres es la de contar con los productos de higiene menstrual de forma oportuna y suficiente, con el fin de poder garantizar la materialización de sus derechos fundamentales.</w:t>
      </w:r>
    </w:p>
    <w:p w14:paraId="5D3D836B" w14:textId="77777777" w:rsidR="002051CB" w:rsidRDefault="002051CB" w:rsidP="002051CB">
      <w:pPr>
        <w:spacing w:line="276" w:lineRule="auto"/>
        <w:ind w:left="708"/>
        <w:jc w:val="both"/>
        <w:rPr>
          <w:rFonts w:ascii="Century Gothic" w:eastAsia="Century Gothic" w:hAnsi="Century Gothic" w:cs="Century Gothic"/>
          <w:sz w:val="22"/>
          <w:szCs w:val="22"/>
        </w:rPr>
      </w:pPr>
    </w:p>
    <w:p w14:paraId="1BE77E6F"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Sentencia C- 117 de 2018. M.S. Gloria Stella Ortiz Delgado</w:t>
      </w:r>
      <w:r>
        <w:rPr>
          <w:rFonts w:ascii="Century Gothic" w:eastAsia="Century Gothic" w:hAnsi="Century Gothic" w:cs="Century Gothic"/>
          <w:b/>
          <w:sz w:val="22"/>
          <w:szCs w:val="22"/>
          <w:vertAlign w:val="superscript"/>
        </w:rPr>
        <w:footnoteReference w:id="73"/>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En relación a la sentencia de constitucionalidad del artículo 185 (parcial) de la Ley 1819 de 2016, la Corte manifestó que </w:t>
      </w:r>
      <w:r>
        <w:rPr>
          <w:rFonts w:ascii="Century Gothic" w:eastAsia="Century Gothic" w:hAnsi="Century Gothic" w:cs="Century Gothic"/>
          <w:i/>
          <w:sz w:val="22"/>
          <w:szCs w:val="22"/>
        </w:rPr>
        <w:t>"en los diferentes debates se aludió al estigma que existe alrededor de la higiene menstrual femenina, lo cual tiene un impacto respecto del derecho a la dignidad de las mujeres en tanto los artículos para su manejo son una necesidad absoluta y no productos de lujo".</w:t>
      </w:r>
      <w:r>
        <w:rPr>
          <w:rFonts w:ascii="Century Gothic" w:eastAsia="Century Gothic" w:hAnsi="Century Gothic" w:cs="Century Gothic"/>
          <w:sz w:val="22"/>
          <w:szCs w:val="22"/>
        </w:rPr>
        <w:t xml:space="preserve"> De otra parte, es importante poner de presente que el alto Tribunal indicó que:</w:t>
      </w:r>
    </w:p>
    <w:p w14:paraId="1AEA3BA6"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26FF022F"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i/>
          <w:sz w:val="18"/>
          <w:szCs w:val="18"/>
        </w:rPr>
        <w:t>Las toallas higiénicas o sanitarias y los tampones desechables son productos que tienen como objetivo satisfacer las necesidades de las mujeres en edad fértil para el manejo de la menstruación.</w:t>
      </w:r>
      <w:r>
        <w:rPr>
          <w:rFonts w:ascii="Century Gothic" w:eastAsia="Century Gothic" w:hAnsi="Century Gothic" w:cs="Century Gothic"/>
          <w:i/>
          <w:sz w:val="18"/>
          <w:szCs w:val="18"/>
          <w:u w:val="single"/>
        </w:rPr>
        <w:t xml:space="preserve"> </w:t>
      </w:r>
      <w:r>
        <w:rPr>
          <w:rFonts w:ascii="Century Gothic" w:eastAsia="Century Gothic" w:hAnsi="Century Gothic" w:cs="Century Gothic"/>
          <w:b/>
          <w:i/>
          <w:sz w:val="18"/>
          <w:szCs w:val="18"/>
          <w:u w:val="single"/>
        </w:rPr>
        <w:t>Entre las ventajas de este tipo de bienes es que controlan riesgos de salud, por oposición a alternativas como el uso de elementos caseros que, al no tener una tecnología de absorción y niveles de higiene adecuados, pueden generar riesgos de infecciones.</w:t>
      </w:r>
      <w:r>
        <w:rPr>
          <w:rFonts w:ascii="Century Gothic" w:eastAsia="Century Gothic" w:hAnsi="Century Gothic" w:cs="Century Gothic"/>
          <w:i/>
          <w:sz w:val="18"/>
          <w:szCs w:val="18"/>
        </w:rPr>
        <w:t xml:space="preserve"> Igualmente, </w:t>
      </w:r>
      <w:r>
        <w:rPr>
          <w:rFonts w:ascii="Century Gothic" w:eastAsia="Century Gothic" w:hAnsi="Century Gothic" w:cs="Century Gothic"/>
          <w:b/>
          <w:i/>
          <w:sz w:val="18"/>
          <w:szCs w:val="18"/>
          <w:u w:val="single"/>
        </w:rPr>
        <w:t>permiten controlar olores que surgen del sangrado vaginal y manchas en la ropa que tienen consecuencias de estigma y presentación personal, atados a los tabúes alrededor de este fenómeno biológico</w:t>
      </w:r>
      <w:r>
        <w:rPr>
          <w:rFonts w:ascii="Century Gothic" w:eastAsia="Century Gothic" w:hAnsi="Century Gothic" w:cs="Century Gothic"/>
          <w:i/>
          <w:sz w:val="18"/>
          <w:szCs w:val="18"/>
        </w:rPr>
        <w:t>. En tal sentido, permiten a las mujeres participar de la vida pública y social y ejercer las actividades diarias como el trabajo y la educación en igualdad de condiciones"</w:t>
      </w:r>
      <w:r>
        <w:rPr>
          <w:rFonts w:ascii="Century Gothic" w:eastAsia="Century Gothic" w:hAnsi="Century Gothic" w:cs="Century Gothic"/>
          <w:i/>
          <w:sz w:val="18"/>
          <w:szCs w:val="18"/>
          <w:vertAlign w:val="superscript"/>
        </w:rPr>
        <w:footnoteReference w:id="74"/>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14:paraId="2003855D" w14:textId="77777777" w:rsidR="002051CB" w:rsidRDefault="002051CB" w:rsidP="002051CB">
      <w:pPr>
        <w:jc w:val="both"/>
        <w:rPr>
          <w:rFonts w:ascii="Century Gothic" w:eastAsia="Century Gothic" w:hAnsi="Century Gothic" w:cs="Century Gothic"/>
          <w:sz w:val="22"/>
          <w:szCs w:val="22"/>
        </w:rPr>
      </w:pPr>
    </w:p>
    <w:p w14:paraId="422014C8"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lo manifestado se colige que los productos de higiene menstrual no son artículos de lujo, sino que corresponden a una necesidad biológica de las mujeres en edad fértil, permitiendo este tipo de elementos que puedan llevar una vida en condiciones dignas.</w:t>
      </w:r>
    </w:p>
    <w:p w14:paraId="63CA07E2" w14:textId="77777777" w:rsidR="002051CB" w:rsidRDefault="002051CB" w:rsidP="002051CB">
      <w:pPr>
        <w:ind w:left="348"/>
        <w:jc w:val="both"/>
        <w:rPr>
          <w:rFonts w:ascii="Century Gothic" w:eastAsia="Century Gothic" w:hAnsi="Century Gothic" w:cs="Century Gothic"/>
          <w:sz w:val="22"/>
          <w:szCs w:val="22"/>
          <w:u w:val="single"/>
        </w:rPr>
      </w:pPr>
    </w:p>
    <w:p w14:paraId="589D5107"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 T-388 de 2013. M. P. María Victoria Calle Correa</w:t>
      </w:r>
      <w:r>
        <w:rPr>
          <w:rFonts w:ascii="Century Gothic" w:eastAsia="Century Gothic" w:hAnsi="Century Gothic" w:cs="Century Gothic"/>
          <w:b/>
          <w:sz w:val="22"/>
          <w:szCs w:val="22"/>
          <w:vertAlign w:val="superscript"/>
        </w:rPr>
        <w:footnoteReference w:id="75"/>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El alto Tribunal se pronunció respecto de la violación grave y sistemática del derecho a la salud en los establecimientos penitenciarios y carcelarios del país, dejando de presente que:</w:t>
      </w:r>
    </w:p>
    <w:p w14:paraId="263A50E9" w14:textId="77777777" w:rsidR="002051CB" w:rsidRDefault="002051CB" w:rsidP="002051CB">
      <w:pPr>
        <w:spacing w:line="276" w:lineRule="auto"/>
        <w:jc w:val="both"/>
        <w:rPr>
          <w:rFonts w:ascii="Century Gothic" w:eastAsia="Century Gothic" w:hAnsi="Century Gothic" w:cs="Century Gothic"/>
          <w:sz w:val="18"/>
          <w:szCs w:val="18"/>
        </w:rPr>
      </w:pPr>
    </w:p>
    <w:p w14:paraId="263ECC8B"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 la violencia en el encierro en la región, se suma la violación grave y sistemática del derecho a la salud. </w:t>
      </w:r>
      <w:r>
        <w:rPr>
          <w:rFonts w:ascii="Century Gothic" w:eastAsia="Century Gothic" w:hAnsi="Century Gothic" w:cs="Century Gothic"/>
          <w:b/>
          <w:i/>
          <w:sz w:val="18"/>
          <w:szCs w:val="18"/>
          <w:u w:val="single"/>
        </w:rPr>
        <w:t>El estado de salud personal, que de por sí se ve amenazado por la reclusión, está expuesto a graves riesgos cuando, además, existen condiciones insalubres, sin higiene</w:t>
      </w:r>
      <w:r>
        <w:rPr>
          <w:rFonts w:ascii="Century Gothic" w:eastAsia="Century Gothic" w:hAnsi="Century Gothic" w:cs="Century Gothic"/>
          <w:i/>
          <w:sz w:val="18"/>
          <w:szCs w:val="18"/>
        </w:rPr>
        <w:t xml:space="preserve"> y con la posibilidad de sufrir agresiones a la integridad física y mental</w:t>
      </w:r>
      <w:r>
        <w:rPr>
          <w:rFonts w:ascii="Century Gothic" w:eastAsia="Century Gothic" w:hAnsi="Century Gothic" w:cs="Century Gothic"/>
          <w:b/>
          <w:i/>
          <w:sz w:val="18"/>
          <w:szCs w:val="18"/>
          <w:u w:val="single"/>
        </w:rPr>
        <w:t xml:space="preserve">.  La falta de protección a grupos especiales de la población como las mujeres, los hijos de mujeres en prisión o las personas extranjeras, también son un mal que afecta a la región latinoamericana. Los derechos de estos </w:t>
      </w:r>
      <w:r>
        <w:rPr>
          <w:rFonts w:ascii="Century Gothic" w:eastAsia="Century Gothic" w:hAnsi="Century Gothic" w:cs="Century Gothic"/>
          <w:b/>
          <w:i/>
          <w:sz w:val="18"/>
          <w:szCs w:val="18"/>
          <w:u w:val="single"/>
        </w:rPr>
        <w:lastRenderedPageBreak/>
        <w:t>grupos diferenciales suelen ser desatendidas ante la falta de recursos y la incapacidad de atender, al menos, al grueso de la población.</w:t>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vertAlign w:val="superscript"/>
        </w:rPr>
        <w:footnoteReference w:id="76"/>
      </w:r>
      <w:r>
        <w:rPr>
          <w:rFonts w:ascii="Century Gothic" w:eastAsia="Century Gothic" w:hAnsi="Century Gothic" w:cs="Century Gothic"/>
          <w:i/>
          <w:sz w:val="18"/>
          <w:szCs w:val="18"/>
        </w:rPr>
        <w:t>." (Negrilla y subrayado por fuera del texto)</w:t>
      </w:r>
    </w:p>
    <w:p w14:paraId="5239B86D" w14:textId="77777777" w:rsidR="002051CB" w:rsidRDefault="002051CB" w:rsidP="002051CB">
      <w:pPr>
        <w:jc w:val="both"/>
        <w:rPr>
          <w:rFonts w:ascii="Century Gothic" w:eastAsia="Century Gothic" w:hAnsi="Century Gothic" w:cs="Century Gothic"/>
          <w:sz w:val="22"/>
          <w:szCs w:val="22"/>
          <w:highlight w:val="white"/>
        </w:rPr>
      </w:pPr>
    </w:p>
    <w:p w14:paraId="0B6515D4" w14:textId="77777777" w:rsidR="002051CB" w:rsidRDefault="002051CB" w:rsidP="002051CB">
      <w:pPr>
        <w:numPr>
          <w:ilvl w:val="0"/>
          <w:numId w:val="15"/>
        </w:numPr>
        <w:pBdr>
          <w:top w:val="nil"/>
          <w:left w:val="nil"/>
          <w:bottom w:val="nil"/>
          <w:right w:val="nil"/>
          <w:between w:val="nil"/>
        </w:pBdr>
        <w:spacing w:line="276" w:lineRule="auto"/>
        <w:ind w:left="1080" w:hanging="72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NORMATIVIDAD INTERNACIONAL.  </w:t>
      </w:r>
    </w:p>
    <w:p w14:paraId="40030C87" w14:textId="77777777" w:rsidR="002051CB" w:rsidRDefault="002051CB" w:rsidP="002051CB">
      <w:pPr>
        <w:spacing w:line="276" w:lineRule="auto"/>
        <w:rPr>
          <w:rFonts w:ascii="Century Gothic" w:eastAsia="Century Gothic" w:hAnsi="Century Gothic" w:cs="Century Gothic"/>
          <w:b/>
          <w:sz w:val="22"/>
          <w:szCs w:val="22"/>
        </w:rPr>
      </w:pPr>
    </w:p>
    <w:p w14:paraId="50047ED1" w14:textId="77777777" w:rsidR="002051CB" w:rsidRDefault="002051CB" w:rsidP="00005C10">
      <w:pPr>
        <w:numPr>
          <w:ilvl w:val="0"/>
          <w:numId w:val="18"/>
        </w:num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INSTRUMENTOS INTERNACIONALES.  </w:t>
      </w:r>
    </w:p>
    <w:p w14:paraId="578207B8" w14:textId="77777777" w:rsidR="002051CB" w:rsidRDefault="002051CB" w:rsidP="002051CB">
      <w:pPr>
        <w:spacing w:line="276" w:lineRule="auto"/>
        <w:jc w:val="both"/>
        <w:rPr>
          <w:rFonts w:ascii="Century Gothic" w:eastAsia="Century Gothic" w:hAnsi="Century Gothic" w:cs="Century Gothic"/>
          <w:b/>
          <w:sz w:val="22"/>
          <w:szCs w:val="22"/>
        </w:rPr>
      </w:pPr>
    </w:p>
    <w:p w14:paraId="326EF7FC"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Convención sobre la Eliminación de Todas Las Formas de Discriminación contra la Mujer (1979). </w:t>
      </w:r>
      <w:r>
        <w:rPr>
          <w:rFonts w:ascii="Century Gothic" w:eastAsia="Century Gothic" w:hAnsi="Century Gothic" w:cs="Century Gothic"/>
          <w:sz w:val="22"/>
          <w:szCs w:val="22"/>
        </w:rPr>
        <w:t>Este importante instrumento internacional fue ratificado hace más de cuatro décadas en Colombia, mediante la Ley 51 de 1981, la cual establece:</w:t>
      </w:r>
    </w:p>
    <w:p w14:paraId="662C45BA" w14:textId="77777777" w:rsidR="002051CB" w:rsidRDefault="002051CB" w:rsidP="002051CB">
      <w:pPr>
        <w:spacing w:line="276" w:lineRule="auto"/>
        <w:jc w:val="both"/>
        <w:rPr>
          <w:rFonts w:ascii="Century Gothic" w:eastAsia="Century Gothic" w:hAnsi="Century Gothic" w:cs="Century Gothic"/>
          <w:sz w:val="22"/>
          <w:szCs w:val="22"/>
        </w:rPr>
      </w:pPr>
    </w:p>
    <w:p w14:paraId="4B7BDFD7" w14:textId="59E500B2" w:rsidR="002051CB" w:rsidRDefault="002051CB" w:rsidP="002051CB">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b/>
          <w:sz w:val="18"/>
          <w:szCs w:val="18"/>
        </w:rPr>
        <w:t>ARTICULO 3:</w:t>
      </w:r>
      <w:r>
        <w:rPr>
          <w:rFonts w:ascii="Century Gothic" w:eastAsia="Century Gothic" w:hAnsi="Century Gothic" w:cs="Century Gothic"/>
          <w:sz w:val="18"/>
          <w:szCs w:val="18"/>
        </w:rPr>
        <w:t xml:space="preserve"> </w:t>
      </w:r>
      <w:r>
        <w:rPr>
          <w:rFonts w:ascii="Century Gothic" w:eastAsia="Century Gothic" w:hAnsi="Century Gothic" w:cs="Century Gothic"/>
          <w:i/>
          <w:sz w:val="18"/>
          <w:szCs w:val="18"/>
        </w:rPr>
        <w:t>"</w:t>
      </w:r>
      <w:r>
        <w:rPr>
          <w:rFonts w:ascii="Century Gothic" w:eastAsia="Century Gothic" w:hAnsi="Century Gothic" w:cs="Century Gothic"/>
          <w:b/>
          <w:i/>
          <w:sz w:val="18"/>
          <w:szCs w:val="18"/>
          <w:u w:val="single"/>
        </w:rPr>
        <w:t>Los Estados Parte tomarán en todas las esferas</w:t>
      </w:r>
      <w:r>
        <w:rPr>
          <w:rFonts w:ascii="Century Gothic" w:eastAsia="Century Gothic" w:hAnsi="Century Gothic" w:cs="Century Gothic"/>
          <w:i/>
          <w:sz w:val="18"/>
          <w:szCs w:val="18"/>
        </w:rPr>
        <w:t xml:space="preserve">, y en particular en las esferas política, social, económica y cultural, </w:t>
      </w:r>
      <w:r>
        <w:rPr>
          <w:rFonts w:ascii="Century Gothic" w:eastAsia="Century Gothic" w:hAnsi="Century Gothic" w:cs="Century Gothic"/>
          <w:b/>
          <w:i/>
          <w:sz w:val="18"/>
          <w:szCs w:val="18"/>
          <w:u w:val="single"/>
        </w:rPr>
        <w:t>todas las medidas apropiadas, incluso de carácter legislativo, para asegurar el pleno desarrollo y adelanto de la mujer</w:t>
      </w:r>
      <w:r>
        <w:rPr>
          <w:rFonts w:ascii="Century Gothic" w:eastAsia="Century Gothic" w:hAnsi="Century Gothic" w:cs="Century Gothic"/>
          <w:i/>
          <w:sz w:val="18"/>
          <w:szCs w:val="18"/>
        </w:rPr>
        <w:t xml:space="preserve">, con </w:t>
      </w:r>
      <w:r>
        <w:rPr>
          <w:rFonts w:ascii="Century Gothic" w:eastAsia="Century Gothic" w:hAnsi="Century Gothic" w:cs="Century Gothic"/>
          <w:b/>
          <w:i/>
          <w:sz w:val="18"/>
          <w:szCs w:val="18"/>
          <w:u w:val="single"/>
        </w:rPr>
        <w:t>el objeto de garantizarle el ejercicio y el goce de los derechos humanos</w:t>
      </w:r>
      <w:r>
        <w:rPr>
          <w:rFonts w:ascii="Century Gothic" w:eastAsia="Century Gothic" w:hAnsi="Century Gothic" w:cs="Century Gothic"/>
          <w:i/>
          <w:sz w:val="18"/>
          <w:szCs w:val="18"/>
        </w:rPr>
        <w:t xml:space="preserve"> y las libertades fundamentales en igualdad de condiciones con el hombre".</w:t>
      </w:r>
      <w:r>
        <w:rPr>
          <w:rFonts w:ascii="Century Gothic" w:eastAsia="Century Gothic" w:hAnsi="Century Gothic" w:cs="Century Gothic"/>
          <w:sz w:val="18"/>
          <w:szCs w:val="18"/>
        </w:rPr>
        <w:t xml:space="preserve"> (Negrilla y subrayado por fuera del texto)</w:t>
      </w:r>
    </w:p>
    <w:p w14:paraId="6A470AD4"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ARTÍCULO 12, numeral 1. </w:t>
      </w:r>
      <w:r>
        <w:rPr>
          <w:rFonts w:ascii="Century Gothic" w:eastAsia="Century Gothic" w:hAnsi="Century Gothic" w:cs="Century Gothic"/>
          <w:i/>
          <w:sz w:val="18"/>
          <w:szCs w:val="18"/>
        </w:rPr>
        <w:t>Los Estados Partes adoptarán todas las medidas apropiadas para eliminar la discriminación contra la mujer en la esfera de la atención médica a fin de asegurar, en condiciones de igualdad entre hombres y mujeres, el acceso a servicios de atención médica, inclusive los que se refieren a la planificación de la familia.</w:t>
      </w:r>
    </w:p>
    <w:p w14:paraId="42774B0C" w14:textId="77777777" w:rsidR="002051CB" w:rsidRDefault="002051CB" w:rsidP="002051CB">
      <w:pPr>
        <w:spacing w:line="276" w:lineRule="auto"/>
        <w:ind w:right="333"/>
        <w:jc w:val="both"/>
        <w:rPr>
          <w:rFonts w:ascii="Century Gothic" w:eastAsia="Century Gothic" w:hAnsi="Century Gothic" w:cs="Century Gothic"/>
          <w:b/>
          <w:sz w:val="18"/>
          <w:szCs w:val="18"/>
        </w:rPr>
      </w:pPr>
    </w:p>
    <w:p w14:paraId="7586D1A4"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Comité para la Eliminación de la Discriminación contra la Mujer </w:t>
      </w:r>
      <w:r>
        <w:rPr>
          <w:rFonts w:ascii="Arial" w:eastAsia="Arial" w:hAnsi="Arial" w:cs="Arial"/>
          <w:color w:val="4D5156"/>
          <w:sz w:val="21"/>
          <w:szCs w:val="21"/>
          <w:highlight w:val="white"/>
        </w:rPr>
        <w:t xml:space="preserve">- </w:t>
      </w:r>
      <w:r>
        <w:rPr>
          <w:rFonts w:ascii="Century Gothic" w:eastAsia="Century Gothic" w:hAnsi="Century Gothic" w:cs="Century Gothic"/>
          <w:b/>
          <w:sz w:val="22"/>
          <w:szCs w:val="22"/>
        </w:rPr>
        <w:t xml:space="preserve">Recomendación General 24. </w:t>
      </w:r>
      <w:r>
        <w:rPr>
          <w:rFonts w:ascii="Century Gothic" w:eastAsia="Century Gothic" w:hAnsi="Century Gothic" w:cs="Century Gothic"/>
          <w:sz w:val="22"/>
          <w:szCs w:val="22"/>
        </w:rPr>
        <w:t xml:space="preserve">Respecto al artículo 12 de la Convención, determinó que para la atención médica de las mujeres se debe tener en cuenta </w:t>
      </w:r>
      <w:r>
        <w:rPr>
          <w:rFonts w:ascii="Century Gothic" w:eastAsia="Century Gothic" w:hAnsi="Century Gothic" w:cs="Century Gothic"/>
          <w:b/>
          <w:i/>
          <w:sz w:val="18"/>
          <w:szCs w:val="18"/>
          <w:u w:val="single"/>
        </w:rPr>
        <w:t>“factores biológicos que son diferentes para la mujer y el hombre, como la menstruación</w:t>
      </w:r>
      <w:r>
        <w:rPr>
          <w:rFonts w:ascii="Century Gothic" w:eastAsia="Century Gothic" w:hAnsi="Century Gothic" w:cs="Century Gothic"/>
          <w:i/>
          <w:sz w:val="18"/>
          <w:szCs w:val="18"/>
        </w:rPr>
        <w:t>, la función reproductiva y la menopausia</w:t>
      </w:r>
      <w:r>
        <w:rPr>
          <w:rFonts w:ascii="Century Gothic" w:eastAsia="Century Gothic" w:hAnsi="Century Gothic" w:cs="Century Gothic"/>
          <w:i/>
          <w:sz w:val="18"/>
          <w:szCs w:val="18"/>
          <w:vertAlign w:val="superscript"/>
        </w:rPr>
        <w:footnoteReference w:id="77"/>
      </w:r>
      <w:r>
        <w:rPr>
          <w:rFonts w:ascii="Century Gothic" w:eastAsia="Century Gothic" w:hAnsi="Century Gothic" w:cs="Century Gothic"/>
          <w:i/>
          <w:sz w:val="18"/>
          <w:szCs w:val="18"/>
        </w:rPr>
        <w:t>”</w:t>
      </w:r>
      <w:r>
        <w:rPr>
          <w:rFonts w:ascii="Century Gothic" w:eastAsia="Century Gothic" w:hAnsi="Century Gothic" w:cs="Century Gothic"/>
          <w:sz w:val="18"/>
          <w:szCs w:val="18"/>
        </w:rPr>
        <w:t xml:space="preserve"> y los “factores socioeconómicos que son diferentes para la mujer en general y para algunos grupos de mujeres en particular”</w:t>
      </w:r>
      <w:r>
        <w:rPr>
          <w:rFonts w:ascii="Century Gothic" w:eastAsia="Century Gothic" w:hAnsi="Century Gothic" w:cs="Century Gothic"/>
          <w:sz w:val="20"/>
          <w:szCs w:val="20"/>
          <w:vertAlign w:val="superscript"/>
        </w:rPr>
        <w:footnoteReference w:id="78"/>
      </w:r>
      <w:r>
        <w:rPr>
          <w:rFonts w:ascii="Century Gothic" w:eastAsia="Century Gothic" w:hAnsi="Century Gothic" w:cs="Century Gothic"/>
          <w:sz w:val="20"/>
          <w:szCs w:val="20"/>
        </w:rPr>
        <w:t>.</w:t>
      </w:r>
      <w:r>
        <w:rPr>
          <w:rFonts w:ascii="Century Gothic" w:eastAsia="Century Gothic" w:hAnsi="Century Gothic" w:cs="Century Gothic"/>
          <w:sz w:val="22"/>
          <w:szCs w:val="22"/>
        </w:rPr>
        <w:t xml:space="preserve"> (Negrilla y subrayado fuera de texto).</w:t>
      </w:r>
    </w:p>
    <w:p w14:paraId="502568F4" w14:textId="77777777" w:rsidR="002051CB" w:rsidRDefault="002051CB" w:rsidP="002051CB">
      <w:pPr>
        <w:spacing w:line="276" w:lineRule="auto"/>
        <w:ind w:right="49" w:firstLine="284"/>
        <w:jc w:val="both"/>
        <w:rPr>
          <w:rFonts w:ascii="Century Gothic" w:eastAsia="Century Gothic" w:hAnsi="Century Gothic" w:cs="Century Gothic"/>
          <w:sz w:val="18"/>
          <w:szCs w:val="18"/>
        </w:rPr>
      </w:pPr>
      <w:r>
        <w:rPr>
          <w:rFonts w:ascii="Century Gothic" w:eastAsia="Century Gothic" w:hAnsi="Century Gothic" w:cs="Century Gothic"/>
          <w:b/>
          <w:sz w:val="22"/>
          <w:szCs w:val="22"/>
        </w:rPr>
        <w:t>Convención de Belem Do Pará</w:t>
      </w:r>
      <w:r>
        <w:rPr>
          <w:rFonts w:ascii="Century Gothic" w:eastAsia="Century Gothic" w:hAnsi="Century Gothic" w:cs="Century Gothic"/>
          <w:sz w:val="22"/>
          <w:szCs w:val="22"/>
        </w:rPr>
        <w:t>, La Convención tiene como finalidad la erradicación de la violencia contra la mujer en todos los sectores de la sociedad independientemente de su clase, raza o grupo étnico, nivel de ingresos, cultura, nivel educacional, edad o religión y afecta negativamente sus propias bases, por lo que la eliminación de la violencia contra la mujer es condición indispensable para su desarrollo individual y social y su plena e igualitaria participación en todas las esferas de vida.</w:t>
      </w:r>
    </w:p>
    <w:p w14:paraId="46383387" w14:textId="77777777" w:rsidR="002051CB" w:rsidRDefault="002051CB" w:rsidP="002051CB">
      <w:pPr>
        <w:spacing w:line="276" w:lineRule="auto"/>
        <w:jc w:val="both"/>
        <w:rPr>
          <w:rFonts w:ascii="Century Gothic" w:eastAsia="Century Gothic" w:hAnsi="Century Gothic" w:cs="Century Gothic"/>
          <w:sz w:val="22"/>
          <w:szCs w:val="22"/>
        </w:rPr>
      </w:pPr>
    </w:p>
    <w:p w14:paraId="751DA88B"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rPr>
        <w:t>ARTÍCULO 9°:</w:t>
      </w:r>
      <w:r>
        <w:rPr>
          <w:rFonts w:ascii="Century Gothic" w:eastAsia="Century Gothic" w:hAnsi="Century Gothic" w:cs="Century Gothic"/>
          <w:i/>
          <w:sz w:val="18"/>
          <w:szCs w:val="18"/>
        </w:rPr>
        <w:t xml:space="preserve"> “Para la adopción de las medidas a que se refiere este capítulo, </w:t>
      </w:r>
      <w:r>
        <w:rPr>
          <w:rFonts w:ascii="Century Gothic" w:eastAsia="Century Gothic" w:hAnsi="Century Gothic" w:cs="Century Gothic"/>
          <w:b/>
          <w:i/>
          <w:sz w:val="18"/>
          <w:szCs w:val="18"/>
          <w:u w:val="single"/>
        </w:rPr>
        <w:t xml:space="preserve">los Estados Partes tendrán especialmente en cuenta la situación de vulnerabilidad a la violencia que </w:t>
      </w:r>
      <w:r>
        <w:rPr>
          <w:rFonts w:ascii="Century Gothic" w:eastAsia="Century Gothic" w:hAnsi="Century Gothic" w:cs="Century Gothic"/>
          <w:b/>
          <w:i/>
          <w:sz w:val="18"/>
          <w:szCs w:val="18"/>
          <w:u w:val="single"/>
        </w:rPr>
        <w:lastRenderedPageBreak/>
        <w:t xml:space="preserve">pueda sufrir la mujer en razón, </w:t>
      </w:r>
      <w:r>
        <w:rPr>
          <w:rFonts w:ascii="Century Gothic" w:eastAsia="Century Gothic" w:hAnsi="Century Gothic" w:cs="Century Gothic"/>
          <w:i/>
          <w:sz w:val="18"/>
          <w:szCs w:val="18"/>
        </w:rPr>
        <w:t xml:space="preserve">entre otras, de su raza o de su condición étnica, de migrante, refugiada o desplazada.  </w:t>
      </w:r>
      <w:r>
        <w:rPr>
          <w:rFonts w:ascii="Century Gothic" w:eastAsia="Century Gothic" w:hAnsi="Century Gothic" w:cs="Century Gothic"/>
          <w:b/>
          <w:i/>
          <w:sz w:val="18"/>
          <w:szCs w:val="18"/>
          <w:u w:val="single"/>
        </w:rPr>
        <w:t>En igual sentido se considerará a la mujer que es objeto de violencia cuando está</w:t>
      </w:r>
      <w:r>
        <w:rPr>
          <w:rFonts w:ascii="Century Gothic" w:eastAsia="Century Gothic" w:hAnsi="Century Gothic" w:cs="Century Gothic"/>
          <w:i/>
          <w:sz w:val="18"/>
          <w:szCs w:val="18"/>
        </w:rPr>
        <w:t xml:space="preserve"> embarazada, es discapacitada, menor de edad, anciana, o está en situación socioeconómica desfavorable </w:t>
      </w:r>
      <w:r>
        <w:rPr>
          <w:rFonts w:ascii="Century Gothic" w:eastAsia="Century Gothic" w:hAnsi="Century Gothic" w:cs="Century Gothic"/>
          <w:b/>
          <w:i/>
          <w:sz w:val="18"/>
          <w:szCs w:val="18"/>
          <w:u w:val="single"/>
        </w:rPr>
        <w:t>o afectada por situaciones de</w:t>
      </w:r>
      <w:r>
        <w:rPr>
          <w:rFonts w:ascii="Century Gothic" w:eastAsia="Century Gothic" w:hAnsi="Century Gothic" w:cs="Century Gothic"/>
          <w:i/>
          <w:sz w:val="18"/>
          <w:szCs w:val="18"/>
        </w:rPr>
        <w:t xml:space="preserve"> conflictos armados o de </w:t>
      </w:r>
      <w:r>
        <w:rPr>
          <w:rFonts w:ascii="Century Gothic" w:eastAsia="Century Gothic" w:hAnsi="Century Gothic" w:cs="Century Gothic"/>
          <w:b/>
          <w:i/>
          <w:sz w:val="18"/>
          <w:szCs w:val="18"/>
          <w:u w:val="single"/>
        </w:rPr>
        <w:t>privación de su libertad</w:t>
      </w:r>
      <w:r>
        <w:rPr>
          <w:rFonts w:ascii="Century Gothic" w:eastAsia="Century Gothic" w:hAnsi="Century Gothic" w:cs="Century Gothic"/>
          <w:i/>
          <w:sz w:val="18"/>
          <w:szCs w:val="18"/>
          <w:u w:val="single"/>
        </w:rPr>
        <w:t>”</w:t>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14:paraId="0DD7C8EC" w14:textId="77777777" w:rsidR="002051CB" w:rsidRDefault="002051CB" w:rsidP="002051CB">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14:paraId="2A43B2EB"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Reglas de Bangkok</w:t>
      </w:r>
      <w:r>
        <w:rPr>
          <w:rFonts w:ascii="Century Gothic" w:eastAsia="Century Gothic" w:hAnsi="Century Gothic" w:cs="Century Gothic"/>
          <w:sz w:val="22"/>
          <w:szCs w:val="22"/>
        </w:rPr>
        <w:t>. Conjunto de 70 normas expedidas por la ONU que velan por mejorar el tratamiento penitenciario hacia las mujeres, sus roles de género y las garantías para transitar hacia condenas no privativas en centro de reclusión</w:t>
      </w:r>
      <w:r>
        <w:rPr>
          <w:rFonts w:ascii="Century Gothic" w:eastAsia="Century Gothic" w:hAnsi="Century Gothic" w:cs="Century Gothic"/>
          <w:sz w:val="22"/>
          <w:szCs w:val="22"/>
          <w:vertAlign w:val="superscript"/>
        </w:rPr>
        <w:footnoteReference w:id="79"/>
      </w:r>
      <w:r>
        <w:rPr>
          <w:rFonts w:ascii="Century Gothic" w:eastAsia="Century Gothic" w:hAnsi="Century Gothic" w:cs="Century Gothic"/>
          <w:sz w:val="22"/>
          <w:szCs w:val="22"/>
        </w:rPr>
        <w:t xml:space="preserve"> (Colombia es miembro fundador de las Naciones Unidas, ratificó el 5/noviembre/1945 la Carta Constitutiva de San Francisco).</w:t>
      </w:r>
    </w:p>
    <w:p w14:paraId="0233A928" w14:textId="77777777" w:rsidR="002051CB" w:rsidRDefault="002051CB" w:rsidP="002051CB">
      <w:pPr>
        <w:spacing w:line="276" w:lineRule="auto"/>
        <w:jc w:val="both"/>
        <w:rPr>
          <w:rFonts w:ascii="Century Gothic" w:eastAsia="Century Gothic" w:hAnsi="Century Gothic" w:cs="Century Gothic"/>
          <w:sz w:val="22"/>
          <w:szCs w:val="22"/>
        </w:rPr>
      </w:pPr>
    </w:p>
    <w:p w14:paraId="12ED1776" w14:textId="77777777" w:rsidR="002051CB" w:rsidRDefault="002051CB" w:rsidP="002051CB">
      <w:pPr>
        <w:pBdr>
          <w:top w:val="nil"/>
          <w:left w:val="nil"/>
          <w:bottom w:val="nil"/>
          <w:right w:val="nil"/>
          <w:between w:val="nil"/>
        </w:pBdr>
        <w:spacing w:after="150" w:line="276" w:lineRule="auto"/>
        <w:ind w:left="567"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 xml:space="preserve">Regla 5: "Los recintos destinados al alojamiento de las reclusas deberán contar con los medios y </w:t>
      </w:r>
      <w:r>
        <w:rPr>
          <w:rFonts w:ascii="Century Gothic" w:eastAsia="Century Gothic" w:hAnsi="Century Gothic" w:cs="Century Gothic"/>
          <w:b/>
          <w:i/>
          <w:color w:val="000000"/>
          <w:sz w:val="18"/>
          <w:szCs w:val="18"/>
          <w:u w:val="single"/>
        </w:rPr>
        <w:t>artículos necesarios para satisfacer las necesidades de higiene propias de su género, incluidas toallas sanitarias gratuitas</w:t>
      </w:r>
      <w:r>
        <w:rPr>
          <w:rFonts w:ascii="Century Gothic" w:eastAsia="Century Gothic" w:hAnsi="Century Gothic" w:cs="Century Gothic"/>
          <w:i/>
          <w:color w:val="000000"/>
          <w:sz w:val="18"/>
          <w:szCs w:val="18"/>
        </w:rPr>
        <w:t xml:space="preserve"> y el suministro permanente de agua para el cuidado personal de niños y mujeres, en particular las que cocinen, las embarazadas y las que se encuentren en período de lactancia o menstruación". </w:t>
      </w:r>
      <w:r>
        <w:rPr>
          <w:rFonts w:ascii="Century Gothic" w:eastAsia="Century Gothic" w:hAnsi="Century Gothic" w:cs="Century Gothic"/>
          <w:color w:val="000000"/>
          <w:sz w:val="18"/>
          <w:szCs w:val="18"/>
        </w:rPr>
        <w:t>(Negrilla y subrayado por fuera del texto)</w:t>
      </w:r>
    </w:p>
    <w:p w14:paraId="2CA9B8A0"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relación a la aplicación de este instrumento internacional, se debe mencionar que, las integrantes del colectivo Mujeres Libres, "denunciaron que a pesar de que Colombia esté suscrito como país miembro de la ONU, no acata ni respeta ninguna de las 70 reglas de Bangkok y por el contrario profundiza un modelo penitenciario patriarcal en contra de las mujeres"</w:t>
      </w:r>
      <w:r>
        <w:rPr>
          <w:rFonts w:ascii="Century Gothic" w:eastAsia="Century Gothic" w:hAnsi="Century Gothic" w:cs="Century Gothic"/>
          <w:sz w:val="22"/>
          <w:szCs w:val="22"/>
          <w:vertAlign w:val="superscript"/>
        </w:rPr>
        <w:footnoteReference w:id="80"/>
      </w:r>
      <w:r>
        <w:rPr>
          <w:rFonts w:ascii="Century Gothic" w:eastAsia="Century Gothic" w:hAnsi="Century Gothic" w:cs="Century Gothic"/>
          <w:sz w:val="22"/>
          <w:szCs w:val="22"/>
        </w:rPr>
        <w:t>.</w:t>
      </w:r>
    </w:p>
    <w:p w14:paraId="061CA9CC" w14:textId="77777777" w:rsidR="002051CB" w:rsidRDefault="002051CB" w:rsidP="002051CB">
      <w:pPr>
        <w:jc w:val="both"/>
        <w:rPr>
          <w:rFonts w:ascii="Century Gothic" w:eastAsia="Century Gothic" w:hAnsi="Century Gothic" w:cs="Century Gothic"/>
          <w:sz w:val="22"/>
          <w:szCs w:val="22"/>
        </w:rPr>
      </w:pPr>
    </w:p>
    <w:p w14:paraId="14AA9828" w14:textId="77777777" w:rsidR="002051CB" w:rsidRDefault="002051CB" w:rsidP="002051CB">
      <w:pPr>
        <w:spacing w:line="276" w:lineRule="auto"/>
        <w:ind w:firstLine="284"/>
        <w:jc w:val="both"/>
      </w:pPr>
      <w:r>
        <w:rPr>
          <w:rFonts w:ascii="Century Gothic" w:eastAsia="Century Gothic" w:hAnsi="Century Gothic" w:cs="Century Gothic"/>
          <w:b/>
          <w:sz w:val="22"/>
          <w:szCs w:val="22"/>
        </w:rPr>
        <w:t>Principios y Buenas Prácticas sobre la protección de las personas Privadas de la Libertad. Relatoría sobre los Derechos de las Personas Privadas de Libertad</w:t>
      </w:r>
      <w:r>
        <w:rPr>
          <w:rFonts w:ascii="Century Gothic" w:eastAsia="Century Gothic" w:hAnsi="Century Gothic" w:cs="Century Gothic"/>
          <w:sz w:val="22"/>
          <w:szCs w:val="22"/>
        </w:rPr>
        <w:t xml:space="preserve"> </w:t>
      </w:r>
      <w:r>
        <w:rPr>
          <w:rFonts w:ascii="Arial" w:eastAsia="Arial" w:hAnsi="Arial" w:cs="Arial"/>
          <w:color w:val="4D5156"/>
          <w:sz w:val="21"/>
          <w:szCs w:val="21"/>
          <w:highlight w:val="white"/>
        </w:rPr>
        <w:t>-</w:t>
      </w:r>
      <w:r>
        <w:rPr>
          <w:rFonts w:ascii="Century Gothic" w:eastAsia="Century Gothic" w:hAnsi="Century Gothic" w:cs="Century Gothic"/>
          <w:sz w:val="22"/>
          <w:szCs w:val="22"/>
        </w:rPr>
        <w:t>Comisión Interamericana de Derechos Humanos</w:t>
      </w:r>
      <w:r>
        <w:rPr>
          <w:rFonts w:ascii="Century Gothic" w:eastAsia="Century Gothic" w:hAnsi="Century Gothic" w:cs="Century Gothic"/>
          <w:sz w:val="22"/>
          <w:szCs w:val="22"/>
          <w:vertAlign w:val="superscript"/>
        </w:rPr>
        <w:footnoteReference w:id="81"/>
      </w:r>
      <w:r>
        <w:rPr>
          <w:rFonts w:ascii="Century Gothic" w:eastAsia="Century Gothic" w:hAnsi="Century Gothic" w:cs="Century Gothic"/>
          <w:sz w:val="22"/>
          <w:szCs w:val="22"/>
        </w:rPr>
        <w:t>:</w:t>
      </w:r>
    </w:p>
    <w:p w14:paraId="6F9BEDFA" w14:textId="77777777" w:rsidR="002051CB" w:rsidRDefault="002051CB" w:rsidP="002051CB">
      <w:pPr>
        <w:spacing w:line="276" w:lineRule="auto"/>
        <w:ind w:left="284"/>
        <w:jc w:val="both"/>
        <w:rPr>
          <w:rFonts w:ascii="Century Gothic" w:eastAsia="Century Gothic" w:hAnsi="Century Gothic" w:cs="Century Gothic"/>
          <w:sz w:val="22"/>
          <w:szCs w:val="22"/>
        </w:rPr>
      </w:pPr>
    </w:p>
    <w:p w14:paraId="4C05798B" w14:textId="77777777" w:rsidR="002051CB" w:rsidRDefault="002051CB" w:rsidP="002051CB">
      <w:pPr>
        <w:spacing w:line="276" w:lineRule="auto"/>
        <w:ind w:left="568" w:right="333" w:hanging="1"/>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Principio I." </w:t>
      </w:r>
      <w:r>
        <w:rPr>
          <w:rFonts w:ascii="Century Gothic" w:eastAsia="Century Gothic" w:hAnsi="Century Gothic" w:cs="Century Gothic"/>
          <w:b/>
          <w:i/>
          <w:sz w:val="18"/>
          <w:szCs w:val="18"/>
          <w:u w:val="single"/>
        </w:rPr>
        <w:t>Toda persona privada de libertad que esté sujeta a la jurisdicción de cualquiera de los Estados Miembros de la Organización de los Estados Americanos será tratada humanamente, con irrestricto respeto a su dignidad inherente, a sus derechos y garantías fundamentales,</w:t>
      </w:r>
      <w:r>
        <w:rPr>
          <w:rFonts w:ascii="Century Gothic" w:eastAsia="Century Gothic" w:hAnsi="Century Gothic" w:cs="Century Gothic"/>
          <w:i/>
          <w:sz w:val="18"/>
          <w:szCs w:val="18"/>
        </w:rPr>
        <w:t xml:space="preserve"> y con estricto apego a los instrumentos internacionales sobre derechos humanos.</w:t>
      </w:r>
    </w:p>
    <w:p w14:paraId="0914AEBA" w14:textId="77777777" w:rsidR="002051CB" w:rsidRDefault="002051CB" w:rsidP="002051CB">
      <w:pPr>
        <w:spacing w:line="276" w:lineRule="auto"/>
        <w:ind w:left="568" w:right="333" w:hanging="1"/>
        <w:jc w:val="both"/>
        <w:rPr>
          <w:rFonts w:ascii="Century Gothic" w:eastAsia="Century Gothic" w:hAnsi="Century Gothic" w:cs="Century Gothic"/>
          <w:i/>
          <w:sz w:val="18"/>
          <w:szCs w:val="18"/>
        </w:rPr>
      </w:pPr>
    </w:p>
    <w:p w14:paraId="797FD841" w14:textId="77777777" w:rsidR="002051CB" w:rsidRDefault="002051CB" w:rsidP="002051CB">
      <w:pPr>
        <w:spacing w:line="276" w:lineRule="auto"/>
        <w:ind w:left="568" w:right="333" w:hanging="1"/>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En particular, y </w:t>
      </w:r>
      <w:r>
        <w:rPr>
          <w:rFonts w:ascii="Century Gothic" w:eastAsia="Century Gothic" w:hAnsi="Century Gothic" w:cs="Century Gothic"/>
          <w:b/>
          <w:i/>
          <w:sz w:val="18"/>
          <w:szCs w:val="18"/>
          <w:u w:val="single"/>
        </w:rPr>
        <w:t xml:space="preserve">tomando en cuenta la posición especial de garante de los Estados frente a las personas privadas de libertad, se les </w:t>
      </w:r>
      <w:r>
        <w:rPr>
          <w:rFonts w:ascii="Century Gothic" w:eastAsia="Century Gothic" w:hAnsi="Century Gothic" w:cs="Century Gothic"/>
          <w:i/>
          <w:sz w:val="18"/>
          <w:szCs w:val="18"/>
        </w:rPr>
        <w:t xml:space="preserve">respetará y garantizará su vida e integridad personal, y se </w:t>
      </w:r>
      <w:r>
        <w:rPr>
          <w:rFonts w:ascii="Century Gothic" w:eastAsia="Century Gothic" w:hAnsi="Century Gothic" w:cs="Century Gothic"/>
          <w:b/>
          <w:i/>
          <w:sz w:val="18"/>
          <w:szCs w:val="18"/>
          <w:u w:val="single"/>
        </w:rPr>
        <w:t>asegurarán condiciones mínimas que sean compatibles con su dignidad"</w:t>
      </w:r>
      <w:r>
        <w:rPr>
          <w:rFonts w:ascii="Century Gothic" w:eastAsia="Century Gothic" w:hAnsi="Century Gothic" w:cs="Century Gothic"/>
          <w:b/>
          <w:sz w:val="18"/>
          <w:szCs w:val="18"/>
        </w:rPr>
        <w:t>.</w:t>
      </w:r>
      <w:r>
        <w:rPr>
          <w:rFonts w:ascii="Century Gothic" w:eastAsia="Century Gothic" w:hAnsi="Century Gothic" w:cs="Century Gothic"/>
          <w:b/>
          <w:i/>
          <w:sz w:val="18"/>
          <w:szCs w:val="18"/>
        </w:rPr>
        <w:t xml:space="preserve"> </w:t>
      </w:r>
      <w:r>
        <w:rPr>
          <w:rFonts w:ascii="Century Gothic" w:eastAsia="Century Gothic" w:hAnsi="Century Gothic" w:cs="Century Gothic"/>
          <w:sz w:val="18"/>
          <w:szCs w:val="18"/>
        </w:rPr>
        <w:t>(…) (Negrilla y subrayado por fuera del texto)</w:t>
      </w:r>
    </w:p>
    <w:p w14:paraId="389828C7" w14:textId="77777777" w:rsidR="002051CB" w:rsidRDefault="002051CB" w:rsidP="002051CB">
      <w:pPr>
        <w:spacing w:line="276" w:lineRule="auto"/>
        <w:jc w:val="both"/>
        <w:rPr>
          <w:rFonts w:ascii="Century Gothic" w:eastAsia="Century Gothic" w:hAnsi="Century Gothic" w:cs="Century Gothic"/>
          <w:sz w:val="22"/>
          <w:szCs w:val="22"/>
        </w:rPr>
      </w:pPr>
    </w:p>
    <w:p w14:paraId="40613B2D" w14:textId="71C39D74"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De otra parte, es importante mencionar que la Relatoría de la CIDH, </w:t>
      </w:r>
      <w:r w:rsidR="002551B9">
        <w:rPr>
          <w:rFonts w:ascii="Century Gothic" w:eastAsia="Century Gothic" w:hAnsi="Century Gothic" w:cs="Century Gothic"/>
          <w:sz w:val="22"/>
          <w:szCs w:val="22"/>
        </w:rPr>
        <w:t>aborda</w:t>
      </w:r>
      <w:r>
        <w:rPr>
          <w:rFonts w:ascii="Century Gothic" w:eastAsia="Century Gothic" w:hAnsi="Century Gothic" w:cs="Century Gothic"/>
          <w:sz w:val="22"/>
          <w:szCs w:val="22"/>
        </w:rPr>
        <w:t xml:space="preserve"> en especifico el tema de higiene menstrual, de la siguiente manera:</w:t>
      </w:r>
    </w:p>
    <w:p w14:paraId="6D2801DD" w14:textId="77777777" w:rsidR="002051CB" w:rsidRDefault="002051CB" w:rsidP="002051CB">
      <w:pPr>
        <w:spacing w:line="276" w:lineRule="auto"/>
        <w:jc w:val="both"/>
        <w:rPr>
          <w:rFonts w:ascii="Century Gothic" w:eastAsia="Century Gothic" w:hAnsi="Century Gothic" w:cs="Century Gothic"/>
          <w:sz w:val="22"/>
          <w:szCs w:val="22"/>
        </w:rPr>
      </w:pPr>
    </w:p>
    <w:p w14:paraId="32DC774B"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Principio XII. "</w:t>
      </w:r>
      <w:r>
        <w:rPr>
          <w:rFonts w:ascii="Century Gothic" w:eastAsia="Century Gothic" w:hAnsi="Century Gothic" w:cs="Century Gothic"/>
          <w:b/>
          <w:i/>
          <w:sz w:val="18"/>
          <w:szCs w:val="18"/>
          <w:u w:val="single"/>
        </w:rPr>
        <w:t>Las personas privadas de libertad</w:t>
      </w:r>
      <w:r>
        <w:rPr>
          <w:rFonts w:ascii="Century Gothic" w:eastAsia="Century Gothic" w:hAnsi="Century Gothic" w:cs="Century Gothic"/>
          <w:i/>
          <w:sz w:val="18"/>
          <w:szCs w:val="18"/>
        </w:rPr>
        <w:t xml:space="preserve"> tendrán acceso a instalaciones sanitarias higiénicas y suficientes, que aseguren su privacidad y dignidad. Asimismo, </w:t>
      </w:r>
      <w:r>
        <w:rPr>
          <w:rFonts w:ascii="Century Gothic" w:eastAsia="Century Gothic" w:hAnsi="Century Gothic" w:cs="Century Gothic"/>
          <w:b/>
          <w:i/>
          <w:sz w:val="18"/>
          <w:szCs w:val="18"/>
          <w:u w:val="single"/>
        </w:rPr>
        <w:t xml:space="preserve">tendrán acceso a productos básicos de higiene personal, </w:t>
      </w:r>
      <w:r>
        <w:rPr>
          <w:rFonts w:ascii="Century Gothic" w:eastAsia="Century Gothic" w:hAnsi="Century Gothic" w:cs="Century Gothic"/>
          <w:i/>
          <w:sz w:val="18"/>
          <w:szCs w:val="18"/>
        </w:rPr>
        <w:t>y a agua para su aseo personal, conforme a las condiciones climáticas".</w:t>
      </w:r>
    </w:p>
    <w:p w14:paraId="4ED94366"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 </w:t>
      </w:r>
    </w:p>
    <w:p w14:paraId="7FFB8102" w14:textId="77777777" w:rsidR="002051CB" w:rsidRDefault="002051CB" w:rsidP="002051CB">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u w:val="single"/>
        </w:rPr>
        <w:t>Se proveerá regularmente a las mujeres y niñas privadas de libertad los artículos indispensables para las necesidades sanitarias propias de su sexo</w:t>
      </w:r>
      <w:r>
        <w:rPr>
          <w:rFonts w:ascii="Century Gothic" w:eastAsia="Century Gothic" w:hAnsi="Century Gothic" w:cs="Century Gothic"/>
          <w:i/>
          <w:sz w:val="18"/>
          <w:szCs w:val="18"/>
        </w:rPr>
        <w:t>. (Negrilla y subrayado por fuera del texto)</w:t>
      </w:r>
    </w:p>
    <w:p w14:paraId="6E912B93" w14:textId="77777777" w:rsidR="002051CB" w:rsidRDefault="002051CB" w:rsidP="002051CB">
      <w:pPr>
        <w:jc w:val="both"/>
        <w:rPr>
          <w:rFonts w:ascii="Century Gothic" w:eastAsia="Century Gothic" w:hAnsi="Century Gothic" w:cs="Century Gothic"/>
          <w:b/>
          <w:sz w:val="22"/>
          <w:szCs w:val="22"/>
        </w:rPr>
      </w:pPr>
    </w:p>
    <w:p w14:paraId="52419E5D"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Reglas mínimas de las Naciones Unidas para el Tratamiento de los Reclusos (Reglas Nelson Mandela) </w:t>
      </w:r>
      <w:r>
        <w:rPr>
          <w:rFonts w:ascii="Century Gothic" w:eastAsia="Century Gothic" w:hAnsi="Century Gothic" w:cs="Century Gothic"/>
          <w:sz w:val="22"/>
          <w:szCs w:val="22"/>
        </w:rPr>
        <w:t>La Resolución 70/175 de la Organización de las Naciones Unidas establece algunos de los principios y prácticas que hoy en día se reconocen como idóneos para el tratamiento de los reclusos y la administración penitenciaria. En cuanto a la higiene personal, la regla número 18 de la Resolución 70/175 establece:</w:t>
      </w:r>
    </w:p>
    <w:p w14:paraId="3A652848"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55C72B78" w14:textId="77777777" w:rsidR="002051CB" w:rsidRDefault="002051CB" w:rsidP="002051CB">
      <w:pPr>
        <w:spacing w:line="276" w:lineRule="auto"/>
        <w:ind w:left="284" w:right="333"/>
        <w:jc w:val="both"/>
        <w:rPr>
          <w:i/>
          <w:sz w:val="18"/>
          <w:szCs w:val="18"/>
        </w:rPr>
      </w:pPr>
      <w:r>
        <w:rPr>
          <w:rFonts w:ascii="Century Gothic" w:eastAsia="Century Gothic" w:hAnsi="Century Gothic" w:cs="Century Gothic"/>
          <w:i/>
          <w:sz w:val="18"/>
          <w:szCs w:val="18"/>
        </w:rPr>
        <w:t xml:space="preserve">Higiene personal. 1. Se exigirá de los reclusos aseo personal y, a tal efecto, </w:t>
      </w:r>
      <w:r>
        <w:rPr>
          <w:rFonts w:ascii="Century Gothic" w:eastAsia="Century Gothic" w:hAnsi="Century Gothic" w:cs="Century Gothic"/>
          <w:b/>
          <w:i/>
          <w:sz w:val="18"/>
          <w:szCs w:val="18"/>
          <w:u w:val="single"/>
        </w:rPr>
        <w:t>se les facilitará agua y los artículos de aseo indispensables para su salud e higiene</w:t>
      </w:r>
      <w:r>
        <w:rPr>
          <w:rFonts w:ascii="Century Gothic" w:eastAsia="Century Gothic" w:hAnsi="Century Gothic" w:cs="Century Gothic"/>
          <w:b/>
          <w:i/>
          <w:sz w:val="18"/>
          <w:szCs w:val="18"/>
        </w:rPr>
        <w:t xml:space="preserve">. (…) </w:t>
      </w:r>
      <w:r>
        <w:rPr>
          <w:rFonts w:ascii="Century Gothic" w:eastAsia="Century Gothic" w:hAnsi="Century Gothic" w:cs="Century Gothic"/>
          <w:i/>
          <w:sz w:val="18"/>
          <w:szCs w:val="18"/>
        </w:rPr>
        <w:t>(Negrilla y subrayado fuera del texto).</w:t>
      </w:r>
    </w:p>
    <w:p w14:paraId="54DB8837" w14:textId="77777777" w:rsidR="002051CB" w:rsidRDefault="002051CB" w:rsidP="002051CB">
      <w:pPr>
        <w:spacing w:line="276" w:lineRule="auto"/>
        <w:jc w:val="both"/>
        <w:rPr>
          <w:rFonts w:ascii="Century Gothic" w:eastAsia="Century Gothic" w:hAnsi="Century Gothic" w:cs="Century Gothic"/>
          <w:sz w:val="22"/>
          <w:szCs w:val="22"/>
        </w:rPr>
      </w:pPr>
    </w:p>
    <w:p w14:paraId="050575D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la misma forma, las reglas Nelson Mandela establecen que las condiciones de vida generales respecto a la higiene personal, la atención de la salud y el acceso al saneamiento y agua potable deben ser aplicadas a todos los reclusos sin excepción (Regla 42)</w:t>
      </w:r>
      <w:r>
        <w:rPr>
          <w:rFonts w:ascii="Century Gothic" w:eastAsia="Century Gothic" w:hAnsi="Century Gothic" w:cs="Century Gothic"/>
          <w:sz w:val="22"/>
          <w:szCs w:val="22"/>
          <w:vertAlign w:val="superscript"/>
        </w:rPr>
        <w:footnoteReference w:id="82"/>
      </w:r>
      <w:r>
        <w:rPr>
          <w:rFonts w:ascii="Century Gothic" w:eastAsia="Century Gothic" w:hAnsi="Century Gothic" w:cs="Century Gothic"/>
          <w:sz w:val="22"/>
          <w:szCs w:val="22"/>
        </w:rPr>
        <w:t>.</w:t>
      </w:r>
    </w:p>
    <w:p w14:paraId="3D871E29" w14:textId="77777777" w:rsidR="002051CB" w:rsidRDefault="002051CB" w:rsidP="002051CB">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p>
    <w:p w14:paraId="039CEF4D" w14:textId="77777777" w:rsidR="002051CB" w:rsidRDefault="002051CB" w:rsidP="002051CB">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Agenda 2030. </w:t>
      </w:r>
      <w:r>
        <w:rPr>
          <w:rFonts w:ascii="Century Gothic" w:eastAsia="Century Gothic" w:hAnsi="Century Gothic" w:cs="Century Gothic"/>
          <w:sz w:val="22"/>
          <w:szCs w:val="22"/>
        </w:rPr>
        <w:t>La Resolución A/RES/70/L1 adoptada en septiembre de 2015 por la Asamblea General de las Naciones Unidas, anunció los 17 Objetivos de Desarrollo Sostenible (ODS) y las 169 metas conexas para trazar una ruta hacia un nuevo paradigma de desarrollo en el que juegan un rol importante las personas, el planeta, las alianzas, la prosperidad y la paz. Según la Comisión Económica para América Latina y el Caribe (CEPAL), la agenda 2030 es</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civilizatoria “</w:t>
      </w:r>
      <w:r>
        <w:rPr>
          <w:rFonts w:ascii="Century Gothic" w:eastAsia="Century Gothic" w:hAnsi="Century Gothic" w:cs="Century Gothic"/>
          <w:i/>
          <w:sz w:val="22"/>
          <w:szCs w:val="22"/>
        </w:rPr>
        <w:t xml:space="preserve">porque pone a las personas en el centro, tiene un enfoque de derechos y busca un desarrollo </w:t>
      </w:r>
      <w:r>
        <w:rPr>
          <w:rFonts w:ascii="Century Gothic" w:eastAsia="Century Gothic" w:hAnsi="Century Gothic" w:cs="Century Gothic"/>
          <w:i/>
          <w:sz w:val="22"/>
          <w:szCs w:val="22"/>
        </w:rPr>
        <w:lastRenderedPageBreak/>
        <w:t>sostenible global dentro de los limites planetarios”</w:t>
      </w:r>
      <w:r>
        <w:rPr>
          <w:rFonts w:ascii="Century Gothic" w:eastAsia="Century Gothic" w:hAnsi="Century Gothic" w:cs="Century Gothic"/>
          <w:sz w:val="22"/>
          <w:szCs w:val="22"/>
          <w:vertAlign w:val="superscript"/>
        </w:rPr>
        <w:footnoteReference w:id="83"/>
      </w:r>
      <w:r>
        <w:rPr>
          <w:rFonts w:ascii="Century Gothic" w:eastAsia="Century Gothic" w:hAnsi="Century Gothic" w:cs="Century Gothic"/>
          <w:sz w:val="22"/>
          <w:szCs w:val="22"/>
        </w:rPr>
        <w:t>. Desde este enfoque, la agenda 2030 establece los siguientes objetivos:</w:t>
      </w:r>
    </w:p>
    <w:p w14:paraId="36951FBC" w14:textId="77777777" w:rsidR="002051CB" w:rsidRDefault="002051CB" w:rsidP="002051CB">
      <w:pPr>
        <w:spacing w:line="276" w:lineRule="auto"/>
        <w:ind w:firstLine="284"/>
        <w:jc w:val="both"/>
        <w:rPr>
          <w:rFonts w:ascii="Century Gothic" w:eastAsia="Century Gothic" w:hAnsi="Century Gothic" w:cs="Century Gothic"/>
          <w:b/>
          <w:sz w:val="22"/>
          <w:szCs w:val="22"/>
        </w:rPr>
      </w:pPr>
    </w:p>
    <w:p w14:paraId="11EF4312" w14:textId="77777777" w:rsidR="002051CB" w:rsidRDefault="002051CB" w:rsidP="002051CB">
      <w:pPr>
        <w:numPr>
          <w:ilvl w:val="0"/>
          <w:numId w:val="19"/>
        </w:numPr>
        <w:pBdr>
          <w:top w:val="nil"/>
          <w:left w:val="nil"/>
          <w:bottom w:val="nil"/>
          <w:right w:val="nil"/>
          <w:between w:val="nil"/>
        </w:pBdr>
        <w:spacing w:line="276" w:lineRule="auto"/>
        <w:ind w:left="284" w:firstLine="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3</w:t>
      </w:r>
      <w:r>
        <w:rPr>
          <w:rFonts w:ascii="Century Gothic" w:eastAsia="Century Gothic" w:hAnsi="Century Gothic" w:cs="Century Gothic"/>
          <w:color w:val="000000"/>
          <w:sz w:val="22"/>
          <w:szCs w:val="22"/>
        </w:rPr>
        <w:t>. Garantizar una vida sana y promover el bienestar de todos a todas las edades.</w:t>
      </w:r>
    </w:p>
    <w:p w14:paraId="22ECBFDD" w14:textId="77777777" w:rsidR="002051CB" w:rsidRDefault="002051CB" w:rsidP="002051CB">
      <w:pPr>
        <w:pBdr>
          <w:top w:val="nil"/>
          <w:left w:val="nil"/>
          <w:bottom w:val="nil"/>
          <w:right w:val="nil"/>
          <w:between w:val="nil"/>
        </w:pBdr>
        <w:spacing w:line="276" w:lineRule="auto"/>
        <w:ind w:left="1080"/>
        <w:jc w:val="both"/>
        <w:rPr>
          <w:rFonts w:ascii="Century Gothic" w:eastAsia="Century Gothic" w:hAnsi="Century Gothic" w:cs="Century Gothic"/>
          <w:color w:val="000000"/>
          <w:sz w:val="22"/>
          <w:szCs w:val="22"/>
        </w:rPr>
      </w:pPr>
    </w:p>
    <w:p w14:paraId="6F894F35" w14:textId="77777777" w:rsidR="002051CB" w:rsidRDefault="002051CB" w:rsidP="002051CB">
      <w:pPr>
        <w:numPr>
          <w:ilvl w:val="1"/>
          <w:numId w:val="20"/>
        </w:numPr>
        <w:pBdr>
          <w:top w:val="nil"/>
          <w:left w:val="nil"/>
          <w:bottom w:val="nil"/>
          <w:right w:val="nil"/>
          <w:between w:val="nil"/>
        </w:pBdr>
        <w:spacing w:line="276" w:lineRule="auto"/>
        <w:ind w:hanging="36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De aquí a 2030, garantizar el acceso universal a los servicios de salud sexual y reproductiva, incluidos los de planificación familiar, información y educación, y la integración de la salud reproductiva en las estrategias y los programas nacionales</w:t>
      </w:r>
      <w:r>
        <w:rPr>
          <w:rFonts w:ascii="Century Gothic" w:eastAsia="Century Gothic" w:hAnsi="Century Gothic" w:cs="Century Gothic"/>
          <w:i/>
          <w:color w:val="000000"/>
          <w:sz w:val="20"/>
          <w:szCs w:val="20"/>
          <w:vertAlign w:val="superscript"/>
        </w:rPr>
        <w:footnoteReference w:id="84"/>
      </w:r>
      <w:r>
        <w:rPr>
          <w:rFonts w:ascii="Century Gothic" w:eastAsia="Century Gothic" w:hAnsi="Century Gothic" w:cs="Century Gothic"/>
          <w:i/>
          <w:color w:val="000000"/>
          <w:sz w:val="20"/>
          <w:szCs w:val="20"/>
        </w:rPr>
        <w:t>.</w:t>
      </w:r>
    </w:p>
    <w:p w14:paraId="01B0A0DD" w14:textId="77777777" w:rsidR="002051CB" w:rsidRDefault="002051CB" w:rsidP="002051CB">
      <w:pPr>
        <w:numPr>
          <w:ilvl w:val="1"/>
          <w:numId w:val="20"/>
        </w:numPr>
        <w:pBdr>
          <w:top w:val="nil"/>
          <w:left w:val="nil"/>
          <w:bottom w:val="nil"/>
          <w:right w:val="nil"/>
          <w:between w:val="nil"/>
        </w:pBdr>
        <w:spacing w:line="276" w:lineRule="auto"/>
        <w:ind w:hanging="36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Lograr la cobertura sanitaria universal, incluida la protección contra los riesgos financieros, el acceso a servicios de salud esenciales de calidad y el acceso a medicamentos y vacunas inocuos, eficaces, asequibles y de calidad para todos</w:t>
      </w:r>
      <w:r>
        <w:rPr>
          <w:rFonts w:ascii="Century Gothic" w:eastAsia="Century Gothic" w:hAnsi="Century Gothic" w:cs="Century Gothic"/>
          <w:i/>
          <w:color w:val="000000"/>
          <w:sz w:val="20"/>
          <w:szCs w:val="20"/>
          <w:vertAlign w:val="superscript"/>
        </w:rPr>
        <w:footnoteReference w:id="85"/>
      </w:r>
      <w:r>
        <w:rPr>
          <w:rFonts w:ascii="Century Gothic" w:eastAsia="Century Gothic" w:hAnsi="Century Gothic" w:cs="Century Gothic"/>
          <w:i/>
          <w:color w:val="000000"/>
          <w:sz w:val="20"/>
          <w:szCs w:val="20"/>
        </w:rPr>
        <w:t>.</w:t>
      </w:r>
    </w:p>
    <w:p w14:paraId="7017F475" w14:textId="77777777" w:rsidR="002051CB" w:rsidRDefault="002051CB" w:rsidP="002051CB">
      <w:pPr>
        <w:pBdr>
          <w:top w:val="nil"/>
          <w:left w:val="nil"/>
          <w:bottom w:val="nil"/>
          <w:right w:val="nil"/>
          <w:between w:val="nil"/>
        </w:pBdr>
        <w:spacing w:line="276" w:lineRule="auto"/>
        <w:ind w:left="1455"/>
        <w:jc w:val="both"/>
        <w:rPr>
          <w:rFonts w:ascii="Century Gothic" w:eastAsia="Century Gothic" w:hAnsi="Century Gothic" w:cs="Century Gothic"/>
          <w:color w:val="000000"/>
          <w:sz w:val="22"/>
          <w:szCs w:val="22"/>
        </w:rPr>
      </w:pPr>
    </w:p>
    <w:p w14:paraId="620A12DB" w14:textId="77777777" w:rsidR="002051CB" w:rsidRDefault="002051CB" w:rsidP="002051CB">
      <w:pPr>
        <w:numPr>
          <w:ilvl w:val="0"/>
          <w:numId w:val="19"/>
        </w:numPr>
        <w:pBdr>
          <w:top w:val="nil"/>
          <w:left w:val="nil"/>
          <w:bottom w:val="nil"/>
          <w:right w:val="nil"/>
          <w:between w:val="nil"/>
        </w:pBdr>
        <w:spacing w:line="276" w:lineRule="auto"/>
        <w:ind w:hanging="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5.</w:t>
      </w:r>
      <w:r>
        <w:rPr>
          <w:rFonts w:ascii="Century Gothic" w:eastAsia="Century Gothic" w:hAnsi="Century Gothic" w:cs="Century Gothic"/>
          <w:color w:val="000000"/>
          <w:sz w:val="22"/>
          <w:szCs w:val="22"/>
        </w:rPr>
        <w:t xml:space="preserve"> Lograr la igualdad de género y empoderar a todas las mujeres y las niñas.</w:t>
      </w:r>
    </w:p>
    <w:p w14:paraId="3782511F" w14:textId="77777777" w:rsidR="002051CB" w:rsidRDefault="002051CB" w:rsidP="002051CB">
      <w:pPr>
        <w:pBdr>
          <w:top w:val="nil"/>
          <w:left w:val="nil"/>
          <w:bottom w:val="nil"/>
          <w:right w:val="nil"/>
          <w:between w:val="nil"/>
        </w:pBdr>
        <w:ind w:left="1080"/>
        <w:jc w:val="both"/>
        <w:rPr>
          <w:rFonts w:ascii="Century Gothic" w:eastAsia="Century Gothic" w:hAnsi="Century Gothic" w:cs="Century Gothic"/>
          <w:color w:val="000000"/>
          <w:sz w:val="22"/>
          <w:szCs w:val="22"/>
        </w:rPr>
      </w:pPr>
    </w:p>
    <w:p w14:paraId="1D6EEBE1" w14:textId="77777777" w:rsidR="002051CB" w:rsidRDefault="002051CB" w:rsidP="002051CB">
      <w:pPr>
        <w:spacing w:line="276" w:lineRule="auto"/>
        <w:ind w:left="284"/>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5.6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r>
        <w:rPr>
          <w:rFonts w:ascii="Century Gothic" w:eastAsia="Century Gothic" w:hAnsi="Century Gothic" w:cs="Century Gothic"/>
          <w:i/>
          <w:sz w:val="20"/>
          <w:szCs w:val="20"/>
          <w:vertAlign w:val="superscript"/>
        </w:rPr>
        <w:footnoteReference w:id="86"/>
      </w:r>
      <w:r>
        <w:rPr>
          <w:rFonts w:ascii="Century Gothic" w:eastAsia="Century Gothic" w:hAnsi="Century Gothic" w:cs="Century Gothic"/>
          <w:i/>
          <w:sz w:val="20"/>
          <w:szCs w:val="20"/>
        </w:rPr>
        <w:t>.</w:t>
      </w:r>
    </w:p>
    <w:p w14:paraId="435BD381" w14:textId="77777777" w:rsidR="002051CB" w:rsidRDefault="002051CB" w:rsidP="002051CB">
      <w:pPr>
        <w:spacing w:line="276" w:lineRule="auto"/>
        <w:ind w:left="284"/>
        <w:jc w:val="both"/>
        <w:rPr>
          <w:rFonts w:ascii="Century Gothic" w:eastAsia="Century Gothic" w:hAnsi="Century Gothic" w:cs="Century Gothic"/>
          <w:i/>
          <w:sz w:val="20"/>
          <w:szCs w:val="20"/>
        </w:rPr>
      </w:pPr>
    </w:p>
    <w:p w14:paraId="34CDE19E" w14:textId="77777777" w:rsidR="002051CB" w:rsidRDefault="002051CB" w:rsidP="002051CB">
      <w:pPr>
        <w:numPr>
          <w:ilvl w:val="0"/>
          <w:numId w:val="19"/>
        </w:numPr>
        <w:pBdr>
          <w:top w:val="nil"/>
          <w:left w:val="nil"/>
          <w:bottom w:val="nil"/>
          <w:right w:val="nil"/>
          <w:between w:val="nil"/>
        </w:pBdr>
        <w:spacing w:line="276" w:lineRule="auto"/>
        <w:ind w:hanging="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6.</w:t>
      </w:r>
      <w:r>
        <w:rPr>
          <w:rFonts w:ascii="Century Gothic" w:eastAsia="Century Gothic" w:hAnsi="Century Gothic" w:cs="Century Gothic"/>
          <w:color w:val="000000"/>
          <w:sz w:val="22"/>
          <w:szCs w:val="22"/>
        </w:rPr>
        <w:t xml:space="preserve"> Garantizar la disponibilidad y la gestión sostenible del agua y el saneamiento para todos. </w:t>
      </w:r>
    </w:p>
    <w:p w14:paraId="59553780" w14:textId="77777777" w:rsidR="002051CB" w:rsidRDefault="002051CB" w:rsidP="002051CB">
      <w:pPr>
        <w:pBdr>
          <w:top w:val="nil"/>
          <w:left w:val="nil"/>
          <w:bottom w:val="nil"/>
          <w:right w:val="nil"/>
          <w:between w:val="nil"/>
        </w:pBdr>
        <w:spacing w:line="276" w:lineRule="auto"/>
        <w:ind w:left="1080"/>
        <w:jc w:val="both"/>
        <w:rPr>
          <w:rFonts w:ascii="Century Gothic" w:eastAsia="Century Gothic" w:hAnsi="Century Gothic" w:cs="Century Gothic"/>
          <w:color w:val="000000"/>
          <w:sz w:val="22"/>
          <w:szCs w:val="22"/>
        </w:rPr>
      </w:pPr>
    </w:p>
    <w:p w14:paraId="353EFFD2" w14:textId="77777777" w:rsidR="002051CB" w:rsidRDefault="002051CB" w:rsidP="002051CB">
      <w:pPr>
        <w:spacing w:line="276" w:lineRule="auto"/>
        <w:ind w:left="284"/>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6.2 De aquí a 2030, lograr el acceso a servicios de saneamiento e higiene adecuados y equitativos para todos y poner fin a la defecación al aire libre, prestando especial atención a las necesidades de las mujeres y las niñas y las personas en situaciones de vulnerabilidad</w:t>
      </w:r>
      <w:r>
        <w:rPr>
          <w:rFonts w:ascii="Century Gothic" w:eastAsia="Century Gothic" w:hAnsi="Century Gothic" w:cs="Century Gothic"/>
          <w:i/>
          <w:sz w:val="20"/>
          <w:szCs w:val="20"/>
          <w:vertAlign w:val="superscript"/>
        </w:rPr>
        <w:footnoteReference w:id="87"/>
      </w:r>
      <w:r>
        <w:rPr>
          <w:rFonts w:ascii="Century Gothic" w:eastAsia="Century Gothic" w:hAnsi="Century Gothic" w:cs="Century Gothic"/>
          <w:i/>
          <w:sz w:val="20"/>
          <w:szCs w:val="20"/>
        </w:rPr>
        <w:t>.</w:t>
      </w:r>
    </w:p>
    <w:p w14:paraId="4CE8D85B" w14:textId="77777777" w:rsidR="002051CB" w:rsidRDefault="002051CB" w:rsidP="002051CB">
      <w:pPr>
        <w:pBdr>
          <w:top w:val="nil"/>
          <w:left w:val="nil"/>
          <w:bottom w:val="nil"/>
          <w:right w:val="nil"/>
          <w:between w:val="nil"/>
        </w:pBdr>
        <w:ind w:left="360"/>
        <w:jc w:val="both"/>
        <w:rPr>
          <w:rFonts w:ascii="Century Gothic" w:eastAsia="Century Gothic" w:hAnsi="Century Gothic" w:cs="Century Gothic"/>
          <w:color w:val="000000"/>
          <w:sz w:val="22"/>
          <w:szCs w:val="22"/>
        </w:rPr>
      </w:pPr>
    </w:p>
    <w:p w14:paraId="1BC0F653" w14:textId="7A9FA088"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consideración a lo enunciado, resulta significativo precisar que si bien los escritos dispuestos por las diferentes relatorías de la CIDH y las recomendaciones del Comité de CEDAW no son vinculantes (soft law), si deben ser tomados en cuenta por los Estados parte para su protección, so pena de verse en curso de un proceso ante la Comisión y posteriormente ante la Corte</w:t>
      </w:r>
      <w:r w:rsidR="002551B9">
        <w:rPr>
          <w:rFonts w:ascii="Century Gothic" w:eastAsia="Century Gothic" w:hAnsi="Century Gothic" w:cs="Century Gothic"/>
          <w:sz w:val="22"/>
          <w:szCs w:val="22"/>
        </w:rPr>
        <w:t xml:space="preserve"> IDH</w:t>
      </w:r>
      <w:r>
        <w:rPr>
          <w:rFonts w:ascii="Century Gothic" w:eastAsia="Century Gothic" w:hAnsi="Century Gothic" w:cs="Century Gothic"/>
          <w:sz w:val="22"/>
          <w:szCs w:val="22"/>
        </w:rPr>
        <w:t>.</w:t>
      </w:r>
    </w:p>
    <w:p w14:paraId="5551E19E" w14:textId="77777777" w:rsidR="002551B9" w:rsidRDefault="002551B9" w:rsidP="002051CB">
      <w:pPr>
        <w:spacing w:line="276" w:lineRule="auto"/>
        <w:jc w:val="both"/>
        <w:rPr>
          <w:rFonts w:ascii="Century Gothic" w:eastAsia="Century Gothic" w:hAnsi="Century Gothic" w:cs="Century Gothic"/>
          <w:sz w:val="22"/>
          <w:szCs w:val="22"/>
        </w:rPr>
      </w:pPr>
    </w:p>
    <w:p w14:paraId="54B68AC5" w14:textId="77777777" w:rsidR="002051CB" w:rsidRDefault="002051CB" w:rsidP="00005C10">
      <w:pPr>
        <w:numPr>
          <w:ilvl w:val="0"/>
          <w:numId w:val="18"/>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JURISPRUDENCIA INTERNACIONAL.</w:t>
      </w:r>
    </w:p>
    <w:p w14:paraId="79F67F61" w14:textId="77777777" w:rsidR="002051CB" w:rsidRDefault="002051CB" w:rsidP="002051CB">
      <w:pPr>
        <w:spacing w:line="276" w:lineRule="auto"/>
        <w:ind w:left="360"/>
        <w:jc w:val="both"/>
        <w:rPr>
          <w:rFonts w:ascii="Century Gothic" w:eastAsia="Century Gothic" w:hAnsi="Century Gothic" w:cs="Century Gothic"/>
          <w:b/>
          <w:sz w:val="22"/>
          <w:szCs w:val="22"/>
        </w:rPr>
      </w:pPr>
    </w:p>
    <w:p w14:paraId="0081A7F3" w14:textId="32980A9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Caso Miguel Castro vs Perú ante la Corte IDH</w:t>
      </w:r>
      <w:r>
        <w:rPr>
          <w:rFonts w:ascii="Century Gothic" w:eastAsia="Century Gothic" w:hAnsi="Century Gothic" w:cs="Century Gothic"/>
          <w:sz w:val="22"/>
          <w:szCs w:val="22"/>
        </w:rPr>
        <w:t>: respecto al tema de higiene menstrual la C</w:t>
      </w:r>
      <w:r w:rsidR="002551B9">
        <w:rPr>
          <w:rFonts w:ascii="Century Gothic" w:eastAsia="Century Gothic" w:hAnsi="Century Gothic" w:cs="Century Gothic"/>
          <w:sz w:val="22"/>
          <w:szCs w:val="22"/>
        </w:rPr>
        <w:t xml:space="preserve">orte </w:t>
      </w:r>
      <w:r>
        <w:rPr>
          <w:rFonts w:ascii="Century Gothic" w:eastAsia="Century Gothic" w:hAnsi="Century Gothic" w:cs="Century Gothic"/>
          <w:sz w:val="22"/>
          <w:szCs w:val="22"/>
        </w:rPr>
        <w:t>identificó los siguientes hechos:</w:t>
      </w:r>
    </w:p>
    <w:p w14:paraId="0914C490" w14:textId="77777777" w:rsidR="002051CB" w:rsidRDefault="002051CB" w:rsidP="002051CB">
      <w:pPr>
        <w:ind w:left="284"/>
        <w:jc w:val="both"/>
        <w:rPr>
          <w:rFonts w:ascii="Century Gothic" w:eastAsia="Century Gothic" w:hAnsi="Century Gothic" w:cs="Century Gothic"/>
          <w:sz w:val="22"/>
          <w:szCs w:val="22"/>
        </w:rPr>
      </w:pPr>
    </w:p>
    <w:p w14:paraId="7CC56D06"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Dentro de las graves condiciones de detención se encuentran (...) </w:t>
      </w:r>
      <w:r>
        <w:rPr>
          <w:rFonts w:ascii="Century Gothic" w:eastAsia="Century Gothic" w:hAnsi="Century Gothic" w:cs="Century Gothic"/>
          <w:b/>
          <w:i/>
          <w:sz w:val="18"/>
          <w:szCs w:val="18"/>
        </w:rPr>
        <w:t>desatención de las necesidades fisiológicas de la mujer al negarles materiales de aseo personal, como</w:t>
      </w:r>
      <w:r>
        <w:rPr>
          <w:rFonts w:ascii="Century Gothic" w:eastAsia="Century Gothic" w:hAnsi="Century Gothic" w:cs="Century Gothic"/>
          <w:i/>
          <w:sz w:val="18"/>
          <w:szCs w:val="18"/>
        </w:rPr>
        <w:t xml:space="preserve"> jabón, papel higiénico, </w:t>
      </w:r>
      <w:r>
        <w:rPr>
          <w:rFonts w:ascii="Century Gothic" w:eastAsia="Century Gothic" w:hAnsi="Century Gothic" w:cs="Century Gothic"/>
          <w:b/>
          <w:i/>
          <w:sz w:val="18"/>
          <w:szCs w:val="18"/>
          <w:u w:val="single"/>
        </w:rPr>
        <w:t>toallas sanitarias</w:t>
      </w:r>
      <w:r>
        <w:rPr>
          <w:rFonts w:ascii="Century Gothic" w:eastAsia="Century Gothic" w:hAnsi="Century Gothic" w:cs="Century Gothic"/>
          <w:i/>
          <w:sz w:val="18"/>
          <w:szCs w:val="18"/>
        </w:rPr>
        <w:t xml:space="preserve"> y ropa íntima para cambiarse; desatención de las necesidades de salud pre y post natal; (...). El daño y sufrimiento experimentados por las mujeres en general y especialmente las mujeres embarazadas y por las internas madres resultó particularmente grave (...)</w:t>
      </w:r>
      <w:r>
        <w:rPr>
          <w:rFonts w:ascii="Century Gothic" w:eastAsia="Century Gothic" w:hAnsi="Century Gothic" w:cs="Century Gothic"/>
          <w:i/>
          <w:sz w:val="18"/>
          <w:szCs w:val="18"/>
          <w:vertAlign w:val="superscript"/>
        </w:rPr>
        <w:footnoteReference w:id="88"/>
      </w:r>
      <w:r>
        <w:rPr>
          <w:rFonts w:ascii="Century Gothic" w:eastAsia="Century Gothic" w:hAnsi="Century Gothic" w:cs="Century Gothic"/>
          <w:i/>
          <w:sz w:val="18"/>
          <w:szCs w:val="18"/>
        </w:rPr>
        <w:t>. (Negrilla y subrayado fuera de texto).</w:t>
      </w:r>
    </w:p>
    <w:p w14:paraId="3CF48B09" w14:textId="77777777" w:rsidR="002051CB" w:rsidRDefault="002051CB" w:rsidP="002051CB">
      <w:pPr>
        <w:jc w:val="both"/>
        <w:rPr>
          <w:rFonts w:ascii="Century Gothic" w:eastAsia="Century Gothic" w:hAnsi="Century Gothic" w:cs="Century Gothic"/>
          <w:sz w:val="22"/>
          <w:szCs w:val="22"/>
        </w:rPr>
      </w:pPr>
    </w:p>
    <w:p w14:paraId="0C86A047"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lo anterior la Corte resaltó que:</w:t>
      </w:r>
    </w:p>
    <w:p w14:paraId="23BF8CA0" w14:textId="77777777" w:rsidR="002051CB" w:rsidRDefault="002051CB" w:rsidP="002051CB">
      <w:pPr>
        <w:jc w:val="both"/>
        <w:rPr>
          <w:rFonts w:ascii="Century Gothic" w:eastAsia="Century Gothic" w:hAnsi="Century Gothic" w:cs="Century Gothic"/>
          <w:sz w:val="22"/>
          <w:szCs w:val="22"/>
        </w:rPr>
      </w:pPr>
    </w:p>
    <w:p w14:paraId="06829EE2"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De conformidad con el artículo 5 de la Convención, </w:t>
      </w:r>
      <w:r>
        <w:rPr>
          <w:rFonts w:ascii="Century Gothic" w:eastAsia="Century Gothic" w:hAnsi="Century Gothic" w:cs="Century Gothic"/>
          <w:b/>
          <w:i/>
          <w:sz w:val="18"/>
          <w:szCs w:val="18"/>
          <w:u w:val="single"/>
        </w:rPr>
        <w:t>toda persona privada de libertad tiene derecho a vivir en situación de detención compatible con su dignidad</w:t>
      </w:r>
      <w:r>
        <w:rPr>
          <w:rFonts w:ascii="Century Gothic" w:eastAsia="Century Gothic" w:hAnsi="Century Gothic" w:cs="Century Gothic"/>
          <w:i/>
          <w:sz w:val="18"/>
          <w:szCs w:val="18"/>
        </w:rPr>
        <w:t xml:space="preserve">. En otras palabras, este tribunal ha señalado que la detención en condiciones de hacinamiento, el aislamiento en celdas reducida, con falta de ventilación y luz natural, sin lecho para reposo </w:t>
      </w:r>
      <w:r>
        <w:rPr>
          <w:rFonts w:ascii="Century Gothic" w:eastAsia="Century Gothic" w:hAnsi="Century Gothic" w:cs="Century Gothic"/>
          <w:b/>
          <w:i/>
          <w:sz w:val="18"/>
          <w:szCs w:val="18"/>
          <w:u w:val="single"/>
        </w:rPr>
        <w:t>ni condiciones adecuadas de higiene</w:t>
      </w:r>
      <w:r>
        <w:rPr>
          <w:rFonts w:ascii="Century Gothic" w:eastAsia="Century Gothic" w:hAnsi="Century Gothic" w:cs="Century Gothic"/>
          <w:i/>
          <w:sz w:val="18"/>
          <w:szCs w:val="18"/>
        </w:rPr>
        <w:t xml:space="preserve">, y la incomunicación o restricciones indebidas al régimen de visitas </w:t>
      </w:r>
      <w:r>
        <w:rPr>
          <w:rFonts w:ascii="Century Gothic" w:eastAsia="Century Gothic" w:hAnsi="Century Gothic" w:cs="Century Gothic"/>
          <w:b/>
          <w:i/>
          <w:sz w:val="18"/>
          <w:szCs w:val="18"/>
          <w:u w:val="single"/>
        </w:rPr>
        <w:t>constituyen una violación a la integridad personal</w:t>
      </w:r>
      <w:r>
        <w:rPr>
          <w:rFonts w:ascii="Century Gothic" w:eastAsia="Century Gothic" w:hAnsi="Century Gothic" w:cs="Century Gothic"/>
          <w:b/>
          <w:i/>
          <w:sz w:val="18"/>
          <w:szCs w:val="18"/>
          <w:u w:val="single"/>
          <w:vertAlign w:val="superscript"/>
        </w:rPr>
        <w:footnoteReference w:id="89"/>
      </w:r>
      <w:r>
        <w:rPr>
          <w:rFonts w:ascii="Century Gothic" w:eastAsia="Century Gothic" w:hAnsi="Century Gothic" w:cs="Century Gothic"/>
          <w:b/>
          <w:i/>
          <w:sz w:val="18"/>
          <w:szCs w:val="18"/>
          <w:u w:val="single"/>
        </w:rPr>
        <w:t>.</w:t>
      </w:r>
      <w:r>
        <w:rPr>
          <w:rFonts w:ascii="Century Gothic" w:eastAsia="Century Gothic" w:hAnsi="Century Gothic" w:cs="Century Gothic"/>
          <w:b/>
          <w:i/>
          <w:sz w:val="18"/>
          <w:szCs w:val="18"/>
        </w:rPr>
        <w:t xml:space="preserve"> </w:t>
      </w:r>
      <w:r>
        <w:rPr>
          <w:rFonts w:ascii="Century Gothic" w:eastAsia="Century Gothic" w:hAnsi="Century Gothic" w:cs="Century Gothic"/>
          <w:i/>
          <w:sz w:val="18"/>
          <w:szCs w:val="18"/>
        </w:rPr>
        <w:t>(Negrilla y subrayado fuera de texto).</w:t>
      </w:r>
    </w:p>
    <w:p w14:paraId="5C1605E3" w14:textId="77777777" w:rsidR="002051CB" w:rsidRDefault="002051CB" w:rsidP="002051CB">
      <w:pPr>
        <w:spacing w:line="276" w:lineRule="auto"/>
        <w:ind w:left="644"/>
        <w:jc w:val="both"/>
        <w:rPr>
          <w:rFonts w:ascii="Century Gothic" w:eastAsia="Century Gothic" w:hAnsi="Century Gothic" w:cs="Century Gothic"/>
          <w:sz w:val="22"/>
          <w:szCs w:val="22"/>
        </w:rPr>
      </w:pPr>
    </w:p>
    <w:p w14:paraId="53ECC1BC"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Finalmente, la CIDH mencionó respecto de los hechos que vulneraron el derecho a la dignidad, en relación a la desatención de las necesidades específicas de género que:</w:t>
      </w:r>
    </w:p>
    <w:p w14:paraId="3CD13532" w14:textId="77777777" w:rsidR="002051CB" w:rsidRDefault="002051CB" w:rsidP="002051CB">
      <w:pPr>
        <w:jc w:val="both"/>
        <w:rPr>
          <w:rFonts w:ascii="Century Gothic" w:eastAsia="Century Gothic" w:hAnsi="Century Gothic" w:cs="Century Gothic"/>
          <w:sz w:val="22"/>
          <w:szCs w:val="22"/>
        </w:rPr>
      </w:pPr>
    </w:p>
    <w:p w14:paraId="40F28838" w14:textId="77777777" w:rsidR="002051CB" w:rsidRDefault="002051CB" w:rsidP="002051CB">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También afectó a las mujeres la desatención de sus necesidades fisiológicas (...) El Comité Internacional de la Cruz Roja ha establecido que </w:t>
      </w:r>
      <w:r>
        <w:rPr>
          <w:rFonts w:ascii="Century Gothic" w:eastAsia="Century Gothic" w:hAnsi="Century Gothic" w:cs="Century Gothic"/>
          <w:b/>
          <w:i/>
          <w:sz w:val="18"/>
          <w:szCs w:val="18"/>
          <w:u w:val="single"/>
        </w:rPr>
        <w:t>el Estado debe asegurar que “las condiciones sanitarias</w:t>
      </w:r>
      <w:r>
        <w:rPr>
          <w:rFonts w:ascii="Century Gothic" w:eastAsia="Century Gothic" w:hAnsi="Century Gothic" w:cs="Century Gothic"/>
          <w:i/>
          <w:sz w:val="18"/>
          <w:szCs w:val="18"/>
        </w:rPr>
        <w:t xml:space="preserve"> </w:t>
      </w:r>
      <w:r>
        <w:rPr>
          <w:rFonts w:ascii="Century Gothic" w:eastAsia="Century Gothic" w:hAnsi="Century Gothic" w:cs="Century Gothic"/>
          <w:b/>
          <w:i/>
          <w:sz w:val="18"/>
          <w:szCs w:val="18"/>
        </w:rPr>
        <w:t>[en los centros de detención] sean adecuadas para mantener la higiene y la salud [de las prisioneras</w:t>
      </w:r>
      <w:r>
        <w:rPr>
          <w:rFonts w:ascii="Century Gothic" w:eastAsia="Century Gothic" w:hAnsi="Century Gothic" w:cs="Century Gothic"/>
          <w:i/>
          <w:sz w:val="18"/>
          <w:szCs w:val="18"/>
        </w:rPr>
        <w:t>], permitiéndoles acceso regular a retretes y permitiéndoles</w:t>
      </w:r>
      <w:r>
        <w:rPr>
          <w:rFonts w:ascii="Century Gothic" w:eastAsia="Century Gothic" w:hAnsi="Century Gothic" w:cs="Century Gothic"/>
          <w:b/>
          <w:i/>
          <w:sz w:val="18"/>
          <w:szCs w:val="18"/>
        </w:rPr>
        <w:t xml:space="preserve"> </w:t>
      </w:r>
      <w:r>
        <w:rPr>
          <w:rFonts w:ascii="Century Gothic" w:eastAsia="Century Gothic" w:hAnsi="Century Gothic" w:cs="Century Gothic"/>
          <w:i/>
          <w:sz w:val="18"/>
          <w:szCs w:val="18"/>
        </w:rPr>
        <w:t xml:space="preserve">que se bañen y que limpien su ropa regularmente”. Asimismo, dicho Comité también determinó </w:t>
      </w:r>
      <w:r>
        <w:rPr>
          <w:rFonts w:ascii="Century Gothic" w:eastAsia="Century Gothic" w:hAnsi="Century Gothic" w:cs="Century Gothic"/>
          <w:b/>
          <w:i/>
          <w:sz w:val="18"/>
          <w:szCs w:val="18"/>
          <w:u w:val="single"/>
        </w:rPr>
        <w:t>que se deben realizar arreglos especiales para las detenidas en período menstrual,</w:t>
      </w:r>
      <w:r>
        <w:rPr>
          <w:rFonts w:ascii="Century Gothic" w:eastAsia="Century Gothic" w:hAnsi="Century Gothic" w:cs="Century Gothic"/>
          <w:i/>
          <w:sz w:val="18"/>
          <w:szCs w:val="18"/>
        </w:rPr>
        <w:t xml:space="preserve"> embarazadas, o acompañadas por sus hijos. La comisión de esos excesos causó sufrimiento especial y adicional a las mujeres detenidas.</w:t>
      </w:r>
    </w:p>
    <w:p w14:paraId="3360AA01" w14:textId="77777777" w:rsidR="002051CB" w:rsidRDefault="002051CB" w:rsidP="002051CB">
      <w:pPr>
        <w:ind w:left="708"/>
        <w:jc w:val="both"/>
        <w:rPr>
          <w:rFonts w:ascii="Century Gothic" w:eastAsia="Century Gothic" w:hAnsi="Century Gothic" w:cs="Century Gothic"/>
          <w:sz w:val="22"/>
          <w:szCs w:val="22"/>
        </w:rPr>
      </w:pPr>
    </w:p>
    <w:p w14:paraId="1E66C427"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atención a la jurisprudencia de la CIDH, se debe precisar que Colombia reconoció competencia a este Tribunal desde el 21 de junio de 1985, por lo que todas sus decisiones tienen carácter vinculante desde esta fecha, y deben ser tomadas como referente por parte del Estado.</w:t>
      </w:r>
    </w:p>
    <w:p w14:paraId="677FD333" w14:textId="77777777" w:rsidR="002051CB" w:rsidRDefault="002051CB" w:rsidP="002051CB">
      <w:pPr>
        <w:spacing w:line="276" w:lineRule="auto"/>
        <w:jc w:val="both"/>
        <w:rPr>
          <w:rFonts w:ascii="Century Gothic" w:eastAsia="Century Gothic" w:hAnsi="Century Gothic" w:cs="Century Gothic"/>
          <w:sz w:val="22"/>
          <w:szCs w:val="22"/>
        </w:rPr>
      </w:pPr>
    </w:p>
    <w:p w14:paraId="2DD62CDC" w14:textId="77777777" w:rsidR="002051CB" w:rsidRDefault="002051CB" w:rsidP="002051CB">
      <w:pPr>
        <w:numPr>
          <w:ilvl w:val="0"/>
          <w:numId w:val="15"/>
        </w:numPr>
        <w:pBdr>
          <w:top w:val="nil"/>
          <w:left w:val="nil"/>
          <w:bottom w:val="nil"/>
          <w:right w:val="nil"/>
          <w:between w:val="nil"/>
        </w:pBdr>
        <w:spacing w:line="276" w:lineRule="auto"/>
        <w:ind w:left="1080" w:hanging="72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DERECHO COMPARADO.</w:t>
      </w:r>
    </w:p>
    <w:p w14:paraId="0C83CBE4" w14:textId="77777777" w:rsidR="002051CB" w:rsidRDefault="002051CB" w:rsidP="002051CB">
      <w:pPr>
        <w:spacing w:line="276" w:lineRule="auto"/>
        <w:ind w:left="360"/>
        <w:jc w:val="both"/>
        <w:rPr>
          <w:rFonts w:ascii="Century Gothic" w:eastAsia="Century Gothic" w:hAnsi="Century Gothic" w:cs="Century Gothic"/>
          <w:b/>
          <w:sz w:val="22"/>
          <w:szCs w:val="22"/>
        </w:rPr>
      </w:pPr>
    </w:p>
    <w:p w14:paraId="3731A6BF"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Son varios los países que han desarrollado e implementado acciones encaminadas a garantizar dentro de sus legislaciones internas, el derecho de las mujeres a acceder a los elementos de higiene menstrual, en razón a que su reconocimiento y efectividad se encuentra estrechamente relacionado con derechos fundamentales, como lo son la dignidad humana, la salud reproductiva, la igualdad, entre otros.</w:t>
      </w:r>
    </w:p>
    <w:p w14:paraId="06D6BAB7" w14:textId="77777777" w:rsidR="002051CB" w:rsidRDefault="002051CB" w:rsidP="002051CB">
      <w:pPr>
        <w:jc w:val="both"/>
        <w:rPr>
          <w:rFonts w:ascii="Century Gothic" w:eastAsia="Century Gothic" w:hAnsi="Century Gothic" w:cs="Century Gothic"/>
          <w:sz w:val="22"/>
          <w:szCs w:val="22"/>
        </w:rPr>
      </w:pPr>
    </w:p>
    <w:p w14:paraId="76C5C356"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PERÚ:</w:t>
      </w:r>
      <w:r>
        <w:rPr>
          <w:rFonts w:ascii="Century Gothic" w:eastAsia="Century Gothic" w:hAnsi="Century Gothic" w:cs="Century Gothic"/>
          <w:sz w:val="22"/>
          <w:szCs w:val="22"/>
        </w:rPr>
        <w:t xml:space="preserve"> </w:t>
      </w:r>
    </w:p>
    <w:p w14:paraId="1BE3B7AD"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Actualmente se encuentra en trámite en el Congreso de ese país el </w:t>
      </w:r>
      <w:r>
        <w:rPr>
          <w:rFonts w:ascii="Century Gothic" w:eastAsia="Century Gothic" w:hAnsi="Century Gothic" w:cs="Century Gothic"/>
          <w:i/>
          <w:sz w:val="22"/>
          <w:szCs w:val="22"/>
        </w:rPr>
        <w:t>Proyecto de Ley No. 5797 de 2020</w:t>
      </w:r>
      <w:r>
        <w:rPr>
          <w:rFonts w:ascii="Century Gothic" w:eastAsia="Century Gothic" w:hAnsi="Century Gothic" w:cs="Century Gothic"/>
          <w:sz w:val="22"/>
          <w:szCs w:val="22"/>
        </w:rPr>
        <w:t xml:space="preserve">, cuyo objeto es garantizar el acceso universal, igualitario y gratuito a productos de gestión menstrual para niñas, adolescentes y mujeres adultas </w:t>
      </w:r>
      <w:r>
        <w:rPr>
          <w:rFonts w:ascii="Century Gothic" w:eastAsia="Century Gothic" w:hAnsi="Century Gothic" w:cs="Century Gothic"/>
          <w:sz w:val="22"/>
          <w:szCs w:val="22"/>
          <w:u w:val="single"/>
        </w:rPr>
        <w:t>incluyendo a la población privada de la libertad</w:t>
      </w:r>
      <w:r>
        <w:rPr>
          <w:rFonts w:ascii="Century Gothic" w:eastAsia="Century Gothic" w:hAnsi="Century Gothic" w:cs="Century Gothic"/>
          <w:sz w:val="22"/>
          <w:szCs w:val="22"/>
        </w:rPr>
        <w:t xml:space="preserve">. La iniciativa fue aprobada en enero de 2021 por unanimidad en la Comisión de Salud del Congreso y tendrá que ser debatido y votado en el Pleno de la Corporación. </w:t>
      </w:r>
    </w:p>
    <w:p w14:paraId="0A0A1E06" w14:textId="77777777" w:rsidR="002051CB" w:rsidRDefault="002051CB" w:rsidP="002051CB">
      <w:pPr>
        <w:spacing w:line="276" w:lineRule="auto"/>
        <w:jc w:val="both"/>
        <w:rPr>
          <w:rFonts w:ascii="Century Gothic" w:eastAsia="Century Gothic" w:hAnsi="Century Gothic" w:cs="Century Gothic"/>
          <w:sz w:val="22"/>
          <w:szCs w:val="22"/>
        </w:rPr>
      </w:pPr>
    </w:p>
    <w:p w14:paraId="412E8C2B"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ESCOCIA:</w:t>
      </w:r>
      <w:r>
        <w:rPr>
          <w:rFonts w:ascii="Century Gothic" w:eastAsia="Century Gothic" w:hAnsi="Century Gothic" w:cs="Century Gothic"/>
          <w:sz w:val="22"/>
          <w:szCs w:val="22"/>
        </w:rPr>
        <w:t xml:space="preserve"> </w:t>
      </w:r>
    </w:p>
    <w:p w14:paraId="31C42C1B"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mes de noviembre de 2020, se aprobó el proyecto de Ley que tiene como objeto la distribución gratuita de tampones y toallas higiénicas a mujeres menstruantes, con una contundente votación de 112 votos a favor, 1 abstención y ninguno en contra, esto en razón a que los legisladores consideraron que las mujeres se ven seriamente afectadas económicamente, debido a que tienen que cubrir productos de gestión menstrual una vez al mes. </w:t>
      </w:r>
    </w:p>
    <w:p w14:paraId="4DDCE385" w14:textId="77777777" w:rsidR="002051CB" w:rsidRDefault="002051CB" w:rsidP="002051CB">
      <w:pPr>
        <w:jc w:val="both"/>
        <w:rPr>
          <w:rFonts w:ascii="Century Gothic" w:eastAsia="Century Gothic" w:hAnsi="Century Gothic" w:cs="Century Gothic"/>
          <w:sz w:val="22"/>
          <w:szCs w:val="22"/>
        </w:rPr>
      </w:pPr>
    </w:p>
    <w:p w14:paraId="2E114BBF" w14:textId="77777777" w:rsidR="002051CB" w:rsidRDefault="002051CB" w:rsidP="002051CB">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Ahora bien, resulta oportuno precisar que</w:t>
      </w:r>
      <w:r>
        <w:rPr>
          <w:rFonts w:ascii="Century Gothic" w:eastAsia="Century Gothic" w:hAnsi="Century Gothic" w:cs="Century Gothic"/>
          <w:i/>
          <w:sz w:val="22"/>
          <w:szCs w:val="22"/>
        </w:rPr>
        <w:t xml:space="preserve"> </w:t>
      </w:r>
      <w:r>
        <w:rPr>
          <w:rFonts w:ascii="Century Gothic" w:eastAsia="Century Gothic" w:hAnsi="Century Gothic" w:cs="Century Gothic"/>
          <w:i/>
          <w:sz w:val="18"/>
          <w:szCs w:val="18"/>
        </w:rPr>
        <w:t>“La prueba piloto que abrió el camino a la sanción de la ley de gratuidad de estos productos comenzó en julio de 2017, cuando el gobierno escocés anunció que daría de manera gratuita tampones y toallas sanitarias a mujeres y niñas de sectores de bajos ingresos en Aberdeen. En mayo de 2018, ante lo que el gobierno consideró el éxito de la iniciativa, destinó más de 5 millones de libras para financiar la provisión gratuita de esos productos a todas las estudiantes de Escocia. En 2019, el proyecto piloto volvió a ampliarse.”</w:t>
      </w:r>
      <w:r>
        <w:rPr>
          <w:rFonts w:ascii="Century Gothic" w:eastAsia="Century Gothic" w:hAnsi="Century Gothic" w:cs="Century Gothic"/>
          <w:i/>
          <w:sz w:val="18"/>
          <w:szCs w:val="18"/>
          <w:vertAlign w:val="superscript"/>
        </w:rPr>
        <w:t xml:space="preserve"> </w:t>
      </w:r>
      <w:r>
        <w:rPr>
          <w:rFonts w:ascii="Century Gothic" w:eastAsia="Century Gothic" w:hAnsi="Century Gothic" w:cs="Century Gothic"/>
          <w:i/>
          <w:sz w:val="18"/>
          <w:szCs w:val="18"/>
          <w:vertAlign w:val="superscript"/>
        </w:rPr>
        <w:footnoteReference w:id="90"/>
      </w:r>
    </w:p>
    <w:p w14:paraId="68939D79" w14:textId="77777777" w:rsidR="002051CB" w:rsidRDefault="002051CB" w:rsidP="002051CB">
      <w:pPr>
        <w:jc w:val="both"/>
        <w:rPr>
          <w:rFonts w:ascii="Century Gothic" w:eastAsia="Century Gothic" w:hAnsi="Century Gothic" w:cs="Century Gothic"/>
          <w:i/>
          <w:sz w:val="22"/>
          <w:szCs w:val="22"/>
        </w:rPr>
      </w:pPr>
    </w:p>
    <w:p w14:paraId="020D28EA"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norma establece que las escuelas, </w:t>
      </w:r>
      <w:r>
        <w:rPr>
          <w:rFonts w:ascii="Century Gothic" w:eastAsia="Century Gothic" w:hAnsi="Century Gothic" w:cs="Century Gothic"/>
          <w:sz w:val="22"/>
          <w:szCs w:val="22"/>
          <w:u w:val="single"/>
        </w:rPr>
        <w:t>centros penitenciarios</w:t>
      </w:r>
      <w:r>
        <w:rPr>
          <w:rFonts w:ascii="Century Gothic" w:eastAsia="Century Gothic" w:hAnsi="Century Gothic" w:cs="Century Gothic"/>
          <w:sz w:val="22"/>
          <w:szCs w:val="22"/>
        </w:rPr>
        <w:t xml:space="preserve">, universidades, bibliotecas y espacios de interacción de los habitantes, deben ofrecer de forma gratuita toallas y tampones. Así mismo se reglamentó que el suministro de estos productos debe responder a las necesidades de las mujeres en su ciclo menstrual, </w:t>
      </w:r>
      <w:r>
        <w:rPr>
          <w:rFonts w:ascii="Century Gothic" w:eastAsia="Century Gothic" w:hAnsi="Century Gothic" w:cs="Century Gothic"/>
          <w:sz w:val="22"/>
          <w:szCs w:val="22"/>
        </w:rPr>
        <w:lastRenderedPageBreak/>
        <w:t>es decir, la cantidad de toallas higiénicas o tampones, deben ser suficientes para satisfacer el sangrado durante el ciclo menstrual de cada mujer.</w:t>
      </w:r>
    </w:p>
    <w:p w14:paraId="4DE75972" w14:textId="77777777" w:rsidR="002051CB" w:rsidRDefault="002051CB" w:rsidP="002051CB">
      <w:pPr>
        <w:jc w:val="both"/>
        <w:rPr>
          <w:rFonts w:ascii="Century Gothic" w:eastAsia="Century Gothic" w:hAnsi="Century Gothic" w:cs="Century Gothic"/>
          <w:sz w:val="22"/>
          <w:szCs w:val="22"/>
        </w:rPr>
      </w:pPr>
    </w:p>
    <w:p w14:paraId="3F5F4C59"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Los puntos clave del suministro gratuito de productos de higiene menstrual son:</w:t>
      </w:r>
    </w:p>
    <w:p w14:paraId="4600CC52" w14:textId="77777777" w:rsidR="002051CB" w:rsidRDefault="002051CB" w:rsidP="002051CB">
      <w:pPr>
        <w:jc w:val="both"/>
        <w:rPr>
          <w:rFonts w:ascii="Century Gothic" w:eastAsia="Century Gothic" w:hAnsi="Century Gothic" w:cs="Century Gothic"/>
          <w:sz w:val="22"/>
          <w:szCs w:val="22"/>
        </w:rPr>
      </w:pPr>
    </w:p>
    <w:p w14:paraId="27AB4566" w14:textId="77777777" w:rsidR="002051CB" w:rsidRDefault="002051CB" w:rsidP="002051CB">
      <w:pPr>
        <w:numPr>
          <w:ilvl w:val="0"/>
          <w:numId w:val="22"/>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Cada autoridad local debe asegurarse de que, dentro de su área, todas las personas que necesiten usarlos puedan obtener productos de forma gratuita (de conformidad con los acuerdos establecidos y mantenidos por la autoridad local).</w:t>
      </w:r>
    </w:p>
    <w:p w14:paraId="70922B33" w14:textId="77777777" w:rsidR="002051CB" w:rsidRDefault="002051CB" w:rsidP="002051CB">
      <w:pPr>
        <w:numPr>
          <w:ilvl w:val="0"/>
          <w:numId w:val="22"/>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Los productos de período menstrual que una persona puede obtener gratuitamente en virtud de dichos acuerdos (ya sea que se obtengan en virtud de uno o más de los acuerdos de una autoridad local) deben ser productos suficientes para satisfacer las necesidades de la persona mientras se encuentre en Escocia.</w:t>
      </w:r>
    </w:p>
    <w:p w14:paraId="329038DE" w14:textId="77777777" w:rsidR="002051CB" w:rsidRDefault="002051CB" w:rsidP="002051CB">
      <w:pPr>
        <w:numPr>
          <w:ilvl w:val="0"/>
          <w:numId w:val="22"/>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Arreglos establecidos y mantenidos bajo las siguientes subsecciones:</w:t>
      </w:r>
    </w:p>
    <w:p w14:paraId="61E26181" w14:textId="77777777" w:rsidR="002051CB" w:rsidRDefault="002051CB" w:rsidP="002051CB">
      <w:pPr>
        <w:numPr>
          <w:ilvl w:val="0"/>
          <w:numId w:val="23"/>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Debe incluir una disposición en virtud del cual los productos pueden ser obtenidos por otra persona en nombre de la persona que necesita usarlos;</w:t>
      </w:r>
    </w:p>
    <w:p w14:paraId="44C38F4B" w14:textId="77777777" w:rsidR="002051CB" w:rsidRDefault="002051CB" w:rsidP="002051CB">
      <w:pPr>
        <w:numPr>
          <w:ilvl w:val="0"/>
          <w:numId w:val="23"/>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Podrá, cuando incluyan una disposición en virtud del cual los productos pueden ser entregados a una persona, requerir que la persona pague los costos asociados con el embalaje y la entrega (excepto cuando la persona no pueda razonablemente obtener productos de conformidad con los acuerdos, de cualquier otra manera).</w:t>
      </w:r>
    </w:p>
    <w:p w14:paraId="1D5D0CA3" w14:textId="77777777" w:rsidR="002051CB" w:rsidRDefault="002051CB" w:rsidP="002051CB">
      <w:pPr>
        <w:numPr>
          <w:ilvl w:val="0"/>
          <w:numId w:val="22"/>
        </w:numPr>
        <w:pBdr>
          <w:top w:val="nil"/>
          <w:left w:val="nil"/>
          <w:bottom w:val="nil"/>
          <w:right w:val="nil"/>
          <w:between w:val="nil"/>
        </w:pBdr>
        <w:spacing w:after="160"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 los efectos del numeral 2 las necesidades de una persona que vive en Escocia deben considerarse como todas surgidas mientras se encuentra en Escocia”.</w:t>
      </w:r>
      <w:r>
        <w:rPr>
          <w:rFonts w:ascii="Century Gothic" w:eastAsia="Century Gothic" w:hAnsi="Century Gothic" w:cs="Century Gothic"/>
          <w:color w:val="000000"/>
          <w:sz w:val="18"/>
          <w:szCs w:val="18"/>
          <w:vertAlign w:val="superscript"/>
        </w:rPr>
        <w:t xml:space="preserve"> </w:t>
      </w:r>
      <w:r>
        <w:rPr>
          <w:rFonts w:ascii="Century Gothic" w:eastAsia="Century Gothic" w:hAnsi="Century Gothic" w:cs="Century Gothic"/>
          <w:color w:val="000000"/>
          <w:sz w:val="18"/>
          <w:szCs w:val="18"/>
          <w:vertAlign w:val="superscript"/>
        </w:rPr>
        <w:footnoteReference w:id="91"/>
      </w:r>
      <w:r>
        <w:rPr>
          <w:rFonts w:ascii="Century Gothic" w:eastAsia="Century Gothic" w:hAnsi="Century Gothic" w:cs="Century Gothic"/>
          <w:color w:val="000000"/>
          <w:sz w:val="18"/>
          <w:szCs w:val="18"/>
        </w:rPr>
        <w:t xml:space="preserve"> </w:t>
      </w:r>
    </w:p>
    <w:p w14:paraId="15BA7B45"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CANADÁ.</w:t>
      </w:r>
    </w:p>
    <w:p w14:paraId="2E17C66E"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2015, tras la recolección de 74 mil firmas por parte de organizaciones feministas, Canadá se convirtió en el primer país del mundo en eliminar los impuestos a las toallas higiénicas, copas menstruales, tampones y otros productos de gestión menstrual. </w:t>
      </w:r>
      <w:r>
        <w:rPr>
          <w:rFonts w:ascii="Century Gothic" w:eastAsia="Century Gothic" w:hAnsi="Century Gothic" w:cs="Century Gothic"/>
          <w:sz w:val="22"/>
          <w:szCs w:val="22"/>
          <w:vertAlign w:val="superscript"/>
        </w:rPr>
        <w:footnoteReference w:id="92"/>
      </w:r>
      <w:r>
        <w:rPr>
          <w:rFonts w:ascii="Century Gothic" w:eastAsia="Century Gothic" w:hAnsi="Century Gothic" w:cs="Century Gothic"/>
          <w:sz w:val="22"/>
          <w:szCs w:val="22"/>
        </w:rPr>
        <w:t xml:space="preserve"> Desde 2019, distintas provincias ofrecen productos de higiene femenina gratuita para las mujeres, la primera de ellas fue Columbia Británica, provincia en la cual precisó que </w:t>
      </w:r>
      <w:r>
        <w:rPr>
          <w:rFonts w:ascii="Century Gothic" w:eastAsia="Century Gothic" w:hAnsi="Century Gothic" w:cs="Century Gothic"/>
          <w:i/>
          <w:sz w:val="22"/>
          <w:szCs w:val="22"/>
        </w:rPr>
        <w:t>“el acceso a tampones y toallas higiénicas es tan esencial como el papel higiénico para una función corporal normal que afecta a la mitad de la población de este país.”</w:t>
      </w:r>
      <w:r>
        <w:rPr>
          <w:rFonts w:ascii="Century Gothic" w:eastAsia="Century Gothic" w:hAnsi="Century Gothic" w:cs="Century Gothic"/>
          <w:i/>
          <w:sz w:val="22"/>
          <w:szCs w:val="22"/>
          <w:vertAlign w:val="superscript"/>
        </w:rPr>
        <w:footnoteReference w:id="93"/>
      </w:r>
    </w:p>
    <w:p w14:paraId="612444EC" w14:textId="77777777" w:rsidR="002051CB" w:rsidRDefault="002051CB" w:rsidP="002051CB">
      <w:pPr>
        <w:spacing w:line="276" w:lineRule="auto"/>
        <w:jc w:val="both"/>
        <w:rPr>
          <w:rFonts w:ascii="Century Gothic" w:eastAsia="Century Gothic" w:hAnsi="Century Gothic" w:cs="Century Gothic"/>
          <w:i/>
          <w:sz w:val="22"/>
          <w:szCs w:val="22"/>
        </w:rPr>
      </w:pPr>
    </w:p>
    <w:p w14:paraId="4774FF34"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ESTADOS UNIDOS.</w:t>
      </w:r>
    </w:p>
    <w:p w14:paraId="6E6F5630" w14:textId="77777777" w:rsidR="002051CB" w:rsidRDefault="002051CB" w:rsidP="002051CB">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Estados como Connecticut, Florida, Illinois, Maine, Maryland, Massachusetts, Minnesota, Pensilvania, Nevada, Nueva Jersey, Nueva York y el Distrito de Columbia, han eliminado los impuestos de los productos de higiene femenina</w:t>
      </w:r>
      <w:r>
        <w:rPr>
          <w:rFonts w:ascii="Century Gothic" w:eastAsia="Century Gothic" w:hAnsi="Century Gothic" w:cs="Century Gothic"/>
          <w:i/>
          <w:sz w:val="22"/>
          <w:szCs w:val="22"/>
        </w:rPr>
        <w:t>.</w:t>
      </w:r>
      <w:r>
        <w:rPr>
          <w:rFonts w:ascii="Century Gothic" w:eastAsia="Century Gothic" w:hAnsi="Century Gothic" w:cs="Century Gothic"/>
          <w:i/>
          <w:sz w:val="22"/>
          <w:szCs w:val="22"/>
          <w:vertAlign w:val="superscript"/>
        </w:rPr>
        <w:footnoteReference w:id="94"/>
      </w:r>
    </w:p>
    <w:p w14:paraId="404A69A5"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2016, el estado de </w:t>
      </w:r>
      <w:r>
        <w:rPr>
          <w:rFonts w:ascii="Century Gothic" w:eastAsia="Century Gothic" w:hAnsi="Century Gothic" w:cs="Century Gothic"/>
          <w:b/>
          <w:sz w:val="22"/>
          <w:szCs w:val="22"/>
        </w:rPr>
        <w:t>Nueva York</w:t>
      </w:r>
      <w:r>
        <w:rPr>
          <w:rFonts w:ascii="Century Gothic" w:eastAsia="Century Gothic" w:hAnsi="Century Gothic" w:cs="Century Gothic"/>
          <w:sz w:val="22"/>
          <w:szCs w:val="22"/>
        </w:rPr>
        <w:t xml:space="preserve"> aprobó la distribución gratuita de toallas femeninas y tampones en centros educativos, albergues y </w:t>
      </w:r>
      <w:r>
        <w:rPr>
          <w:rFonts w:ascii="Century Gothic" w:eastAsia="Century Gothic" w:hAnsi="Century Gothic" w:cs="Century Gothic"/>
          <w:sz w:val="22"/>
          <w:szCs w:val="22"/>
          <w:u w:val="single"/>
        </w:rPr>
        <w:t>cárceles</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95"/>
      </w:r>
      <w:r>
        <w:rPr>
          <w:rFonts w:ascii="Century Gothic" w:eastAsia="Century Gothic" w:hAnsi="Century Gothic" w:cs="Century Gothic"/>
          <w:sz w:val="22"/>
          <w:szCs w:val="22"/>
        </w:rPr>
        <w:t xml:space="preserve">  ello gracias a tres leyes, presentadas por la concejal Julissa Ferreras-Copeland, conocidas como “Menstrual Equity Bills” (Leyes de Equidad Menstrual), las cuales son consideradas como un hito histórico en el estado, al enviar un mensaje sobre la importancia del cuerpo de la mujer.</w:t>
      </w:r>
    </w:p>
    <w:p w14:paraId="01C3C2AD" w14:textId="77777777" w:rsidR="002051CB" w:rsidRDefault="002051CB" w:rsidP="002051CB">
      <w:pPr>
        <w:spacing w:line="276" w:lineRule="auto"/>
        <w:jc w:val="both"/>
        <w:rPr>
          <w:rFonts w:ascii="Century Gothic" w:eastAsia="Century Gothic" w:hAnsi="Century Gothic" w:cs="Century Gothic"/>
          <w:sz w:val="22"/>
          <w:szCs w:val="22"/>
        </w:rPr>
      </w:pPr>
    </w:p>
    <w:p w14:paraId="4E101142"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otra parte, en el Estado de </w:t>
      </w:r>
      <w:r>
        <w:rPr>
          <w:rFonts w:ascii="Century Gothic" w:eastAsia="Century Gothic" w:hAnsi="Century Gothic" w:cs="Century Gothic"/>
          <w:b/>
          <w:sz w:val="22"/>
          <w:szCs w:val="22"/>
        </w:rPr>
        <w:t xml:space="preserve">Virginia </w:t>
      </w:r>
      <w:r>
        <w:rPr>
          <w:rFonts w:ascii="Century Gothic" w:eastAsia="Century Gothic" w:hAnsi="Century Gothic" w:cs="Century Gothic"/>
          <w:sz w:val="22"/>
          <w:szCs w:val="22"/>
        </w:rPr>
        <w:t xml:space="preserve">se aprobó mediante Asamblea General en el año 2018, la Ley “House Bill 83”, que tiene como objeto proporcionar productos menstruales gratuitos a las </w:t>
      </w:r>
      <w:r>
        <w:rPr>
          <w:rFonts w:ascii="Century Gothic" w:eastAsia="Century Gothic" w:hAnsi="Century Gothic" w:cs="Century Gothic"/>
          <w:sz w:val="22"/>
          <w:szCs w:val="22"/>
          <w:u w:val="single"/>
        </w:rPr>
        <w:t>mujeres privadas de la libertad</w:t>
      </w:r>
      <w:r>
        <w:rPr>
          <w:rFonts w:ascii="Century Gothic" w:eastAsia="Century Gothic" w:hAnsi="Century Gothic" w:cs="Century Gothic"/>
          <w:sz w:val="22"/>
          <w:szCs w:val="22"/>
        </w:rPr>
        <w:t>. Para el desarrollo del proyecto de Ley, fueron importantes las investigaciones acerca de cuáles eran las condiciones de las mujeres privadas de la libertad en las prisiones federales, estatales y locales, en donde se concluyó que estas mujeres solo tienen acceso a los productos que les suministran las prisiones y que con frecuencia son un número insuficiente para cubrir sus necesidades dentro del ciclo menstrual.</w:t>
      </w:r>
    </w:p>
    <w:p w14:paraId="5972E379" w14:textId="77777777" w:rsidR="002051CB" w:rsidRDefault="002051CB" w:rsidP="002051CB">
      <w:pPr>
        <w:jc w:val="both"/>
        <w:rPr>
          <w:rFonts w:ascii="Century Gothic" w:eastAsia="Century Gothic" w:hAnsi="Century Gothic" w:cs="Century Gothic"/>
          <w:sz w:val="22"/>
          <w:szCs w:val="22"/>
        </w:rPr>
      </w:pPr>
    </w:p>
    <w:p w14:paraId="278D8947"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 igual que New York y Virginia, los Estados de </w:t>
      </w:r>
      <w:r>
        <w:rPr>
          <w:rFonts w:ascii="Century Gothic" w:eastAsia="Century Gothic" w:hAnsi="Century Gothic" w:cs="Century Gothic"/>
          <w:b/>
          <w:sz w:val="22"/>
          <w:szCs w:val="22"/>
        </w:rPr>
        <w:t>Colorado, Kentucky y Maryland</w:t>
      </w:r>
      <w:r>
        <w:rPr>
          <w:rFonts w:ascii="Century Gothic" w:eastAsia="Century Gothic" w:hAnsi="Century Gothic" w:cs="Century Gothic"/>
          <w:sz w:val="22"/>
          <w:szCs w:val="22"/>
        </w:rPr>
        <w:t>, no solo han avanzado en la eliminación de los impuestos de los productos de higiene femenina, sino que han emitido leyes para el acceso a estos productos, como  por ejemplo a las mujeres en detención juvenil o a las mujeres privadas de su libertad al momento de ingresar a su reclusión y cuando lo soliciten de forma periódica, normas que están basadas en la inclusión de género, la equidad menstrual y la especificidad.</w:t>
      </w:r>
    </w:p>
    <w:p w14:paraId="7BD826FB" w14:textId="77777777" w:rsidR="002051CB" w:rsidRDefault="002051CB" w:rsidP="002051CB">
      <w:pPr>
        <w:jc w:val="both"/>
        <w:rPr>
          <w:rFonts w:ascii="Century Gothic" w:eastAsia="Century Gothic" w:hAnsi="Century Gothic" w:cs="Century Gothic"/>
          <w:sz w:val="22"/>
          <w:szCs w:val="22"/>
        </w:rPr>
      </w:pPr>
    </w:p>
    <w:p w14:paraId="2E5C623F"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otro lado, en julio de 2017 los Senadores Elizabeth Warren, Cordy Booker, Dick Durbin y la actual vicepresidenta Kamala Harris, presentaron un proyecto de Ley para mujeres encarceladas, el cual tenía como finalidad mejorar sus condiciones, entre ellas las relacionadas como el aumento en el acceso de los productos menstruales y  sanitarios </w:t>
      </w:r>
      <w:r>
        <w:rPr>
          <w:rFonts w:ascii="Century Gothic" w:eastAsia="Century Gothic" w:hAnsi="Century Gothic" w:cs="Century Gothic"/>
          <w:sz w:val="20"/>
          <w:szCs w:val="20"/>
        </w:rPr>
        <w:t xml:space="preserve">(tampones, toallas sanitarias, jabón humectante, champú, loción </w:t>
      </w:r>
      <w:r>
        <w:rPr>
          <w:rFonts w:ascii="Century Gothic" w:eastAsia="Century Gothic" w:hAnsi="Century Gothic" w:cs="Century Gothic"/>
          <w:sz w:val="20"/>
          <w:szCs w:val="20"/>
        </w:rPr>
        <w:lastRenderedPageBreak/>
        <w:t>corporal, vaselina, pasta de dientes, cepillo de dientes, aspirina, ibuprofeno y cualquier otro producto sanitario),</w:t>
      </w:r>
      <w:r>
        <w:rPr>
          <w:rFonts w:ascii="Century Gothic" w:eastAsia="Century Gothic" w:hAnsi="Century Gothic" w:cs="Century Gothic"/>
          <w:sz w:val="22"/>
          <w:szCs w:val="22"/>
        </w:rPr>
        <w:t xml:space="preserve"> sin embargo el  proyecto no logro ser aprobado por el Senado.</w:t>
      </w:r>
      <w:r>
        <w:rPr>
          <w:rFonts w:ascii="Century Gothic" w:eastAsia="Century Gothic" w:hAnsi="Century Gothic" w:cs="Century Gothic"/>
          <w:sz w:val="22"/>
          <w:szCs w:val="22"/>
          <w:vertAlign w:val="superscript"/>
        </w:rPr>
        <w:footnoteReference w:id="96"/>
      </w:r>
    </w:p>
    <w:p w14:paraId="2931D67E" w14:textId="77777777" w:rsidR="002051CB" w:rsidRDefault="002051CB" w:rsidP="002051CB">
      <w:pPr>
        <w:jc w:val="both"/>
        <w:rPr>
          <w:rFonts w:ascii="Century Gothic" w:eastAsia="Century Gothic" w:hAnsi="Century Gothic" w:cs="Century Gothic"/>
          <w:sz w:val="22"/>
          <w:szCs w:val="22"/>
        </w:rPr>
      </w:pPr>
    </w:p>
    <w:p w14:paraId="77FE5DD0" w14:textId="77777777" w:rsidR="002051CB" w:rsidRDefault="002051CB" w:rsidP="002051CB">
      <w:pPr>
        <w:spacing w:after="160" w:line="276" w:lineRule="auto"/>
        <w:ind w:firstLine="142"/>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ARGENTINA: </w:t>
      </w:r>
    </w:p>
    <w:p w14:paraId="7461DDAF"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Como consecuencia de la Campaña “MenstruAccion” impulsada por el Movimiento Economía Feminista, cuyo objetivo es acabar la estigmatización de la menstruación, se presentaron 3 proyectos de ley en el Congreso y más de 10 iniciativas normativas a nivel provincial y municipal que buscan la entrega gratuita de productos de gestión menstrual en escuelas, centros de salud pública, </w:t>
      </w:r>
      <w:r>
        <w:rPr>
          <w:rFonts w:ascii="Century Gothic" w:eastAsia="Century Gothic" w:hAnsi="Century Gothic" w:cs="Century Gothic"/>
          <w:sz w:val="22"/>
          <w:szCs w:val="22"/>
          <w:u w:val="single"/>
        </w:rPr>
        <w:t>centros de reclusión de personas</w:t>
      </w:r>
      <w:r>
        <w:rPr>
          <w:rFonts w:ascii="Century Gothic" w:eastAsia="Century Gothic" w:hAnsi="Century Gothic" w:cs="Century Gothic"/>
          <w:sz w:val="22"/>
          <w:szCs w:val="22"/>
        </w:rPr>
        <w:t xml:space="preserve"> y redes de alojamientos diurnos y/o nocturnos para las personas en situación de calle. </w:t>
      </w:r>
    </w:p>
    <w:p w14:paraId="69827CC8" w14:textId="77777777" w:rsidR="002051CB" w:rsidRDefault="002051CB" w:rsidP="002051CB">
      <w:pPr>
        <w:spacing w:line="276" w:lineRule="auto"/>
        <w:jc w:val="both"/>
        <w:rPr>
          <w:rFonts w:ascii="Century Gothic" w:eastAsia="Century Gothic" w:hAnsi="Century Gothic" w:cs="Century Gothic"/>
          <w:sz w:val="22"/>
          <w:szCs w:val="22"/>
        </w:rPr>
      </w:pPr>
    </w:p>
    <w:p w14:paraId="4DF9E863"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 importante manifestar que el 28 de mayo de 2020 se presentó ante la Cámara de Diputados de la Nación un proyecto de Ley que prevé la inclusión de los productos de gestión menstrual en las políticas sociales destinadas a la mitigación de los efectos de la pandemia del coronavirus, iniciativa que además busca la entrega gratuita de productos de higiene menstrual para las personas menstruantes en contextos de encierro carcelario, al considerarlo un asunto de salud pública. </w:t>
      </w:r>
      <w:r>
        <w:rPr>
          <w:rFonts w:ascii="Century Gothic" w:eastAsia="Century Gothic" w:hAnsi="Century Gothic" w:cs="Century Gothic"/>
          <w:sz w:val="22"/>
          <w:szCs w:val="22"/>
          <w:vertAlign w:val="superscript"/>
        </w:rPr>
        <w:footnoteReference w:id="97"/>
      </w:r>
    </w:p>
    <w:p w14:paraId="0754EEBE" w14:textId="77777777" w:rsidR="002051CB" w:rsidRDefault="002051CB" w:rsidP="002051CB">
      <w:pPr>
        <w:spacing w:line="276" w:lineRule="auto"/>
        <w:jc w:val="both"/>
        <w:rPr>
          <w:rFonts w:ascii="Century Gothic" w:eastAsia="Century Gothic" w:hAnsi="Century Gothic" w:cs="Century Gothic"/>
          <w:sz w:val="22"/>
          <w:szCs w:val="22"/>
        </w:rPr>
      </w:pPr>
    </w:p>
    <w:p w14:paraId="60579B28" w14:textId="77777777" w:rsidR="002051CB" w:rsidRDefault="002051CB" w:rsidP="002051CB">
      <w:pPr>
        <w:spacing w:after="160"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CHILE.</w:t>
      </w:r>
    </w:p>
    <w:p w14:paraId="1BE826D9"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2020, la Cámara de Diputados de Chile con una votación de 133 votos a favor y 1 abstención, aprobó una resolución que busca que el presidente de la república radique un proyecto de Ley que garantice un acceso democrático por parte de las mujeres a los productos de higiene menstrual, a través de su distribución gratuita en instituciones educativas, en centros de salud públicos, </w:t>
      </w:r>
      <w:r>
        <w:rPr>
          <w:rFonts w:ascii="Century Gothic" w:eastAsia="Century Gothic" w:hAnsi="Century Gothic" w:cs="Century Gothic"/>
          <w:sz w:val="22"/>
          <w:szCs w:val="22"/>
          <w:u w:val="single"/>
        </w:rPr>
        <w:t>cárceles</w:t>
      </w:r>
      <w:r>
        <w:rPr>
          <w:rFonts w:ascii="Century Gothic" w:eastAsia="Century Gothic" w:hAnsi="Century Gothic" w:cs="Century Gothic"/>
          <w:sz w:val="22"/>
          <w:szCs w:val="22"/>
        </w:rPr>
        <w:t>, albergues y a personas en situación de calle.</w:t>
      </w:r>
      <w:r>
        <w:rPr>
          <w:rFonts w:ascii="Century Gothic" w:eastAsia="Century Gothic" w:hAnsi="Century Gothic" w:cs="Century Gothic"/>
          <w:sz w:val="22"/>
          <w:szCs w:val="22"/>
          <w:vertAlign w:val="superscript"/>
        </w:rPr>
        <w:footnoteReference w:id="98"/>
      </w:r>
      <w:r>
        <w:rPr>
          <w:rFonts w:ascii="Century Gothic" w:eastAsia="Century Gothic" w:hAnsi="Century Gothic" w:cs="Century Gothic"/>
          <w:sz w:val="22"/>
          <w:szCs w:val="22"/>
        </w:rPr>
        <w:t xml:space="preserve"> </w:t>
      </w:r>
    </w:p>
    <w:p w14:paraId="34271A17" w14:textId="77777777" w:rsidR="002051CB" w:rsidRDefault="002051CB" w:rsidP="002051CB">
      <w:pPr>
        <w:spacing w:line="276" w:lineRule="auto"/>
        <w:jc w:val="both"/>
        <w:rPr>
          <w:rFonts w:ascii="Century Gothic" w:eastAsia="Century Gothic" w:hAnsi="Century Gothic" w:cs="Century Gothic"/>
          <w:sz w:val="22"/>
          <w:szCs w:val="22"/>
        </w:rPr>
      </w:pPr>
    </w:p>
    <w:p w14:paraId="5B20B43A"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EGIPTO.</w:t>
      </w:r>
    </w:p>
    <w:p w14:paraId="10AF070A"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8 de marzo de 2019, se inició la campaña liderada por el Egyptian Initiative for Personal Rights – EIPR, la cual solicita a las autoridades penitenciarias egipcias proporcionar gratuitamente toallas sanitarias a las mujeres privadas de su libertad, </w:t>
      </w:r>
      <w:r>
        <w:rPr>
          <w:rFonts w:ascii="Century Gothic" w:eastAsia="Century Gothic" w:hAnsi="Century Gothic" w:cs="Century Gothic"/>
          <w:sz w:val="22"/>
          <w:szCs w:val="22"/>
        </w:rPr>
        <w:lastRenderedPageBreak/>
        <w:t>por cuanto ¨</w:t>
      </w:r>
      <w:r>
        <w:rPr>
          <w:rFonts w:ascii="Century Gothic" w:eastAsia="Century Gothic" w:hAnsi="Century Gothic" w:cs="Century Gothic"/>
          <w:i/>
          <w:sz w:val="22"/>
          <w:szCs w:val="22"/>
        </w:rPr>
        <w:t>dependen de sus visitantes para conseguirlas con anticipación, y las reclusas que provienen de una clase económica más desfavorecida presentan menos probabilidades de tener miembros de la familia que puedan ir a visitarlas y satisfacer sus necesidades básicas”</w:t>
      </w:r>
      <w:r>
        <w:rPr>
          <w:rFonts w:ascii="Century Gothic" w:eastAsia="Century Gothic" w:hAnsi="Century Gothic" w:cs="Century Gothic"/>
          <w:sz w:val="22"/>
          <w:szCs w:val="22"/>
          <w:vertAlign w:val="superscript"/>
        </w:rPr>
        <w:footnoteReference w:id="99"/>
      </w:r>
      <w:r>
        <w:rPr>
          <w:rFonts w:ascii="Century Gothic" w:eastAsia="Century Gothic" w:hAnsi="Century Gothic" w:cs="Century Gothic"/>
          <w:sz w:val="22"/>
          <w:szCs w:val="22"/>
        </w:rPr>
        <w:t xml:space="preserve">, así mismo precisan las lideres de la campaña: </w:t>
      </w:r>
      <w:r>
        <w:rPr>
          <w:rFonts w:ascii="Century Gothic" w:eastAsia="Century Gothic" w:hAnsi="Century Gothic" w:cs="Century Gothic"/>
          <w:i/>
          <w:sz w:val="22"/>
          <w:szCs w:val="22"/>
        </w:rPr>
        <w:t>“la escasez de toallas sanitarias en las cárceles significa que muchas reclusas sienten la necesidad de usar sus toallas sanitarias durante un mayor número de horas. Esto conlleva a riesgos para la salud, ya que usar una toalla sanitaria húmeda durante más de 6 horas expone a las mujeres a un alto riesgo de contraer erupciones cutáneas, infecciones del tracto urinario e infecciones vaginales”.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vertAlign w:val="superscript"/>
        </w:rPr>
        <w:footnoteReference w:id="100"/>
      </w:r>
    </w:p>
    <w:p w14:paraId="25ADC8AD" w14:textId="77777777" w:rsidR="002051CB" w:rsidRDefault="002051CB" w:rsidP="002051CB">
      <w:pPr>
        <w:spacing w:line="276" w:lineRule="auto"/>
        <w:jc w:val="both"/>
        <w:rPr>
          <w:rFonts w:ascii="Century Gothic" w:eastAsia="Century Gothic" w:hAnsi="Century Gothic" w:cs="Century Gothic"/>
          <w:sz w:val="22"/>
          <w:szCs w:val="22"/>
        </w:rPr>
      </w:pPr>
    </w:p>
    <w:p w14:paraId="16F8579D" w14:textId="77777777" w:rsidR="002051CB" w:rsidRDefault="002051CB" w:rsidP="002051CB">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MÉXICO.</w:t>
      </w:r>
    </w:p>
    <w:p w14:paraId="5045CF71"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diputada Martha Tagle presentó ante el Congreso una propuesta de exhorto a la Secretaría de Seguridad y Protección Ciudadana y a las autoridades penitenciarias federales y estatales para que, con base en la Ley de Ejecución Penal, se den de forma gratuita los suministros de higiene menstrual a las reclusas, y de esta manera se garantice su derecho a la salud. Dentro del contenido del proyecto de la diputada se resalta que </w:t>
      </w:r>
      <w:r>
        <w:rPr>
          <w:rFonts w:ascii="Century Gothic" w:eastAsia="Century Gothic" w:hAnsi="Century Gothic" w:cs="Century Gothic"/>
          <w:i/>
          <w:sz w:val="22"/>
          <w:szCs w:val="22"/>
        </w:rPr>
        <w:t>“se deben proporcionar servicios de salud a las mujeres, garantizando su seguridad sanitaria y bienestar físico para el ejercicio pleno de sus capacidades”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vertAlign w:val="superscript"/>
        </w:rPr>
        <w:footnoteReference w:id="101"/>
      </w:r>
    </w:p>
    <w:p w14:paraId="2133FEBD" w14:textId="77777777" w:rsidR="002051CB" w:rsidRDefault="002051CB" w:rsidP="002051CB">
      <w:pPr>
        <w:spacing w:line="276" w:lineRule="auto"/>
        <w:jc w:val="both"/>
        <w:rPr>
          <w:rFonts w:ascii="Century Gothic" w:eastAsia="Century Gothic" w:hAnsi="Century Gothic" w:cs="Century Gothic"/>
          <w:sz w:val="22"/>
          <w:szCs w:val="22"/>
        </w:rPr>
      </w:pPr>
    </w:p>
    <w:p w14:paraId="62C06695" w14:textId="77777777" w:rsidR="002051CB" w:rsidRDefault="002051CB" w:rsidP="002051CB">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REINO UNIDO.</w:t>
      </w:r>
    </w:p>
    <w:p w14:paraId="0A2C5EBD" w14:textId="77777777" w:rsidR="002051CB" w:rsidRDefault="002051CB" w:rsidP="002051CB">
      <w:pPr>
        <w:spacing w:line="276" w:lineRule="auto"/>
        <w:jc w:val="both"/>
        <w:rPr>
          <w:rFonts w:ascii="Century Gothic" w:eastAsia="Century Gothic" w:hAnsi="Century Gothic" w:cs="Century Gothic"/>
          <w:b/>
          <w:sz w:val="22"/>
          <w:szCs w:val="22"/>
          <w:u w:val="single"/>
        </w:rPr>
      </w:pPr>
    </w:p>
    <w:p w14:paraId="633B2EC2" w14:textId="77777777" w:rsidR="002051CB" w:rsidRDefault="002051CB" w:rsidP="002051CB">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Desde el año 2019, a través del Ministerio del Interior existe el compromiso de proporcionar los productos sanitarios gratuitos a todas las mujeres privadas de su libertad, la medida surge en un contexto en el que las detenidas no tenían la privacidad básica para usar un baño o el acceso a estos implementos durante su ciclo menstrual. Esta medida se ha materializado con leyes que eliminan los impuestos a los tampones y demás productos sanitarios, sin embargo, aún no existe una normatividad vigente con respecto al acceso gratuito de los implementos de higiene menstrual para las mujeres privadas, pese a que desde el año 2018 la Asociación de Visitantes de Custodia Independientes “The Independent Custody Visitors Association”, ha reportado algunas condiciones de salubridad impactantes en las que las mujeres recluidas no siempre cuentan con instalaciones higiénicas </w:t>
      </w:r>
      <w:r>
        <w:rPr>
          <w:rFonts w:ascii="Century Gothic" w:eastAsia="Century Gothic" w:hAnsi="Century Gothic" w:cs="Century Gothic"/>
          <w:sz w:val="22"/>
          <w:szCs w:val="22"/>
        </w:rPr>
        <w:lastRenderedPageBreak/>
        <w:t>para el lavado de su zona íntima y en muchas ocasiones como consecuencia de ello, sufren de flujos sanguinos en cantidades exageradas, lo cual conlleva a consecuencias en su salud y en su estado de ánimo.</w:t>
      </w:r>
      <w:r>
        <w:rPr>
          <w:rFonts w:ascii="Century Gothic" w:eastAsia="Century Gothic" w:hAnsi="Century Gothic" w:cs="Century Gothic"/>
          <w:sz w:val="22"/>
          <w:szCs w:val="22"/>
          <w:vertAlign w:val="superscript"/>
        </w:rPr>
        <w:footnoteReference w:id="102"/>
      </w:r>
    </w:p>
    <w:p w14:paraId="1637A8CF" w14:textId="77777777" w:rsidR="002051CB" w:rsidRPr="004F3125" w:rsidRDefault="002051CB" w:rsidP="004F3125">
      <w:pPr>
        <w:spacing w:line="276" w:lineRule="auto"/>
        <w:jc w:val="both"/>
        <w:rPr>
          <w:rFonts w:ascii="Century Gothic" w:eastAsia="Century Gothic" w:hAnsi="Century Gothic" w:cs="Century Gothic"/>
        </w:rPr>
      </w:pPr>
    </w:p>
    <w:bookmarkEnd w:id="1"/>
    <w:bookmarkEnd w:id="2"/>
    <w:p w14:paraId="2B425995" w14:textId="77CD85C6" w:rsidR="003F37E2" w:rsidRPr="003F37E2" w:rsidRDefault="003F37E2" w:rsidP="003F37E2">
      <w:pPr>
        <w:pStyle w:val="Prrafodelista"/>
        <w:numPr>
          <w:ilvl w:val="0"/>
          <w:numId w:val="10"/>
        </w:numPr>
        <w:autoSpaceDE w:val="0"/>
        <w:autoSpaceDN w:val="0"/>
        <w:adjustRightInd w:val="0"/>
        <w:jc w:val="both"/>
        <w:rPr>
          <w:rFonts w:ascii="Century Gothic" w:hAnsi="Century Gothic" w:cs="Arial"/>
          <w:b/>
          <w:shd w:val="clear" w:color="auto" w:fill="FFFFFF"/>
        </w:rPr>
      </w:pPr>
      <w:r w:rsidRPr="003F37E2">
        <w:rPr>
          <w:rFonts w:ascii="Century Gothic" w:hAnsi="Century Gothic" w:cs="Arial"/>
          <w:b/>
          <w:shd w:val="clear" w:color="auto" w:fill="FFFFFF"/>
        </w:rPr>
        <w:t>CONFLICTO DE INTERESES</w:t>
      </w:r>
    </w:p>
    <w:p w14:paraId="78C3D09F" w14:textId="048CDE8C" w:rsidR="003F37E2" w:rsidRPr="003F37E2" w:rsidRDefault="003F37E2" w:rsidP="003F37E2">
      <w:pPr>
        <w:autoSpaceDE w:val="0"/>
        <w:autoSpaceDN w:val="0"/>
        <w:adjustRightInd w:val="0"/>
        <w:spacing w:line="276" w:lineRule="auto"/>
        <w:jc w:val="both"/>
        <w:rPr>
          <w:rFonts w:ascii="Century Gothic" w:hAnsi="Century Gothic" w:cs="Arial"/>
          <w:bCs/>
          <w:sz w:val="22"/>
          <w:szCs w:val="22"/>
          <w:shd w:val="clear" w:color="auto" w:fill="FFFFFF"/>
        </w:rPr>
      </w:pPr>
      <w:r w:rsidRPr="003F37E2">
        <w:rPr>
          <w:rFonts w:ascii="Century Gothic" w:hAnsi="Century Gothic" w:cs="Arial"/>
          <w:bCs/>
          <w:sz w:val="22"/>
          <w:szCs w:val="22"/>
          <w:shd w:val="clear" w:color="auto" w:fill="FFFFFF"/>
        </w:rPr>
        <w:t>Dando alcance a lo establecido en el artículo 3 de la Ley 2003 de 2019, “</w:t>
      </w:r>
      <w:r w:rsidRPr="003F37E2">
        <w:rPr>
          <w:rFonts w:ascii="Century Gothic" w:hAnsi="Century Gothic" w:cs="Arial"/>
          <w:bCs/>
          <w:i/>
          <w:sz w:val="22"/>
          <w:szCs w:val="22"/>
          <w:shd w:val="clear" w:color="auto" w:fill="FFFFFF"/>
        </w:rPr>
        <w:t>Por la cual se modifica parcialmente la Ley 5 de 1992</w:t>
      </w:r>
      <w:r w:rsidRPr="003F37E2">
        <w:rPr>
          <w:rFonts w:ascii="Century Gothic" w:hAnsi="Century Gothic" w:cs="Arial"/>
          <w:bCs/>
          <w:sz w:val="22"/>
          <w:szCs w:val="22"/>
          <w:shd w:val="clear" w:color="auto" w:fill="FFFFFF"/>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0B275BCD" w14:textId="77777777" w:rsidR="003F37E2" w:rsidRPr="003F37E2" w:rsidRDefault="003F37E2" w:rsidP="003F37E2">
      <w:pPr>
        <w:autoSpaceDE w:val="0"/>
        <w:autoSpaceDN w:val="0"/>
        <w:adjustRightInd w:val="0"/>
        <w:spacing w:line="276" w:lineRule="auto"/>
        <w:jc w:val="both"/>
        <w:rPr>
          <w:rFonts w:ascii="Century Gothic" w:hAnsi="Century Gothic" w:cs="Arial"/>
          <w:bCs/>
          <w:sz w:val="22"/>
          <w:szCs w:val="22"/>
          <w:shd w:val="clear" w:color="auto" w:fill="FFFFFF"/>
        </w:rPr>
      </w:pPr>
    </w:p>
    <w:p w14:paraId="7FF97AA5"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r w:rsidRPr="003F37E2">
        <w:rPr>
          <w:rFonts w:ascii="Century Gothic" w:hAnsi="Century Gothic"/>
          <w:i/>
          <w:shd w:val="clear" w:color="auto" w:fill="FFFFFF"/>
        </w:rPr>
        <w:t>“</w:t>
      </w:r>
      <w:r w:rsidRPr="003F37E2">
        <w:rPr>
          <w:rFonts w:ascii="Century Gothic" w:hAnsi="Century Gothic"/>
          <w:b/>
          <w:i/>
          <w:shd w:val="clear" w:color="auto" w:fill="FFFFFF"/>
        </w:rPr>
        <w:t>Artículo 286. Régimen de conflicto de interés de los congresistas.</w:t>
      </w:r>
      <w:r w:rsidRPr="003F37E2">
        <w:rPr>
          <w:rFonts w:ascii="Century Gothic" w:hAnsi="Century Gothic"/>
          <w:i/>
          <w:shd w:val="clear" w:color="auto" w:fill="FFFFFF"/>
        </w:rPr>
        <w:t xml:space="preserve"> Todos los congresistas deberán declarar los conflictos De intereses que pudieran surgir en ejercicio de sus funciones.</w:t>
      </w:r>
    </w:p>
    <w:p w14:paraId="20E30E78"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41AED541"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r w:rsidRPr="003F37E2">
        <w:rPr>
          <w:rFonts w:ascii="Century Gothic" w:hAnsi="Century Gothic"/>
          <w:i/>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6B37F946"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5D62EA63" w14:textId="77777777" w:rsidR="003F37E2" w:rsidRPr="003F37E2" w:rsidRDefault="003F37E2" w:rsidP="003F37E2">
      <w:pPr>
        <w:pStyle w:val="Sinespaciado"/>
        <w:numPr>
          <w:ilvl w:val="0"/>
          <w:numId w:val="24"/>
        </w:numPr>
        <w:tabs>
          <w:tab w:val="left" w:pos="993"/>
        </w:tabs>
        <w:spacing w:line="276" w:lineRule="auto"/>
        <w:ind w:left="1134" w:right="900" w:hanging="283"/>
        <w:jc w:val="both"/>
        <w:rPr>
          <w:rFonts w:ascii="Century Gothic" w:hAnsi="Century Gothic"/>
          <w:i/>
          <w:shd w:val="clear" w:color="auto" w:fill="FFFFFF"/>
        </w:rPr>
      </w:pPr>
      <w:r w:rsidRPr="003F37E2">
        <w:rPr>
          <w:rFonts w:ascii="Century Gothic" w:hAnsi="Century Gothic"/>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6C6D0D3"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044607F9" w14:textId="77777777" w:rsidR="003F37E2" w:rsidRPr="003F37E2" w:rsidRDefault="003F37E2" w:rsidP="003F37E2">
      <w:pPr>
        <w:pStyle w:val="Sinespaciado"/>
        <w:numPr>
          <w:ilvl w:val="0"/>
          <w:numId w:val="24"/>
        </w:numPr>
        <w:tabs>
          <w:tab w:val="left" w:pos="993"/>
        </w:tabs>
        <w:spacing w:line="276" w:lineRule="auto"/>
        <w:ind w:left="1134" w:right="900" w:hanging="283"/>
        <w:jc w:val="both"/>
        <w:rPr>
          <w:rFonts w:ascii="Century Gothic" w:hAnsi="Century Gothic"/>
          <w:i/>
          <w:shd w:val="clear" w:color="auto" w:fill="FFFFFF"/>
        </w:rPr>
      </w:pPr>
      <w:r w:rsidRPr="003F37E2">
        <w:rPr>
          <w:rFonts w:ascii="Century Gothic" w:hAnsi="Century Gothic"/>
          <w:i/>
          <w:shd w:val="clear" w:color="auto" w:fill="FFFFFF"/>
        </w:rPr>
        <w:t>Beneficio actual: aquel que efectivamente se configura en las circunstancias presentes y existentes al momento en el que el congresista participa de la decisión. </w:t>
      </w:r>
    </w:p>
    <w:p w14:paraId="0DAC7C5B"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2D2B5892" w14:textId="77777777" w:rsidR="003F37E2" w:rsidRPr="003F37E2" w:rsidRDefault="003F37E2" w:rsidP="003F37E2">
      <w:pPr>
        <w:pStyle w:val="Sinespaciado"/>
        <w:numPr>
          <w:ilvl w:val="0"/>
          <w:numId w:val="24"/>
        </w:numPr>
        <w:tabs>
          <w:tab w:val="left" w:pos="993"/>
        </w:tabs>
        <w:spacing w:line="276" w:lineRule="auto"/>
        <w:ind w:left="1134" w:right="900" w:hanging="283"/>
        <w:jc w:val="both"/>
        <w:rPr>
          <w:rFonts w:ascii="Century Gothic" w:hAnsi="Century Gothic"/>
          <w:i/>
          <w:shd w:val="clear" w:color="auto" w:fill="FFFFFF"/>
        </w:rPr>
      </w:pPr>
      <w:r w:rsidRPr="003F37E2">
        <w:rPr>
          <w:rFonts w:ascii="Century Gothic" w:hAnsi="Century Gothic"/>
          <w:i/>
          <w:shd w:val="clear" w:color="auto" w:fill="FFFFFF"/>
        </w:rPr>
        <w:t xml:space="preserve">Beneficio directo: aquel que se produzca de forma específica respecto del congresista, de su cónyuge, compañero o </w:t>
      </w:r>
      <w:r w:rsidRPr="003F37E2">
        <w:rPr>
          <w:rFonts w:ascii="Century Gothic" w:hAnsi="Century Gothic"/>
          <w:i/>
          <w:shd w:val="clear" w:color="auto" w:fill="FFFFFF"/>
        </w:rPr>
        <w:lastRenderedPageBreak/>
        <w:t>compañera permanente, o parientes dentro del segundo grado de consanguinidad, segundo de afinidad o primero civil.</w:t>
      </w:r>
    </w:p>
    <w:p w14:paraId="72F1A4A4"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p>
    <w:p w14:paraId="3B460BFC" w14:textId="77777777" w:rsidR="003F37E2" w:rsidRPr="003F37E2" w:rsidRDefault="003F37E2" w:rsidP="003F37E2">
      <w:pPr>
        <w:pStyle w:val="Sinespaciado"/>
        <w:tabs>
          <w:tab w:val="left" w:pos="993"/>
        </w:tabs>
        <w:spacing w:line="276" w:lineRule="auto"/>
        <w:ind w:left="1134" w:right="900"/>
        <w:jc w:val="both"/>
        <w:rPr>
          <w:rFonts w:ascii="Century Gothic" w:hAnsi="Century Gothic"/>
          <w:shd w:val="clear" w:color="auto" w:fill="FFFFFF"/>
        </w:rPr>
      </w:pPr>
      <w:r w:rsidRPr="003F37E2">
        <w:rPr>
          <w:rFonts w:ascii="Century Gothic" w:hAnsi="Century Gothic"/>
          <w:shd w:val="clear" w:color="auto" w:fill="FFFFFF"/>
        </w:rPr>
        <w:t>(…)”</w:t>
      </w:r>
    </w:p>
    <w:p w14:paraId="09468550" w14:textId="77777777" w:rsidR="003F37E2" w:rsidRPr="003F37E2" w:rsidRDefault="003F37E2" w:rsidP="003F37E2">
      <w:pPr>
        <w:spacing w:line="276" w:lineRule="auto"/>
        <w:jc w:val="both"/>
        <w:rPr>
          <w:rFonts w:ascii="Century Gothic" w:hAnsi="Century Gothic" w:cs="Arial"/>
          <w:bCs/>
          <w:sz w:val="22"/>
          <w:szCs w:val="22"/>
          <w:shd w:val="clear" w:color="auto" w:fill="FFFFFF"/>
        </w:rPr>
      </w:pPr>
    </w:p>
    <w:p w14:paraId="7174FB77" w14:textId="77777777" w:rsidR="003F37E2" w:rsidRPr="003F37E2" w:rsidRDefault="003F37E2" w:rsidP="003F37E2">
      <w:pPr>
        <w:spacing w:line="276" w:lineRule="auto"/>
        <w:jc w:val="both"/>
        <w:rPr>
          <w:rFonts w:ascii="Century Gothic" w:hAnsi="Century Gothic" w:cs="Arial"/>
          <w:bCs/>
          <w:sz w:val="22"/>
          <w:szCs w:val="22"/>
          <w:shd w:val="clear" w:color="auto" w:fill="FFFFFF"/>
        </w:rPr>
      </w:pPr>
      <w:r w:rsidRPr="003F37E2">
        <w:rPr>
          <w:rFonts w:ascii="Century Gothic" w:hAnsi="Century Gothic"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2FE00748" w14:textId="77777777" w:rsidR="003F37E2" w:rsidRPr="003F37E2" w:rsidRDefault="003F37E2" w:rsidP="003F37E2">
      <w:pPr>
        <w:spacing w:line="276" w:lineRule="auto"/>
        <w:jc w:val="both"/>
        <w:rPr>
          <w:rFonts w:ascii="Century Gothic" w:hAnsi="Century Gothic" w:cs="Arial"/>
          <w:bCs/>
          <w:sz w:val="22"/>
          <w:szCs w:val="22"/>
          <w:shd w:val="clear" w:color="auto" w:fill="FFFFFF"/>
        </w:rPr>
      </w:pPr>
    </w:p>
    <w:p w14:paraId="40842328" w14:textId="77777777" w:rsidR="003F37E2" w:rsidRPr="003F37E2" w:rsidRDefault="003F37E2" w:rsidP="003F37E2">
      <w:pPr>
        <w:pStyle w:val="Sinespaciado"/>
        <w:spacing w:line="276" w:lineRule="auto"/>
        <w:ind w:left="851" w:right="900"/>
        <w:jc w:val="both"/>
        <w:rPr>
          <w:rFonts w:ascii="Century Gothic" w:hAnsi="Century Gothic"/>
          <w:i/>
          <w:shd w:val="clear" w:color="auto" w:fill="FFFFFF"/>
        </w:rPr>
      </w:pPr>
      <w:r w:rsidRPr="003F37E2">
        <w:rPr>
          <w:rFonts w:ascii="Century Gothic" w:hAnsi="Century Gothic"/>
          <w:i/>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0EE0C54" w14:textId="367E4F2E" w:rsidR="003F37E2" w:rsidRDefault="008E7DD7" w:rsidP="003F37E2">
      <w:pPr>
        <w:spacing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Así las cosas, e</w:t>
      </w:r>
      <w:r w:rsidR="003F37E2">
        <w:rPr>
          <w:rFonts w:ascii="Century Gothic" w:eastAsia="Century Gothic" w:hAnsi="Century Gothic" w:cs="Century Gothic"/>
          <w:color w:val="000000"/>
          <w:sz w:val="21"/>
          <w:szCs w:val="21"/>
        </w:rPr>
        <w:t>n virtud del artículo 286 de la Ley 5 de 1992 y del artículo 1 de la Ley 2003 de 2019, este proyecto de ley reúne las condiciones de los literales a y b, circunstancias en las cuales es inexistente el conflicto de interés por parte de los Congresistas que participen en la discusión y votación de los proyectos de ley, al ser esta, una iniciativa que no genera un beneficio particular, actual y directo a su favor, sino que su objeto se circunscribe a un tema de interés general que coincide y se fusiona con los intereses del electorado.</w:t>
      </w:r>
    </w:p>
    <w:p w14:paraId="4216E782" w14:textId="5F9541E4" w:rsidR="004F3125" w:rsidRDefault="004F3125" w:rsidP="003F37E2">
      <w:pPr>
        <w:jc w:val="both"/>
        <w:rPr>
          <w:rFonts w:ascii="Century Gothic" w:hAnsi="Century Gothic" w:cs="Arial"/>
          <w:b/>
          <w:bCs/>
          <w:color w:val="000000" w:themeColor="text1"/>
        </w:rPr>
      </w:pPr>
    </w:p>
    <w:p w14:paraId="7C0DB931" w14:textId="72DB3866" w:rsidR="003F37E2" w:rsidRPr="00592E63" w:rsidRDefault="003F37E2" w:rsidP="003F37E2">
      <w:pPr>
        <w:pStyle w:val="Prrafodelista"/>
        <w:numPr>
          <w:ilvl w:val="0"/>
          <w:numId w:val="10"/>
        </w:numPr>
        <w:jc w:val="both"/>
        <w:rPr>
          <w:rFonts w:ascii="Century Gothic" w:hAnsi="Century Gothic" w:cs="Arial"/>
          <w:b/>
          <w:bCs/>
          <w:color w:val="000000" w:themeColor="text1"/>
        </w:rPr>
      </w:pPr>
      <w:r w:rsidRPr="00592E63">
        <w:rPr>
          <w:rFonts w:ascii="Century Gothic" w:hAnsi="Century Gothic" w:cs="Arial"/>
          <w:b/>
          <w:bCs/>
          <w:color w:val="000000" w:themeColor="text1"/>
        </w:rPr>
        <w:t>PLIEGO DE MODIFICACIONES.</w:t>
      </w:r>
    </w:p>
    <w:tbl>
      <w:tblPr>
        <w:tblStyle w:val="Tablaconcuadrcula"/>
        <w:tblW w:w="0" w:type="auto"/>
        <w:tblLook w:val="04A0" w:firstRow="1" w:lastRow="0" w:firstColumn="1" w:lastColumn="0" w:noHBand="0" w:noVBand="1"/>
      </w:tblPr>
      <w:tblGrid>
        <w:gridCol w:w="2942"/>
        <w:gridCol w:w="2943"/>
        <w:gridCol w:w="2943"/>
      </w:tblGrid>
      <w:tr w:rsidR="00CC5734" w14:paraId="137EF263" w14:textId="77777777" w:rsidTr="00CC5734">
        <w:tc>
          <w:tcPr>
            <w:tcW w:w="2942" w:type="dxa"/>
          </w:tcPr>
          <w:p w14:paraId="0FCEA89C" w14:textId="0826C7B0" w:rsidR="00CC5734" w:rsidRPr="00CC5734" w:rsidRDefault="00CC5734" w:rsidP="00CC5734">
            <w:pPr>
              <w:jc w:val="center"/>
              <w:rPr>
                <w:rFonts w:ascii="Century Gothic" w:hAnsi="Century Gothic" w:cs="Segoe UI"/>
                <w:b/>
                <w:bCs/>
                <w:sz w:val="22"/>
                <w:szCs w:val="22"/>
              </w:rPr>
            </w:pPr>
            <w:r w:rsidRPr="00CC5734">
              <w:rPr>
                <w:rFonts w:ascii="Century Gothic" w:hAnsi="Century Gothic" w:cs="Segoe UI"/>
                <w:b/>
                <w:bCs/>
                <w:sz w:val="22"/>
                <w:szCs w:val="22"/>
              </w:rPr>
              <w:t>TEXTO APROBADO EN PRIMER DEBATE</w:t>
            </w:r>
          </w:p>
        </w:tc>
        <w:tc>
          <w:tcPr>
            <w:tcW w:w="2943" w:type="dxa"/>
          </w:tcPr>
          <w:p w14:paraId="06271C60" w14:textId="7FDC5704" w:rsidR="00CC5734" w:rsidRPr="00CC5734" w:rsidRDefault="00CC5734" w:rsidP="00CC5734">
            <w:pPr>
              <w:jc w:val="center"/>
              <w:rPr>
                <w:rFonts w:ascii="Century Gothic" w:hAnsi="Century Gothic" w:cs="Segoe UI"/>
                <w:b/>
                <w:bCs/>
                <w:sz w:val="22"/>
                <w:szCs w:val="22"/>
              </w:rPr>
            </w:pPr>
            <w:r w:rsidRPr="00CC5734">
              <w:rPr>
                <w:rFonts w:ascii="Century Gothic" w:hAnsi="Century Gothic" w:cs="Segoe UI"/>
                <w:b/>
                <w:bCs/>
                <w:sz w:val="22"/>
                <w:szCs w:val="22"/>
              </w:rPr>
              <w:t>TEXTO PROPUESTO PARA SEGUNDO DEBATE</w:t>
            </w:r>
          </w:p>
        </w:tc>
        <w:tc>
          <w:tcPr>
            <w:tcW w:w="2943" w:type="dxa"/>
          </w:tcPr>
          <w:p w14:paraId="25784F17" w14:textId="0AC598C6" w:rsidR="00CC5734" w:rsidRPr="00CC5734" w:rsidRDefault="00CC5734" w:rsidP="00CC5734">
            <w:pPr>
              <w:jc w:val="center"/>
              <w:rPr>
                <w:rFonts w:ascii="Century Gothic" w:hAnsi="Century Gothic" w:cs="Segoe UI"/>
                <w:b/>
                <w:bCs/>
                <w:sz w:val="22"/>
                <w:szCs w:val="22"/>
              </w:rPr>
            </w:pPr>
            <w:r w:rsidRPr="00CC5734">
              <w:rPr>
                <w:rFonts w:ascii="Century Gothic" w:hAnsi="Century Gothic" w:cs="Segoe UI"/>
                <w:b/>
                <w:bCs/>
                <w:sz w:val="22"/>
                <w:szCs w:val="22"/>
              </w:rPr>
              <w:t>JUSTIFICACIÓN</w:t>
            </w:r>
          </w:p>
        </w:tc>
      </w:tr>
      <w:tr w:rsidR="00CC5734" w14:paraId="657FE86B" w14:textId="77777777" w:rsidTr="00CC5734">
        <w:tc>
          <w:tcPr>
            <w:tcW w:w="2942" w:type="dxa"/>
          </w:tcPr>
          <w:p w14:paraId="4DEA5CFD" w14:textId="77777777" w:rsidR="00CC5734" w:rsidRPr="00592E63" w:rsidRDefault="00CC5734" w:rsidP="00CC5734">
            <w:pPr>
              <w:shd w:val="clear" w:color="auto" w:fill="FFFFFF"/>
              <w:jc w:val="center"/>
              <w:rPr>
                <w:rFonts w:ascii="Century Gothic" w:hAnsi="Century Gothic" w:cs="Arial"/>
                <w:b/>
                <w:i/>
                <w:lang w:val="es-ES_tradnl"/>
              </w:rPr>
            </w:pPr>
            <w:r w:rsidRPr="00CF7226">
              <w:rPr>
                <w:rFonts w:ascii="Century Gothic" w:hAnsi="Century Gothic" w:cs="Arial"/>
                <w:b/>
                <w:i/>
                <w:lang w:val="es-ES_tradnl"/>
              </w:rPr>
              <w:t>“POR MEDIO DE L</w:t>
            </w:r>
            <w:r w:rsidRPr="00592E63">
              <w:rPr>
                <w:rFonts w:ascii="Century Gothic" w:hAnsi="Century Gothic" w:cs="Arial"/>
                <w:b/>
                <w:i/>
                <w:lang w:val="es-ES_tradnl"/>
              </w:rPr>
              <w:t xml:space="preserve">A CUAL SE GARANTIZA LA ENTREGA GRATUITA, OPORTUNA Y SUFICIENTE DE ARTÍCULOS DE HIGIENE </w:t>
            </w:r>
            <w:r>
              <w:rPr>
                <w:rFonts w:ascii="Century Gothic" w:hAnsi="Century Gothic" w:cs="Arial"/>
                <w:b/>
                <w:i/>
                <w:lang w:val="es-ES_tradnl"/>
              </w:rPr>
              <w:t xml:space="preserve">Y SALUD MENSTRUAL A </w:t>
            </w:r>
            <w:r>
              <w:rPr>
                <w:rFonts w:ascii="Century Gothic" w:hAnsi="Century Gothic" w:cs="Arial"/>
                <w:b/>
                <w:i/>
                <w:lang w:val="es-ES_tradnl"/>
              </w:rPr>
              <w:lastRenderedPageBreak/>
              <w:t>LAS PERSONA</w:t>
            </w:r>
            <w:r w:rsidRPr="00592E63">
              <w:rPr>
                <w:rFonts w:ascii="Century Gothic" w:hAnsi="Century Gothic" w:cs="Arial"/>
                <w:b/>
                <w:i/>
                <w:lang w:val="es-ES_tradnl"/>
              </w:rPr>
              <w:t xml:space="preserve">S </w:t>
            </w:r>
            <w:r>
              <w:rPr>
                <w:rFonts w:ascii="Century Gothic" w:hAnsi="Century Gothic" w:cs="Arial"/>
                <w:b/>
                <w:i/>
                <w:lang w:val="es-ES_tradnl"/>
              </w:rPr>
              <w:t xml:space="preserve">MENSTRUANTES </w:t>
            </w:r>
            <w:r w:rsidRPr="00592E63">
              <w:rPr>
                <w:rFonts w:ascii="Century Gothic" w:hAnsi="Century Gothic" w:cs="Arial"/>
                <w:b/>
                <w:i/>
                <w:lang w:val="es-ES_tradnl"/>
              </w:rPr>
              <w:t>PRIVADAS DE LA LIBERTAD Y SE DICTAN OTRAS DISPOSICIONES.”</w:t>
            </w:r>
          </w:p>
          <w:p w14:paraId="082568F4" w14:textId="77777777" w:rsidR="00CC5734" w:rsidRDefault="00CC5734" w:rsidP="00592E63">
            <w:pPr>
              <w:jc w:val="both"/>
              <w:rPr>
                <w:rFonts w:ascii="Century Gothic" w:hAnsi="Century Gothic" w:cs="Segoe UI"/>
                <w:sz w:val="22"/>
                <w:szCs w:val="22"/>
              </w:rPr>
            </w:pPr>
          </w:p>
        </w:tc>
        <w:tc>
          <w:tcPr>
            <w:tcW w:w="2943" w:type="dxa"/>
          </w:tcPr>
          <w:p w14:paraId="25601AAA" w14:textId="59F0BDFA" w:rsidR="00CC5734" w:rsidRPr="00592E63" w:rsidRDefault="00CC5734" w:rsidP="00CC5734">
            <w:pPr>
              <w:shd w:val="clear" w:color="auto" w:fill="FFFFFF"/>
              <w:jc w:val="center"/>
              <w:rPr>
                <w:rFonts w:ascii="Century Gothic" w:hAnsi="Century Gothic" w:cs="Arial"/>
                <w:b/>
                <w:i/>
                <w:lang w:val="es-ES_tradnl"/>
              </w:rPr>
            </w:pPr>
            <w:r w:rsidRPr="00CF7226">
              <w:rPr>
                <w:rFonts w:ascii="Century Gothic" w:hAnsi="Century Gothic" w:cs="Arial"/>
                <w:b/>
                <w:i/>
                <w:lang w:val="es-ES_tradnl"/>
              </w:rPr>
              <w:lastRenderedPageBreak/>
              <w:t>“POR MEDIO DE L</w:t>
            </w:r>
            <w:r w:rsidRPr="00592E63">
              <w:rPr>
                <w:rFonts w:ascii="Century Gothic" w:hAnsi="Century Gothic" w:cs="Arial"/>
                <w:b/>
                <w:i/>
                <w:lang w:val="es-ES_tradnl"/>
              </w:rPr>
              <w:t xml:space="preserve">A CUAL SE GARANTIZA LA ENTREGA GRATUITA, OPORTUNA Y SUFICIENTE DE ARTÍCULOS DE HIGIENE </w:t>
            </w:r>
            <w:r>
              <w:rPr>
                <w:rFonts w:ascii="Century Gothic" w:hAnsi="Century Gothic" w:cs="Arial"/>
                <w:b/>
                <w:i/>
                <w:lang w:val="es-ES_tradnl"/>
              </w:rPr>
              <w:t xml:space="preserve">Y SALUD MENSTRUAL </w:t>
            </w:r>
            <w:r w:rsidRPr="00CC5734">
              <w:rPr>
                <w:rFonts w:ascii="Century Gothic" w:hAnsi="Century Gothic" w:cs="Arial"/>
                <w:b/>
                <w:i/>
                <w:u w:val="single"/>
                <w:lang w:val="es-ES_tradnl"/>
              </w:rPr>
              <w:t xml:space="preserve">A </w:t>
            </w:r>
            <w:r w:rsidRPr="00CC5734">
              <w:rPr>
                <w:rFonts w:ascii="Century Gothic" w:hAnsi="Century Gothic" w:cs="Arial"/>
                <w:b/>
                <w:i/>
                <w:u w:val="single"/>
                <w:lang w:val="es-ES_tradnl"/>
              </w:rPr>
              <w:lastRenderedPageBreak/>
              <w:t>LAS MUJERES</w:t>
            </w:r>
            <w:r>
              <w:rPr>
                <w:rFonts w:ascii="Century Gothic" w:hAnsi="Century Gothic" w:cs="Arial"/>
                <w:b/>
                <w:i/>
                <w:lang w:val="es-ES_tradnl"/>
              </w:rPr>
              <w:t xml:space="preserve"> Y PERSONA</w:t>
            </w:r>
            <w:r w:rsidRPr="00592E63">
              <w:rPr>
                <w:rFonts w:ascii="Century Gothic" w:hAnsi="Century Gothic" w:cs="Arial"/>
                <w:b/>
                <w:i/>
                <w:lang w:val="es-ES_tradnl"/>
              </w:rPr>
              <w:t xml:space="preserve">S </w:t>
            </w:r>
            <w:r>
              <w:rPr>
                <w:rFonts w:ascii="Century Gothic" w:hAnsi="Century Gothic" w:cs="Arial"/>
                <w:b/>
                <w:i/>
                <w:lang w:val="es-ES_tradnl"/>
              </w:rPr>
              <w:t xml:space="preserve">MENSTRUANTES </w:t>
            </w:r>
            <w:r w:rsidRPr="00592E63">
              <w:rPr>
                <w:rFonts w:ascii="Century Gothic" w:hAnsi="Century Gothic" w:cs="Arial"/>
                <w:b/>
                <w:i/>
                <w:lang w:val="es-ES_tradnl"/>
              </w:rPr>
              <w:t>PRIVADAS DE LA LIBERTAD Y SE DICTAN OTRAS DISPOSICIONES.”</w:t>
            </w:r>
          </w:p>
          <w:p w14:paraId="1E3819D5" w14:textId="77777777" w:rsidR="00CC5734" w:rsidRDefault="00CC5734" w:rsidP="00592E63">
            <w:pPr>
              <w:jc w:val="both"/>
              <w:rPr>
                <w:rFonts w:ascii="Century Gothic" w:hAnsi="Century Gothic" w:cs="Segoe UI"/>
                <w:sz w:val="22"/>
                <w:szCs w:val="22"/>
              </w:rPr>
            </w:pPr>
          </w:p>
        </w:tc>
        <w:tc>
          <w:tcPr>
            <w:tcW w:w="2943" w:type="dxa"/>
          </w:tcPr>
          <w:p w14:paraId="5471C037" w14:textId="7220FBDC" w:rsidR="00CC5734" w:rsidRDefault="00A67725" w:rsidP="00592E63">
            <w:pPr>
              <w:jc w:val="both"/>
              <w:rPr>
                <w:rFonts w:ascii="Century Gothic" w:hAnsi="Century Gothic" w:cs="Segoe UI"/>
                <w:sz w:val="22"/>
                <w:szCs w:val="22"/>
              </w:rPr>
            </w:pPr>
            <w:r>
              <w:rPr>
                <w:rFonts w:ascii="Century Gothic" w:hAnsi="Century Gothic" w:cs="Segoe UI"/>
                <w:sz w:val="22"/>
                <w:szCs w:val="22"/>
              </w:rPr>
              <w:lastRenderedPageBreak/>
              <w:t xml:space="preserve">En primer debate se llego al compromiso de revisar el tema de utilización del lenguaje inclusivo, tanto para la comunidad LGTBI como para la reivindicaciones de las luchas de las mujeres. </w:t>
            </w:r>
          </w:p>
          <w:p w14:paraId="1EB37DE8" w14:textId="77777777" w:rsidR="00A67725" w:rsidRDefault="00A67725" w:rsidP="00592E63">
            <w:pPr>
              <w:jc w:val="both"/>
              <w:rPr>
                <w:rFonts w:ascii="Century Gothic" w:hAnsi="Century Gothic" w:cs="Segoe UI"/>
                <w:sz w:val="22"/>
                <w:szCs w:val="22"/>
              </w:rPr>
            </w:pPr>
          </w:p>
          <w:p w14:paraId="554AE80A" w14:textId="25A3A3FD" w:rsidR="00A67725" w:rsidRDefault="00A67725" w:rsidP="00592E63">
            <w:pPr>
              <w:jc w:val="both"/>
              <w:rPr>
                <w:rFonts w:ascii="Century Gothic" w:hAnsi="Century Gothic" w:cs="Segoe UI"/>
                <w:sz w:val="22"/>
                <w:szCs w:val="22"/>
              </w:rPr>
            </w:pPr>
            <w:r>
              <w:rPr>
                <w:rFonts w:ascii="Century Gothic" w:hAnsi="Century Gothic" w:cs="Segoe UI"/>
                <w:sz w:val="22"/>
                <w:szCs w:val="22"/>
              </w:rPr>
              <w:t xml:space="preserve">Razón por la cual se le consultó el tema a la especialista en Derechos Humanos, con experiencia en temas LGTBI y feministas Paola Páez. La cual manifestó que era importante incluir tanto a las mujeres y </w:t>
            </w:r>
            <w:r w:rsidR="008332B9">
              <w:rPr>
                <w:rFonts w:ascii="Century Gothic" w:hAnsi="Century Gothic" w:cs="Segoe UI"/>
                <w:sz w:val="22"/>
                <w:szCs w:val="22"/>
              </w:rPr>
              <w:t>a</w:t>
            </w:r>
            <w:r>
              <w:rPr>
                <w:rFonts w:ascii="Century Gothic" w:hAnsi="Century Gothic" w:cs="Segoe UI"/>
                <w:sz w:val="22"/>
                <w:szCs w:val="22"/>
              </w:rPr>
              <w:t xml:space="preserve"> algunos miembros de la comunidad LGTBI, dado que ambos sectores poblacionales experimentan la menstruación</w:t>
            </w:r>
            <w:r w:rsidR="008332B9">
              <w:rPr>
                <w:rFonts w:ascii="Century Gothic" w:hAnsi="Century Gothic" w:cs="Segoe UI"/>
                <w:sz w:val="22"/>
                <w:szCs w:val="22"/>
              </w:rPr>
              <w:t xml:space="preserve"> de forma distinta.</w:t>
            </w:r>
          </w:p>
          <w:p w14:paraId="11D6D7B0" w14:textId="7A1D25F1" w:rsidR="007A1DEE" w:rsidRDefault="007A1DEE" w:rsidP="00592E63">
            <w:pPr>
              <w:jc w:val="both"/>
              <w:rPr>
                <w:rFonts w:ascii="Century Gothic" w:hAnsi="Century Gothic" w:cs="Segoe UI"/>
                <w:sz w:val="22"/>
                <w:szCs w:val="22"/>
              </w:rPr>
            </w:pPr>
          </w:p>
          <w:p w14:paraId="083A98D8" w14:textId="5CC5A7ED" w:rsidR="007A1DEE" w:rsidRDefault="007A1DEE" w:rsidP="00592E63">
            <w:pPr>
              <w:jc w:val="both"/>
              <w:rPr>
                <w:rFonts w:ascii="Century Gothic" w:hAnsi="Century Gothic" w:cs="Segoe UI"/>
                <w:sz w:val="22"/>
                <w:szCs w:val="22"/>
              </w:rPr>
            </w:pPr>
            <w:r>
              <w:rPr>
                <w:rFonts w:ascii="Century Gothic" w:hAnsi="Century Gothic" w:cs="Segoe UI"/>
                <w:sz w:val="22"/>
                <w:szCs w:val="22"/>
              </w:rPr>
              <w:t xml:space="preserve">De otra parte, es de mencionar que existen enfermedades por las cuales una mujer en edad no menstrual puede requerir productos de higiene menstrual tales como: Enfermedad inflamatoria pélvica, cáncer de cuello uterino, atrofia vaginal, cáncer de vaginal, fístula vaginal, enfermedades de transmisión sexual, entre otras. </w:t>
            </w:r>
          </w:p>
          <w:p w14:paraId="6943B4E7" w14:textId="58B757E8" w:rsidR="00A67725" w:rsidRDefault="00A67725" w:rsidP="00592E63">
            <w:pPr>
              <w:jc w:val="both"/>
              <w:rPr>
                <w:rFonts w:ascii="Century Gothic" w:hAnsi="Century Gothic" w:cs="Segoe UI"/>
                <w:sz w:val="22"/>
                <w:szCs w:val="22"/>
              </w:rPr>
            </w:pPr>
            <w:r>
              <w:rPr>
                <w:rFonts w:ascii="Century Gothic" w:hAnsi="Century Gothic" w:cs="Segoe UI"/>
                <w:sz w:val="22"/>
                <w:szCs w:val="22"/>
              </w:rPr>
              <w:t xml:space="preserve"> </w:t>
            </w:r>
          </w:p>
        </w:tc>
      </w:tr>
      <w:tr w:rsidR="00CC5734" w14:paraId="5895B342" w14:textId="77777777" w:rsidTr="00CC5734">
        <w:tc>
          <w:tcPr>
            <w:tcW w:w="2942" w:type="dxa"/>
          </w:tcPr>
          <w:p w14:paraId="6C057CF7" w14:textId="77777777" w:rsidR="00CC5734" w:rsidRDefault="00CC5734" w:rsidP="00CC5734">
            <w:pPr>
              <w:spacing w:after="240" w:line="276" w:lineRule="auto"/>
              <w:jc w:val="both"/>
              <w:rPr>
                <w:rFonts w:ascii="Century Gothic" w:eastAsia="Century Gothic" w:hAnsi="Century Gothic" w:cs="Century Gothic"/>
              </w:rPr>
            </w:pPr>
            <w:r>
              <w:rPr>
                <w:rFonts w:ascii="Century Gothic" w:eastAsia="Century Gothic" w:hAnsi="Century Gothic" w:cs="Century Gothic"/>
                <w:b/>
                <w:color w:val="080808"/>
              </w:rPr>
              <w:lastRenderedPageBreak/>
              <w:t xml:space="preserve">Artículo 1°. OBJETO. </w:t>
            </w:r>
            <w:r>
              <w:rPr>
                <w:rFonts w:ascii="Century Gothic" w:eastAsia="Century Gothic" w:hAnsi="Century Gothic" w:cs="Century Gothic"/>
              </w:rPr>
              <w:t xml:space="preserve">La presente ley tiene por objeto garantizar la entrega gratuita, oportuna y suficiente de artículos de higiene menstrual a las mujeres privadas de la libertad, </w:t>
            </w:r>
            <w:r>
              <w:rPr>
                <w:rFonts w:ascii="Century Gothic" w:eastAsia="Century Gothic" w:hAnsi="Century Gothic" w:cs="Century Gothic"/>
              </w:rPr>
              <w:lastRenderedPageBreak/>
              <w:t>con el fin de lograr la materialización de los derechos a la dignidad humana, la salud y bienestar, la no discriminación y la igualdad de género.</w:t>
            </w:r>
          </w:p>
          <w:p w14:paraId="77043D4A" w14:textId="77777777" w:rsidR="00CC5734" w:rsidRDefault="00CC5734" w:rsidP="00592E63">
            <w:pPr>
              <w:jc w:val="both"/>
              <w:rPr>
                <w:rFonts w:ascii="Century Gothic" w:hAnsi="Century Gothic" w:cs="Segoe UI"/>
                <w:sz w:val="22"/>
                <w:szCs w:val="22"/>
              </w:rPr>
            </w:pPr>
          </w:p>
        </w:tc>
        <w:tc>
          <w:tcPr>
            <w:tcW w:w="2943" w:type="dxa"/>
          </w:tcPr>
          <w:p w14:paraId="1D67DB75" w14:textId="29C80648" w:rsidR="00CC5734" w:rsidRDefault="00CC5734" w:rsidP="00CC5734">
            <w:pPr>
              <w:spacing w:after="240" w:line="276" w:lineRule="auto"/>
              <w:jc w:val="both"/>
              <w:rPr>
                <w:rFonts w:ascii="Century Gothic" w:eastAsia="Century Gothic" w:hAnsi="Century Gothic" w:cs="Century Gothic"/>
              </w:rPr>
            </w:pPr>
            <w:r>
              <w:rPr>
                <w:rFonts w:ascii="Century Gothic" w:eastAsia="Century Gothic" w:hAnsi="Century Gothic" w:cs="Century Gothic"/>
                <w:b/>
                <w:color w:val="080808"/>
              </w:rPr>
              <w:lastRenderedPageBreak/>
              <w:t xml:space="preserve">Artículo 1°. OBJETO. </w:t>
            </w:r>
            <w:r>
              <w:rPr>
                <w:rFonts w:ascii="Century Gothic" w:eastAsia="Century Gothic" w:hAnsi="Century Gothic" w:cs="Century Gothic"/>
              </w:rPr>
              <w:t xml:space="preserve">La presente ley tiene por objeto garantizar la entrega gratuita, oportuna y suficiente de artículos de higiene menstrual a las mujeres </w:t>
            </w:r>
            <w:r w:rsidRPr="00CC5734">
              <w:rPr>
                <w:rFonts w:ascii="Century Gothic" w:eastAsia="Century Gothic" w:hAnsi="Century Gothic" w:cs="Century Gothic"/>
                <w:b/>
                <w:bCs/>
                <w:u w:val="single"/>
              </w:rPr>
              <w:t xml:space="preserve">y personas </w:t>
            </w:r>
            <w:r w:rsidRPr="00CC5734">
              <w:rPr>
                <w:rFonts w:ascii="Century Gothic" w:eastAsia="Century Gothic" w:hAnsi="Century Gothic" w:cs="Century Gothic"/>
                <w:b/>
                <w:bCs/>
                <w:u w:val="single"/>
              </w:rPr>
              <w:lastRenderedPageBreak/>
              <w:t>menstruantes</w:t>
            </w:r>
            <w:r>
              <w:rPr>
                <w:rFonts w:ascii="Century Gothic" w:eastAsia="Century Gothic" w:hAnsi="Century Gothic" w:cs="Century Gothic"/>
                <w:u w:val="single"/>
              </w:rPr>
              <w:t xml:space="preserve"> </w:t>
            </w:r>
            <w:r>
              <w:rPr>
                <w:rFonts w:ascii="Century Gothic" w:eastAsia="Century Gothic" w:hAnsi="Century Gothic" w:cs="Century Gothic"/>
              </w:rPr>
              <w:t>privadas de la libertad, con el fin de lograr la materialización de los derechos a la dignidad humana, la salud y bienestar, la no discriminación y la igualdad de género.</w:t>
            </w:r>
          </w:p>
          <w:p w14:paraId="78B039B7" w14:textId="77777777" w:rsidR="00CC5734" w:rsidRDefault="00CC5734" w:rsidP="00592E63">
            <w:pPr>
              <w:jc w:val="both"/>
              <w:rPr>
                <w:rFonts w:ascii="Century Gothic" w:hAnsi="Century Gothic" w:cs="Segoe UI"/>
                <w:sz w:val="22"/>
                <w:szCs w:val="22"/>
              </w:rPr>
            </w:pPr>
          </w:p>
        </w:tc>
        <w:tc>
          <w:tcPr>
            <w:tcW w:w="2943" w:type="dxa"/>
          </w:tcPr>
          <w:p w14:paraId="1BA308CF" w14:textId="03DEF52B" w:rsidR="00CC5734" w:rsidRDefault="008332B9" w:rsidP="00592E63">
            <w:pPr>
              <w:jc w:val="both"/>
              <w:rPr>
                <w:rFonts w:ascii="Century Gothic" w:hAnsi="Century Gothic" w:cs="Segoe UI"/>
                <w:sz w:val="22"/>
                <w:szCs w:val="22"/>
              </w:rPr>
            </w:pPr>
            <w:r>
              <w:rPr>
                <w:rFonts w:ascii="Century Gothic" w:hAnsi="Century Gothic" w:cs="Segoe UI"/>
                <w:sz w:val="22"/>
                <w:szCs w:val="22"/>
              </w:rPr>
              <w:lastRenderedPageBreak/>
              <w:t>Se modifica el texto en consonancia con los compromisos adquiridos en primer debate</w:t>
            </w:r>
          </w:p>
        </w:tc>
      </w:tr>
      <w:tr w:rsidR="00CC5734" w14:paraId="3612D187" w14:textId="77777777" w:rsidTr="00CC5734">
        <w:tc>
          <w:tcPr>
            <w:tcW w:w="2942" w:type="dxa"/>
          </w:tcPr>
          <w:p w14:paraId="793CD1B6" w14:textId="77777777" w:rsidR="00CC5734" w:rsidRDefault="00CC5734" w:rsidP="00CC5734">
            <w:pPr>
              <w:spacing w:line="276" w:lineRule="auto"/>
              <w:jc w:val="both"/>
              <w:rPr>
                <w:rFonts w:ascii="Century Gothic" w:eastAsia="Century Gothic" w:hAnsi="Century Gothic" w:cs="Century Gothic"/>
              </w:rPr>
            </w:pPr>
            <w:r>
              <w:rPr>
                <w:rFonts w:ascii="Century Gothic" w:eastAsia="Century Gothic" w:hAnsi="Century Gothic" w:cs="Century Gothic"/>
                <w:b/>
                <w:color w:val="080808"/>
              </w:rPr>
              <w:t>Artículo 2°.</w:t>
            </w:r>
            <w:r>
              <w:rPr>
                <w:rFonts w:ascii="Century Gothic" w:eastAsia="Century Gothic" w:hAnsi="Century Gothic" w:cs="Century Gothic"/>
                <w:color w:val="080808"/>
              </w:rPr>
              <w:t xml:space="preserve"> </w:t>
            </w:r>
            <w:r>
              <w:rPr>
                <w:rFonts w:ascii="Century Gothic" w:eastAsia="Century Gothic" w:hAnsi="Century Gothic" w:cs="Century Gothic"/>
                <w:b/>
              </w:rPr>
              <w:t>GRATUIDAD DE LOS ARTÍCULOS DE HIGIENE MENSTRUAL</w:t>
            </w:r>
            <w:r>
              <w:rPr>
                <w:rFonts w:ascii="Century Gothic" w:eastAsia="Century Gothic" w:hAnsi="Century Gothic" w:cs="Century Gothic"/>
              </w:rPr>
              <w:t>. El Gobierno Nacional a través del Ministerio de Justicia y del Derecho deberá garantizar la entrega gratuita de artículos de higiene y salud menstrual a las personas menstruantes privadas de la libertad.</w:t>
            </w:r>
          </w:p>
          <w:p w14:paraId="2D462F5A" w14:textId="77777777" w:rsidR="00CC5734" w:rsidRDefault="00CC5734" w:rsidP="00CC5734">
            <w:pPr>
              <w:spacing w:line="276" w:lineRule="auto"/>
              <w:jc w:val="both"/>
              <w:rPr>
                <w:rFonts w:ascii="Century Gothic" w:eastAsia="Century Gothic" w:hAnsi="Century Gothic" w:cs="Century Gothic"/>
              </w:rPr>
            </w:pPr>
          </w:p>
          <w:p w14:paraId="78934976" w14:textId="77777777" w:rsidR="00CC5734" w:rsidRDefault="00CC5734" w:rsidP="00CC5734">
            <w:pPr>
              <w:spacing w:line="276" w:lineRule="auto"/>
              <w:jc w:val="both"/>
              <w:rPr>
                <w:rFonts w:ascii="Century Gothic" w:eastAsia="Century Gothic" w:hAnsi="Century Gothic" w:cs="Century Gothic"/>
              </w:rPr>
            </w:pPr>
            <w:r>
              <w:rPr>
                <w:rFonts w:ascii="Century Gothic" w:eastAsia="Century Gothic" w:hAnsi="Century Gothic" w:cs="Century Gothic"/>
                <w:b/>
              </w:rPr>
              <w:t>Parágrafo 1.</w:t>
            </w:r>
            <w:r>
              <w:rPr>
                <w:rFonts w:ascii="Century Gothic" w:eastAsia="Century Gothic" w:hAnsi="Century Gothic" w:cs="Century Gothic"/>
              </w:rPr>
              <w:t xml:space="preserve"> La distribución gratuita de los artículos de higiene y salud menstrual se realizará cada mes, por parte de la autoridad carcelaria y penitenciaria. </w:t>
            </w:r>
          </w:p>
          <w:p w14:paraId="457635CB" w14:textId="77777777" w:rsidR="00CC5734" w:rsidRDefault="00CC5734" w:rsidP="00CC5734">
            <w:pPr>
              <w:spacing w:line="276" w:lineRule="auto"/>
              <w:jc w:val="both"/>
              <w:rPr>
                <w:rFonts w:ascii="Century Gothic" w:eastAsia="Century Gothic" w:hAnsi="Century Gothic" w:cs="Century Gothic"/>
              </w:rPr>
            </w:pPr>
          </w:p>
          <w:p w14:paraId="3433D595" w14:textId="77777777" w:rsidR="00CC5734" w:rsidRDefault="00CC5734" w:rsidP="00CC5734">
            <w:pPr>
              <w:jc w:val="both"/>
              <w:rPr>
                <w:rFonts w:ascii="Century Gothic" w:eastAsia="Century Gothic" w:hAnsi="Century Gothic" w:cs="Century Gothic"/>
                <w:color w:val="000000"/>
              </w:rPr>
            </w:pPr>
            <w:r>
              <w:rPr>
                <w:rFonts w:ascii="Century Gothic" w:eastAsia="Century Gothic" w:hAnsi="Century Gothic" w:cs="Century Gothic"/>
                <w:b/>
              </w:rPr>
              <w:t>Parágrafo 2.</w:t>
            </w:r>
            <w:r>
              <w:rPr>
                <w:rFonts w:ascii="Century Gothic" w:eastAsia="Century Gothic" w:hAnsi="Century Gothic" w:cs="Century Gothic"/>
              </w:rPr>
              <w:t xml:space="preserve"> Toda persona menstruante privada de la libertad </w:t>
            </w:r>
            <w:r>
              <w:rPr>
                <w:rFonts w:ascii="Century Gothic" w:eastAsia="Century Gothic" w:hAnsi="Century Gothic" w:cs="Century Gothic"/>
              </w:rPr>
              <w:lastRenderedPageBreak/>
              <w:t xml:space="preserve">en edad fértil recibirá como mínimo un paquete de toallas higiénicas de </w:t>
            </w:r>
            <w:r>
              <w:rPr>
                <w:rFonts w:ascii="Century Gothic" w:eastAsia="Century Gothic" w:hAnsi="Century Gothic" w:cs="Century Gothic"/>
                <w:color w:val="000000"/>
              </w:rPr>
              <w:t xml:space="preserve">10 unidades o una cantidad equivalente en cualquier otro producto de higiene y salud menstrual, de acuerdo con la reglamentación del gobierno nacional, para suplir el manejo de su período.  </w:t>
            </w:r>
          </w:p>
          <w:p w14:paraId="5CBA04D5" w14:textId="77777777" w:rsidR="00CC5734" w:rsidRDefault="00CC5734" w:rsidP="00CC5734">
            <w:pPr>
              <w:jc w:val="both"/>
              <w:rPr>
                <w:rFonts w:ascii="Century Gothic" w:hAnsi="Century Gothic" w:cs="Segoe UI"/>
                <w:color w:val="000000"/>
              </w:rPr>
            </w:pPr>
          </w:p>
          <w:p w14:paraId="675842A8" w14:textId="77777777" w:rsidR="00CC5734" w:rsidRDefault="00CC5734" w:rsidP="00CC5734">
            <w:pPr>
              <w:spacing w:line="276" w:lineRule="auto"/>
              <w:jc w:val="both"/>
              <w:rPr>
                <w:rFonts w:ascii="Century Gothic" w:eastAsia="Century Gothic" w:hAnsi="Century Gothic" w:cs="Century Gothic"/>
                <w:color w:val="000000"/>
              </w:rPr>
            </w:pPr>
            <w:r>
              <w:rPr>
                <w:rFonts w:ascii="Century Gothic" w:eastAsia="Century Gothic" w:hAnsi="Century Gothic" w:cs="Century Gothic"/>
                <w:b/>
              </w:rPr>
              <w:t>Parágrafo 3</w:t>
            </w:r>
            <w:r>
              <w:rPr>
                <w:rFonts w:ascii="Century Gothic" w:eastAsia="Century Gothic" w:hAnsi="Century Gothic" w:cs="Century Gothic"/>
              </w:rPr>
              <w:t xml:space="preserve">. Cuando una persona menstruante privada de la libertad se encuentre en situaciones especiales como: postparto, estado de lactancia, endometriosis o cualquier otra </w:t>
            </w:r>
            <w:r>
              <w:rPr>
                <w:rFonts w:ascii="Century Gothic" w:eastAsia="Century Gothic" w:hAnsi="Century Gothic" w:cs="Century Gothic"/>
                <w:color w:val="000000"/>
              </w:rPr>
              <w:t xml:space="preserve">patología clínica, se le garantizará el suministro suficiente y oportuno de los productos de higiene menstrual mensuales, de acuerdo a la necesidad. </w:t>
            </w:r>
          </w:p>
          <w:p w14:paraId="40021AB9" w14:textId="77777777" w:rsidR="00CC5734" w:rsidRDefault="00CC5734" w:rsidP="00CC5734">
            <w:pPr>
              <w:spacing w:line="276" w:lineRule="auto"/>
              <w:jc w:val="both"/>
              <w:rPr>
                <w:rFonts w:ascii="Century Gothic" w:eastAsia="Century Gothic" w:hAnsi="Century Gothic" w:cs="Century Gothic"/>
                <w:color w:val="000000"/>
              </w:rPr>
            </w:pPr>
          </w:p>
          <w:p w14:paraId="2BC7F011" w14:textId="77777777" w:rsidR="00CC5734" w:rsidRDefault="00CC5734" w:rsidP="00CC5734">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Gobierno Nacional reglamentará el suministro, teniendo en </w:t>
            </w:r>
            <w:r>
              <w:rPr>
                <w:rFonts w:ascii="Century Gothic" w:eastAsia="Century Gothic" w:hAnsi="Century Gothic" w:cs="Century Gothic"/>
                <w:color w:val="000000"/>
              </w:rPr>
              <w:lastRenderedPageBreak/>
              <w:t xml:space="preserve">cuenta estadísticas sobre la necesidad de productos de higiene y salud menstrual en estas u otras patologías, para garantizar el acceso a los productos sin necesidad de exámenes médicos adicionales a las personas menstruantes. </w:t>
            </w:r>
          </w:p>
          <w:p w14:paraId="13C16C1C" w14:textId="77777777" w:rsidR="00CC5734" w:rsidRDefault="00CC5734" w:rsidP="00CC5734">
            <w:pPr>
              <w:jc w:val="both"/>
              <w:rPr>
                <w:rFonts w:ascii="Century Gothic" w:hAnsi="Century Gothic" w:cs="Segoe UI"/>
                <w:sz w:val="22"/>
                <w:szCs w:val="22"/>
              </w:rPr>
            </w:pPr>
          </w:p>
          <w:p w14:paraId="7E5D3C2B" w14:textId="77777777" w:rsidR="00CC5734" w:rsidRDefault="00CC5734" w:rsidP="00CC5734">
            <w:pPr>
              <w:jc w:val="both"/>
              <w:rPr>
                <w:rFonts w:ascii="Century Gothic" w:eastAsia="Century Gothic" w:hAnsi="Century Gothic" w:cs="Century Gothic"/>
                <w:color w:val="000000"/>
              </w:rPr>
            </w:pPr>
          </w:p>
          <w:p w14:paraId="59DA4132" w14:textId="77777777" w:rsidR="00CC5734" w:rsidRDefault="00CC5734" w:rsidP="00CC5734">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4. </w:t>
            </w:r>
            <w:r>
              <w:rPr>
                <w:rFonts w:ascii="Century Gothic" w:eastAsia="Century Gothic" w:hAnsi="Century Gothic" w:cs="Century Gothic"/>
                <w:color w:val="000000"/>
              </w:rPr>
              <w:t>Por artículos de higiene y salud menstrual se entenderá las compresas, toallas higiénicas, tampones, protectores diarios, copas menstruales y ropa interior femenina absorbente.</w:t>
            </w:r>
          </w:p>
          <w:p w14:paraId="2503F382" w14:textId="77777777" w:rsidR="00CC5734" w:rsidRDefault="00CC5734" w:rsidP="00CC5734">
            <w:pPr>
              <w:jc w:val="both"/>
              <w:rPr>
                <w:rFonts w:ascii="Century Gothic" w:eastAsia="Century Gothic" w:hAnsi="Century Gothic" w:cs="Century Gothic"/>
                <w:color w:val="000000"/>
              </w:rPr>
            </w:pPr>
          </w:p>
          <w:p w14:paraId="23A17BA0" w14:textId="77777777" w:rsidR="00CC5734" w:rsidRDefault="00CC5734" w:rsidP="00CC5734">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Gobierno Nacional estudiará los criterios para la reglamentación del suministro y uso, por parte de las personas menstruantes en establecimientos carcelarios, de copas menstruales y/o ropa interior absorbente, teniendo en cuenta las particularidades en la </w:t>
            </w:r>
            <w:r>
              <w:rPr>
                <w:rFonts w:ascii="Century Gothic" w:eastAsia="Century Gothic" w:hAnsi="Century Gothic" w:cs="Century Gothic"/>
                <w:color w:val="000000"/>
              </w:rPr>
              <w:lastRenderedPageBreak/>
              <w:t>gestión de estos productos.</w:t>
            </w:r>
          </w:p>
          <w:p w14:paraId="020ABE73" w14:textId="19B36F4C" w:rsidR="00CC5734" w:rsidRDefault="00CC5734" w:rsidP="00CC5734">
            <w:pPr>
              <w:jc w:val="both"/>
              <w:rPr>
                <w:rFonts w:ascii="Century Gothic" w:hAnsi="Century Gothic" w:cs="Segoe UI"/>
                <w:sz w:val="22"/>
                <w:szCs w:val="22"/>
              </w:rPr>
            </w:pPr>
          </w:p>
        </w:tc>
        <w:tc>
          <w:tcPr>
            <w:tcW w:w="2943" w:type="dxa"/>
          </w:tcPr>
          <w:p w14:paraId="3F140949" w14:textId="18FF0FEE" w:rsidR="00CC5734" w:rsidRDefault="00CC5734" w:rsidP="00CC5734">
            <w:pPr>
              <w:spacing w:line="276" w:lineRule="auto"/>
              <w:jc w:val="both"/>
              <w:rPr>
                <w:rFonts w:ascii="Century Gothic" w:eastAsia="Century Gothic" w:hAnsi="Century Gothic" w:cs="Century Gothic"/>
              </w:rPr>
            </w:pPr>
            <w:r>
              <w:rPr>
                <w:rFonts w:ascii="Century Gothic" w:eastAsia="Century Gothic" w:hAnsi="Century Gothic" w:cs="Century Gothic"/>
                <w:b/>
                <w:color w:val="080808"/>
              </w:rPr>
              <w:lastRenderedPageBreak/>
              <w:t>Artículo 2°.</w:t>
            </w:r>
            <w:r>
              <w:rPr>
                <w:rFonts w:ascii="Century Gothic" w:eastAsia="Century Gothic" w:hAnsi="Century Gothic" w:cs="Century Gothic"/>
                <w:color w:val="080808"/>
              </w:rPr>
              <w:t xml:space="preserve"> </w:t>
            </w:r>
            <w:r>
              <w:rPr>
                <w:rFonts w:ascii="Century Gothic" w:eastAsia="Century Gothic" w:hAnsi="Century Gothic" w:cs="Century Gothic"/>
                <w:b/>
              </w:rPr>
              <w:t>GRATUIDAD DE LOS ARTÍCULOS DE HIGIENE MENSTRUAL</w:t>
            </w:r>
            <w:r>
              <w:rPr>
                <w:rFonts w:ascii="Century Gothic" w:eastAsia="Century Gothic" w:hAnsi="Century Gothic" w:cs="Century Gothic"/>
              </w:rPr>
              <w:t xml:space="preserve">. El Gobierno Nacional a través del Ministerio de Justicia y del Derecho deberá garantizar la entrega gratuita de artículos de higiene y salud menstrual a las </w:t>
            </w:r>
            <w:r w:rsidRPr="00CC5734">
              <w:rPr>
                <w:rFonts w:ascii="Century Gothic" w:eastAsia="Century Gothic" w:hAnsi="Century Gothic" w:cs="Century Gothic"/>
                <w:b/>
                <w:bCs/>
                <w:u w:val="single"/>
              </w:rPr>
              <w:t>mujeres y</w:t>
            </w:r>
            <w:r>
              <w:rPr>
                <w:rFonts w:ascii="Century Gothic" w:eastAsia="Century Gothic" w:hAnsi="Century Gothic" w:cs="Century Gothic"/>
              </w:rPr>
              <w:t xml:space="preserve"> personas menstruantes privadas de la libertad.</w:t>
            </w:r>
          </w:p>
          <w:p w14:paraId="7EB51340" w14:textId="77777777" w:rsidR="00CC5734" w:rsidRDefault="00CC5734" w:rsidP="00CC5734">
            <w:pPr>
              <w:spacing w:line="276" w:lineRule="auto"/>
              <w:jc w:val="both"/>
              <w:rPr>
                <w:rFonts w:ascii="Century Gothic" w:eastAsia="Century Gothic" w:hAnsi="Century Gothic" w:cs="Century Gothic"/>
              </w:rPr>
            </w:pPr>
          </w:p>
          <w:p w14:paraId="03B0875F" w14:textId="77777777" w:rsidR="00CC5734" w:rsidRDefault="00CC5734" w:rsidP="00CC5734">
            <w:pPr>
              <w:spacing w:line="276" w:lineRule="auto"/>
              <w:jc w:val="both"/>
              <w:rPr>
                <w:rFonts w:ascii="Century Gothic" w:eastAsia="Century Gothic" w:hAnsi="Century Gothic" w:cs="Century Gothic"/>
              </w:rPr>
            </w:pPr>
            <w:r>
              <w:rPr>
                <w:rFonts w:ascii="Century Gothic" w:eastAsia="Century Gothic" w:hAnsi="Century Gothic" w:cs="Century Gothic"/>
                <w:b/>
              </w:rPr>
              <w:t>Parágrafo 1.</w:t>
            </w:r>
            <w:r>
              <w:rPr>
                <w:rFonts w:ascii="Century Gothic" w:eastAsia="Century Gothic" w:hAnsi="Century Gothic" w:cs="Century Gothic"/>
              </w:rPr>
              <w:t xml:space="preserve"> La distribución gratuita de los artículos de higiene y salud menstrual se realizará cada mes, por parte de la autoridad carcelaria y penitenciaria. </w:t>
            </w:r>
          </w:p>
          <w:p w14:paraId="26460A93" w14:textId="77777777" w:rsidR="00CC5734" w:rsidRDefault="00CC5734" w:rsidP="00CC5734">
            <w:pPr>
              <w:spacing w:line="276" w:lineRule="auto"/>
              <w:jc w:val="both"/>
              <w:rPr>
                <w:rFonts w:ascii="Century Gothic" w:eastAsia="Century Gothic" w:hAnsi="Century Gothic" w:cs="Century Gothic"/>
              </w:rPr>
            </w:pPr>
          </w:p>
          <w:p w14:paraId="603CB22D" w14:textId="1D566E5D" w:rsidR="00CC5734" w:rsidRDefault="00CC5734" w:rsidP="00CC5734">
            <w:pPr>
              <w:jc w:val="both"/>
              <w:rPr>
                <w:rFonts w:ascii="Century Gothic" w:eastAsia="Century Gothic" w:hAnsi="Century Gothic" w:cs="Century Gothic"/>
                <w:color w:val="000000"/>
              </w:rPr>
            </w:pPr>
            <w:r>
              <w:rPr>
                <w:rFonts w:ascii="Century Gothic" w:eastAsia="Century Gothic" w:hAnsi="Century Gothic" w:cs="Century Gothic"/>
                <w:b/>
              </w:rPr>
              <w:t>Parágrafo 2.</w:t>
            </w:r>
            <w:r>
              <w:rPr>
                <w:rFonts w:ascii="Century Gothic" w:eastAsia="Century Gothic" w:hAnsi="Century Gothic" w:cs="Century Gothic"/>
              </w:rPr>
              <w:t xml:space="preserve"> Toda </w:t>
            </w:r>
            <w:r w:rsidR="008332B9" w:rsidRPr="008332B9">
              <w:rPr>
                <w:rFonts w:ascii="Century Gothic" w:eastAsia="Century Gothic" w:hAnsi="Century Gothic" w:cs="Century Gothic"/>
                <w:b/>
                <w:bCs/>
                <w:u w:val="single"/>
              </w:rPr>
              <w:t>mujer y</w:t>
            </w:r>
            <w:r w:rsidR="008332B9">
              <w:rPr>
                <w:rFonts w:ascii="Century Gothic" w:eastAsia="Century Gothic" w:hAnsi="Century Gothic" w:cs="Century Gothic"/>
              </w:rPr>
              <w:t xml:space="preserve"> </w:t>
            </w:r>
            <w:r>
              <w:rPr>
                <w:rFonts w:ascii="Century Gothic" w:eastAsia="Century Gothic" w:hAnsi="Century Gothic" w:cs="Century Gothic"/>
              </w:rPr>
              <w:t xml:space="preserve">persona </w:t>
            </w:r>
            <w:r>
              <w:rPr>
                <w:rFonts w:ascii="Century Gothic" w:eastAsia="Century Gothic" w:hAnsi="Century Gothic" w:cs="Century Gothic"/>
              </w:rPr>
              <w:lastRenderedPageBreak/>
              <w:t xml:space="preserve">menstruante privada de la libertad en edad fértil recibirá como mínimo un paquete de toallas higiénicas de </w:t>
            </w:r>
            <w:r>
              <w:rPr>
                <w:rFonts w:ascii="Century Gothic" w:eastAsia="Century Gothic" w:hAnsi="Century Gothic" w:cs="Century Gothic"/>
                <w:color w:val="000000"/>
              </w:rPr>
              <w:t xml:space="preserve">10 unidades o una cantidad equivalente en cualquier otro producto de higiene y salud menstrual, de acuerdo con la reglamentación del </w:t>
            </w:r>
            <w:proofErr w:type="spellStart"/>
            <w:r w:rsidRPr="008332B9">
              <w:rPr>
                <w:rFonts w:ascii="Century Gothic" w:eastAsia="Century Gothic" w:hAnsi="Century Gothic" w:cs="Century Gothic"/>
                <w:strike/>
                <w:color w:val="000000"/>
              </w:rPr>
              <w:t>g</w:t>
            </w:r>
            <w:r w:rsidR="008332B9" w:rsidRPr="008332B9">
              <w:rPr>
                <w:rFonts w:ascii="Century Gothic" w:eastAsia="Century Gothic" w:hAnsi="Century Gothic" w:cs="Century Gothic"/>
                <w:b/>
                <w:bCs/>
                <w:color w:val="000000"/>
                <w:u w:val="single"/>
              </w:rPr>
              <w:t>G</w:t>
            </w:r>
            <w:r>
              <w:rPr>
                <w:rFonts w:ascii="Century Gothic" w:eastAsia="Century Gothic" w:hAnsi="Century Gothic" w:cs="Century Gothic"/>
                <w:color w:val="000000"/>
              </w:rPr>
              <w:t>obierno</w:t>
            </w:r>
            <w:proofErr w:type="spellEnd"/>
            <w:r>
              <w:rPr>
                <w:rFonts w:ascii="Century Gothic" w:eastAsia="Century Gothic" w:hAnsi="Century Gothic" w:cs="Century Gothic"/>
                <w:color w:val="000000"/>
              </w:rPr>
              <w:t xml:space="preserve"> </w:t>
            </w:r>
            <w:proofErr w:type="spellStart"/>
            <w:r w:rsidRPr="008332B9">
              <w:rPr>
                <w:rFonts w:ascii="Century Gothic" w:eastAsia="Century Gothic" w:hAnsi="Century Gothic" w:cs="Century Gothic"/>
                <w:strike/>
                <w:color w:val="000000"/>
              </w:rPr>
              <w:t>n</w:t>
            </w:r>
            <w:r w:rsidR="008332B9" w:rsidRPr="008332B9">
              <w:rPr>
                <w:rFonts w:ascii="Century Gothic" w:eastAsia="Century Gothic" w:hAnsi="Century Gothic" w:cs="Century Gothic"/>
                <w:b/>
                <w:bCs/>
                <w:color w:val="000000"/>
                <w:u w:val="single"/>
              </w:rPr>
              <w:t>N</w:t>
            </w:r>
            <w:r>
              <w:rPr>
                <w:rFonts w:ascii="Century Gothic" w:eastAsia="Century Gothic" w:hAnsi="Century Gothic" w:cs="Century Gothic"/>
                <w:color w:val="000000"/>
              </w:rPr>
              <w:t>acional</w:t>
            </w:r>
            <w:proofErr w:type="spellEnd"/>
            <w:r>
              <w:rPr>
                <w:rFonts w:ascii="Century Gothic" w:eastAsia="Century Gothic" w:hAnsi="Century Gothic" w:cs="Century Gothic"/>
                <w:color w:val="000000"/>
              </w:rPr>
              <w:t xml:space="preserve">, para suplir el manejo de su período.  </w:t>
            </w:r>
          </w:p>
          <w:p w14:paraId="06FF1B2C" w14:textId="77777777" w:rsidR="00CC5734" w:rsidRDefault="00CC5734" w:rsidP="00CC5734">
            <w:pPr>
              <w:jc w:val="both"/>
              <w:rPr>
                <w:rFonts w:ascii="Century Gothic" w:hAnsi="Century Gothic" w:cs="Segoe UI"/>
                <w:color w:val="000000"/>
              </w:rPr>
            </w:pPr>
          </w:p>
          <w:p w14:paraId="03C228ED" w14:textId="79ACCF28" w:rsidR="00CC5734" w:rsidRDefault="00CC5734" w:rsidP="00CC5734">
            <w:pPr>
              <w:spacing w:line="276" w:lineRule="auto"/>
              <w:jc w:val="both"/>
              <w:rPr>
                <w:rFonts w:ascii="Century Gothic" w:eastAsia="Century Gothic" w:hAnsi="Century Gothic" w:cs="Century Gothic"/>
                <w:color w:val="000000"/>
              </w:rPr>
            </w:pPr>
            <w:r>
              <w:rPr>
                <w:rFonts w:ascii="Century Gothic" w:eastAsia="Century Gothic" w:hAnsi="Century Gothic" w:cs="Century Gothic"/>
                <w:b/>
              </w:rPr>
              <w:t>Parágrafo 3</w:t>
            </w:r>
            <w:r>
              <w:rPr>
                <w:rFonts w:ascii="Century Gothic" w:eastAsia="Century Gothic" w:hAnsi="Century Gothic" w:cs="Century Gothic"/>
              </w:rPr>
              <w:t xml:space="preserve">. Cuando una </w:t>
            </w:r>
            <w:r w:rsidRPr="00CC5734">
              <w:rPr>
                <w:rFonts w:ascii="Century Gothic" w:eastAsia="Century Gothic" w:hAnsi="Century Gothic" w:cs="Century Gothic"/>
                <w:b/>
                <w:bCs/>
                <w:u w:val="single"/>
              </w:rPr>
              <w:t>mujer o</w:t>
            </w:r>
            <w:r>
              <w:rPr>
                <w:rFonts w:ascii="Century Gothic" w:eastAsia="Century Gothic" w:hAnsi="Century Gothic" w:cs="Century Gothic"/>
              </w:rPr>
              <w:t xml:space="preserve"> persona menstruante privada de la libertad se encuentre en situaciones especiales como: postparto, estado de lactancia, endometriosis o </w:t>
            </w:r>
            <w:r w:rsidRPr="0066415C">
              <w:rPr>
                <w:rFonts w:ascii="Century Gothic" w:eastAsia="Century Gothic" w:hAnsi="Century Gothic" w:cs="Century Gothic"/>
                <w:strike/>
              </w:rPr>
              <w:t xml:space="preserve">cualquier otra </w:t>
            </w:r>
            <w:r w:rsidR="00CF0FDC" w:rsidRPr="00CF0FDC">
              <w:rPr>
                <w:rFonts w:ascii="Century Gothic" w:eastAsia="Century Gothic" w:hAnsi="Century Gothic" w:cs="Century Gothic"/>
                <w:b/>
                <w:bCs/>
                <w:u w:val="single"/>
              </w:rPr>
              <w:t>alguna</w:t>
            </w:r>
            <w:r w:rsidR="00CF0FDC">
              <w:rPr>
                <w:rFonts w:ascii="Century Gothic" w:eastAsia="Century Gothic" w:hAnsi="Century Gothic" w:cs="Century Gothic"/>
                <w:strike/>
              </w:rPr>
              <w:t xml:space="preserve"> </w:t>
            </w:r>
            <w:r>
              <w:rPr>
                <w:rFonts w:ascii="Century Gothic" w:eastAsia="Century Gothic" w:hAnsi="Century Gothic" w:cs="Century Gothic"/>
                <w:color w:val="000000"/>
              </w:rPr>
              <w:t xml:space="preserve">patología clínica, se le garantizará el suministro suficiente y oportuno de los productos de higiene menstrual mensuales, de acuerdo a la necesidad. </w:t>
            </w:r>
          </w:p>
          <w:p w14:paraId="4AA8B994" w14:textId="77777777" w:rsidR="00CC5734" w:rsidRDefault="00CC5734" w:rsidP="00CC5734">
            <w:pPr>
              <w:spacing w:line="276" w:lineRule="auto"/>
              <w:jc w:val="both"/>
              <w:rPr>
                <w:rFonts w:ascii="Century Gothic" w:eastAsia="Century Gothic" w:hAnsi="Century Gothic" w:cs="Century Gothic"/>
                <w:color w:val="000000"/>
              </w:rPr>
            </w:pPr>
          </w:p>
          <w:p w14:paraId="45E4466C" w14:textId="77777777" w:rsidR="00CC5734" w:rsidRDefault="00CC5734" w:rsidP="00CC5734">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Gobierno Nacional reglamentará el </w:t>
            </w:r>
            <w:r>
              <w:rPr>
                <w:rFonts w:ascii="Century Gothic" w:eastAsia="Century Gothic" w:hAnsi="Century Gothic" w:cs="Century Gothic"/>
                <w:color w:val="000000"/>
              </w:rPr>
              <w:lastRenderedPageBreak/>
              <w:t xml:space="preserve">suministro, teniendo en cuenta estadísticas sobre la necesidad de productos de higiene y salud menstrual en estas u otras patologías, para garantizar el acceso a los productos sin necesidad de exámenes médicos adicionales a las personas menstruantes. </w:t>
            </w:r>
          </w:p>
          <w:p w14:paraId="29A348CE" w14:textId="77777777" w:rsidR="00CC5734" w:rsidRDefault="00CC5734" w:rsidP="00CC5734">
            <w:pPr>
              <w:jc w:val="both"/>
              <w:rPr>
                <w:rFonts w:ascii="Century Gothic" w:hAnsi="Century Gothic" w:cs="Segoe UI"/>
                <w:sz w:val="22"/>
                <w:szCs w:val="22"/>
              </w:rPr>
            </w:pPr>
          </w:p>
          <w:p w14:paraId="782CC240" w14:textId="77777777" w:rsidR="00CC5734" w:rsidRDefault="00CC5734" w:rsidP="00CC5734">
            <w:pPr>
              <w:jc w:val="both"/>
              <w:rPr>
                <w:rFonts w:ascii="Century Gothic" w:eastAsia="Century Gothic" w:hAnsi="Century Gothic" w:cs="Century Gothic"/>
                <w:color w:val="000000"/>
              </w:rPr>
            </w:pPr>
          </w:p>
          <w:p w14:paraId="68251306" w14:textId="77777777" w:rsidR="00CC5734" w:rsidRDefault="00CC5734" w:rsidP="00CC5734">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4. </w:t>
            </w:r>
            <w:r>
              <w:rPr>
                <w:rFonts w:ascii="Century Gothic" w:eastAsia="Century Gothic" w:hAnsi="Century Gothic" w:cs="Century Gothic"/>
                <w:color w:val="000000"/>
              </w:rPr>
              <w:t>Por artículos de higiene y salud menstrual se entenderá las compresas, toallas higiénicas, tampones, protectores diarios, copas menstruales y ropa interior femenina absorbente.</w:t>
            </w:r>
          </w:p>
          <w:p w14:paraId="7157BE18" w14:textId="77777777" w:rsidR="00CC5734" w:rsidRDefault="00CC5734" w:rsidP="00CC5734">
            <w:pPr>
              <w:jc w:val="both"/>
              <w:rPr>
                <w:rFonts w:ascii="Century Gothic" w:eastAsia="Century Gothic" w:hAnsi="Century Gothic" w:cs="Century Gothic"/>
                <w:color w:val="000000"/>
              </w:rPr>
            </w:pPr>
          </w:p>
          <w:p w14:paraId="4E2494A8" w14:textId="77777777" w:rsidR="00CC5734" w:rsidRDefault="00CC5734" w:rsidP="00CC5734">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Gobierno Nacional estudiará los criterios para la reglamentación del suministro y uso, por parte de las personas menstruantes en establecimientos carcelarios, de copas menstruales y/o ropa interior absorbente, teniendo en cuenta las particularidades en la </w:t>
            </w:r>
            <w:r>
              <w:rPr>
                <w:rFonts w:ascii="Century Gothic" w:eastAsia="Century Gothic" w:hAnsi="Century Gothic" w:cs="Century Gothic"/>
                <w:color w:val="000000"/>
              </w:rPr>
              <w:lastRenderedPageBreak/>
              <w:t>gestión de estos productos.</w:t>
            </w:r>
          </w:p>
          <w:p w14:paraId="71390296" w14:textId="2431E823" w:rsidR="00CC5734" w:rsidRDefault="00CC5734" w:rsidP="00CC5734">
            <w:pPr>
              <w:jc w:val="both"/>
              <w:rPr>
                <w:rFonts w:ascii="Century Gothic" w:hAnsi="Century Gothic" w:cs="Segoe UI"/>
                <w:sz w:val="22"/>
                <w:szCs w:val="22"/>
              </w:rPr>
            </w:pPr>
          </w:p>
        </w:tc>
        <w:tc>
          <w:tcPr>
            <w:tcW w:w="2943" w:type="dxa"/>
          </w:tcPr>
          <w:p w14:paraId="08D212AC" w14:textId="77777777" w:rsidR="00CC5734" w:rsidRDefault="0066415C" w:rsidP="00592E63">
            <w:pPr>
              <w:jc w:val="both"/>
              <w:rPr>
                <w:rFonts w:ascii="Century Gothic" w:hAnsi="Century Gothic" w:cs="Segoe UI"/>
                <w:sz w:val="22"/>
                <w:szCs w:val="22"/>
              </w:rPr>
            </w:pPr>
            <w:r>
              <w:rPr>
                <w:rFonts w:ascii="Century Gothic" w:hAnsi="Century Gothic" w:cs="Segoe UI"/>
                <w:sz w:val="22"/>
                <w:szCs w:val="22"/>
              </w:rPr>
              <w:lastRenderedPageBreak/>
              <w:t>Se modifica el texto en consonancia con los compromisos adquiridos en primer debate</w:t>
            </w:r>
            <w:r w:rsidR="007A1DEE">
              <w:rPr>
                <w:rFonts w:ascii="Century Gothic" w:hAnsi="Century Gothic" w:cs="Segoe UI"/>
                <w:sz w:val="22"/>
                <w:szCs w:val="22"/>
              </w:rPr>
              <w:t>.</w:t>
            </w:r>
          </w:p>
          <w:p w14:paraId="2344448C" w14:textId="77777777" w:rsidR="007A1DEE" w:rsidRDefault="007A1DEE" w:rsidP="00592E63">
            <w:pPr>
              <w:jc w:val="both"/>
              <w:rPr>
                <w:rFonts w:ascii="Century Gothic" w:hAnsi="Century Gothic" w:cs="Segoe UI"/>
                <w:sz w:val="22"/>
                <w:szCs w:val="22"/>
              </w:rPr>
            </w:pPr>
          </w:p>
          <w:p w14:paraId="33253945" w14:textId="1B4AA094" w:rsidR="007A1DEE" w:rsidRDefault="007A1DEE" w:rsidP="00592E63">
            <w:pPr>
              <w:jc w:val="both"/>
              <w:rPr>
                <w:rFonts w:ascii="Century Gothic" w:hAnsi="Century Gothic" w:cs="Segoe UI"/>
                <w:sz w:val="22"/>
                <w:szCs w:val="22"/>
              </w:rPr>
            </w:pPr>
          </w:p>
        </w:tc>
      </w:tr>
      <w:tr w:rsidR="00CC5734" w14:paraId="465D84BD" w14:textId="77777777" w:rsidTr="00CC5734">
        <w:tc>
          <w:tcPr>
            <w:tcW w:w="2942" w:type="dxa"/>
          </w:tcPr>
          <w:p w14:paraId="16361FF8" w14:textId="77777777" w:rsidR="00CC5734" w:rsidRDefault="00CC5734" w:rsidP="00CC5734">
            <w:pPr>
              <w:spacing w:line="276" w:lineRule="auto"/>
              <w:jc w:val="both"/>
              <w:rPr>
                <w:rFonts w:ascii="Century Gothic" w:eastAsia="Century Gothic" w:hAnsi="Century Gothic" w:cs="Century Gothic"/>
              </w:rPr>
            </w:pPr>
            <w:r>
              <w:rPr>
                <w:rFonts w:ascii="Century Gothic" w:eastAsia="Century Gothic" w:hAnsi="Century Gothic" w:cs="Century Gothic"/>
                <w:b/>
                <w:color w:val="000000"/>
              </w:rPr>
              <w:lastRenderedPageBreak/>
              <w:t>Artículo 3°. EDUCACIÓN EN EL MANEJO DE LA HIGIENE Y SALUD MENSTRUAL</w:t>
            </w:r>
            <w:r>
              <w:rPr>
                <w:rFonts w:ascii="Arial" w:eastAsia="Arial" w:hAnsi="Arial" w:cs="Arial"/>
                <w:color w:val="000000"/>
              </w:rPr>
              <w:t xml:space="preserve">. </w:t>
            </w:r>
            <w:r>
              <w:rPr>
                <w:rFonts w:ascii="Century Gothic" w:eastAsia="Century Gothic" w:hAnsi="Century Gothic" w:cs="Century Gothic"/>
                <w:color w:val="000000"/>
              </w:rPr>
              <w:t xml:space="preserve">El Gobierno Nacional a través del Ministerio de Justicia y del Derecho y en coordinación con el Ministerio de Salud y la Secretaria de la Mujer o quien haga sus veces, realizará capacitaciones anuales sobre el manejo de la higiene menstrual, garantizando el enfoque diferencial de género, en todos los centros carcelarios y penitenciarios del país, que </w:t>
            </w:r>
            <w:r>
              <w:rPr>
                <w:rFonts w:ascii="Century Gothic" w:eastAsia="Century Gothic" w:hAnsi="Century Gothic" w:cs="Century Gothic"/>
              </w:rPr>
              <w:t>cuenten con población reclusa menstruante.</w:t>
            </w:r>
          </w:p>
          <w:p w14:paraId="0AFCEA22" w14:textId="77777777" w:rsidR="00CC5734" w:rsidRDefault="00CC5734" w:rsidP="00592E63">
            <w:pPr>
              <w:jc w:val="both"/>
              <w:rPr>
                <w:rFonts w:ascii="Century Gothic" w:hAnsi="Century Gothic" w:cs="Segoe UI"/>
                <w:sz w:val="22"/>
                <w:szCs w:val="22"/>
              </w:rPr>
            </w:pPr>
          </w:p>
        </w:tc>
        <w:tc>
          <w:tcPr>
            <w:tcW w:w="2943" w:type="dxa"/>
          </w:tcPr>
          <w:p w14:paraId="23AED5C6" w14:textId="77777777" w:rsidR="00CC5734" w:rsidRDefault="00CC5734" w:rsidP="00CC5734">
            <w:pPr>
              <w:spacing w:line="276" w:lineRule="auto"/>
              <w:jc w:val="both"/>
              <w:rPr>
                <w:rFonts w:ascii="Century Gothic" w:hAnsi="Century Gothic" w:cs="Segoe UI"/>
                <w:sz w:val="22"/>
                <w:szCs w:val="22"/>
              </w:rPr>
            </w:pPr>
          </w:p>
        </w:tc>
        <w:tc>
          <w:tcPr>
            <w:tcW w:w="2943" w:type="dxa"/>
          </w:tcPr>
          <w:p w14:paraId="054BC1FC" w14:textId="77777777" w:rsidR="00CC5734" w:rsidRDefault="00CC5734" w:rsidP="00592E63">
            <w:pPr>
              <w:jc w:val="both"/>
              <w:rPr>
                <w:rFonts w:ascii="Century Gothic" w:hAnsi="Century Gothic" w:cs="Segoe UI"/>
                <w:sz w:val="22"/>
                <w:szCs w:val="22"/>
              </w:rPr>
            </w:pPr>
          </w:p>
        </w:tc>
      </w:tr>
      <w:tr w:rsidR="00CC5734" w14:paraId="04DCF253" w14:textId="77777777" w:rsidTr="00CC5734">
        <w:tc>
          <w:tcPr>
            <w:tcW w:w="2942" w:type="dxa"/>
          </w:tcPr>
          <w:p w14:paraId="0D48489B" w14:textId="77777777" w:rsidR="00CC5734" w:rsidRPr="007C0E20" w:rsidRDefault="00CC5734" w:rsidP="00CC5734">
            <w:pPr>
              <w:jc w:val="both"/>
            </w:pPr>
            <w:r w:rsidRPr="00A94C9E">
              <w:rPr>
                <w:rFonts w:ascii="Century Gothic" w:hAnsi="Century Gothic"/>
                <w:b/>
              </w:rPr>
              <w:t>Artículo 4</w:t>
            </w:r>
            <w:r>
              <w:rPr>
                <w:rFonts w:ascii="Century Gothic" w:hAnsi="Century Gothic"/>
                <w:b/>
              </w:rPr>
              <w:t>°</w:t>
            </w:r>
            <w:r w:rsidRPr="00A94C9E">
              <w:rPr>
                <w:rFonts w:ascii="Century Gothic" w:hAnsi="Century Gothic"/>
                <w:b/>
              </w:rPr>
              <w:t xml:space="preserve">. </w:t>
            </w:r>
            <w:r w:rsidRPr="007C0E20">
              <w:rPr>
                <w:rFonts w:ascii="Century Gothic" w:hAnsi="Century Gothic"/>
              </w:rPr>
              <w:t xml:space="preserve">El Ministerio de Salud y Protección Social reglamentará con ayuda del INPEC, la entrega gratuita de los </w:t>
            </w:r>
            <w:r>
              <w:rPr>
                <w:rFonts w:ascii="Century Gothic" w:hAnsi="Century Gothic"/>
              </w:rPr>
              <w:t>insumos destinados a la higiene</w:t>
            </w:r>
            <w:r w:rsidRPr="007C0E20">
              <w:rPr>
                <w:rFonts w:ascii="Century Gothic" w:hAnsi="Century Gothic"/>
              </w:rPr>
              <w:t xml:space="preserve"> menstrual a las mujeres privadas de la libertad</w:t>
            </w:r>
            <w:r w:rsidRPr="007C0E20">
              <w:t>.</w:t>
            </w:r>
          </w:p>
          <w:p w14:paraId="0CBA163D" w14:textId="77777777" w:rsidR="00CC5734" w:rsidRDefault="00CC5734" w:rsidP="00592E63">
            <w:pPr>
              <w:jc w:val="both"/>
              <w:rPr>
                <w:rFonts w:ascii="Century Gothic" w:hAnsi="Century Gothic" w:cs="Segoe UI"/>
                <w:sz w:val="22"/>
                <w:szCs w:val="22"/>
              </w:rPr>
            </w:pPr>
          </w:p>
        </w:tc>
        <w:tc>
          <w:tcPr>
            <w:tcW w:w="2943" w:type="dxa"/>
          </w:tcPr>
          <w:p w14:paraId="549AB365" w14:textId="5156DE12" w:rsidR="008332B9" w:rsidRPr="007C0E20" w:rsidRDefault="008332B9" w:rsidP="008332B9">
            <w:pPr>
              <w:jc w:val="both"/>
            </w:pPr>
            <w:r w:rsidRPr="00A94C9E">
              <w:rPr>
                <w:rFonts w:ascii="Century Gothic" w:hAnsi="Century Gothic"/>
                <w:b/>
              </w:rPr>
              <w:lastRenderedPageBreak/>
              <w:t>Artículo 4</w:t>
            </w:r>
            <w:r>
              <w:rPr>
                <w:rFonts w:ascii="Century Gothic" w:hAnsi="Century Gothic"/>
                <w:b/>
              </w:rPr>
              <w:t>°</w:t>
            </w:r>
            <w:r w:rsidRPr="00A94C9E">
              <w:rPr>
                <w:rFonts w:ascii="Century Gothic" w:hAnsi="Century Gothic"/>
                <w:b/>
              </w:rPr>
              <w:t xml:space="preserve">. </w:t>
            </w:r>
            <w:r w:rsidRPr="007C0E20">
              <w:rPr>
                <w:rFonts w:ascii="Century Gothic" w:hAnsi="Century Gothic"/>
              </w:rPr>
              <w:t xml:space="preserve">El Ministerio de Salud y Protección Social reglamentará con ayuda del INPEC, la entrega gratuita de los </w:t>
            </w:r>
            <w:r>
              <w:rPr>
                <w:rFonts w:ascii="Century Gothic" w:hAnsi="Century Gothic"/>
              </w:rPr>
              <w:t>insumos destinados a la higiene</w:t>
            </w:r>
            <w:r w:rsidRPr="007C0E20">
              <w:rPr>
                <w:rFonts w:ascii="Century Gothic" w:hAnsi="Century Gothic"/>
              </w:rPr>
              <w:t xml:space="preserve"> menstrual </w:t>
            </w:r>
            <w:r w:rsidRPr="00CF0FDC">
              <w:rPr>
                <w:rFonts w:ascii="Century Gothic" w:hAnsi="Century Gothic"/>
                <w:strike/>
              </w:rPr>
              <w:t>a</w:t>
            </w:r>
            <w:r w:rsidR="00CF0FDC">
              <w:rPr>
                <w:rFonts w:ascii="Century Gothic" w:hAnsi="Century Gothic"/>
              </w:rPr>
              <w:t xml:space="preserve"> </w:t>
            </w:r>
            <w:r w:rsidR="00CF0FDC" w:rsidRPr="00CF0FDC">
              <w:rPr>
                <w:rFonts w:ascii="Century Gothic" w:hAnsi="Century Gothic"/>
                <w:b/>
                <w:bCs/>
                <w:u w:val="single"/>
              </w:rPr>
              <w:t>de</w:t>
            </w:r>
            <w:r w:rsidRPr="007C0E20">
              <w:rPr>
                <w:rFonts w:ascii="Century Gothic" w:hAnsi="Century Gothic"/>
              </w:rPr>
              <w:t xml:space="preserve"> las mujeres </w:t>
            </w:r>
            <w:r w:rsidRPr="002969F8">
              <w:rPr>
                <w:rFonts w:ascii="Century Gothic" w:hAnsi="Century Gothic"/>
                <w:b/>
                <w:bCs/>
                <w:u w:val="single"/>
              </w:rPr>
              <w:t xml:space="preserve">y </w:t>
            </w:r>
            <w:r w:rsidRPr="002969F8">
              <w:rPr>
                <w:rFonts w:ascii="Century Gothic" w:hAnsi="Century Gothic"/>
                <w:b/>
                <w:bCs/>
                <w:u w:val="single"/>
              </w:rPr>
              <w:lastRenderedPageBreak/>
              <w:t>personas menstruantes</w:t>
            </w:r>
            <w:r>
              <w:rPr>
                <w:rFonts w:ascii="Century Gothic" w:hAnsi="Century Gothic"/>
              </w:rPr>
              <w:t xml:space="preserve"> </w:t>
            </w:r>
            <w:r w:rsidRPr="007C0E20">
              <w:rPr>
                <w:rFonts w:ascii="Century Gothic" w:hAnsi="Century Gothic"/>
              </w:rPr>
              <w:t>privadas de la libertad</w:t>
            </w:r>
            <w:r w:rsidRPr="007C0E20">
              <w:t>.</w:t>
            </w:r>
          </w:p>
          <w:p w14:paraId="59F3D1E3" w14:textId="77777777" w:rsidR="00CC5734" w:rsidRDefault="00CC5734" w:rsidP="00592E63">
            <w:pPr>
              <w:jc w:val="both"/>
              <w:rPr>
                <w:rFonts w:ascii="Century Gothic" w:hAnsi="Century Gothic" w:cs="Segoe UI"/>
                <w:sz w:val="22"/>
                <w:szCs w:val="22"/>
              </w:rPr>
            </w:pPr>
          </w:p>
        </w:tc>
        <w:tc>
          <w:tcPr>
            <w:tcW w:w="2943" w:type="dxa"/>
          </w:tcPr>
          <w:p w14:paraId="79C7E65A" w14:textId="77777777" w:rsidR="00CC5734" w:rsidRDefault="00CC5734" w:rsidP="00592E63">
            <w:pPr>
              <w:jc w:val="both"/>
              <w:rPr>
                <w:rFonts w:ascii="Century Gothic" w:hAnsi="Century Gothic" w:cs="Segoe UI"/>
                <w:sz w:val="22"/>
                <w:szCs w:val="22"/>
              </w:rPr>
            </w:pPr>
          </w:p>
        </w:tc>
      </w:tr>
      <w:tr w:rsidR="00CC5734" w14:paraId="18C32853" w14:textId="77777777" w:rsidTr="00CC5734">
        <w:tc>
          <w:tcPr>
            <w:tcW w:w="2942" w:type="dxa"/>
          </w:tcPr>
          <w:p w14:paraId="0C71AEB5" w14:textId="77777777" w:rsidR="00CC5734" w:rsidRDefault="00CC5734" w:rsidP="00CC5734">
            <w:pPr>
              <w:tabs>
                <w:tab w:val="left" w:pos="467"/>
              </w:tabs>
              <w:spacing w:line="276" w:lineRule="auto"/>
              <w:jc w:val="both"/>
              <w:rPr>
                <w:rFonts w:ascii="Century Gothic" w:eastAsia="Century Gothic" w:hAnsi="Century Gothic" w:cs="Century Gothic"/>
                <w:color w:val="080808"/>
              </w:rPr>
            </w:pPr>
            <w:r>
              <w:rPr>
                <w:rFonts w:ascii="Century Gothic" w:eastAsia="Century Gothic" w:hAnsi="Century Gothic" w:cs="Century Gothic"/>
                <w:b/>
                <w:color w:val="080808"/>
              </w:rPr>
              <w:t xml:space="preserve">Artículo 5°. </w:t>
            </w:r>
            <w:r>
              <w:rPr>
                <w:rFonts w:ascii="Century Gothic" w:eastAsia="Century Gothic" w:hAnsi="Century Gothic" w:cs="Century Gothic"/>
                <w:color w:val="080808"/>
              </w:rPr>
              <w:t>La presente ley rige a partir de la fecha de su publicación y deroga las disposiciones que le sean contrarias.</w:t>
            </w:r>
          </w:p>
          <w:p w14:paraId="112C78F3" w14:textId="77777777" w:rsidR="00CC5734" w:rsidRPr="00A94C9E" w:rsidRDefault="00CC5734" w:rsidP="00CC5734">
            <w:pPr>
              <w:jc w:val="both"/>
              <w:rPr>
                <w:rFonts w:ascii="Century Gothic" w:hAnsi="Century Gothic"/>
                <w:b/>
              </w:rPr>
            </w:pPr>
          </w:p>
        </w:tc>
        <w:tc>
          <w:tcPr>
            <w:tcW w:w="2943" w:type="dxa"/>
          </w:tcPr>
          <w:p w14:paraId="7228C64F" w14:textId="77777777" w:rsidR="00CC5734" w:rsidRDefault="00CC5734" w:rsidP="00592E63">
            <w:pPr>
              <w:jc w:val="both"/>
              <w:rPr>
                <w:rFonts w:ascii="Century Gothic" w:hAnsi="Century Gothic" w:cs="Segoe UI"/>
                <w:sz w:val="22"/>
                <w:szCs w:val="22"/>
              </w:rPr>
            </w:pPr>
          </w:p>
        </w:tc>
        <w:tc>
          <w:tcPr>
            <w:tcW w:w="2943" w:type="dxa"/>
          </w:tcPr>
          <w:p w14:paraId="214CC235" w14:textId="77777777" w:rsidR="00CC5734" w:rsidRDefault="00CC5734" w:rsidP="00592E63">
            <w:pPr>
              <w:jc w:val="both"/>
              <w:rPr>
                <w:rFonts w:ascii="Century Gothic" w:hAnsi="Century Gothic" w:cs="Segoe UI"/>
                <w:sz w:val="22"/>
                <w:szCs w:val="22"/>
              </w:rPr>
            </w:pPr>
          </w:p>
        </w:tc>
      </w:tr>
    </w:tbl>
    <w:p w14:paraId="5334086C" w14:textId="29EF3C72" w:rsidR="00592E63" w:rsidRDefault="00592E63" w:rsidP="00592E63">
      <w:pPr>
        <w:jc w:val="both"/>
        <w:rPr>
          <w:rFonts w:ascii="Century Gothic" w:hAnsi="Century Gothic" w:cs="Segoe UI"/>
          <w:sz w:val="22"/>
          <w:szCs w:val="22"/>
        </w:rPr>
      </w:pPr>
    </w:p>
    <w:p w14:paraId="59EE9C4E" w14:textId="1D410218" w:rsidR="00CC5734" w:rsidRDefault="00CC5734" w:rsidP="00592E63">
      <w:pPr>
        <w:jc w:val="both"/>
        <w:rPr>
          <w:rFonts w:ascii="Century Gothic" w:hAnsi="Century Gothic" w:cs="Segoe UI"/>
          <w:sz w:val="22"/>
          <w:szCs w:val="22"/>
        </w:rPr>
      </w:pPr>
    </w:p>
    <w:p w14:paraId="61FA201E" w14:textId="77777777" w:rsidR="00B66A20" w:rsidRDefault="00B66A20" w:rsidP="00592E63">
      <w:pPr>
        <w:jc w:val="both"/>
        <w:rPr>
          <w:rFonts w:ascii="Century Gothic" w:hAnsi="Century Gothic" w:cs="Segoe UI"/>
          <w:sz w:val="22"/>
          <w:szCs w:val="22"/>
        </w:rPr>
      </w:pPr>
    </w:p>
    <w:p w14:paraId="07C5F30C" w14:textId="77777777" w:rsidR="00592E63" w:rsidRPr="004A4409" w:rsidRDefault="00592E63" w:rsidP="00592E63">
      <w:pPr>
        <w:pStyle w:val="Prrafodelista"/>
        <w:numPr>
          <w:ilvl w:val="0"/>
          <w:numId w:val="10"/>
        </w:numPr>
        <w:spacing w:after="160" w:line="259" w:lineRule="auto"/>
        <w:jc w:val="both"/>
        <w:rPr>
          <w:rFonts w:ascii="Century Gothic" w:hAnsi="Century Gothic" w:cs="Arial"/>
          <w:b/>
        </w:rPr>
      </w:pPr>
      <w:r w:rsidRPr="004A4409">
        <w:rPr>
          <w:rFonts w:ascii="Century Gothic" w:hAnsi="Century Gothic" w:cs="Arial"/>
          <w:b/>
        </w:rPr>
        <w:t xml:space="preserve">PROPOSICIÓN </w:t>
      </w:r>
    </w:p>
    <w:p w14:paraId="27FA2C2A" w14:textId="7F58E198" w:rsidR="00592E63" w:rsidRDefault="00592E63" w:rsidP="00592E63">
      <w:pPr>
        <w:shd w:val="clear" w:color="auto" w:fill="FFFFFF"/>
        <w:jc w:val="both"/>
        <w:rPr>
          <w:rFonts w:ascii="Century Gothic" w:hAnsi="Century Gothic" w:cs="Arial"/>
          <w:i/>
          <w:sz w:val="22"/>
          <w:szCs w:val="22"/>
          <w:lang w:val="es-ES_tradnl"/>
        </w:rPr>
      </w:pPr>
      <w:r w:rsidRPr="00592E63">
        <w:rPr>
          <w:rFonts w:ascii="Century Gothic" w:hAnsi="Century Gothic" w:cs="Arial"/>
          <w:sz w:val="22"/>
          <w:szCs w:val="22"/>
        </w:rPr>
        <w:t xml:space="preserve">En virtud de las consideraciones anteriormente expuestas, solicito a los miembros de la </w:t>
      </w:r>
      <w:r w:rsidR="00CF0FDC">
        <w:rPr>
          <w:rFonts w:ascii="Century Gothic" w:hAnsi="Century Gothic" w:cs="Arial"/>
          <w:sz w:val="22"/>
          <w:szCs w:val="22"/>
        </w:rPr>
        <w:t xml:space="preserve">plenaria </w:t>
      </w:r>
      <w:r w:rsidRPr="00592E63">
        <w:rPr>
          <w:rFonts w:ascii="Century Gothic" w:hAnsi="Century Gothic" w:cs="Arial"/>
          <w:sz w:val="22"/>
          <w:szCs w:val="22"/>
        </w:rPr>
        <w:t xml:space="preserve">de la Cámara de Representantes dar </w:t>
      </w:r>
      <w:r w:rsidR="006415B0">
        <w:rPr>
          <w:rFonts w:ascii="Century Gothic" w:hAnsi="Century Gothic" w:cs="Arial"/>
          <w:sz w:val="22"/>
          <w:szCs w:val="22"/>
        </w:rPr>
        <w:t xml:space="preserve">segundo </w:t>
      </w:r>
      <w:r w:rsidRPr="00592E63">
        <w:rPr>
          <w:rFonts w:ascii="Century Gothic" w:hAnsi="Century Gothic" w:cs="Arial"/>
          <w:sz w:val="22"/>
          <w:szCs w:val="22"/>
        </w:rPr>
        <w:t xml:space="preserve">debate al </w:t>
      </w:r>
      <w:r>
        <w:rPr>
          <w:rFonts w:ascii="Century Gothic" w:hAnsi="Century Gothic" w:cs="Arial"/>
          <w:sz w:val="22"/>
          <w:szCs w:val="22"/>
        </w:rPr>
        <w:t>P</w:t>
      </w:r>
      <w:r w:rsidRPr="00592E63">
        <w:rPr>
          <w:rFonts w:ascii="Century Gothic" w:hAnsi="Century Gothic" w:cs="Arial"/>
          <w:sz w:val="22"/>
          <w:szCs w:val="22"/>
        </w:rPr>
        <w:t xml:space="preserve">royecto de </w:t>
      </w:r>
      <w:r>
        <w:rPr>
          <w:rFonts w:ascii="Century Gothic" w:hAnsi="Century Gothic" w:cs="Arial"/>
          <w:sz w:val="22"/>
          <w:szCs w:val="22"/>
        </w:rPr>
        <w:t>L</w:t>
      </w:r>
      <w:r w:rsidRPr="00592E63">
        <w:rPr>
          <w:rFonts w:ascii="Century Gothic" w:hAnsi="Century Gothic" w:cs="Arial"/>
          <w:sz w:val="22"/>
          <w:szCs w:val="22"/>
        </w:rPr>
        <w:t>ey no. 1</w:t>
      </w:r>
      <w:r w:rsidR="008C1D0D">
        <w:rPr>
          <w:rFonts w:ascii="Century Gothic" w:hAnsi="Century Gothic" w:cs="Arial"/>
          <w:sz w:val="22"/>
          <w:szCs w:val="22"/>
        </w:rPr>
        <w:t>05</w:t>
      </w:r>
      <w:r w:rsidRPr="00592E63">
        <w:rPr>
          <w:rFonts w:ascii="Century Gothic" w:hAnsi="Century Gothic" w:cs="Arial"/>
          <w:sz w:val="22"/>
          <w:szCs w:val="22"/>
        </w:rPr>
        <w:t xml:space="preserve"> de 2021 </w:t>
      </w:r>
      <w:r>
        <w:rPr>
          <w:rFonts w:ascii="Century Gothic" w:hAnsi="Century Gothic" w:cs="Arial"/>
          <w:sz w:val="22"/>
          <w:szCs w:val="22"/>
        </w:rPr>
        <w:t>C</w:t>
      </w:r>
      <w:r w:rsidRPr="00592E63">
        <w:rPr>
          <w:rFonts w:ascii="Century Gothic" w:hAnsi="Century Gothic" w:cs="Arial"/>
          <w:sz w:val="22"/>
          <w:szCs w:val="22"/>
        </w:rPr>
        <w:t xml:space="preserve">ámara </w:t>
      </w:r>
      <w:r w:rsidR="006415B0" w:rsidRPr="006415B0">
        <w:rPr>
          <w:rFonts w:ascii="Century Gothic" w:hAnsi="Century Gothic" w:cs="Arial"/>
          <w:i/>
          <w:sz w:val="22"/>
          <w:szCs w:val="22"/>
          <w:lang w:val="es-ES_tradnl"/>
        </w:rPr>
        <w:t>“</w:t>
      </w:r>
      <w:r w:rsidR="006415B0">
        <w:rPr>
          <w:rFonts w:ascii="Century Gothic" w:hAnsi="Century Gothic" w:cs="Arial"/>
          <w:i/>
          <w:sz w:val="22"/>
          <w:szCs w:val="22"/>
          <w:lang w:val="es-ES_tradnl"/>
        </w:rPr>
        <w:t>P</w:t>
      </w:r>
      <w:r w:rsidR="006415B0" w:rsidRPr="006415B0">
        <w:rPr>
          <w:rFonts w:ascii="Century Gothic" w:hAnsi="Century Gothic" w:cs="Arial"/>
          <w:i/>
          <w:sz w:val="22"/>
          <w:szCs w:val="22"/>
          <w:lang w:val="es-ES_tradnl"/>
        </w:rPr>
        <w:t>or medio de la cual se garantiza la entrega gratuita, oportuna y suficiente de artículos de higiene y salud menstrual a las personas menstruantes privadas de la libertad y se dictan otras disposiciones.”</w:t>
      </w:r>
    </w:p>
    <w:p w14:paraId="0E494D9E" w14:textId="2D334C50" w:rsidR="00592E63" w:rsidRDefault="00592E63" w:rsidP="00592E63">
      <w:pPr>
        <w:shd w:val="clear" w:color="auto" w:fill="FFFFFF"/>
        <w:jc w:val="both"/>
        <w:rPr>
          <w:rFonts w:ascii="Century Gothic" w:hAnsi="Century Gothic" w:cs="Arial"/>
          <w:i/>
          <w:sz w:val="22"/>
          <w:szCs w:val="22"/>
          <w:lang w:val="es-ES_tradnl"/>
        </w:rPr>
      </w:pPr>
    </w:p>
    <w:p w14:paraId="24036F75" w14:textId="77777777" w:rsidR="00592E63" w:rsidRPr="00592E63" w:rsidRDefault="00592E63" w:rsidP="00592E63">
      <w:pPr>
        <w:shd w:val="clear" w:color="auto" w:fill="FFFFFF"/>
        <w:jc w:val="both"/>
        <w:rPr>
          <w:rFonts w:ascii="Century Gothic" w:hAnsi="Century Gothic" w:cs="Arial"/>
          <w:i/>
          <w:sz w:val="22"/>
          <w:szCs w:val="22"/>
          <w:lang w:val="es-ES_tradnl"/>
        </w:rPr>
      </w:pPr>
    </w:p>
    <w:p w14:paraId="24E0F19A" w14:textId="437D0EBD" w:rsidR="00592E63" w:rsidRPr="008B5447" w:rsidRDefault="00592E63" w:rsidP="00592E63">
      <w:pPr>
        <w:jc w:val="both"/>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92E63" w:rsidRPr="00BE754E" w14:paraId="77A03346" w14:textId="77777777" w:rsidTr="00605126">
        <w:trPr>
          <w:trHeight w:val="1385"/>
        </w:trPr>
        <w:tc>
          <w:tcPr>
            <w:tcW w:w="4535" w:type="dxa"/>
          </w:tcPr>
          <w:p w14:paraId="64A16A00" w14:textId="53AF1117" w:rsidR="00592E63" w:rsidRDefault="00592E63" w:rsidP="00605126">
            <w:pPr>
              <w:jc w:val="center"/>
              <w:rPr>
                <w:rFonts w:ascii="Century Gothic" w:hAnsi="Century Gothic" w:cs="Arial"/>
                <w:b/>
              </w:rPr>
            </w:pPr>
          </w:p>
          <w:p w14:paraId="7E2F724C" w14:textId="77777777" w:rsidR="00B66A20" w:rsidRPr="008B5447" w:rsidRDefault="00B66A20" w:rsidP="00605126">
            <w:pPr>
              <w:jc w:val="center"/>
              <w:rPr>
                <w:rFonts w:ascii="Century Gothic" w:hAnsi="Century Gothic" w:cs="Arial"/>
                <w:b/>
              </w:rPr>
            </w:pPr>
          </w:p>
          <w:p w14:paraId="1F6C5FAA" w14:textId="77777777" w:rsidR="00592E63" w:rsidRPr="008B5447" w:rsidRDefault="00592E63" w:rsidP="00605126">
            <w:pPr>
              <w:rPr>
                <w:rFonts w:ascii="Century Gothic" w:hAnsi="Century Gothic" w:cs="Arial"/>
                <w:b/>
              </w:rPr>
            </w:pPr>
          </w:p>
          <w:p w14:paraId="2370A1C1" w14:textId="77777777" w:rsidR="00592E63" w:rsidRDefault="00592E63" w:rsidP="00592E63">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ADRIANA MAGALI MATIZ VARGAS</w:t>
            </w:r>
          </w:p>
          <w:p w14:paraId="32FA2176"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14:paraId="40E2761F"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14:paraId="4ADA5D53" w14:textId="77777777" w:rsidR="00592E63" w:rsidRDefault="00592E63" w:rsidP="00592E63">
            <w:pPr>
              <w:tabs>
                <w:tab w:val="left" w:pos="467"/>
              </w:tabs>
              <w:jc w:val="center"/>
              <w:rPr>
                <w:rFonts w:ascii="Century Gothic" w:eastAsia="Century Gothic" w:hAnsi="Century Gothic" w:cs="Century Gothic"/>
                <w:sz w:val="22"/>
                <w:szCs w:val="22"/>
              </w:rPr>
            </w:pPr>
          </w:p>
          <w:p w14:paraId="363B1FBB" w14:textId="77777777" w:rsidR="00592E63" w:rsidRPr="00E22E8F" w:rsidRDefault="00592E63" w:rsidP="00592E63">
            <w:pPr>
              <w:spacing w:line="276" w:lineRule="auto"/>
              <w:rPr>
                <w:rFonts w:ascii="Century Gothic" w:eastAsia="Calibri" w:hAnsi="Century Gothic" w:cs="Aparajita"/>
                <w:b/>
                <w:bCs/>
                <w:sz w:val="21"/>
                <w:szCs w:val="21"/>
              </w:rPr>
            </w:pPr>
          </w:p>
          <w:p w14:paraId="63804DB7" w14:textId="153C2D42" w:rsidR="00592E63" w:rsidRDefault="00592E63" w:rsidP="00605126">
            <w:pPr>
              <w:jc w:val="center"/>
              <w:rPr>
                <w:rFonts w:ascii="Century Gothic" w:hAnsi="Century Gothic" w:cs="Arial"/>
                <w:bCs/>
                <w:color w:val="000000"/>
                <w:bdr w:val="none" w:sz="0" w:space="0" w:color="auto" w:frame="1"/>
                <w:shd w:val="clear" w:color="auto" w:fill="FFFFFF"/>
              </w:rPr>
            </w:pPr>
          </w:p>
          <w:p w14:paraId="40A0FA58" w14:textId="7AB0D2BD" w:rsidR="00CF0FDC" w:rsidRDefault="00CF0FDC" w:rsidP="00605126">
            <w:pPr>
              <w:jc w:val="center"/>
              <w:rPr>
                <w:rFonts w:ascii="Century Gothic" w:hAnsi="Century Gothic" w:cs="Arial"/>
                <w:bCs/>
                <w:color w:val="000000"/>
                <w:bdr w:val="none" w:sz="0" w:space="0" w:color="auto" w:frame="1"/>
                <w:shd w:val="clear" w:color="auto" w:fill="FFFFFF"/>
              </w:rPr>
            </w:pPr>
          </w:p>
          <w:p w14:paraId="6C919584" w14:textId="2821E8B5" w:rsidR="00CF0FDC" w:rsidRDefault="00CF0FDC" w:rsidP="00605126">
            <w:pPr>
              <w:jc w:val="center"/>
              <w:rPr>
                <w:rFonts w:ascii="Century Gothic" w:hAnsi="Century Gothic" w:cs="Arial"/>
                <w:bCs/>
                <w:color w:val="000000"/>
                <w:bdr w:val="none" w:sz="0" w:space="0" w:color="auto" w:frame="1"/>
                <w:shd w:val="clear" w:color="auto" w:fill="FFFFFF"/>
              </w:rPr>
            </w:pPr>
          </w:p>
          <w:p w14:paraId="37E9360E" w14:textId="08CB89CF" w:rsidR="00CF0FDC" w:rsidRDefault="00CF0FDC" w:rsidP="00605126">
            <w:pPr>
              <w:jc w:val="center"/>
              <w:rPr>
                <w:rFonts w:ascii="Century Gothic" w:hAnsi="Century Gothic" w:cs="Arial"/>
                <w:bCs/>
                <w:color w:val="000000"/>
                <w:bdr w:val="none" w:sz="0" w:space="0" w:color="auto" w:frame="1"/>
                <w:shd w:val="clear" w:color="auto" w:fill="FFFFFF"/>
              </w:rPr>
            </w:pPr>
          </w:p>
          <w:p w14:paraId="0372920F" w14:textId="5D5A0457" w:rsidR="00CF0FDC" w:rsidRDefault="00CF0FDC" w:rsidP="00605126">
            <w:pPr>
              <w:jc w:val="center"/>
              <w:rPr>
                <w:rFonts w:ascii="Century Gothic" w:hAnsi="Century Gothic" w:cs="Arial"/>
                <w:bCs/>
                <w:color w:val="000000"/>
                <w:bdr w:val="none" w:sz="0" w:space="0" w:color="auto" w:frame="1"/>
                <w:shd w:val="clear" w:color="auto" w:fill="FFFFFF"/>
              </w:rPr>
            </w:pPr>
          </w:p>
          <w:p w14:paraId="616574F7" w14:textId="0C450F23" w:rsidR="00CF0FDC" w:rsidRDefault="00CF0FDC" w:rsidP="00605126">
            <w:pPr>
              <w:jc w:val="center"/>
              <w:rPr>
                <w:rFonts w:ascii="Century Gothic" w:hAnsi="Century Gothic" w:cs="Arial"/>
                <w:bCs/>
                <w:color w:val="000000"/>
                <w:bdr w:val="none" w:sz="0" w:space="0" w:color="auto" w:frame="1"/>
                <w:shd w:val="clear" w:color="auto" w:fill="FFFFFF"/>
              </w:rPr>
            </w:pPr>
          </w:p>
          <w:p w14:paraId="5062584D" w14:textId="67E270B7" w:rsidR="00CF0FDC" w:rsidRDefault="00CF0FDC" w:rsidP="00605126">
            <w:pPr>
              <w:jc w:val="center"/>
              <w:rPr>
                <w:rFonts w:ascii="Century Gothic" w:hAnsi="Century Gothic" w:cs="Arial"/>
                <w:bCs/>
                <w:color w:val="000000"/>
                <w:bdr w:val="none" w:sz="0" w:space="0" w:color="auto" w:frame="1"/>
                <w:shd w:val="clear" w:color="auto" w:fill="FFFFFF"/>
              </w:rPr>
            </w:pPr>
          </w:p>
          <w:p w14:paraId="750B0826" w14:textId="43449AAE" w:rsidR="00CF0FDC" w:rsidRDefault="00CF0FDC" w:rsidP="00605126">
            <w:pPr>
              <w:jc w:val="center"/>
              <w:rPr>
                <w:rFonts w:ascii="Century Gothic" w:hAnsi="Century Gothic" w:cs="Arial"/>
                <w:bCs/>
                <w:color w:val="000000"/>
                <w:bdr w:val="none" w:sz="0" w:space="0" w:color="auto" w:frame="1"/>
                <w:shd w:val="clear" w:color="auto" w:fill="FFFFFF"/>
              </w:rPr>
            </w:pPr>
          </w:p>
          <w:p w14:paraId="39EEEF3C" w14:textId="1E5CAB76" w:rsidR="00CF0FDC" w:rsidRDefault="00CF0FDC" w:rsidP="00605126">
            <w:pPr>
              <w:jc w:val="center"/>
              <w:rPr>
                <w:rFonts w:ascii="Century Gothic" w:hAnsi="Century Gothic" w:cs="Arial"/>
                <w:bCs/>
                <w:color w:val="000000"/>
                <w:bdr w:val="none" w:sz="0" w:space="0" w:color="auto" w:frame="1"/>
                <w:shd w:val="clear" w:color="auto" w:fill="FFFFFF"/>
              </w:rPr>
            </w:pPr>
          </w:p>
          <w:p w14:paraId="642A9F76" w14:textId="52346AA7" w:rsidR="00CF0FDC" w:rsidRDefault="00CF0FDC" w:rsidP="00605126">
            <w:pPr>
              <w:jc w:val="center"/>
              <w:rPr>
                <w:rFonts w:ascii="Century Gothic" w:hAnsi="Century Gothic" w:cs="Arial"/>
                <w:bCs/>
                <w:color w:val="000000"/>
                <w:bdr w:val="none" w:sz="0" w:space="0" w:color="auto" w:frame="1"/>
                <w:shd w:val="clear" w:color="auto" w:fill="FFFFFF"/>
              </w:rPr>
            </w:pPr>
          </w:p>
          <w:p w14:paraId="3FEC5B04" w14:textId="696C73D4" w:rsidR="00CF0FDC" w:rsidRDefault="00CF0FDC" w:rsidP="00605126">
            <w:pPr>
              <w:jc w:val="center"/>
              <w:rPr>
                <w:rFonts w:ascii="Century Gothic" w:hAnsi="Century Gothic" w:cs="Arial"/>
                <w:bCs/>
                <w:color w:val="000000"/>
                <w:bdr w:val="none" w:sz="0" w:space="0" w:color="auto" w:frame="1"/>
                <w:shd w:val="clear" w:color="auto" w:fill="FFFFFF"/>
              </w:rPr>
            </w:pPr>
          </w:p>
          <w:p w14:paraId="00A481E2" w14:textId="421763DD" w:rsidR="00CF0FDC" w:rsidRDefault="00CF0FDC" w:rsidP="00605126">
            <w:pPr>
              <w:jc w:val="center"/>
              <w:rPr>
                <w:rFonts w:ascii="Century Gothic" w:hAnsi="Century Gothic" w:cs="Arial"/>
                <w:bCs/>
                <w:color w:val="000000"/>
                <w:bdr w:val="none" w:sz="0" w:space="0" w:color="auto" w:frame="1"/>
                <w:shd w:val="clear" w:color="auto" w:fill="FFFFFF"/>
              </w:rPr>
            </w:pPr>
          </w:p>
          <w:p w14:paraId="165EE7EF" w14:textId="51F4882D" w:rsidR="00CF0FDC" w:rsidRDefault="00CF0FDC" w:rsidP="00605126">
            <w:pPr>
              <w:jc w:val="center"/>
              <w:rPr>
                <w:rFonts w:ascii="Century Gothic" w:hAnsi="Century Gothic" w:cs="Arial"/>
                <w:bCs/>
                <w:color w:val="000000"/>
                <w:bdr w:val="none" w:sz="0" w:space="0" w:color="auto" w:frame="1"/>
                <w:shd w:val="clear" w:color="auto" w:fill="FFFFFF"/>
              </w:rPr>
            </w:pPr>
          </w:p>
          <w:p w14:paraId="2D1903B6" w14:textId="33B01D08" w:rsidR="00CF0FDC" w:rsidRDefault="00CF0FDC" w:rsidP="00605126">
            <w:pPr>
              <w:jc w:val="center"/>
              <w:rPr>
                <w:rFonts w:ascii="Century Gothic" w:hAnsi="Century Gothic" w:cs="Arial"/>
                <w:bCs/>
                <w:color w:val="000000"/>
                <w:bdr w:val="none" w:sz="0" w:space="0" w:color="auto" w:frame="1"/>
                <w:shd w:val="clear" w:color="auto" w:fill="FFFFFF"/>
              </w:rPr>
            </w:pPr>
          </w:p>
          <w:p w14:paraId="0656936D" w14:textId="42627611" w:rsidR="00CF0FDC" w:rsidRDefault="00CF0FDC" w:rsidP="00605126">
            <w:pPr>
              <w:jc w:val="center"/>
              <w:rPr>
                <w:rFonts w:ascii="Century Gothic" w:hAnsi="Century Gothic" w:cs="Arial"/>
                <w:bCs/>
                <w:color w:val="000000"/>
                <w:bdr w:val="none" w:sz="0" w:space="0" w:color="auto" w:frame="1"/>
                <w:shd w:val="clear" w:color="auto" w:fill="FFFFFF"/>
              </w:rPr>
            </w:pPr>
          </w:p>
          <w:p w14:paraId="5658503A" w14:textId="150AAA0C" w:rsidR="00CF0FDC" w:rsidRDefault="00CF0FDC" w:rsidP="00605126">
            <w:pPr>
              <w:jc w:val="center"/>
              <w:rPr>
                <w:rFonts w:ascii="Century Gothic" w:hAnsi="Century Gothic" w:cs="Arial"/>
                <w:bCs/>
                <w:color w:val="000000"/>
                <w:bdr w:val="none" w:sz="0" w:space="0" w:color="auto" w:frame="1"/>
                <w:shd w:val="clear" w:color="auto" w:fill="FFFFFF"/>
              </w:rPr>
            </w:pPr>
          </w:p>
          <w:p w14:paraId="552A5431" w14:textId="53ECC0BA" w:rsidR="00CF0FDC" w:rsidRDefault="00CF0FDC" w:rsidP="00605126">
            <w:pPr>
              <w:jc w:val="center"/>
              <w:rPr>
                <w:rFonts w:ascii="Century Gothic" w:hAnsi="Century Gothic" w:cs="Arial"/>
                <w:bCs/>
                <w:color w:val="000000"/>
                <w:bdr w:val="none" w:sz="0" w:space="0" w:color="auto" w:frame="1"/>
                <w:shd w:val="clear" w:color="auto" w:fill="FFFFFF"/>
              </w:rPr>
            </w:pPr>
          </w:p>
          <w:p w14:paraId="3CAA931C" w14:textId="77777777" w:rsidR="00CF0FDC" w:rsidRDefault="00CF0FDC" w:rsidP="00605126">
            <w:pPr>
              <w:jc w:val="center"/>
              <w:rPr>
                <w:rFonts w:ascii="Century Gothic" w:hAnsi="Century Gothic" w:cs="Arial"/>
                <w:bCs/>
                <w:color w:val="000000"/>
                <w:bdr w:val="none" w:sz="0" w:space="0" w:color="auto" w:frame="1"/>
                <w:shd w:val="clear" w:color="auto" w:fill="FFFFFF"/>
              </w:rPr>
            </w:pPr>
          </w:p>
          <w:p w14:paraId="40C206CB"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78C3DD4E"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6B397FBE"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0061044F" w14:textId="77777777" w:rsidR="00592E63" w:rsidRDefault="00592E63" w:rsidP="00605126">
            <w:pPr>
              <w:jc w:val="center"/>
              <w:rPr>
                <w:rFonts w:ascii="Century Gothic" w:hAnsi="Century Gothic" w:cs="Arial"/>
                <w:bCs/>
                <w:color w:val="000000"/>
                <w:bdr w:val="none" w:sz="0" w:space="0" w:color="auto" w:frame="1"/>
                <w:shd w:val="clear" w:color="auto" w:fill="FFFFFF"/>
              </w:rPr>
            </w:pPr>
          </w:p>
          <w:p w14:paraId="4129B20B" w14:textId="20F01B2B" w:rsidR="00592E63" w:rsidRPr="00BE754E" w:rsidRDefault="00592E63" w:rsidP="00605126">
            <w:pPr>
              <w:jc w:val="center"/>
              <w:rPr>
                <w:rFonts w:ascii="Century Gothic" w:hAnsi="Century Gothic" w:cs="Arial"/>
                <w:bCs/>
                <w:color w:val="000000"/>
                <w:bdr w:val="none" w:sz="0" w:space="0" w:color="auto" w:frame="1"/>
                <w:shd w:val="clear" w:color="auto" w:fill="FFFFFF"/>
              </w:rPr>
            </w:pPr>
          </w:p>
        </w:tc>
      </w:tr>
    </w:tbl>
    <w:p w14:paraId="2ECA4AA6" w14:textId="4E1BA06E" w:rsidR="008332B9" w:rsidRPr="00592E63" w:rsidRDefault="005C309A" w:rsidP="008332B9">
      <w:pPr>
        <w:shd w:val="clear" w:color="auto" w:fill="FFFFFF"/>
        <w:jc w:val="center"/>
        <w:rPr>
          <w:rFonts w:ascii="Century Gothic" w:hAnsi="Century Gothic" w:cs="Arial"/>
          <w:b/>
          <w:i/>
          <w:lang w:val="es-ES_tradnl"/>
        </w:rPr>
      </w:pPr>
      <w:r w:rsidRPr="002051CB">
        <w:rPr>
          <w:rFonts w:ascii="Century Gothic" w:hAnsi="Century Gothic" w:cs="Arial"/>
          <w:b/>
          <w:sz w:val="22"/>
          <w:szCs w:val="22"/>
        </w:rPr>
        <w:lastRenderedPageBreak/>
        <w:t xml:space="preserve">INFORME DE PONENCIA PARA </w:t>
      </w:r>
      <w:r>
        <w:rPr>
          <w:rFonts w:ascii="Century Gothic" w:hAnsi="Century Gothic" w:cs="Arial"/>
          <w:b/>
          <w:sz w:val="22"/>
          <w:szCs w:val="22"/>
        </w:rPr>
        <w:t>SEGUNDO</w:t>
      </w:r>
      <w:r w:rsidRPr="002051CB">
        <w:rPr>
          <w:rFonts w:ascii="Century Gothic" w:hAnsi="Century Gothic" w:cs="Arial"/>
          <w:b/>
          <w:sz w:val="22"/>
          <w:szCs w:val="22"/>
        </w:rPr>
        <w:t xml:space="preserve"> DEBATE  DEL PROYECTO DE LEY No. 1</w:t>
      </w:r>
      <w:r w:rsidR="008C1D0D">
        <w:rPr>
          <w:rFonts w:ascii="Century Gothic" w:hAnsi="Century Gothic" w:cs="Arial"/>
          <w:b/>
          <w:sz w:val="22"/>
          <w:szCs w:val="22"/>
        </w:rPr>
        <w:t>05</w:t>
      </w:r>
      <w:r w:rsidRPr="002051CB">
        <w:rPr>
          <w:rFonts w:ascii="Century Gothic" w:hAnsi="Century Gothic" w:cs="Arial"/>
          <w:b/>
          <w:sz w:val="22"/>
          <w:szCs w:val="22"/>
        </w:rPr>
        <w:t xml:space="preserve"> DE 2021 CÁMARA </w:t>
      </w:r>
      <w:r w:rsidR="008332B9" w:rsidRPr="00CF7226">
        <w:rPr>
          <w:rFonts w:ascii="Century Gothic" w:hAnsi="Century Gothic" w:cs="Arial"/>
          <w:b/>
          <w:i/>
          <w:lang w:val="es-ES_tradnl"/>
        </w:rPr>
        <w:t>“POR MEDIO DE L</w:t>
      </w:r>
      <w:r w:rsidR="008332B9" w:rsidRPr="00592E63">
        <w:rPr>
          <w:rFonts w:ascii="Century Gothic" w:hAnsi="Century Gothic" w:cs="Arial"/>
          <w:b/>
          <w:i/>
          <w:lang w:val="es-ES_tradnl"/>
        </w:rPr>
        <w:t xml:space="preserve">A CUAL SE GARANTIZA LA ENTREGA GRATUITA, OPORTUNA Y SUFICIENTE DE ARTÍCULOS DE HIGIENE </w:t>
      </w:r>
      <w:r w:rsidR="008332B9">
        <w:rPr>
          <w:rFonts w:ascii="Century Gothic" w:hAnsi="Century Gothic" w:cs="Arial"/>
          <w:b/>
          <w:i/>
          <w:lang w:val="es-ES_tradnl"/>
        </w:rPr>
        <w:t xml:space="preserve">Y SALUD MENSTRUAL </w:t>
      </w:r>
      <w:r w:rsidR="008332B9" w:rsidRPr="008332B9">
        <w:rPr>
          <w:rFonts w:ascii="Century Gothic" w:hAnsi="Century Gothic" w:cs="Arial"/>
          <w:b/>
          <w:i/>
          <w:lang w:val="es-ES_tradnl"/>
        </w:rPr>
        <w:t>A LAS MUJERES</w:t>
      </w:r>
      <w:r w:rsidR="008332B9">
        <w:rPr>
          <w:rFonts w:ascii="Century Gothic" w:hAnsi="Century Gothic" w:cs="Arial"/>
          <w:b/>
          <w:i/>
          <w:lang w:val="es-ES_tradnl"/>
        </w:rPr>
        <w:t xml:space="preserve"> Y PERSONA</w:t>
      </w:r>
      <w:r w:rsidR="008332B9" w:rsidRPr="00592E63">
        <w:rPr>
          <w:rFonts w:ascii="Century Gothic" w:hAnsi="Century Gothic" w:cs="Arial"/>
          <w:b/>
          <w:i/>
          <w:lang w:val="es-ES_tradnl"/>
        </w:rPr>
        <w:t xml:space="preserve">S </w:t>
      </w:r>
      <w:r w:rsidR="008332B9">
        <w:rPr>
          <w:rFonts w:ascii="Century Gothic" w:hAnsi="Century Gothic" w:cs="Arial"/>
          <w:b/>
          <w:i/>
          <w:lang w:val="es-ES_tradnl"/>
        </w:rPr>
        <w:t xml:space="preserve">MENSTRUANTES </w:t>
      </w:r>
      <w:r w:rsidR="008332B9" w:rsidRPr="00592E63">
        <w:rPr>
          <w:rFonts w:ascii="Century Gothic" w:hAnsi="Century Gothic" w:cs="Arial"/>
          <w:b/>
          <w:i/>
          <w:lang w:val="es-ES_tradnl"/>
        </w:rPr>
        <w:t>PRIVADAS DE LA LIBERTAD Y SE DICTAN OTRAS DISPOSICIONES.”</w:t>
      </w:r>
    </w:p>
    <w:p w14:paraId="41512B95" w14:textId="219E8B10" w:rsidR="005C309A" w:rsidRPr="002051CB" w:rsidRDefault="005C309A" w:rsidP="005C309A">
      <w:pPr>
        <w:shd w:val="clear" w:color="auto" w:fill="FFFFFF"/>
        <w:jc w:val="center"/>
        <w:rPr>
          <w:rFonts w:ascii="Century Gothic" w:hAnsi="Century Gothic" w:cs="Arial"/>
          <w:b/>
          <w:i/>
          <w:sz w:val="22"/>
          <w:szCs w:val="22"/>
          <w:lang w:val="es-ES_tradnl"/>
        </w:rPr>
      </w:pPr>
    </w:p>
    <w:p w14:paraId="2BED6196" w14:textId="5B656AD0" w:rsidR="00E30ECC" w:rsidRPr="00E30ECC" w:rsidRDefault="00E30ECC" w:rsidP="00E30ECC">
      <w:pPr>
        <w:shd w:val="clear" w:color="auto" w:fill="FFFFFF"/>
        <w:jc w:val="both"/>
        <w:rPr>
          <w:rFonts w:ascii="Century Gothic" w:hAnsi="Century Gothic" w:cs="Arial"/>
          <w:b/>
          <w:bCs/>
        </w:rPr>
      </w:pPr>
    </w:p>
    <w:p w14:paraId="74A8F7FE" w14:textId="52A65D14" w:rsidR="0033112B" w:rsidRDefault="0033112B" w:rsidP="00FC751C">
      <w:pPr>
        <w:spacing w:line="276" w:lineRule="auto"/>
        <w:rPr>
          <w:rFonts w:ascii="Century Gothic" w:eastAsia="Calibri" w:hAnsi="Century Gothic" w:cs="Aparajita"/>
          <w:b/>
          <w:bCs/>
          <w:sz w:val="21"/>
          <w:szCs w:val="21"/>
        </w:rPr>
      </w:pPr>
    </w:p>
    <w:p w14:paraId="6727F6C2" w14:textId="3AE0EF51" w:rsidR="00592E63" w:rsidRDefault="00592E63" w:rsidP="00592E63">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EL CONGRESO DE COLOMBIA</w:t>
      </w:r>
    </w:p>
    <w:p w14:paraId="0332696A" w14:textId="77777777" w:rsidR="00592E63" w:rsidRDefault="00592E63" w:rsidP="00592E63">
      <w:pPr>
        <w:spacing w:line="276" w:lineRule="auto"/>
        <w:rPr>
          <w:sz w:val="22"/>
          <w:szCs w:val="22"/>
        </w:rPr>
      </w:pPr>
    </w:p>
    <w:p w14:paraId="4002C16D" w14:textId="77777777" w:rsidR="00592E63" w:rsidRDefault="00592E63" w:rsidP="00592E63">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DECRETA:</w:t>
      </w:r>
    </w:p>
    <w:p w14:paraId="44C35C19" w14:textId="77777777" w:rsidR="00592E63" w:rsidRDefault="00592E63" w:rsidP="00592E63">
      <w:pPr>
        <w:spacing w:line="276" w:lineRule="auto"/>
        <w:rPr>
          <w:sz w:val="22"/>
          <w:szCs w:val="22"/>
        </w:rPr>
      </w:pPr>
    </w:p>
    <w:p w14:paraId="15B11256" w14:textId="2372E192" w:rsidR="00592E63" w:rsidRPr="00CF0FDC" w:rsidRDefault="00592E63" w:rsidP="00592E63">
      <w:pPr>
        <w:spacing w:after="240" w:line="276" w:lineRule="auto"/>
        <w:jc w:val="both"/>
        <w:rPr>
          <w:rFonts w:ascii="Century Gothic" w:eastAsia="Century Gothic" w:hAnsi="Century Gothic" w:cs="Century Gothic"/>
          <w:sz w:val="22"/>
          <w:szCs w:val="22"/>
        </w:rPr>
      </w:pPr>
      <w:r w:rsidRPr="00CF0FDC">
        <w:rPr>
          <w:rFonts w:ascii="Century Gothic" w:eastAsia="Century Gothic" w:hAnsi="Century Gothic" w:cs="Century Gothic"/>
          <w:b/>
          <w:color w:val="080808"/>
          <w:sz w:val="22"/>
          <w:szCs w:val="22"/>
        </w:rPr>
        <w:t>Artículo 1°. OBJETO.</w:t>
      </w:r>
      <w:r w:rsidR="008332B9" w:rsidRPr="00CF0FDC">
        <w:rPr>
          <w:rFonts w:ascii="Century Gothic" w:eastAsia="Century Gothic" w:hAnsi="Century Gothic" w:cs="Century Gothic"/>
          <w:b/>
          <w:color w:val="080808"/>
          <w:sz w:val="22"/>
          <w:szCs w:val="22"/>
        </w:rPr>
        <w:t xml:space="preserve"> </w:t>
      </w:r>
      <w:r w:rsidR="008332B9" w:rsidRPr="00CF0FDC">
        <w:rPr>
          <w:rFonts w:ascii="Century Gothic" w:eastAsia="Century Gothic" w:hAnsi="Century Gothic" w:cs="Century Gothic"/>
          <w:sz w:val="22"/>
          <w:szCs w:val="22"/>
        </w:rPr>
        <w:t>La presente ley tiene por objeto garantizar la entrega gratuita, oportuna y suficiente de artículos de higiene menstrual a las mujeres y personas menstruantes privadas de la libertad, con el fin de lograr la materialización de los derechos a la dignidad humana, la salud y bienestar, la no discriminación y la igualdad de género.</w:t>
      </w:r>
    </w:p>
    <w:p w14:paraId="4F23FBC8" w14:textId="77777777" w:rsidR="008332B9" w:rsidRPr="00CF0FDC" w:rsidRDefault="008332B9" w:rsidP="008332B9">
      <w:pPr>
        <w:spacing w:line="276" w:lineRule="auto"/>
        <w:jc w:val="both"/>
        <w:rPr>
          <w:rFonts w:ascii="Century Gothic" w:eastAsia="Century Gothic" w:hAnsi="Century Gothic" w:cs="Century Gothic"/>
          <w:sz w:val="22"/>
          <w:szCs w:val="22"/>
        </w:rPr>
      </w:pPr>
      <w:r w:rsidRPr="00CF0FDC">
        <w:rPr>
          <w:rFonts w:ascii="Century Gothic" w:eastAsia="Century Gothic" w:hAnsi="Century Gothic" w:cs="Century Gothic"/>
          <w:b/>
          <w:color w:val="080808"/>
          <w:sz w:val="22"/>
          <w:szCs w:val="22"/>
        </w:rPr>
        <w:t>Artículo 2°.</w:t>
      </w:r>
      <w:r w:rsidRPr="00CF0FDC">
        <w:rPr>
          <w:rFonts w:ascii="Century Gothic" w:eastAsia="Century Gothic" w:hAnsi="Century Gothic" w:cs="Century Gothic"/>
          <w:color w:val="080808"/>
          <w:sz w:val="22"/>
          <w:szCs w:val="22"/>
        </w:rPr>
        <w:t xml:space="preserve"> </w:t>
      </w:r>
      <w:r w:rsidRPr="00CF0FDC">
        <w:rPr>
          <w:rFonts w:ascii="Century Gothic" w:eastAsia="Century Gothic" w:hAnsi="Century Gothic" w:cs="Century Gothic"/>
          <w:b/>
          <w:sz w:val="22"/>
          <w:szCs w:val="22"/>
        </w:rPr>
        <w:t>GRATUIDAD DE LOS ARTÍCULOS DE HIGIENE MENSTRUAL</w:t>
      </w:r>
      <w:r w:rsidRPr="00CF0FDC">
        <w:rPr>
          <w:rFonts w:ascii="Century Gothic" w:eastAsia="Century Gothic" w:hAnsi="Century Gothic" w:cs="Century Gothic"/>
          <w:sz w:val="22"/>
          <w:szCs w:val="22"/>
        </w:rPr>
        <w:t xml:space="preserve">. El Gobierno Nacional a través del Ministerio de Justicia y del Derecho deberá garantizar la entrega gratuita de artículos de higiene y salud menstrual a las </w:t>
      </w:r>
      <w:r w:rsidRPr="00CF0FDC">
        <w:rPr>
          <w:rFonts w:ascii="Century Gothic" w:eastAsia="Century Gothic" w:hAnsi="Century Gothic" w:cs="Century Gothic"/>
          <w:color w:val="000000" w:themeColor="text1"/>
          <w:sz w:val="22"/>
          <w:szCs w:val="22"/>
        </w:rPr>
        <w:t xml:space="preserve">mujeres y </w:t>
      </w:r>
      <w:r w:rsidRPr="00CF0FDC">
        <w:rPr>
          <w:rFonts w:ascii="Century Gothic" w:eastAsia="Century Gothic" w:hAnsi="Century Gothic" w:cs="Century Gothic"/>
          <w:sz w:val="22"/>
          <w:szCs w:val="22"/>
        </w:rPr>
        <w:t>personas menstruantes privadas de la libertad.</w:t>
      </w:r>
    </w:p>
    <w:p w14:paraId="327EFD00" w14:textId="77777777" w:rsidR="008332B9" w:rsidRPr="00CF0FDC" w:rsidRDefault="008332B9" w:rsidP="008332B9">
      <w:pPr>
        <w:spacing w:line="276" w:lineRule="auto"/>
        <w:jc w:val="both"/>
        <w:rPr>
          <w:rFonts w:ascii="Century Gothic" w:eastAsia="Century Gothic" w:hAnsi="Century Gothic" w:cs="Century Gothic"/>
          <w:sz w:val="22"/>
          <w:szCs w:val="22"/>
        </w:rPr>
      </w:pPr>
    </w:p>
    <w:p w14:paraId="4CBCBE91" w14:textId="77777777" w:rsidR="008332B9" w:rsidRPr="00CF0FDC" w:rsidRDefault="008332B9" w:rsidP="008332B9">
      <w:pPr>
        <w:spacing w:line="276" w:lineRule="auto"/>
        <w:jc w:val="both"/>
        <w:rPr>
          <w:rFonts w:ascii="Century Gothic" w:eastAsia="Century Gothic" w:hAnsi="Century Gothic" w:cs="Century Gothic"/>
          <w:sz w:val="22"/>
          <w:szCs w:val="22"/>
        </w:rPr>
      </w:pPr>
      <w:r w:rsidRPr="00CF0FDC">
        <w:rPr>
          <w:rFonts w:ascii="Century Gothic" w:eastAsia="Century Gothic" w:hAnsi="Century Gothic" w:cs="Century Gothic"/>
          <w:b/>
          <w:sz w:val="22"/>
          <w:szCs w:val="22"/>
        </w:rPr>
        <w:t>Parágrafo 1.</w:t>
      </w:r>
      <w:r w:rsidRPr="00CF0FDC">
        <w:rPr>
          <w:rFonts w:ascii="Century Gothic" w:eastAsia="Century Gothic" w:hAnsi="Century Gothic" w:cs="Century Gothic"/>
          <w:sz w:val="22"/>
          <w:szCs w:val="22"/>
        </w:rPr>
        <w:t xml:space="preserve"> La distribución gratuita de los artículos de higiene y salud menstrual se realizará cada mes, por parte de la autoridad carcelaria y penitenciaria. </w:t>
      </w:r>
    </w:p>
    <w:p w14:paraId="7FE7AB25" w14:textId="77777777" w:rsidR="008332B9" w:rsidRPr="00CF0FDC" w:rsidRDefault="008332B9" w:rsidP="008332B9">
      <w:pPr>
        <w:spacing w:line="276" w:lineRule="auto"/>
        <w:jc w:val="both"/>
        <w:rPr>
          <w:rFonts w:ascii="Century Gothic" w:eastAsia="Century Gothic" w:hAnsi="Century Gothic" w:cs="Century Gothic"/>
          <w:sz w:val="22"/>
          <w:szCs w:val="22"/>
        </w:rPr>
      </w:pPr>
    </w:p>
    <w:p w14:paraId="759DAEE9" w14:textId="1D54027D" w:rsidR="008332B9" w:rsidRPr="00CF0FDC" w:rsidRDefault="008332B9" w:rsidP="008332B9">
      <w:pPr>
        <w:jc w:val="both"/>
        <w:rPr>
          <w:rFonts w:ascii="Century Gothic" w:eastAsia="Century Gothic" w:hAnsi="Century Gothic" w:cs="Century Gothic"/>
          <w:color w:val="000000"/>
          <w:sz w:val="22"/>
          <w:szCs w:val="22"/>
        </w:rPr>
      </w:pPr>
      <w:r w:rsidRPr="00CF0FDC">
        <w:rPr>
          <w:rFonts w:ascii="Century Gothic" w:eastAsia="Century Gothic" w:hAnsi="Century Gothic" w:cs="Century Gothic"/>
          <w:b/>
          <w:sz w:val="22"/>
          <w:szCs w:val="22"/>
        </w:rPr>
        <w:t>Parágrafo 2.</w:t>
      </w:r>
      <w:r w:rsidRPr="00CF0FDC">
        <w:rPr>
          <w:rFonts w:ascii="Century Gothic" w:eastAsia="Century Gothic" w:hAnsi="Century Gothic" w:cs="Century Gothic"/>
          <w:sz w:val="22"/>
          <w:szCs w:val="22"/>
        </w:rPr>
        <w:t xml:space="preserve"> Toda mujer y persona menstruante privada de la libertad en edad fértil recibirá como mínimo un paquete de toallas higiénicas de </w:t>
      </w:r>
      <w:r w:rsidRPr="00CF0FDC">
        <w:rPr>
          <w:rFonts w:ascii="Century Gothic" w:eastAsia="Century Gothic" w:hAnsi="Century Gothic" w:cs="Century Gothic"/>
          <w:color w:val="000000"/>
          <w:sz w:val="22"/>
          <w:szCs w:val="22"/>
        </w:rPr>
        <w:t xml:space="preserve">10 unidades o una </w:t>
      </w:r>
      <w:r w:rsidRPr="00CF0FDC">
        <w:rPr>
          <w:rFonts w:ascii="Century Gothic" w:eastAsia="Century Gothic" w:hAnsi="Century Gothic" w:cs="Century Gothic"/>
          <w:color w:val="000000"/>
          <w:sz w:val="22"/>
          <w:szCs w:val="22"/>
        </w:rPr>
        <w:lastRenderedPageBreak/>
        <w:t xml:space="preserve">cantidad equivalente en cualquier otro producto de higiene y salud menstrual, de acuerdo con la reglamentación del Gobierno Nacional, para suplir el manejo de su período.  </w:t>
      </w:r>
    </w:p>
    <w:p w14:paraId="3D4C263E" w14:textId="77777777" w:rsidR="008332B9" w:rsidRPr="00CF0FDC" w:rsidRDefault="008332B9" w:rsidP="008332B9">
      <w:pPr>
        <w:jc w:val="both"/>
        <w:rPr>
          <w:rFonts w:ascii="Century Gothic" w:hAnsi="Century Gothic" w:cs="Segoe UI"/>
          <w:color w:val="000000"/>
          <w:sz w:val="22"/>
          <w:szCs w:val="22"/>
        </w:rPr>
      </w:pPr>
    </w:p>
    <w:p w14:paraId="2D63ED45" w14:textId="3833EC03" w:rsidR="008332B9" w:rsidRPr="00CF0FDC" w:rsidRDefault="008332B9" w:rsidP="008332B9">
      <w:pPr>
        <w:spacing w:line="276" w:lineRule="auto"/>
        <w:jc w:val="both"/>
        <w:rPr>
          <w:rFonts w:ascii="Century Gothic" w:eastAsia="Century Gothic" w:hAnsi="Century Gothic" w:cs="Century Gothic"/>
          <w:color w:val="000000"/>
          <w:sz w:val="22"/>
          <w:szCs w:val="22"/>
        </w:rPr>
      </w:pPr>
      <w:r w:rsidRPr="00CF0FDC">
        <w:rPr>
          <w:rFonts w:ascii="Century Gothic" w:eastAsia="Century Gothic" w:hAnsi="Century Gothic" w:cs="Century Gothic"/>
          <w:b/>
          <w:sz w:val="22"/>
          <w:szCs w:val="22"/>
        </w:rPr>
        <w:t>Parágrafo 3</w:t>
      </w:r>
      <w:r w:rsidRPr="00CF0FDC">
        <w:rPr>
          <w:rFonts w:ascii="Century Gothic" w:eastAsia="Century Gothic" w:hAnsi="Century Gothic" w:cs="Century Gothic"/>
          <w:sz w:val="22"/>
          <w:szCs w:val="22"/>
        </w:rPr>
        <w:t xml:space="preserve">. Cuando una mujer o persona menstruante privada de la libertad se encuentre en situaciones especiales como: postparto, estado de lactancia, endometriosis o </w:t>
      </w:r>
      <w:r w:rsidR="00CF0FDC" w:rsidRPr="00CF0FDC">
        <w:rPr>
          <w:rFonts w:ascii="Century Gothic" w:eastAsia="Century Gothic" w:hAnsi="Century Gothic" w:cs="Century Gothic"/>
          <w:sz w:val="22"/>
          <w:szCs w:val="22"/>
        </w:rPr>
        <w:t>alguna</w:t>
      </w:r>
      <w:r w:rsidRPr="00CF0FDC">
        <w:rPr>
          <w:rFonts w:ascii="Century Gothic" w:eastAsia="Century Gothic" w:hAnsi="Century Gothic" w:cs="Century Gothic"/>
          <w:sz w:val="22"/>
          <w:szCs w:val="22"/>
        </w:rPr>
        <w:t xml:space="preserve"> </w:t>
      </w:r>
      <w:r w:rsidRPr="00CF0FDC">
        <w:rPr>
          <w:rFonts w:ascii="Century Gothic" w:eastAsia="Century Gothic" w:hAnsi="Century Gothic" w:cs="Century Gothic"/>
          <w:color w:val="000000"/>
          <w:sz w:val="22"/>
          <w:szCs w:val="22"/>
        </w:rPr>
        <w:t xml:space="preserve">patología clínica, se le garantizará el suministro suficiente y oportuno de los productos de higiene menstrual mensuales, de acuerdo a la necesidad. </w:t>
      </w:r>
    </w:p>
    <w:p w14:paraId="6D923440" w14:textId="77777777" w:rsidR="008332B9" w:rsidRPr="00CF0FDC" w:rsidRDefault="008332B9" w:rsidP="008332B9">
      <w:pPr>
        <w:spacing w:line="276" w:lineRule="auto"/>
        <w:jc w:val="both"/>
        <w:rPr>
          <w:rFonts w:ascii="Century Gothic" w:eastAsia="Century Gothic" w:hAnsi="Century Gothic" w:cs="Century Gothic"/>
          <w:color w:val="000000"/>
          <w:sz w:val="22"/>
          <w:szCs w:val="22"/>
        </w:rPr>
      </w:pPr>
    </w:p>
    <w:p w14:paraId="1CEB6055" w14:textId="77777777" w:rsidR="008332B9" w:rsidRPr="00CF0FDC" w:rsidRDefault="008332B9" w:rsidP="008332B9">
      <w:pPr>
        <w:spacing w:line="276" w:lineRule="auto"/>
        <w:jc w:val="both"/>
        <w:rPr>
          <w:rFonts w:ascii="Century Gothic" w:eastAsia="Century Gothic" w:hAnsi="Century Gothic" w:cs="Century Gothic"/>
          <w:color w:val="000000"/>
          <w:sz w:val="22"/>
          <w:szCs w:val="22"/>
        </w:rPr>
      </w:pPr>
      <w:r w:rsidRPr="00CF0FDC">
        <w:rPr>
          <w:rFonts w:ascii="Century Gothic" w:eastAsia="Century Gothic" w:hAnsi="Century Gothic" w:cs="Century Gothic"/>
          <w:color w:val="000000"/>
          <w:sz w:val="22"/>
          <w:szCs w:val="22"/>
        </w:rPr>
        <w:t xml:space="preserve">El Gobierno Nacional reglamentará el suministro, teniendo en cuenta estadísticas sobre la necesidad de productos de higiene y salud menstrual en estas u otras patologías, para garantizar el acceso a los productos sin necesidad de exámenes médicos adicionales a las personas menstruantes. </w:t>
      </w:r>
    </w:p>
    <w:p w14:paraId="0CDB51B5" w14:textId="77777777" w:rsidR="008332B9" w:rsidRPr="00CF0FDC" w:rsidRDefault="008332B9" w:rsidP="008332B9">
      <w:pPr>
        <w:jc w:val="both"/>
        <w:rPr>
          <w:rFonts w:ascii="Century Gothic" w:hAnsi="Century Gothic" w:cs="Segoe UI"/>
          <w:sz w:val="22"/>
          <w:szCs w:val="22"/>
        </w:rPr>
      </w:pPr>
    </w:p>
    <w:p w14:paraId="54DA4267" w14:textId="77777777" w:rsidR="008332B9" w:rsidRPr="00CF0FDC" w:rsidRDefault="008332B9" w:rsidP="008332B9">
      <w:pPr>
        <w:jc w:val="both"/>
        <w:rPr>
          <w:rFonts w:ascii="Century Gothic" w:eastAsia="Century Gothic" w:hAnsi="Century Gothic" w:cs="Century Gothic"/>
          <w:color w:val="000000"/>
          <w:sz w:val="22"/>
          <w:szCs w:val="22"/>
        </w:rPr>
      </w:pPr>
    </w:p>
    <w:p w14:paraId="5432455B" w14:textId="77777777" w:rsidR="008332B9" w:rsidRPr="00CF0FDC" w:rsidRDefault="008332B9" w:rsidP="008332B9">
      <w:pPr>
        <w:jc w:val="both"/>
        <w:rPr>
          <w:rFonts w:ascii="Century Gothic" w:eastAsia="Century Gothic" w:hAnsi="Century Gothic" w:cs="Century Gothic"/>
          <w:color w:val="000000"/>
          <w:sz w:val="22"/>
          <w:szCs w:val="22"/>
        </w:rPr>
      </w:pPr>
      <w:r w:rsidRPr="00CF0FDC">
        <w:rPr>
          <w:rFonts w:ascii="Century Gothic" w:eastAsia="Century Gothic" w:hAnsi="Century Gothic" w:cs="Century Gothic"/>
          <w:b/>
          <w:color w:val="000000"/>
          <w:sz w:val="22"/>
          <w:szCs w:val="22"/>
        </w:rPr>
        <w:t xml:space="preserve">Parágrafo 4. </w:t>
      </w:r>
      <w:r w:rsidRPr="00CF0FDC">
        <w:rPr>
          <w:rFonts w:ascii="Century Gothic" w:eastAsia="Century Gothic" w:hAnsi="Century Gothic" w:cs="Century Gothic"/>
          <w:color w:val="000000"/>
          <w:sz w:val="22"/>
          <w:szCs w:val="22"/>
        </w:rPr>
        <w:t>Por artículos de higiene y salud menstrual se entenderá las compresas, toallas higiénicas, tampones, protectores diarios, copas menstruales y ropa interior femenina absorbente.</w:t>
      </w:r>
    </w:p>
    <w:p w14:paraId="279B8907" w14:textId="77777777" w:rsidR="008332B9" w:rsidRPr="00CF0FDC" w:rsidRDefault="008332B9" w:rsidP="008332B9">
      <w:pPr>
        <w:jc w:val="both"/>
        <w:rPr>
          <w:rFonts w:ascii="Century Gothic" w:eastAsia="Century Gothic" w:hAnsi="Century Gothic" w:cs="Century Gothic"/>
          <w:color w:val="000000"/>
          <w:sz w:val="22"/>
          <w:szCs w:val="22"/>
        </w:rPr>
      </w:pPr>
    </w:p>
    <w:p w14:paraId="14E4AAA3" w14:textId="77777777" w:rsidR="008332B9" w:rsidRPr="00CF0FDC" w:rsidRDefault="008332B9" w:rsidP="008332B9">
      <w:pPr>
        <w:jc w:val="both"/>
        <w:rPr>
          <w:rFonts w:ascii="Century Gothic" w:eastAsia="Century Gothic" w:hAnsi="Century Gothic" w:cs="Century Gothic"/>
          <w:color w:val="000000"/>
          <w:sz w:val="22"/>
          <w:szCs w:val="22"/>
        </w:rPr>
      </w:pPr>
      <w:r w:rsidRPr="00CF0FDC">
        <w:rPr>
          <w:rFonts w:ascii="Century Gothic" w:eastAsia="Century Gothic" w:hAnsi="Century Gothic" w:cs="Century Gothic"/>
          <w:color w:val="000000"/>
          <w:sz w:val="22"/>
          <w:szCs w:val="22"/>
        </w:rPr>
        <w:t>El Gobierno Nacional estudiará los criterios para la reglamentación del suministro y uso, por parte de las personas menstruantes en establecimientos carcelarios, de copas menstruales y/o ropa interior absorbente, teniendo en cuenta las particularidades en la gestión de estos productos.</w:t>
      </w:r>
    </w:p>
    <w:p w14:paraId="71830C17" w14:textId="0548A664" w:rsidR="00592E63" w:rsidRPr="00CF0FDC" w:rsidRDefault="00592E63" w:rsidP="00592E63">
      <w:pPr>
        <w:spacing w:line="276" w:lineRule="auto"/>
        <w:jc w:val="both"/>
        <w:rPr>
          <w:rFonts w:ascii="Century Gothic" w:eastAsia="Century Gothic" w:hAnsi="Century Gothic" w:cs="Century Gothic"/>
          <w:color w:val="000000"/>
          <w:sz w:val="22"/>
          <w:szCs w:val="22"/>
        </w:rPr>
      </w:pPr>
    </w:p>
    <w:p w14:paraId="4B73D23B" w14:textId="77777777" w:rsidR="00592E63" w:rsidRPr="00CF0FDC" w:rsidRDefault="00592E63" w:rsidP="00592E63">
      <w:pPr>
        <w:jc w:val="both"/>
        <w:rPr>
          <w:rFonts w:ascii="Century Gothic" w:eastAsia="Century Gothic" w:hAnsi="Century Gothic" w:cs="Century Gothic"/>
          <w:color w:val="000000"/>
          <w:sz w:val="22"/>
          <w:szCs w:val="22"/>
        </w:rPr>
      </w:pPr>
    </w:p>
    <w:p w14:paraId="3B490FC1" w14:textId="1CEC7E5A" w:rsidR="002969F8" w:rsidRPr="00CF0FDC" w:rsidRDefault="00CF0FDC" w:rsidP="00592E63">
      <w:pPr>
        <w:spacing w:line="276" w:lineRule="auto"/>
        <w:jc w:val="both"/>
        <w:rPr>
          <w:rFonts w:ascii="Century Gothic" w:eastAsia="Century Gothic" w:hAnsi="Century Gothic" w:cs="Century Gothic"/>
          <w:bCs/>
          <w:color w:val="000000"/>
          <w:sz w:val="22"/>
          <w:szCs w:val="22"/>
        </w:rPr>
      </w:pPr>
      <w:r w:rsidRPr="00CF0FDC">
        <w:rPr>
          <w:rFonts w:ascii="Century Gothic" w:eastAsia="Century Gothic" w:hAnsi="Century Gothic" w:cs="Century Gothic"/>
          <w:b/>
          <w:color w:val="000000"/>
          <w:sz w:val="22"/>
          <w:szCs w:val="22"/>
        </w:rPr>
        <w:t xml:space="preserve">Artículo 3°. EDUCACIÓN EN EL MANEJO DE LA HIGIENE Y SALUD MENSTRUAL. </w:t>
      </w:r>
      <w:r w:rsidRPr="00CF0FDC">
        <w:rPr>
          <w:rFonts w:ascii="Century Gothic" w:eastAsia="Century Gothic" w:hAnsi="Century Gothic" w:cs="Century Gothic"/>
          <w:bCs/>
          <w:color w:val="000000"/>
          <w:sz w:val="22"/>
          <w:szCs w:val="22"/>
        </w:rPr>
        <w:t>El Gobierno Nacional a través del Ministerio de Justicia y del Derecho y en coordinación con el Ministerio de Salud y la Secretaría de la Mujer o quien haga sus veces, realizará capacitaciones anuales sobre el manejo de la higiene menstrual, garantizando el enfoque diferencial de género, en todos los centros carcelarios y penitenciarios del país, que cuenten con población reclusa menstruante.</w:t>
      </w:r>
    </w:p>
    <w:p w14:paraId="4503544B" w14:textId="77777777" w:rsidR="00CF0FDC" w:rsidRPr="00CF0FDC" w:rsidRDefault="00CF0FDC" w:rsidP="00592E63">
      <w:pPr>
        <w:spacing w:line="276" w:lineRule="auto"/>
        <w:jc w:val="both"/>
        <w:rPr>
          <w:rFonts w:ascii="Century Gothic" w:eastAsia="Century Gothic" w:hAnsi="Century Gothic" w:cs="Century Gothic"/>
          <w:bCs/>
          <w:sz w:val="22"/>
          <w:szCs w:val="22"/>
        </w:rPr>
      </w:pPr>
    </w:p>
    <w:p w14:paraId="67975712" w14:textId="104A7DA5" w:rsidR="002969F8" w:rsidRPr="00CF0FDC" w:rsidRDefault="002969F8" w:rsidP="002969F8">
      <w:pPr>
        <w:jc w:val="both"/>
        <w:rPr>
          <w:rFonts w:ascii="Century Gothic" w:hAnsi="Century Gothic"/>
          <w:sz w:val="22"/>
          <w:szCs w:val="22"/>
        </w:rPr>
      </w:pPr>
      <w:r w:rsidRPr="00CF0FDC">
        <w:rPr>
          <w:rFonts w:ascii="Century Gothic" w:hAnsi="Century Gothic"/>
          <w:b/>
          <w:sz w:val="22"/>
          <w:szCs w:val="22"/>
        </w:rPr>
        <w:t xml:space="preserve">Artículo 4°. </w:t>
      </w:r>
      <w:r w:rsidRPr="00CF0FDC">
        <w:rPr>
          <w:rFonts w:ascii="Century Gothic" w:hAnsi="Century Gothic"/>
          <w:sz w:val="22"/>
          <w:szCs w:val="22"/>
        </w:rPr>
        <w:t xml:space="preserve">El Ministerio de Salud y Protección Social reglamentará con ayuda del INPEC, la entrega gratuita de los insumos destinados a la higiene menstrual </w:t>
      </w:r>
      <w:r w:rsidR="00CF0FDC" w:rsidRPr="00CF0FDC">
        <w:rPr>
          <w:rFonts w:ascii="Century Gothic" w:hAnsi="Century Gothic"/>
          <w:sz w:val="22"/>
          <w:szCs w:val="22"/>
        </w:rPr>
        <w:t>de</w:t>
      </w:r>
      <w:r w:rsidRPr="00CF0FDC">
        <w:rPr>
          <w:rFonts w:ascii="Century Gothic" w:hAnsi="Century Gothic"/>
          <w:sz w:val="22"/>
          <w:szCs w:val="22"/>
        </w:rPr>
        <w:t xml:space="preserve"> las mujeres y personas menstruantes privadas de la libertad.</w:t>
      </w:r>
    </w:p>
    <w:p w14:paraId="59FD5AF5" w14:textId="77777777" w:rsidR="002969F8" w:rsidRPr="00CF0FDC" w:rsidRDefault="002969F8" w:rsidP="00592E63">
      <w:pPr>
        <w:spacing w:line="276" w:lineRule="auto"/>
        <w:jc w:val="both"/>
        <w:rPr>
          <w:rFonts w:ascii="Century Gothic" w:eastAsia="Century Gothic" w:hAnsi="Century Gothic" w:cs="Century Gothic"/>
          <w:sz w:val="22"/>
          <w:szCs w:val="22"/>
        </w:rPr>
      </w:pPr>
    </w:p>
    <w:p w14:paraId="166C92CC" w14:textId="77777777" w:rsidR="00592E63" w:rsidRPr="00CF0FDC" w:rsidRDefault="00592E63" w:rsidP="00592E63">
      <w:pPr>
        <w:jc w:val="both"/>
        <w:rPr>
          <w:rFonts w:ascii="Century Gothic" w:hAnsi="Century Gothic"/>
          <w:sz w:val="22"/>
          <w:szCs w:val="22"/>
        </w:rPr>
      </w:pPr>
    </w:p>
    <w:p w14:paraId="5E485654" w14:textId="3D5D2EF2" w:rsidR="00592E63" w:rsidRPr="00CF0FDC" w:rsidRDefault="00592E63" w:rsidP="00592E63">
      <w:pPr>
        <w:tabs>
          <w:tab w:val="left" w:pos="467"/>
        </w:tabs>
        <w:spacing w:line="276" w:lineRule="auto"/>
        <w:jc w:val="both"/>
        <w:rPr>
          <w:rFonts w:ascii="Century Gothic" w:eastAsia="Century Gothic" w:hAnsi="Century Gothic" w:cs="Century Gothic"/>
          <w:color w:val="080808"/>
          <w:sz w:val="22"/>
          <w:szCs w:val="22"/>
        </w:rPr>
      </w:pPr>
      <w:r w:rsidRPr="00CF0FDC">
        <w:rPr>
          <w:rFonts w:ascii="Century Gothic" w:eastAsia="Century Gothic" w:hAnsi="Century Gothic" w:cs="Century Gothic"/>
          <w:b/>
          <w:color w:val="080808"/>
          <w:sz w:val="22"/>
          <w:szCs w:val="22"/>
        </w:rPr>
        <w:t xml:space="preserve">Artículo </w:t>
      </w:r>
      <w:r w:rsidR="002969F8" w:rsidRPr="00CF0FDC">
        <w:rPr>
          <w:rFonts w:ascii="Century Gothic" w:eastAsia="Century Gothic" w:hAnsi="Century Gothic" w:cs="Century Gothic"/>
          <w:b/>
          <w:color w:val="080808"/>
          <w:sz w:val="22"/>
          <w:szCs w:val="22"/>
        </w:rPr>
        <w:t>5</w:t>
      </w:r>
      <w:r w:rsidRPr="00CF0FDC">
        <w:rPr>
          <w:rFonts w:ascii="Century Gothic" w:eastAsia="Century Gothic" w:hAnsi="Century Gothic" w:cs="Century Gothic"/>
          <w:b/>
          <w:color w:val="080808"/>
          <w:sz w:val="22"/>
          <w:szCs w:val="22"/>
        </w:rPr>
        <w:t xml:space="preserve">°. </w:t>
      </w:r>
      <w:r w:rsidRPr="00CF0FDC">
        <w:rPr>
          <w:rFonts w:ascii="Century Gothic" w:eastAsia="Century Gothic" w:hAnsi="Century Gothic" w:cs="Century Gothic"/>
          <w:color w:val="080808"/>
          <w:sz w:val="22"/>
          <w:szCs w:val="22"/>
        </w:rPr>
        <w:t>La presente ley rige a partir de la fecha de su publicación y deroga las disposiciones que le sean contrarias.</w:t>
      </w:r>
    </w:p>
    <w:p w14:paraId="1824B387" w14:textId="77777777" w:rsidR="00592E63" w:rsidRDefault="00592E63" w:rsidP="00592E63">
      <w:pPr>
        <w:tabs>
          <w:tab w:val="left" w:pos="467"/>
        </w:tabs>
        <w:spacing w:line="276" w:lineRule="auto"/>
        <w:jc w:val="both"/>
        <w:rPr>
          <w:rFonts w:ascii="Century Gothic" w:eastAsia="Century Gothic" w:hAnsi="Century Gothic" w:cs="Century Gothic"/>
          <w:color w:val="080808"/>
          <w:sz w:val="22"/>
          <w:szCs w:val="22"/>
        </w:rPr>
      </w:pPr>
    </w:p>
    <w:p w14:paraId="78F4DAB8" w14:textId="14C2CA0F" w:rsidR="008E7DD7" w:rsidRDefault="00592E63" w:rsidP="00592E63">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Presentado por:</w:t>
      </w:r>
    </w:p>
    <w:p w14:paraId="0FCE4DE3" w14:textId="788EA5EC" w:rsidR="00CF0FDC" w:rsidRDefault="00CF0FDC" w:rsidP="00592E63">
      <w:pPr>
        <w:spacing w:after="240" w:line="276" w:lineRule="auto"/>
        <w:jc w:val="both"/>
        <w:rPr>
          <w:rFonts w:ascii="Century Gothic" w:eastAsia="Century Gothic" w:hAnsi="Century Gothic" w:cs="Century Gothic"/>
          <w:sz w:val="22"/>
          <w:szCs w:val="22"/>
        </w:rPr>
      </w:pPr>
    </w:p>
    <w:p w14:paraId="1380523D" w14:textId="77777777" w:rsidR="00CF0FDC" w:rsidRDefault="00CF0FDC" w:rsidP="00592E63">
      <w:pPr>
        <w:spacing w:after="240" w:line="276" w:lineRule="auto"/>
        <w:jc w:val="both"/>
        <w:rPr>
          <w:rFonts w:ascii="Century Gothic" w:eastAsia="Century Gothic" w:hAnsi="Century Gothic" w:cs="Century Gothic"/>
          <w:sz w:val="22"/>
          <w:szCs w:val="22"/>
        </w:rPr>
      </w:pPr>
    </w:p>
    <w:p w14:paraId="753A2BC7" w14:textId="77777777" w:rsidR="00592E63" w:rsidRDefault="00592E63" w:rsidP="00592E63">
      <w:pPr>
        <w:spacing w:line="276" w:lineRule="auto"/>
        <w:rPr>
          <w:rFonts w:ascii="Century Gothic" w:eastAsia="Century Gothic" w:hAnsi="Century Gothic" w:cs="Century Gothic"/>
          <w:b/>
          <w:sz w:val="22"/>
          <w:szCs w:val="22"/>
        </w:rPr>
      </w:pPr>
    </w:p>
    <w:p w14:paraId="53AE595E" w14:textId="77777777" w:rsidR="00592E63" w:rsidRDefault="00592E63" w:rsidP="00592E63">
      <w:pPr>
        <w:spacing w:line="276" w:lineRule="auto"/>
        <w:rPr>
          <w:rFonts w:ascii="Century Gothic" w:eastAsia="Century Gothic" w:hAnsi="Century Gothic" w:cs="Century Gothic"/>
          <w:b/>
          <w:sz w:val="22"/>
          <w:szCs w:val="22"/>
        </w:rPr>
      </w:pPr>
    </w:p>
    <w:p w14:paraId="62A75086" w14:textId="77777777" w:rsidR="00592E63" w:rsidRDefault="00592E63" w:rsidP="00592E63">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ADRIANA MAGALI MATIZ VARGAS</w:t>
      </w:r>
    </w:p>
    <w:p w14:paraId="47C91BAA"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14:paraId="093733AF" w14:textId="77777777" w:rsidR="00592E63" w:rsidRDefault="00592E63" w:rsidP="00592E63">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14:paraId="25C67BC5" w14:textId="77777777" w:rsidR="00592E63" w:rsidRDefault="00592E63" w:rsidP="00592E63">
      <w:pPr>
        <w:tabs>
          <w:tab w:val="left" w:pos="467"/>
        </w:tabs>
        <w:jc w:val="center"/>
        <w:rPr>
          <w:rFonts w:ascii="Century Gothic" w:eastAsia="Century Gothic" w:hAnsi="Century Gothic" w:cs="Century Gothic"/>
          <w:sz w:val="22"/>
          <w:szCs w:val="22"/>
        </w:rPr>
      </w:pPr>
    </w:p>
    <w:p w14:paraId="534DB510" w14:textId="77777777" w:rsidR="00592E63" w:rsidRPr="00E22E8F" w:rsidRDefault="00592E63" w:rsidP="00FC751C">
      <w:pPr>
        <w:spacing w:line="276" w:lineRule="auto"/>
        <w:rPr>
          <w:rFonts w:ascii="Century Gothic" w:eastAsia="Calibri" w:hAnsi="Century Gothic" w:cs="Aparajita"/>
          <w:b/>
          <w:bCs/>
          <w:sz w:val="21"/>
          <w:szCs w:val="21"/>
        </w:rPr>
      </w:pPr>
    </w:p>
    <w:sectPr w:rsidR="00592E63" w:rsidRPr="00E22E8F" w:rsidSect="00483D54">
      <w:headerReference w:type="default" r:id="rId16"/>
      <w:footerReference w:type="default" r:id="rId17"/>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4BFE" w14:textId="77777777" w:rsidR="00C75FF9" w:rsidRDefault="00C75FF9">
      <w:r>
        <w:separator/>
      </w:r>
    </w:p>
  </w:endnote>
  <w:endnote w:type="continuationSeparator" w:id="0">
    <w:p w14:paraId="4B643897" w14:textId="77777777" w:rsidR="00C75FF9" w:rsidRDefault="00C7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BB44" w14:textId="12C95568" w:rsidR="00553E85" w:rsidRPr="003F7608" w:rsidRDefault="00553E85" w:rsidP="003F7608">
    <w:r>
      <w:t xml:space="preserve">                            </w:t>
    </w:r>
  </w:p>
  <w:p w14:paraId="21FC05D5" w14:textId="09122EA2" w:rsidR="00553E85" w:rsidRPr="002D55F4" w:rsidRDefault="00553E85" w:rsidP="003F7608">
    <w:pPr>
      <w:jc w:val="center"/>
      <w:rPr>
        <w:rFonts w:ascii="Arial" w:hAnsi="Arial" w:cs="Arial"/>
        <w:b/>
        <w:bCs/>
        <w:color w:val="0070C0"/>
        <w:sz w:val="16"/>
      </w:rPr>
    </w:pPr>
    <w:r w:rsidRPr="002D55F4">
      <w:rPr>
        <w:rFonts w:ascii="Arial" w:hAnsi="Arial" w:cs="Arial"/>
        <w:b/>
        <w:bCs/>
        <w:color w:val="0070C0"/>
        <w:sz w:val="16"/>
      </w:rPr>
      <w:t>AQUÍ VIVE LA DEMOCRACIA</w:t>
    </w:r>
  </w:p>
  <w:p w14:paraId="5C7885F5" w14:textId="1993A8C4" w:rsidR="00553E85" w:rsidRDefault="00553E85" w:rsidP="003F7608">
    <w:pPr>
      <w:tabs>
        <w:tab w:val="left" w:pos="5018"/>
      </w:tabs>
      <w:rPr>
        <w:rFonts w:ascii="Century Gothic" w:hAnsi="Century Gothic"/>
        <w:i/>
        <w:color w:val="808080" w:themeColor="background1" w:themeShade="80"/>
        <w:sz w:val="16"/>
      </w:rPr>
    </w:pPr>
    <w:r w:rsidRPr="009339AA">
      <w:rPr>
        <w:rFonts w:ascii="Century Gothic" w:hAnsi="Century Gothic"/>
        <w:noProof/>
        <w:color w:val="808080" w:themeColor="background1" w:themeShade="80"/>
        <w:sz w:val="15"/>
      </w:rPr>
      <mc:AlternateContent>
        <mc:Choice Requires="wps">
          <w:drawing>
            <wp:anchor distT="0" distB="0" distL="114300" distR="114300" simplePos="0" relativeHeight="251663360" behindDoc="0" locked="0" layoutInCell="1" allowOverlap="1" wp14:anchorId="042E11F1" wp14:editId="65125087">
              <wp:simplePos x="0" y="0"/>
              <wp:positionH relativeFrom="column">
                <wp:posOffset>4406900</wp:posOffset>
              </wp:positionH>
              <wp:positionV relativeFrom="paragraph">
                <wp:posOffset>19050</wp:posOffset>
              </wp:positionV>
              <wp:extent cx="573742" cy="46965"/>
              <wp:effectExtent l="0" t="0" r="10795" b="4445"/>
              <wp:wrapNone/>
              <wp:docPr id="1" name="Rectángulo 1"/>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5DFB4E" id="Rectángulo 1" o:spid="_x0000_s1026" style="position:absolute;margin-left:347pt;margin-top:1.5pt;width:45.2pt;height:3.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" fillcolor="yellow" stroked="f" strokeweight="2pt"/>
          </w:pict>
        </mc:Fallback>
      </mc:AlternateContent>
    </w:r>
    <w:r w:rsidRPr="005D5663">
      <w:rPr>
        <w:rFonts w:ascii="Arial" w:hAnsi="Arial" w:cs="Arial"/>
        <w:b/>
        <w:bCs/>
        <w:noProof/>
        <w:color w:val="0070C0"/>
        <w:sz w:val="15"/>
      </w:rPr>
      <mc:AlternateContent>
        <mc:Choice Requires="wps">
          <w:drawing>
            <wp:anchor distT="0" distB="0" distL="114300" distR="114300" simplePos="0" relativeHeight="251664384" behindDoc="0" locked="0" layoutInCell="1" allowOverlap="1" wp14:anchorId="35F813A9" wp14:editId="29AAFAFD">
              <wp:simplePos x="0" y="0"/>
              <wp:positionH relativeFrom="column">
                <wp:posOffset>5179695</wp:posOffset>
              </wp:positionH>
              <wp:positionV relativeFrom="paragraph">
                <wp:posOffset>55880</wp:posOffset>
              </wp:positionV>
              <wp:extent cx="685800" cy="45719"/>
              <wp:effectExtent l="0" t="0" r="0" b="5715"/>
              <wp:wrapNone/>
              <wp:docPr id="2" name="Rectángulo 2"/>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F0228" id="Rectángulo 2" o:spid="_x0000_s1026" style="position:absolute;margin-left:407.85pt;margin-top:4.4pt;width:5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" fillcolor="#4f81bd [3204]" stroked="f" strokeweight="2pt"/>
          </w:pict>
        </mc:Fallback>
      </mc:AlternateContent>
    </w:r>
    <w:r>
      <w:rPr>
        <w:rFonts w:ascii="Century Gothic" w:hAnsi="Century Gothic"/>
        <w:i/>
        <w:noProof/>
        <w:color w:val="808080" w:themeColor="background1" w:themeShade="80"/>
        <w:sz w:val="16"/>
      </w:rPr>
      <mc:AlternateContent>
        <mc:Choice Requires="wps">
          <w:drawing>
            <wp:anchor distT="0" distB="0" distL="114300" distR="114300" simplePos="0" relativeHeight="251665408" behindDoc="0" locked="0" layoutInCell="1" allowOverlap="1" wp14:anchorId="27E0EB59" wp14:editId="4542BC65">
              <wp:simplePos x="0" y="0"/>
              <wp:positionH relativeFrom="column">
                <wp:posOffset>6050280</wp:posOffset>
              </wp:positionH>
              <wp:positionV relativeFrom="paragraph">
                <wp:posOffset>10160</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B4CC4" id="Rectángulo 3" o:spid="_x0000_s1026" style="position:absolute;margin-left:476.4pt;margin-top:.8pt;width:53.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" fillcolor="red" stroked="f" strokeweight="2pt"/>
          </w:pict>
        </mc:Fallback>
      </mc:AlternateContent>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p>
  <w:p w14:paraId="16B7F015" w14:textId="77777777" w:rsidR="00553E85" w:rsidRDefault="00553E85" w:rsidP="003F7608">
    <w:pPr>
      <w:jc w:val="center"/>
      <w:rPr>
        <w:rFonts w:ascii="Arial" w:hAnsi="Arial" w:cs="Arial"/>
        <w:b/>
        <w:bCs/>
        <w:color w:val="0070C0"/>
        <w:sz w:val="18"/>
        <w:szCs w:val="18"/>
      </w:rPr>
    </w:pPr>
    <w:r w:rsidRPr="005D5663">
      <w:rPr>
        <w:rFonts w:ascii="Arial" w:hAnsi="Arial" w:cs="Arial"/>
        <w:b/>
        <w:bCs/>
        <w:color w:val="0070C0"/>
        <w:sz w:val="18"/>
        <w:szCs w:val="18"/>
      </w:rPr>
      <w:t>Ediﬁcio Nuevo del Congreso: Carrera 7 N° 8 - 68 -</w:t>
    </w:r>
    <w:r>
      <w:rPr>
        <w:rFonts w:ascii="Arial" w:hAnsi="Arial" w:cs="Arial"/>
        <w:b/>
        <w:bCs/>
        <w:color w:val="0070C0"/>
        <w:sz w:val="18"/>
        <w:szCs w:val="18"/>
      </w:rPr>
      <w:t xml:space="preserve"> O</w:t>
    </w:r>
    <w:r w:rsidRPr="005D5663">
      <w:rPr>
        <w:rFonts w:ascii="Arial" w:hAnsi="Arial" w:cs="Arial"/>
        <w:b/>
        <w:bCs/>
        <w:color w:val="0070C0"/>
        <w:sz w:val="18"/>
        <w:szCs w:val="18"/>
      </w:rPr>
      <w:t>ficina</w:t>
    </w:r>
    <w:r>
      <w:rPr>
        <w:rFonts w:ascii="Arial" w:hAnsi="Arial" w:cs="Arial"/>
        <w:b/>
        <w:bCs/>
        <w:color w:val="0070C0"/>
        <w:sz w:val="18"/>
        <w:szCs w:val="18"/>
      </w:rPr>
      <w:t>s</w:t>
    </w:r>
    <w:r w:rsidRPr="005D5663">
      <w:rPr>
        <w:rFonts w:ascii="Arial" w:hAnsi="Arial" w:cs="Arial"/>
        <w:b/>
        <w:bCs/>
        <w:color w:val="0070C0"/>
        <w:sz w:val="18"/>
        <w:szCs w:val="18"/>
      </w:rPr>
      <w:t xml:space="preserve"> 432B – 433B</w:t>
    </w:r>
  </w:p>
  <w:p w14:paraId="29821492" w14:textId="77777777" w:rsidR="00553E85" w:rsidRDefault="00553E85" w:rsidP="003F7608">
    <w:pPr>
      <w:jc w:val="center"/>
      <w:rPr>
        <w:rFonts w:ascii="Arial" w:hAnsi="Arial" w:cs="Arial"/>
        <w:b/>
        <w:bCs/>
        <w:color w:val="0070C0"/>
        <w:sz w:val="18"/>
        <w:szCs w:val="18"/>
      </w:rPr>
    </w:pPr>
    <w:r w:rsidRPr="005D5663">
      <w:rPr>
        <w:rFonts w:ascii="Arial" w:hAnsi="Arial" w:cs="Arial"/>
        <w:b/>
        <w:bCs/>
        <w:color w:val="0070C0"/>
        <w:sz w:val="18"/>
        <w:szCs w:val="18"/>
      </w:rPr>
      <w:t xml:space="preserve">Teléfono: Tel (57+1) 4325100 (57+1) </w:t>
    </w:r>
    <w:r>
      <w:rPr>
        <w:rFonts w:ascii="Arial" w:hAnsi="Arial" w:cs="Arial"/>
        <w:b/>
        <w:bCs/>
        <w:color w:val="0070C0"/>
        <w:sz w:val="18"/>
        <w:szCs w:val="18"/>
      </w:rPr>
      <w:t>4325101 (57+1) 4325102 Extensiones</w:t>
    </w:r>
    <w:r w:rsidRPr="005D5663">
      <w:rPr>
        <w:rFonts w:ascii="Arial" w:hAnsi="Arial" w:cs="Arial"/>
        <w:b/>
        <w:bCs/>
        <w:color w:val="0070C0"/>
        <w:sz w:val="18"/>
        <w:szCs w:val="18"/>
      </w:rPr>
      <w:t>: 3330</w:t>
    </w:r>
    <w:r>
      <w:rPr>
        <w:rFonts w:ascii="Arial" w:hAnsi="Arial" w:cs="Arial"/>
        <w:b/>
        <w:bCs/>
        <w:color w:val="0070C0"/>
        <w:sz w:val="18"/>
        <w:szCs w:val="18"/>
      </w:rPr>
      <w:t xml:space="preserve"> </w:t>
    </w:r>
    <w:r w:rsidRPr="005D5663">
      <w:rPr>
        <w:rFonts w:ascii="Arial" w:hAnsi="Arial" w:cs="Arial"/>
        <w:b/>
        <w:bCs/>
        <w:color w:val="0070C0"/>
        <w:sz w:val="18"/>
        <w:szCs w:val="18"/>
      </w:rPr>
      <w:t>-</w:t>
    </w:r>
    <w:r>
      <w:rPr>
        <w:rFonts w:ascii="Arial" w:hAnsi="Arial" w:cs="Arial"/>
        <w:b/>
        <w:bCs/>
        <w:color w:val="0070C0"/>
        <w:sz w:val="18"/>
        <w:szCs w:val="18"/>
      </w:rPr>
      <w:t xml:space="preserve"> </w:t>
    </w:r>
    <w:r w:rsidRPr="005D5663">
      <w:rPr>
        <w:rFonts w:ascii="Arial" w:hAnsi="Arial" w:cs="Arial"/>
        <w:b/>
        <w:bCs/>
        <w:color w:val="0070C0"/>
        <w:sz w:val="18"/>
        <w:szCs w:val="18"/>
      </w:rPr>
      <w:t>3357</w:t>
    </w:r>
  </w:p>
  <w:p w14:paraId="7E5BEEB1" w14:textId="77777777" w:rsidR="00553E85" w:rsidRPr="00032C54" w:rsidRDefault="00553E85" w:rsidP="003F7608">
    <w:pPr>
      <w:ind w:firstLine="708"/>
      <w:jc w:val="center"/>
      <w:rPr>
        <w:rFonts w:ascii="Arial" w:hAnsi="Arial" w:cs="Arial"/>
        <w:b/>
        <w:bCs/>
        <w:color w:val="0070C0"/>
        <w:sz w:val="18"/>
        <w:szCs w:val="18"/>
      </w:rPr>
    </w:pPr>
    <w:r w:rsidRPr="005D5663">
      <w:rPr>
        <w:rFonts w:ascii="Arial" w:hAnsi="Arial" w:cs="Arial"/>
        <w:b/>
        <w:bCs/>
        <w:color w:val="0070C0"/>
        <w:sz w:val="18"/>
        <w:szCs w:val="18"/>
      </w:rPr>
      <w:t xml:space="preserve"> Email: asistentemagalimatiz01@gmail.com</w:t>
    </w:r>
  </w:p>
  <w:p w14:paraId="4698FECC" w14:textId="77777777" w:rsidR="00553E85" w:rsidRPr="00C63625" w:rsidRDefault="00553E85" w:rsidP="00545F6B">
    <w:pPr>
      <w:ind w:firstLine="708"/>
      <w:rPr>
        <w:i/>
        <w:color w:val="808080" w:themeColor="background1" w:themeShade="80"/>
      </w:rPr>
    </w:pPr>
    <w:r w:rsidRPr="00C63625">
      <w:rPr>
        <w:i/>
        <w:color w:val="808080" w:themeColor="background1" w:themeShade="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54CB" w14:textId="77777777" w:rsidR="00C75FF9" w:rsidRDefault="00C75FF9">
      <w:r>
        <w:separator/>
      </w:r>
    </w:p>
  </w:footnote>
  <w:footnote w:type="continuationSeparator" w:id="0">
    <w:p w14:paraId="0E914283" w14:textId="77777777" w:rsidR="00C75FF9" w:rsidRDefault="00C75FF9">
      <w:r>
        <w:continuationSeparator/>
      </w:r>
    </w:p>
  </w:footnote>
  <w:footnote w:id="1">
    <w:p w14:paraId="160B1F04" w14:textId="77777777" w:rsidR="004F3125" w:rsidRDefault="004F3125" w:rsidP="004F3125">
      <w:pPr>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color w:val="2D2D2D"/>
          <w:sz w:val="16"/>
          <w:szCs w:val="16"/>
          <w:highlight w:val="white"/>
        </w:rPr>
        <w:t xml:space="preserve">Sentencia T-291/16: </w:t>
      </w:r>
      <w:hyperlink r:id="rId1">
        <w:r>
          <w:rPr>
            <w:rFonts w:ascii="Century Gothic" w:eastAsia="Century Gothic" w:hAnsi="Century Gothic" w:cs="Century Gothic"/>
            <w:color w:val="0000FF"/>
            <w:sz w:val="16"/>
            <w:szCs w:val="16"/>
            <w:highlight w:val="white"/>
            <w:u w:val="single"/>
          </w:rPr>
          <w:t>https://www.corteconstitucional.gov.co/relatoria/2016/t-291-16.htm</w:t>
        </w:r>
      </w:hyperlink>
      <w:r>
        <w:rPr>
          <w:rFonts w:ascii="Century Gothic" w:eastAsia="Century Gothic" w:hAnsi="Century Gothic" w:cs="Century Gothic"/>
          <w:color w:val="2D2D2D"/>
          <w:sz w:val="16"/>
          <w:szCs w:val="16"/>
          <w:highlight w:val="white"/>
        </w:rPr>
        <w:t xml:space="preserve"> </w:t>
      </w:r>
    </w:p>
  </w:footnote>
  <w:footnote w:id="2">
    <w:p w14:paraId="43B19B78"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
        <w:r>
          <w:rPr>
            <w:rFonts w:ascii="Century Gothic" w:eastAsia="Century Gothic" w:hAnsi="Century Gothic" w:cs="Century Gothic"/>
            <w:color w:val="0000FF"/>
            <w:sz w:val="16"/>
            <w:szCs w:val="16"/>
            <w:u w:val="single"/>
          </w:rPr>
          <w:t>http://www.secretariasenado.gov.co/senado/basedoc/ley_0065_1993.html</w:t>
        </w:r>
      </w:hyperlink>
      <w:r>
        <w:rPr>
          <w:rFonts w:ascii="Century Gothic" w:eastAsia="Century Gothic" w:hAnsi="Century Gothic" w:cs="Century Gothic"/>
          <w:color w:val="000000"/>
          <w:sz w:val="16"/>
          <w:szCs w:val="16"/>
        </w:rPr>
        <w:t xml:space="preserve"> </w:t>
      </w:r>
    </w:p>
  </w:footnote>
  <w:footnote w:id="3">
    <w:p w14:paraId="0FA61B38"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
        <w:r>
          <w:rPr>
            <w:rFonts w:ascii="Century Gothic" w:eastAsia="Century Gothic" w:hAnsi="Century Gothic" w:cs="Century Gothic"/>
            <w:color w:val="0000FF"/>
            <w:sz w:val="16"/>
            <w:szCs w:val="16"/>
            <w:u w:val="single"/>
          </w:rPr>
          <w:t>http://www.politicacriminal.gov.co/Portals/0/documento/cosas%20institucional.pdf</w:t>
        </w:r>
      </w:hyperlink>
      <w:r>
        <w:rPr>
          <w:rFonts w:ascii="Century Gothic" w:eastAsia="Century Gothic" w:hAnsi="Century Gothic" w:cs="Century Gothic"/>
          <w:color w:val="000000"/>
          <w:sz w:val="16"/>
          <w:szCs w:val="16"/>
        </w:rPr>
        <w:t xml:space="preserve"> </w:t>
      </w:r>
    </w:p>
  </w:footnote>
  <w:footnote w:id="4">
    <w:p w14:paraId="726EF7E6" w14:textId="77777777" w:rsidR="004F3125" w:rsidRDefault="004F3125" w:rsidP="004F3125">
      <w:pPr>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color w:val="2D2D2D"/>
          <w:sz w:val="16"/>
          <w:szCs w:val="16"/>
        </w:rPr>
        <w:t xml:space="preserve">La figura del Estado de Cosas Inconstitucional, es aquella mediante la cual esta Corte, como otros Tribunales en el mundo, ha constatado que en algunas situaciones particulares el texto constitucional carece de efectividad en el plano de la realidad, tornándose meramente formal. Se ha decretado al verificar el desconocimiento de la Constitución en algunas prácticas cotidianas en las que interviene la Administración, y en las que las autoridades públicas, aún al actuar en el marco de sus competencias legales, tejen su actividad al margen de los derechos humanos y de sus obligaciones constitucionales, en relación con su respeto y garantía. Sentencia T-762/15. </w:t>
      </w:r>
    </w:p>
  </w:footnote>
  <w:footnote w:id="5">
    <w:p w14:paraId="26293A7A"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
        <w:r>
          <w:rPr>
            <w:rFonts w:ascii="Century Gothic" w:eastAsia="Century Gothic" w:hAnsi="Century Gothic" w:cs="Century Gothic"/>
            <w:color w:val="0000FF"/>
            <w:sz w:val="16"/>
            <w:szCs w:val="16"/>
            <w:u w:val="single"/>
          </w:rPr>
          <w:t>https://www.corteconstitucional.gov.co/relatoria/1998/t-153-98.htm</w:t>
        </w:r>
      </w:hyperlink>
      <w:r>
        <w:rPr>
          <w:rFonts w:ascii="Century Gothic" w:eastAsia="Century Gothic" w:hAnsi="Century Gothic" w:cs="Century Gothic"/>
          <w:color w:val="000000"/>
          <w:sz w:val="16"/>
          <w:szCs w:val="16"/>
        </w:rPr>
        <w:t xml:space="preserve"> </w:t>
      </w:r>
    </w:p>
  </w:footnote>
  <w:footnote w:id="6">
    <w:p w14:paraId="16B520FB"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5">
        <w:r>
          <w:rPr>
            <w:rFonts w:ascii="Century Gothic" w:eastAsia="Century Gothic" w:hAnsi="Century Gothic" w:cs="Century Gothic"/>
            <w:color w:val="0000FF"/>
            <w:sz w:val="16"/>
            <w:szCs w:val="16"/>
            <w:u w:val="single"/>
          </w:rPr>
          <w:t>https://www.corteconstitucional.gov.co/relatoria/2013/t-388-13.htm</w:t>
        </w:r>
      </w:hyperlink>
    </w:p>
  </w:footnote>
  <w:footnote w:id="7">
    <w:p w14:paraId="3DBEFBAD" w14:textId="3482F4FB" w:rsidR="004F3125" w:rsidRPr="00103EAB" w:rsidRDefault="004F3125" w:rsidP="004F3125">
      <w:pPr>
        <w:spacing w:line="276" w:lineRule="auto"/>
        <w:jc w:val="both"/>
        <w:rPr>
          <w:rFonts w:ascii="Century Gothic" w:eastAsia="Century Gothic" w:hAnsi="Century Gothic" w:cs="Century Gothic"/>
          <w:sz w:val="16"/>
          <w:szCs w:val="16"/>
        </w:rPr>
      </w:pPr>
      <w:r w:rsidRPr="00103EAB">
        <w:rPr>
          <w:sz w:val="16"/>
          <w:szCs w:val="16"/>
          <w:vertAlign w:val="superscript"/>
        </w:rPr>
        <w:footnoteRef/>
      </w:r>
      <w:r w:rsidRPr="00103EAB">
        <w:rPr>
          <w:rFonts w:ascii="Century Gothic" w:eastAsia="Century Gothic" w:hAnsi="Century Gothic" w:cs="Century Gothic"/>
          <w:sz w:val="16"/>
          <w:szCs w:val="16"/>
        </w:rPr>
        <w:t xml:space="preserve"> Informe estadístico población privada de la libertad – INPEC, </w:t>
      </w:r>
      <w:r w:rsidR="00D24EFC">
        <w:rPr>
          <w:rFonts w:ascii="Century Gothic" w:eastAsia="Century Gothic" w:hAnsi="Century Gothic" w:cs="Century Gothic"/>
          <w:sz w:val="16"/>
          <w:szCs w:val="16"/>
        </w:rPr>
        <w:t>Octubre</w:t>
      </w:r>
      <w:r w:rsidRPr="00103EAB">
        <w:rPr>
          <w:rFonts w:ascii="Century Gothic" w:eastAsia="Century Gothic" w:hAnsi="Century Gothic" w:cs="Century Gothic"/>
          <w:sz w:val="16"/>
          <w:szCs w:val="16"/>
        </w:rPr>
        <w:t xml:space="preserve"> de 2021: p.1</w:t>
      </w:r>
      <w:r w:rsidR="00D24EFC">
        <w:rPr>
          <w:rFonts w:ascii="Century Gothic" w:eastAsia="Century Gothic" w:hAnsi="Century Gothic" w:cs="Century Gothic"/>
          <w:sz w:val="16"/>
          <w:szCs w:val="16"/>
        </w:rPr>
        <w:t>3</w:t>
      </w:r>
      <w:r w:rsidRPr="00103EAB">
        <w:rPr>
          <w:rFonts w:ascii="Century Gothic" w:eastAsia="Century Gothic" w:hAnsi="Century Gothic" w:cs="Century Gothic"/>
          <w:sz w:val="16"/>
          <w:szCs w:val="16"/>
        </w:rPr>
        <w:t>.</w:t>
      </w:r>
    </w:p>
  </w:footnote>
  <w:footnote w:id="8">
    <w:p w14:paraId="59763E4D" w14:textId="6D0CF9F3" w:rsidR="00103EAB" w:rsidRPr="00103EAB" w:rsidRDefault="00103EAB">
      <w:pPr>
        <w:pStyle w:val="Textonotapie"/>
        <w:rPr>
          <w:lang w:val="es-ES"/>
        </w:rPr>
      </w:pPr>
      <w:r w:rsidRPr="00103EAB">
        <w:rPr>
          <w:rStyle w:val="Refdenotaalpie"/>
          <w:rFonts w:ascii="Century Gothic" w:hAnsi="Century Gothic"/>
          <w:sz w:val="16"/>
          <w:szCs w:val="16"/>
        </w:rPr>
        <w:footnoteRef/>
      </w:r>
      <w:r w:rsidRPr="00103EAB">
        <w:rPr>
          <w:rFonts w:ascii="Century Gothic" w:hAnsi="Century Gothic"/>
          <w:sz w:val="16"/>
          <w:szCs w:val="16"/>
        </w:rPr>
        <w:t xml:space="preserve"> </w:t>
      </w:r>
      <w:r w:rsidRPr="00103EAB">
        <w:rPr>
          <w:rFonts w:ascii="Century Gothic" w:hAnsi="Century Gothic"/>
          <w:sz w:val="16"/>
          <w:szCs w:val="16"/>
          <w:lang w:val="es-ES"/>
        </w:rPr>
        <w:t>Ibídem</w:t>
      </w:r>
      <w:r>
        <w:rPr>
          <w:rFonts w:ascii="Century Gothic" w:hAnsi="Century Gothic"/>
          <w:sz w:val="16"/>
          <w:szCs w:val="16"/>
          <w:lang w:val="es-ES"/>
        </w:rPr>
        <w:t>.</w:t>
      </w:r>
    </w:p>
  </w:footnote>
  <w:footnote w:id="9">
    <w:p w14:paraId="62C9E20E" w14:textId="71B645BA" w:rsidR="004F3125" w:rsidRPr="00103EAB" w:rsidRDefault="004F3125" w:rsidP="004F3125">
      <w:pPr>
        <w:pBdr>
          <w:top w:val="nil"/>
          <w:left w:val="nil"/>
          <w:bottom w:val="nil"/>
          <w:right w:val="nil"/>
          <w:between w:val="nil"/>
        </w:pBdr>
        <w:rPr>
          <w:color w:val="000000"/>
          <w:sz w:val="16"/>
          <w:szCs w:val="16"/>
        </w:rPr>
      </w:pPr>
      <w:r w:rsidRPr="00103EAB">
        <w:rPr>
          <w:sz w:val="16"/>
          <w:szCs w:val="16"/>
          <w:vertAlign w:val="superscript"/>
        </w:rPr>
        <w:footnoteRef/>
      </w:r>
      <w:r w:rsidRPr="00103EAB">
        <w:rPr>
          <w:rFonts w:ascii="Century Gothic" w:eastAsia="Century Gothic" w:hAnsi="Century Gothic" w:cs="Century Gothic"/>
          <w:color w:val="000000"/>
          <w:sz w:val="16"/>
          <w:szCs w:val="16"/>
        </w:rPr>
        <w:t xml:space="preserve"> Informe estadístico población privada de la libertad – INPEC, </w:t>
      </w:r>
      <w:r w:rsidR="00D24EFC">
        <w:rPr>
          <w:rFonts w:ascii="Century Gothic" w:eastAsia="Century Gothic" w:hAnsi="Century Gothic" w:cs="Century Gothic"/>
          <w:color w:val="000000"/>
          <w:sz w:val="16"/>
          <w:szCs w:val="16"/>
        </w:rPr>
        <w:t>Octubre</w:t>
      </w:r>
      <w:r w:rsidRPr="00103EAB">
        <w:rPr>
          <w:rFonts w:ascii="Century Gothic" w:eastAsia="Century Gothic" w:hAnsi="Century Gothic" w:cs="Century Gothic"/>
          <w:color w:val="000000"/>
          <w:sz w:val="16"/>
          <w:szCs w:val="16"/>
        </w:rPr>
        <w:t xml:space="preserve"> de 2021: p.</w:t>
      </w:r>
      <w:r w:rsidR="00D24EFC">
        <w:rPr>
          <w:rFonts w:ascii="Century Gothic" w:eastAsia="Century Gothic" w:hAnsi="Century Gothic" w:cs="Century Gothic"/>
          <w:color w:val="000000"/>
          <w:sz w:val="16"/>
          <w:szCs w:val="16"/>
        </w:rPr>
        <w:t>24</w:t>
      </w:r>
      <w:r w:rsidRPr="00103EAB">
        <w:rPr>
          <w:rFonts w:ascii="Century Gothic" w:eastAsia="Century Gothic" w:hAnsi="Century Gothic" w:cs="Century Gothic"/>
          <w:color w:val="000000"/>
          <w:sz w:val="16"/>
          <w:szCs w:val="16"/>
        </w:rPr>
        <w:t xml:space="preserve">. </w:t>
      </w:r>
    </w:p>
  </w:footnote>
  <w:footnote w:id="10">
    <w:p w14:paraId="75F2147D"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6">
        <w:r>
          <w:rPr>
            <w:rFonts w:ascii="Century Gothic" w:eastAsia="Century Gothic" w:hAnsi="Century Gothic" w:cs="Century Gothic"/>
            <w:color w:val="0000FF"/>
            <w:sz w:val="16"/>
            <w:szCs w:val="16"/>
            <w:u w:val="single"/>
          </w:rPr>
          <w:t>https://www.corteconstitucional.gov.co/relatoria/2013/t-388-13.htm</w:t>
        </w:r>
      </w:hyperlink>
      <w:r>
        <w:rPr>
          <w:rFonts w:ascii="Century Gothic" w:eastAsia="Century Gothic" w:hAnsi="Century Gothic" w:cs="Century Gothic"/>
          <w:color w:val="000000"/>
          <w:sz w:val="16"/>
          <w:szCs w:val="16"/>
        </w:rPr>
        <w:t xml:space="preserve"> </w:t>
      </w:r>
    </w:p>
  </w:footnote>
  <w:footnote w:id="11">
    <w:p w14:paraId="630904B5" w14:textId="77777777" w:rsidR="004F3125" w:rsidRDefault="004F3125" w:rsidP="004F3125">
      <w:pPr>
        <w:jc w:val="both"/>
        <w:rPr>
          <w:rFonts w:ascii="Century Gothic" w:eastAsia="Century Gothic" w:hAnsi="Century Gothic" w:cs="Century Gothic"/>
          <w:i/>
          <w:sz w:val="16"/>
          <w:szCs w:val="16"/>
        </w:rPr>
      </w:pPr>
      <w:r>
        <w:rPr>
          <w:vertAlign w:val="superscript"/>
        </w:rPr>
        <w:footnoteRef/>
      </w:r>
      <w:r>
        <w:rPr>
          <w:rFonts w:ascii="Century Gothic" w:eastAsia="Century Gothic" w:hAnsi="Century Gothic" w:cs="Century Gothic"/>
          <w:sz w:val="16"/>
          <w:szCs w:val="16"/>
        </w:rPr>
        <w:t xml:space="preserve"> </w:t>
      </w:r>
      <w:bookmarkStart w:id="3" w:name="bookmark=id.30j0zll" w:colFirst="0" w:colLast="0"/>
      <w:bookmarkEnd w:id="3"/>
      <w:r>
        <w:rPr>
          <w:rFonts w:ascii="Century Gothic" w:eastAsia="Century Gothic" w:hAnsi="Century Gothic" w:cs="Century Gothic"/>
          <w:sz w:val="16"/>
          <w:szCs w:val="16"/>
        </w:rPr>
        <w:t>LEY 1709 DE 2014. Artículo 2o. Adicionase un artículo a la Ley 65 de 1993, el cual quedará así: Artículo </w:t>
      </w:r>
      <w:hyperlink r:id="rId7" w:anchor="3A">
        <w:r>
          <w:rPr>
            <w:rFonts w:ascii="Century Gothic" w:eastAsia="Century Gothic" w:hAnsi="Century Gothic" w:cs="Century Gothic"/>
            <w:sz w:val="16"/>
            <w:szCs w:val="16"/>
          </w:rPr>
          <w:t>3A</w:t>
        </w:r>
      </w:hyperlink>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Enfoque diferencial</w:t>
      </w:r>
      <w:r>
        <w:rPr>
          <w:rFonts w:ascii="Century Gothic" w:eastAsia="Century Gothic" w:hAnsi="Century Gothic" w:cs="Century Gothic"/>
          <w:sz w:val="16"/>
          <w:szCs w:val="16"/>
        </w:rPr>
        <w:t xml:space="preserve">. </w:t>
      </w:r>
      <w:r>
        <w:rPr>
          <w:rFonts w:ascii="Century Gothic" w:eastAsia="Century Gothic" w:hAnsi="Century Gothic" w:cs="Century Gothic"/>
          <w:i/>
          <w:sz w:val="16"/>
          <w:szCs w:val="16"/>
        </w:rPr>
        <w:t>El principio de enfoque diferencial reconoce que hay poblaciones con características particulares en razón de su edad, género, religión, identidad de género, orientación sexual, raza, etnia, situación de discapacidad y cualquiera otra. Por tal razón, las medidas penitenciarias contenidas en la presente ley, contarán con dicho enfoque. El Gobierno Nacional establecerá especiales condiciones de reclusión para los procesados y condenados que hayan sido postulados por este para ser beneficiarios de la pena alternativa establecida por la Ley </w:t>
      </w:r>
      <w:hyperlink r:id="rId8" w:anchor="Inicio">
        <w:r>
          <w:rPr>
            <w:rFonts w:ascii="Century Gothic" w:eastAsia="Century Gothic" w:hAnsi="Century Gothic" w:cs="Century Gothic"/>
            <w:i/>
            <w:sz w:val="16"/>
            <w:szCs w:val="16"/>
          </w:rPr>
          <w:t>975</w:t>
        </w:r>
      </w:hyperlink>
      <w:r>
        <w:rPr>
          <w:rFonts w:ascii="Century Gothic" w:eastAsia="Century Gothic" w:hAnsi="Century Gothic" w:cs="Century Gothic"/>
          <w:i/>
          <w:sz w:val="16"/>
          <w:szCs w:val="16"/>
        </w:rPr>
        <w:t> de 2005 o que se hayan desmovilizado como consecuencia de un proceso de paz con el Gobierno Nacional.</w:t>
      </w:r>
    </w:p>
  </w:footnote>
  <w:footnote w:id="12">
    <w:p w14:paraId="6C0672FC"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9">
        <w:r>
          <w:rPr>
            <w:rFonts w:ascii="Century Gothic" w:eastAsia="Century Gothic" w:hAnsi="Century Gothic" w:cs="Century Gothic"/>
            <w:color w:val="0000FF"/>
            <w:sz w:val="16"/>
            <w:szCs w:val="16"/>
            <w:u w:val="single"/>
          </w:rPr>
          <w:t>https://www.icrc.org/es/document/informe-carceles-y-mujeres-en-colombia</w:t>
        </w:r>
      </w:hyperlink>
      <w:r>
        <w:rPr>
          <w:rFonts w:ascii="Century Gothic" w:eastAsia="Century Gothic" w:hAnsi="Century Gothic" w:cs="Century Gothic"/>
          <w:color w:val="000000"/>
          <w:sz w:val="16"/>
          <w:szCs w:val="16"/>
        </w:rPr>
        <w:t xml:space="preserve"> </w:t>
      </w:r>
    </w:p>
  </w:footnote>
  <w:footnote w:id="13">
    <w:p w14:paraId="4E762894" w14:textId="4029AB95" w:rsidR="004F3125" w:rsidRDefault="004F3125" w:rsidP="004F3125">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w:t>
      </w:r>
      <w:r w:rsidR="00352962">
        <w:rPr>
          <w:rFonts w:ascii="Century Gothic" w:eastAsia="Century Gothic" w:hAnsi="Century Gothic" w:cs="Century Gothic"/>
          <w:color w:val="000000"/>
          <w:sz w:val="16"/>
          <w:szCs w:val="16"/>
        </w:rPr>
        <w:t>octubre</w:t>
      </w:r>
      <w:r>
        <w:rPr>
          <w:rFonts w:ascii="Century Gothic" w:eastAsia="Century Gothic" w:hAnsi="Century Gothic" w:cs="Century Gothic"/>
          <w:color w:val="000000"/>
          <w:sz w:val="16"/>
          <w:szCs w:val="16"/>
        </w:rPr>
        <w:t xml:space="preserve"> de 2021: p.3</w:t>
      </w:r>
      <w:r w:rsidR="00C65FC3">
        <w:rPr>
          <w:rFonts w:ascii="Century Gothic" w:eastAsia="Century Gothic" w:hAnsi="Century Gothic" w:cs="Century Gothic"/>
          <w:color w:val="000000"/>
          <w:sz w:val="16"/>
          <w:szCs w:val="16"/>
        </w:rPr>
        <w:t>5</w:t>
      </w:r>
      <w:r>
        <w:rPr>
          <w:rFonts w:ascii="Century Gothic" w:eastAsia="Century Gothic" w:hAnsi="Century Gothic" w:cs="Century Gothic"/>
          <w:color w:val="000000"/>
          <w:sz w:val="16"/>
          <w:szCs w:val="16"/>
        </w:rPr>
        <w:t>.</w:t>
      </w:r>
    </w:p>
  </w:footnote>
  <w:footnote w:id="14">
    <w:p w14:paraId="79D55C61" w14:textId="081D31A4" w:rsidR="001E222E" w:rsidRPr="001E222E" w:rsidRDefault="001E222E">
      <w:pPr>
        <w:pStyle w:val="Textonotapie"/>
        <w:rPr>
          <w:rFonts w:ascii="Century Gothic" w:hAnsi="Century Gothic"/>
          <w:sz w:val="16"/>
          <w:szCs w:val="16"/>
          <w:lang w:val="es-ES"/>
        </w:rPr>
      </w:pPr>
      <w:r>
        <w:rPr>
          <w:rStyle w:val="Refdenotaalpie"/>
        </w:rPr>
        <w:footnoteRef/>
      </w:r>
      <w:r>
        <w:t xml:space="preserve"> </w:t>
      </w:r>
      <w:r>
        <w:rPr>
          <w:rFonts w:ascii="Century Gothic" w:hAnsi="Century Gothic"/>
          <w:sz w:val="16"/>
          <w:szCs w:val="16"/>
          <w:lang w:val="es-ES"/>
        </w:rPr>
        <w:t>Ibídem.</w:t>
      </w:r>
    </w:p>
  </w:footnote>
  <w:footnote w:id="15">
    <w:p w14:paraId="25FF997F"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 </w:t>
      </w:r>
    </w:p>
  </w:footnote>
  <w:footnote w:id="16">
    <w:p w14:paraId="59B06DE8" w14:textId="035BB8A2" w:rsidR="004F3125" w:rsidRDefault="004F3125" w:rsidP="004F3125">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vertAlign w:val="superscript"/>
        </w:rPr>
        <w:t xml:space="preserve"> </w:t>
      </w:r>
      <w:r>
        <w:rPr>
          <w:rFonts w:ascii="Century Gothic" w:eastAsia="Century Gothic" w:hAnsi="Century Gothic" w:cs="Century Gothic"/>
          <w:color w:val="000000"/>
          <w:sz w:val="16"/>
          <w:szCs w:val="16"/>
        </w:rPr>
        <w:t>Informe estadístico población privada de la libertad – INPEC,</w:t>
      </w:r>
      <w:r w:rsidR="00EC3022">
        <w:rPr>
          <w:rFonts w:ascii="Century Gothic" w:eastAsia="Century Gothic" w:hAnsi="Century Gothic" w:cs="Century Gothic"/>
          <w:color w:val="000000"/>
          <w:sz w:val="16"/>
          <w:szCs w:val="16"/>
        </w:rPr>
        <w:t xml:space="preserve"> </w:t>
      </w:r>
      <w:r w:rsidR="003F0095">
        <w:rPr>
          <w:rFonts w:ascii="Century Gothic" w:eastAsia="Century Gothic" w:hAnsi="Century Gothic" w:cs="Century Gothic"/>
          <w:color w:val="000000"/>
          <w:sz w:val="16"/>
          <w:szCs w:val="16"/>
        </w:rPr>
        <w:t>Octubre</w:t>
      </w:r>
      <w:r>
        <w:rPr>
          <w:rFonts w:ascii="Century Gothic" w:eastAsia="Century Gothic" w:hAnsi="Century Gothic" w:cs="Century Gothic"/>
          <w:color w:val="000000"/>
          <w:sz w:val="16"/>
          <w:szCs w:val="16"/>
        </w:rPr>
        <w:t xml:space="preserve"> de 2021: p.3</w:t>
      </w:r>
      <w:r w:rsidR="00EC3022">
        <w:rPr>
          <w:rFonts w:ascii="Century Gothic" w:eastAsia="Century Gothic" w:hAnsi="Century Gothic" w:cs="Century Gothic"/>
          <w:color w:val="000000"/>
          <w:sz w:val="16"/>
          <w:szCs w:val="16"/>
        </w:rPr>
        <w:t>6</w:t>
      </w:r>
      <w:r>
        <w:rPr>
          <w:rFonts w:ascii="Century Gothic" w:eastAsia="Century Gothic" w:hAnsi="Century Gothic" w:cs="Century Gothic"/>
          <w:color w:val="000000"/>
          <w:sz w:val="16"/>
          <w:szCs w:val="16"/>
        </w:rPr>
        <w:t>.</w:t>
      </w:r>
    </w:p>
  </w:footnote>
  <w:footnote w:id="17">
    <w:p w14:paraId="60755624"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0">
        <w:r>
          <w:rPr>
            <w:rFonts w:ascii="Century Gothic" w:eastAsia="Century Gothic" w:hAnsi="Century Gothic" w:cs="Century Gothic"/>
            <w:color w:val="0000FF"/>
            <w:sz w:val="16"/>
            <w:szCs w:val="16"/>
            <w:u w:val="single"/>
          </w:rPr>
          <w:t>https://revistas.udea.edu.co/index.php/red/article/view/342877/20804379</w:t>
        </w:r>
      </w:hyperlink>
      <w:r>
        <w:rPr>
          <w:rFonts w:ascii="Century Gothic" w:eastAsia="Century Gothic" w:hAnsi="Century Gothic" w:cs="Century Gothic"/>
          <w:color w:val="000000"/>
          <w:sz w:val="16"/>
          <w:szCs w:val="16"/>
        </w:rPr>
        <w:t xml:space="preserve"> </w:t>
      </w:r>
    </w:p>
  </w:footnote>
  <w:footnote w:id="18">
    <w:p w14:paraId="10767C65" w14:textId="3DB6265C" w:rsidR="004F3125" w:rsidRDefault="004F3125" w:rsidP="004F31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 xml:space="preserve">Informe estadístico población privada de la libertad – INPEC, </w:t>
      </w:r>
      <w:r w:rsidR="00374426">
        <w:rPr>
          <w:rFonts w:ascii="Century Gothic" w:eastAsia="Century Gothic" w:hAnsi="Century Gothic" w:cs="Century Gothic"/>
          <w:color w:val="000000"/>
          <w:sz w:val="16"/>
          <w:szCs w:val="16"/>
        </w:rPr>
        <w:t>octubre</w:t>
      </w:r>
      <w:r>
        <w:rPr>
          <w:rFonts w:ascii="Century Gothic" w:eastAsia="Century Gothic" w:hAnsi="Century Gothic" w:cs="Century Gothic"/>
          <w:color w:val="000000"/>
          <w:sz w:val="16"/>
          <w:szCs w:val="16"/>
        </w:rPr>
        <w:t xml:space="preserve"> de 2021: p.4</w:t>
      </w:r>
      <w:r w:rsidR="00483216">
        <w:rPr>
          <w:rFonts w:ascii="Century Gothic" w:eastAsia="Century Gothic" w:hAnsi="Century Gothic" w:cs="Century Gothic"/>
          <w:color w:val="000000"/>
          <w:sz w:val="16"/>
          <w:szCs w:val="16"/>
        </w:rPr>
        <w:t>1</w:t>
      </w:r>
      <w:r>
        <w:rPr>
          <w:rFonts w:ascii="Century Gothic" w:eastAsia="Century Gothic" w:hAnsi="Century Gothic" w:cs="Century Gothic"/>
          <w:color w:val="000000"/>
          <w:sz w:val="16"/>
          <w:szCs w:val="16"/>
        </w:rPr>
        <w:t>-4</w:t>
      </w:r>
      <w:r w:rsidR="00483216">
        <w:rPr>
          <w:rFonts w:ascii="Century Gothic" w:eastAsia="Century Gothic" w:hAnsi="Century Gothic" w:cs="Century Gothic"/>
          <w:color w:val="000000"/>
          <w:sz w:val="16"/>
          <w:szCs w:val="16"/>
        </w:rPr>
        <w:t>4</w:t>
      </w:r>
      <w:r>
        <w:rPr>
          <w:rFonts w:ascii="Century Gothic" w:eastAsia="Century Gothic" w:hAnsi="Century Gothic" w:cs="Century Gothic"/>
          <w:color w:val="000000"/>
          <w:sz w:val="16"/>
          <w:szCs w:val="16"/>
        </w:rPr>
        <w:t>.</w:t>
      </w:r>
    </w:p>
  </w:footnote>
  <w:footnote w:id="19">
    <w:p w14:paraId="2C8EF5F3"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20">
    <w:p w14:paraId="037E3B28" w14:textId="77777777" w:rsidR="004F3125" w:rsidRDefault="004F3125" w:rsidP="004F3125">
      <w:pPr>
        <w:jc w:val="both"/>
        <w:rPr>
          <w:rFonts w:ascii="Century Gothic" w:eastAsia="Century Gothic" w:hAnsi="Century Gothic" w:cs="Century Gothic"/>
          <w:sz w:val="16"/>
          <w:szCs w:val="16"/>
        </w:rPr>
      </w:pPr>
      <w:r>
        <w:rPr>
          <w:vertAlign w:val="superscript"/>
        </w:rPr>
        <w:footnoteRef/>
      </w:r>
      <w:r>
        <w:rPr>
          <w:sz w:val="16"/>
          <w:szCs w:val="16"/>
          <w:vertAlign w:val="superscript"/>
        </w:rPr>
        <w:t xml:space="preserve"> </w:t>
      </w:r>
      <w:r>
        <w:rPr>
          <w:rFonts w:ascii="Century Gothic" w:eastAsia="Century Gothic" w:hAnsi="Century Gothic" w:cs="Century Gothic"/>
          <w:sz w:val="16"/>
          <w:szCs w:val="16"/>
        </w:rPr>
        <w:t xml:space="preserve">Sentencia C-117/18: </w:t>
      </w:r>
      <w:hyperlink r:id="rId1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sz w:val="16"/>
          <w:szCs w:val="16"/>
        </w:rPr>
        <w:t xml:space="preserve"> </w:t>
      </w:r>
    </w:p>
  </w:footnote>
  <w:footnote w:id="21">
    <w:p w14:paraId="1CB012C6"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2" w:anchor="_ftnref186">
        <w:r>
          <w:rPr>
            <w:rFonts w:ascii="Century Gothic" w:eastAsia="Century Gothic" w:hAnsi="Century Gothic" w:cs="Century Gothic"/>
            <w:color w:val="0000FF"/>
            <w:sz w:val="16"/>
            <w:szCs w:val="16"/>
            <w:u w:val="single"/>
          </w:rPr>
          <w:t>https://www.corteconstitucional.gov.co/relatoria/2019/T-398-19.htm#_ftnref186</w:t>
        </w:r>
      </w:hyperlink>
      <w:r>
        <w:rPr>
          <w:rFonts w:ascii="Century Gothic" w:eastAsia="Century Gothic" w:hAnsi="Century Gothic" w:cs="Century Gothic"/>
          <w:color w:val="000000"/>
          <w:sz w:val="16"/>
          <w:szCs w:val="16"/>
        </w:rPr>
        <w:t xml:space="preserve"> </w:t>
      </w:r>
    </w:p>
  </w:footnote>
  <w:footnote w:id="22">
    <w:p w14:paraId="29CCF3F9"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13" w:anchor=":~:text=T-267-18%20Corte%20Constitucional%20de%20Colombia&amp;text=En%20el%20caso%20de%20la,partir%20de%20m%C3%ADni">
        <w:r>
          <w:rPr>
            <w:rFonts w:ascii="Century Gothic" w:eastAsia="Century Gothic" w:hAnsi="Century Gothic" w:cs="Century Gothic"/>
            <w:color w:val="0000FF"/>
            <w:sz w:val="16"/>
            <w:szCs w:val="16"/>
            <w:u w:val="single"/>
          </w:rPr>
          <w:t>https://www.corteconstitucional.gov.co/relatoria/2018/t-267-18.htm#:~:text=T-267-18%20Corte%20Constitucional%20de%20Colombia&amp;text=En%20el%20caso%20de%20la,partir%20de%20m%C3%ADni</w:t>
        </w:r>
      </w:hyperlink>
      <w:r>
        <w:rPr>
          <w:rFonts w:ascii="Century Gothic" w:eastAsia="Century Gothic" w:hAnsi="Century Gothic" w:cs="Century Gothic"/>
          <w:color w:val="000000"/>
          <w:sz w:val="16"/>
          <w:szCs w:val="16"/>
        </w:rPr>
        <w:t xml:space="preserve"> </w:t>
      </w:r>
    </w:p>
  </w:footnote>
  <w:footnote w:id="23">
    <w:p w14:paraId="36B85A38"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w:t>
      </w:r>
    </w:p>
  </w:footnote>
  <w:footnote w:id="24">
    <w:p w14:paraId="5969EA1D"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4">
        <w:r>
          <w:rPr>
            <w:rFonts w:ascii="Century Gothic" w:eastAsia="Century Gothic" w:hAnsi="Century Gothic" w:cs="Century Gothic"/>
            <w:color w:val="0000FF"/>
            <w:sz w:val="16"/>
            <w:szCs w:val="16"/>
            <w:u w:val="single"/>
          </w:rPr>
          <w:t>http://www.politicacriminal.gov.co/Portals/0/Primer-Informe-Grupo-Lider-de-Seguimiento-Sentencia-T-762-de-2015-ilovepdf-compressed-1-100.pdf?ver=2016-12-09-172038-980</w:t>
        </w:r>
      </w:hyperlink>
      <w:r>
        <w:rPr>
          <w:rFonts w:ascii="Century Gothic" w:eastAsia="Century Gothic" w:hAnsi="Century Gothic" w:cs="Century Gothic"/>
          <w:color w:val="000000"/>
          <w:sz w:val="16"/>
          <w:szCs w:val="16"/>
        </w:rPr>
        <w:t xml:space="preserve"> </w:t>
      </w:r>
    </w:p>
  </w:footnote>
  <w:footnote w:id="25">
    <w:p w14:paraId="4F473739" w14:textId="77777777" w:rsidR="004F3125" w:rsidRDefault="004F3125" w:rsidP="004F3125">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5">
        <w:r>
          <w:rPr>
            <w:rFonts w:ascii="Century Gothic" w:eastAsia="Century Gothic" w:hAnsi="Century Gothic" w:cs="Century Gothic"/>
            <w:color w:val="0000FF"/>
            <w:sz w:val="16"/>
            <w:szCs w:val="16"/>
            <w:u w:val="single"/>
          </w:rPr>
          <w:t>https://www.corteconstitucional.gov.co/relatoria/2015/t-762-15.htm</w:t>
        </w:r>
      </w:hyperlink>
      <w:r>
        <w:rPr>
          <w:rFonts w:ascii="Century Gothic" w:eastAsia="Century Gothic" w:hAnsi="Century Gothic" w:cs="Century Gothic"/>
          <w:color w:val="000000"/>
          <w:sz w:val="16"/>
          <w:szCs w:val="16"/>
        </w:rPr>
        <w:t xml:space="preserve"> </w:t>
      </w:r>
    </w:p>
  </w:footnote>
  <w:footnote w:id="26">
    <w:p w14:paraId="7A1E53A1" w14:textId="77777777" w:rsidR="004F3125" w:rsidRDefault="004F3125" w:rsidP="004F3125">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w:t>
      </w:r>
      <w:hyperlink r:id="rId16">
        <w:r>
          <w:rPr>
            <w:rFonts w:ascii="Century Gothic" w:eastAsia="Century Gothic" w:hAnsi="Century Gothic" w:cs="Century Gothic"/>
            <w:color w:val="000000"/>
            <w:sz w:val="16"/>
            <w:szCs w:val="16"/>
          </w:rPr>
          <w:t>https://www.inpec.gov.co/estadisticas/-/document_library/TWBuJQCWH6KV/view_file/45662</w:t>
        </w:r>
      </w:hyperlink>
      <w:r>
        <w:rPr>
          <w:color w:val="000000"/>
          <w:sz w:val="20"/>
          <w:szCs w:val="20"/>
        </w:rPr>
        <w:t xml:space="preserve"> </w:t>
      </w:r>
    </w:p>
  </w:footnote>
  <w:footnote w:id="27">
    <w:p w14:paraId="787B4417"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w:t>
      </w:r>
    </w:p>
  </w:footnote>
  <w:footnote w:id="28">
    <w:p w14:paraId="2BF02942"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7">
        <w:r>
          <w:rPr>
            <w:rFonts w:ascii="Century Gothic" w:eastAsia="Century Gothic" w:hAnsi="Century Gothic" w:cs="Century Gothic"/>
            <w:color w:val="0000FF"/>
            <w:sz w:val="16"/>
            <w:szCs w:val="16"/>
            <w:u w:val="single"/>
          </w:rPr>
          <w:t>https://repository.javeriana.edu.co/handle/10554/41010</w:t>
        </w:r>
      </w:hyperlink>
      <w:r>
        <w:rPr>
          <w:rFonts w:ascii="Century Gothic" w:eastAsia="Century Gothic" w:hAnsi="Century Gothic" w:cs="Century Gothic"/>
          <w:color w:val="000000"/>
          <w:sz w:val="16"/>
          <w:szCs w:val="16"/>
        </w:rPr>
        <w:t xml:space="preserve"> </w:t>
      </w:r>
    </w:p>
  </w:footnote>
  <w:footnote w:id="29">
    <w:p w14:paraId="376B890B"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8">
        <w:r>
          <w:rPr>
            <w:rFonts w:ascii="Century Gothic" w:eastAsia="Century Gothic" w:hAnsi="Century Gothic" w:cs="Century Gothic"/>
            <w:color w:val="0000FF"/>
            <w:sz w:val="16"/>
            <w:szCs w:val="16"/>
            <w:u w:val="single"/>
          </w:rPr>
          <w:t>https://repository.javeriana.edu.co/handle/10554/41010</w:t>
        </w:r>
      </w:hyperlink>
    </w:p>
  </w:footnote>
  <w:footnote w:id="30">
    <w:p w14:paraId="33752A16"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19">
        <w:r>
          <w:rPr>
            <w:rFonts w:ascii="Century Gothic" w:eastAsia="Century Gothic" w:hAnsi="Century Gothic" w:cs="Century Gothic"/>
            <w:color w:val="0000FF"/>
            <w:sz w:val="16"/>
            <w:szCs w:val="16"/>
            <w:u w:val="single"/>
          </w:rPr>
          <w:t>https://repository.usta.edu.co/bitstream/handle/11634/28167/2020karenbarbosa5.pdf?sequence=18&amp;isAllowed=y</w:t>
        </w:r>
      </w:hyperlink>
      <w:r>
        <w:rPr>
          <w:rFonts w:ascii="Century Gothic" w:eastAsia="Century Gothic" w:hAnsi="Century Gothic" w:cs="Century Gothic"/>
          <w:color w:val="000000"/>
          <w:sz w:val="16"/>
          <w:szCs w:val="16"/>
        </w:rPr>
        <w:t xml:space="preserve">  </w:t>
      </w:r>
    </w:p>
  </w:footnote>
  <w:footnote w:id="31">
    <w:p w14:paraId="30DC6596" w14:textId="77777777" w:rsidR="004F3125" w:rsidRDefault="004F3125" w:rsidP="004F3125">
      <w:pPr>
        <w:ind w:left="709" w:hanging="709"/>
        <w:jc w:val="both"/>
        <w:rPr>
          <w:rFonts w:ascii="Century Gothic" w:eastAsia="Century Gothic" w:hAnsi="Century Gothic" w:cs="Century Gothic"/>
          <w:sz w:val="16"/>
          <w:szCs w:val="16"/>
          <w:highlight w:val="white"/>
        </w:rPr>
      </w:pPr>
      <w:r>
        <w:rPr>
          <w:vertAlign w:val="superscript"/>
        </w:rPr>
        <w:footnoteRef/>
      </w:r>
      <w:r>
        <w:rPr>
          <w:rFonts w:ascii="Century Gothic" w:eastAsia="Century Gothic" w:hAnsi="Century Gothic" w:cs="Century Gothic"/>
          <w:sz w:val="16"/>
          <w:szCs w:val="16"/>
        </w:rPr>
        <w:t xml:space="preserve"> </w:t>
      </w:r>
      <w:hyperlink r:id="rId20">
        <w:r>
          <w:rPr>
            <w:rFonts w:ascii="Century Gothic" w:eastAsia="Century Gothic" w:hAnsi="Century Gothic" w:cs="Century Gothic"/>
            <w:color w:val="0000FF"/>
            <w:sz w:val="16"/>
            <w:szCs w:val="16"/>
            <w:highlight w:val="white"/>
            <w:u w:val="single"/>
          </w:rPr>
          <w:t>https://doi.org/10.1055/s-0031-1287662</w:t>
        </w:r>
      </w:hyperlink>
    </w:p>
  </w:footnote>
  <w:footnote w:id="32">
    <w:p w14:paraId="1231EBEF"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Análisis propio. </w:t>
      </w:r>
    </w:p>
  </w:footnote>
  <w:footnote w:id="33">
    <w:p w14:paraId="2034EB65" w14:textId="60370178"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sidR="008E7DD7">
        <w:rPr>
          <w:rFonts w:ascii="Century Gothic" w:eastAsia="Century Gothic" w:hAnsi="Century Gothic" w:cs="Century Gothic"/>
          <w:color w:val="000000"/>
          <w:sz w:val="16"/>
          <w:szCs w:val="16"/>
        </w:rPr>
        <w:t>Ibídem</w:t>
      </w:r>
      <w:r>
        <w:rPr>
          <w:rFonts w:ascii="Century Gothic" w:eastAsia="Century Gothic" w:hAnsi="Century Gothic" w:cs="Century Gothic"/>
          <w:color w:val="000000"/>
          <w:sz w:val="16"/>
          <w:szCs w:val="16"/>
        </w:rPr>
        <w:t xml:space="preserve">. </w:t>
      </w:r>
    </w:p>
  </w:footnote>
  <w:footnote w:id="34">
    <w:p w14:paraId="293744AE"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color w:val="000000"/>
          <w:sz w:val="16"/>
          <w:szCs w:val="16"/>
        </w:rPr>
        <w:t xml:space="preserve"> </w:t>
      </w:r>
    </w:p>
  </w:footnote>
  <w:footnote w:id="35">
    <w:p w14:paraId="48528986" w14:textId="21A0D4C1"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w:t>
      </w:r>
      <w:r w:rsidR="001321E7">
        <w:rPr>
          <w:rFonts w:ascii="Century Gothic" w:eastAsia="Century Gothic" w:hAnsi="Century Gothic" w:cs="Century Gothic"/>
          <w:color w:val="000000"/>
          <w:sz w:val="16"/>
          <w:szCs w:val="16"/>
        </w:rPr>
        <w:t xml:space="preserve">octubre </w:t>
      </w:r>
      <w:r>
        <w:rPr>
          <w:rFonts w:ascii="Century Gothic" w:eastAsia="Century Gothic" w:hAnsi="Century Gothic" w:cs="Century Gothic"/>
          <w:color w:val="000000"/>
          <w:sz w:val="16"/>
          <w:szCs w:val="16"/>
        </w:rPr>
        <w:t>de 2021: p.5</w:t>
      </w:r>
      <w:r w:rsidR="00791330">
        <w:rPr>
          <w:rFonts w:ascii="Century Gothic" w:eastAsia="Century Gothic" w:hAnsi="Century Gothic" w:cs="Century Gothic"/>
          <w:color w:val="000000"/>
          <w:sz w:val="16"/>
          <w:szCs w:val="16"/>
        </w:rPr>
        <w:t>2</w:t>
      </w:r>
      <w:r>
        <w:rPr>
          <w:rFonts w:ascii="Century Gothic" w:eastAsia="Century Gothic" w:hAnsi="Century Gothic" w:cs="Century Gothic"/>
          <w:color w:val="000000"/>
          <w:sz w:val="16"/>
          <w:szCs w:val="16"/>
        </w:rPr>
        <w:t>.</w:t>
      </w:r>
    </w:p>
  </w:footnote>
  <w:footnote w:id="36">
    <w:p w14:paraId="2172AA01" w14:textId="6CD19B08"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w:t>
      </w:r>
      <w:r w:rsidR="001321E7">
        <w:rPr>
          <w:rFonts w:ascii="Century Gothic" w:eastAsia="Century Gothic" w:hAnsi="Century Gothic" w:cs="Century Gothic"/>
          <w:color w:val="000000"/>
          <w:sz w:val="16"/>
          <w:szCs w:val="16"/>
        </w:rPr>
        <w:t>octubre</w:t>
      </w:r>
      <w:r w:rsidR="00791330">
        <w:rPr>
          <w:rFonts w:ascii="Century Gothic" w:eastAsia="Century Gothic" w:hAnsi="Century Gothic" w:cs="Century Gothic"/>
          <w:color w:val="000000"/>
          <w:sz w:val="16"/>
          <w:szCs w:val="16"/>
        </w:rPr>
        <w:t xml:space="preserve"> </w:t>
      </w:r>
      <w:r>
        <w:rPr>
          <w:rFonts w:ascii="Century Gothic" w:eastAsia="Century Gothic" w:hAnsi="Century Gothic" w:cs="Century Gothic"/>
          <w:color w:val="000000"/>
          <w:sz w:val="16"/>
          <w:szCs w:val="16"/>
        </w:rPr>
        <w:t>de 2021: p.5</w:t>
      </w:r>
      <w:r w:rsidR="00791330">
        <w:rPr>
          <w:rFonts w:ascii="Century Gothic" w:eastAsia="Century Gothic" w:hAnsi="Century Gothic" w:cs="Century Gothic"/>
          <w:color w:val="000000"/>
          <w:sz w:val="16"/>
          <w:szCs w:val="16"/>
        </w:rPr>
        <w:t>3</w:t>
      </w:r>
      <w:r>
        <w:rPr>
          <w:rFonts w:ascii="Century Gothic" w:eastAsia="Century Gothic" w:hAnsi="Century Gothic" w:cs="Century Gothic"/>
          <w:color w:val="000000"/>
          <w:sz w:val="16"/>
          <w:szCs w:val="16"/>
        </w:rPr>
        <w:t>.</w:t>
      </w:r>
    </w:p>
  </w:footnote>
  <w:footnote w:id="37">
    <w:p w14:paraId="5D68F98A" w14:textId="2D991D8B" w:rsidR="001321E7" w:rsidRPr="001321E7" w:rsidRDefault="001321E7">
      <w:pPr>
        <w:pStyle w:val="Textonotapie"/>
        <w:rPr>
          <w:lang w:val="es-ES"/>
        </w:rPr>
      </w:pPr>
      <w:r>
        <w:rPr>
          <w:rStyle w:val="Refdenotaalpie"/>
        </w:rPr>
        <w:footnoteRef/>
      </w:r>
      <w:r>
        <w:t xml:space="preserve"> </w:t>
      </w:r>
      <w:r>
        <w:rPr>
          <w:rFonts w:ascii="Century Gothic" w:eastAsia="Century Gothic" w:hAnsi="Century Gothic" w:cs="Century Gothic"/>
          <w:color w:val="000000"/>
          <w:sz w:val="16"/>
          <w:szCs w:val="16"/>
        </w:rPr>
        <w:t xml:space="preserve">Informe </w:t>
      </w:r>
      <w:proofErr w:type="spellStart"/>
      <w:r>
        <w:rPr>
          <w:rFonts w:ascii="Century Gothic" w:eastAsia="Century Gothic" w:hAnsi="Century Gothic" w:cs="Century Gothic"/>
          <w:color w:val="000000"/>
          <w:sz w:val="16"/>
          <w:szCs w:val="16"/>
        </w:rPr>
        <w:t>estadístico</w:t>
      </w:r>
      <w:proofErr w:type="spellEnd"/>
      <w:r>
        <w:rPr>
          <w:rFonts w:ascii="Century Gothic" w:eastAsia="Century Gothic" w:hAnsi="Century Gothic" w:cs="Century Gothic"/>
          <w:color w:val="000000"/>
          <w:sz w:val="16"/>
          <w:szCs w:val="16"/>
        </w:rPr>
        <w:t xml:space="preserve"> población </w:t>
      </w:r>
      <w:proofErr w:type="spellStart"/>
      <w:r>
        <w:rPr>
          <w:rFonts w:ascii="Century Gothic" w:eastAsia="Century Gothic" w:hAnsi="Century Gothic" w:cs="Century Gothic"/>
          <w:color w:val="000000"/>
          <w:sz w:val="16"/>
          <w:szCs w:val="16"/>
        </w:rPr>
        <w:t>privada</w:t>
      </w:r>
      <w:proofErr w:type="spellEnd"/>
      <w:r>
        <w:rPr>
          <w:rFonts w:ascii="Century Gothic" w:eastAsia="Century Gothic" w:hAnsi="Century Gothic" w:cs="Century Gothic"/>
          <w:color w:val="000000"/>
          <w:sz w:val="16"/>
          <w:szCs w:val="16"/>
        </w:rPr>
        <w:t xml:space="preserve"> de la </w:t>
      </w:r>
      <w:proofErr w:type="spellStart"/>
      <w:r>
        <w:rPr>
          <w:rFonts w:ascii="Century Gothic" w:eastAsia="Century Gothic" w:hAnsi="Century Gothic" w:cs="Century Gothic"/>
          <w:color w:val="000000"/>
          <w:sz w:val="16"/>
          <w:szCs w:val="16"/>
        </w:rPr>
        <w:t>libertad</w:t>
      </w:r>
      <w:proofErr w:type="spellEnd"/>
      <w:r>
        <w:rPr>
          <w:rFonts w:ascii="Century Gothic" w:eastAsia="Century Gothic" w:hAnsi="Century Gothic" w:cs="Century Gothic"/>
          <w:color w:val="000000"/>
          <w:sz w:val="16"/>
          <w:szCs w:val="16"/>
        </w:rPr>
        <w:t xml:space="preserve"> – INPEC, </w:t>
      </w:r>
      <w:proofErr w:type="spellStart"/>
      <w:r>
        <w:rPr>
          <w:rFonts w:ascii="Century Gothic" w:eastAsia="Century Gothic" w:hAnsi="Century Gothic" w:cs="Century Gothic"/>
          <w:color w:val="000000"/>
          <w:sz w:val="16"/>
          <w:szCs w:val="16"/>
        </w:rPr>
        <w:t>octubre</w:t>
      </w:r>
      <w:proofErr w:type="spellEnd"/>
      <w:r>
        <w:rPr>
          <w:rFonts w:ascii="Century Gothic" w:eastAsia="Century Gothic" w:hAnsi="Century Gothic" w:cs="Century Gothic"/>
          <w:color w:val="000000"/>
          <w:sz w:val="16"/>
          <w:szCs w:val="16"/>
        </w:rPr>
        <w:t xml:space="preserve"> de 2021: p.53.</w:t>
      </w:r>
    </w:p>
  </w:footnote>
  <w:footnote w:id="38">
    <w:p w14:paraId="46F0B76A"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2">
        <w:r>
          <w:rPr>
            <w:rFonts w:ascii="Century Gothic" w:eastAsia="Century Gothic" w:hAnsi="Century Gothic" w:cs="Century Gothic"/>
            <w:color w:val="0000FF"/>
            <w:sz w:val="16"/>
            <w:szCs w:val="16"/>
            <w:u w:val="single"/>
          </w:rPr>
          <w:t>https://www.corteconstitucional.gov.co/relatoria/2018/T-345-18.htm</w:t>
        </w:r>
      </w:hyperlink>
      <w:r>
        <w:rPr>
          <w:rFonts w:ascii="Century Gothic" w:eastAsia="Century Gothic" w:hAnsi="Century Gothic" w:cs="Century Gothic"/>
          <w:color w:val="000000"/>
          <w:sz w:val="16"/>
          <w:szCs w:val="16"/>
        </w:rPr>
        <w:t xml:space="preserve"> </w:t>
      </w:r>
    </w:p>
  </w:footnote>
  <w:footnote w:id="39">
    <w:p w14:paraId="1BB92930"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3">
        <w:r>
          <w:rPr>
            <w:rFonts w:ascii="Century Gothic" w:eastAsia="Century Gothic" w:hAnsi="Century Gothic" w:cs="Century Gothic"/>
            <w:color w:val="0000FF"/>
            <w:sz w:val="16"/>
            <w:szCs w:val="16"/>
            <w:u w:val="single"/>
          </w:rPr>
          <w:t>https://www.medigraphic.com/pdfs/medcri/ti-2013/ti133h.pdf</w:t>
        </w:r>
      </w:hyperlink>
      <w:r>
        <w:rPr>
          <w:rFonts w:ascii="Century Gothic" w:eastAsia="Century Gothic" w:hAnsi="Century Gothic" w:cs="Century Gothic"/>
          <w:color w:val="000000"/>
          <w:sz w:val="16"/>
          <w:szCs w:val="16"/>
        </w:rPr>
        <w:t xml:space="preserve"> </w:t>
      </w:r>
    </w:p>
  </w:footnote>
  <w:footnote w:id="40">
    <w:p w14:paraId="296DDB73" w14:textId="77777777" w:rsidR="004F3125" w:rsidRDefault="004F3125" w:rsidP="004F3125">
      <w:pPr>
        <w:ind w:left="709" w:hanging="709"/>
        <w:jc w:val="both"/>
        <w:rPr>
          <w:rFonts w:ascii="Century Gothic" w:eastAsia="Century Gothic" w:hAnsi="Century Gothic" w:cs="Century Gothic"/>
          <w:sz w:val="16"/>
          <w:szCs w:val="16"/>
        </w:rPr>
      </w:pPr>
      <w:r>
        <w:rPr>
          <w:vertAlign w:val="superscript"/>
        </w:rPr>
        <w:footnoteRef/>
      </w:r>
      <w:hyperlink r:id="rId24">
        <w:r>
          <w:rPr>
            <w:rFonts w:ascii="Century Gothic" w:eastAsia="Century Gothic" w:hAnsi="Century Gothic" w:cs="Century Gothic"/>
            <w:color w:val="0000FF"/>
            <w:sz w:val="16"/>
            <w:szCs w:val="16"/>
            <w:u w:val="single"/>
          </w:rPr>
          <w:t>https://www.msdmanuals.com/es-co/professional/enfermedades-infecciosas/cocos-grampositivos/s%C3%ADndrome-de-shock-t%C3%B3xico-tss</w:t>
        </w:r>
      </w:hyperlink>
      <w:r>
        <w:rPr>
          <w:rFonts w:ascii="Century Gothic" w:eastAsia="Century Gothic" w:hAnsi="Century Gothic" w:cs="Century Gothic"/>
          <w:sz w:val="16"/>
          <w:szCs w:val="16"/>
        </w:rPr>
        <w:t xml:space="preserve">. </w:t>
      </w:r>
    </w:p>
  </w:footnote>
  <w:footnote w:id="41">
    <w:p w14:paraId="7688896A" w14:textId="77777777" w:rsidR="004F3125" w:rsidRDefault="004F3125" w:rsidP="004F3125">
      <w:pPr>
        <w:ind w:left="709" w:hanging="709"/>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hyperlink r:id="rId25">
        <w:r>
          <w:rPr>
            <w:rFonts w:ascii="Century Gothic" w:eastAsia="Century Gothic" w:hAnsi="Century Gothic" w:cs="Century Gothic"/>
            <w:color w:val="0000FF"/>
            <w:sz w:val="16"/>
            <w:szCs w:val="16"/>
            <w:u w:val="single"/>
          </w:rPr>
          <w:t>http://scielo.isciii.es/scielo.php?script=sci_arttext&amp;pid=S1137-66272009000200004&amp;lng=es&amp;tlng=es</w:t>
        </w:r>
      </w:hyperlink>
      <w:r>
        <w:rPr>
          <w:rFonts w:ascii="Century Gothic" w:eastAsia="Century Gothic" w:hAnsi="Century Gothic" w:cs="Century Gothic"/>
          <w:sz w:val="16"/>
          <w:szCs w:val="16"/>
        </w:rPr>
        <w:t xml:space="preserve">. </w:t>
      </w:r>
    </w:p>
  </w:footnote>
  <w:footnote w:id="42">
    <w:p w14:paraId="6F0CA203"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26">
        <w:r>
          <w:rPr>
            <w:rFonts w:ascii="Century Gothic" w:eastAsia="Century Gothic" w:hAnsi="Century Gothic" w:cs="Century Gothic"/>
            <w:color w:val="0000FF"/>
            <w:sz w:val="16"/>
            <w:szCs w:val="16"/>
            <w:u w:val="single"/>
          </w:rPr>
          <w:t>https://repositorio.unicordoba.edu.co/bitstream/handle/ucordoba/832/FACTORES%20DE%20RIESGO%20%20RELACIONADOS%20A%20VAGINOSIS%20BACTERIANA%20EN%20MUJERES%20ENTRE%2018%20y%2024%20A%C3%91OS%20EN%20UNA%20INST.pdf?sequence=1&amp;isAllowed=y</w:t>
        </w:r>
      </w:hyperlink>
      <w:r>
        <w:rPr>
          <w:rFonts w:ascii="Century Gothic" w:eastAsia="Century Gothic" w:hAnsi="Century Gothic" w:cs="Century Gothic"/>
          <w:color w:val="000000"/>
          <w:sz w:val="16"/>
          <w:szCs w:val="16"/>
        </w:rPr>
        <w:t xml:space="preserve"> </w:t>
      </w:r>
    </w:p>
  </w:footnote>
  <w:footnote w:id="43">
    <w:p w14:paraId="52B04CB1"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7">
        <w:r>
          <w:rPr>
            <w:rFonts w:ascii="Century Gothic" w:eastAsia="Century Gothic" w:hAnsi="Century Gothic" w:cs="Century Gothic"/>
            <w:color w:val="0000FF"/>
            <w:sz w:val="16"/>
            <w:szCs w:val="16"/>
            <w:u w:val="single"/>
          </w:rPr>
          <w:t>https://sisbib.unmsm.edu.pe/bvrevistas/ginecologia/vol53_n3/pdf/A03V53N3.pdf</w:t>
        </w:r>
      </w:hyperlink>
      <w:r>
        <w:rPr>
          <w:rFonts w:ascii="Century Gothic" w:eastAsia="Century Gothic" w:hAnsi="Century Gothic" w:cs="Century Gothic"/>
          <w:color w:val="000000"/>
          <w:sz w:val="16"/>
          <w:szCs w:val="16"/>
        </w:rPr>
        <w:t xml:space="preserve"> </w:t>
      </w:r>
    </w:p>
  </w:footnote>
  <w:footnote w:id="44">
    <w:p w14:paraId="507B0907"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8">
        <w:r>
          <w:rPr>
            <w:rFonts w:ascii="Century Gothic" w:eastAsia="Century Gothic" w:hAnsi="Century Gothic" w:cs="Century Gothic"/>
            <w:color w:val="0000FF"/>
            <w:sz w:val="16"/>
            <w:szCs w:val="16"/>
            <w:u w:val="single"/>
          </w:rPr>
          <w:t>https://www.elsevier.es/es-revista-offarm-4-articulo-candidiasis-vulvovaginal-13132028</w:t>
        </w:r>
      </w:hyperlink>
      <w:r>
        <w:rPr>
          <w:rFonts w:ascii="Century Gothic" w:eastAsia="Century Gothic" w:hAnsi="Century Gothic" w:cs="Century Gothic"/>
          <w:color w:val="000000"/>
          <w:sz w:val="16"/>
          <w:szCs w:val="16"/>
        </w:rPr>
        <w:t xml:space="preserve"> </w:t>
      </w:r>
    </w:p>
  </w:footnote>
  <w:footnote w:id="45">
    <w:p w14:paraId="1B162C82"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29">
        <w:r>
          <w:rPr>
            <w:rFonts w:ascii="Century Gothic" w:eastAsia="Century Gothic" w:hAnsi="Century Gothic" w:cs="Century Gothic"/>
            <w:color w:val="0000FF"/>
            <w:sz w:val="16"/>
            <w:szCs w:val="16"/>
            <w:u w:val="single"/>
          </w:rPr>
          <w:t>https://repositorio.unicordoba.edu.co/bitstream/handle/ucordoba/832/FACTORES%20DE%20RIESGO%20%20RELACIONADOS%20A%20VAGINOSIS%20BACTERIANA%20EN%20MUJERES%20ENTRE%2018%20y%2024%20A%C3%91OS%20EN%20UNA%20INST.pdf?sequence=1&amp;isAllowed=y</w:t>
        </w:r>
      </w:hyperlink>
      <w:r>
        <w:rPr>
          <w:rFonts w:ascii="Century Gothic" w:eastAsia="Century Gothic" w:hAnsi="Century Gothic" w:cs="Century Gothic"/>
          <w:color w:val="000000"/>
          <w:sz w:val="16"/>
          <w:szCs w:val="16"/>
        </w:rPr>
        <w:t xml:space="preserve"> </w:t>
      </w:r>
    </w:p>
  </w:footnote>
  <w:footnote w:id="46">
    <w:p w14:paraId="3CB63E56"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0">
        <w:r>
          <w:rPr>
            <w:rFonts w:ascii="Century Gothic" w:eastAsia="Century Gothic" w:hAnsi="Century Gothic" w:cs="Century Gothic"/>
            <w:color w:val="0000FF"/>
            <w:sz w:val="16"/>
            <w:szCs w:val="16"/>
            <w:u w:val="single"/>
          </w:rPr>
          <w:t>http://scielo.isciii.es/scielo.php?script=sci_arttext&amp;pid=S1137-66272009000200004&amp;lng=es&amp;tlng=es</w:t>
        </w:r>
      </w:hyperlink>
      <w:r>
        <w:rPr>
          <w:rFonts w:ascii="Century Gothic" w:eastAsia="Century Gothic" w:hAnsi="Century Gothic" w:cs="Century Gothic"/>
          <w:color w:val="000000"/>
          <w:sz w:val="16"/>
          <w:szCs w:val="16"/>
        </w:rPr>
        <w:t xml:space="preserve">. </w:t>
      </w:r>
    </w:p>
  </w:footnote>
  <w:footnote w:id="47">
    <w:p w14:paraId="36822B2E"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Consorcio Fondo de Atención en Salud PPL 2019 del 9/febrero/2021.   </w:t>
      </w:r>
    </w:p>
  </w:footnote>
  <w:footnote w:id="48">
    <w:p w14:paraId="3ABF578E" w14:textId="77777777"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color w:val="000000"/>
          <w:sz w:val="16"/>
          <w:szCs w:val="16"/>
        </w:rPr>
        <w:t xml:space="preserve"> </w:t>
      </w:r>
    </w:p>
  </w:footnote>
  <w:footnote w:id="49">
    <w:p w14:paraId="598EC63D" w14:textId="47EEE2B1" w:rsidR="004F3125" w:rsidRDefault="004F3125" w:rsidP="004F3125">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 4</w:t>
      </w:r>
      <w:r w:rsidR="00E94F6F">
        <w:rPr>
          <w:rFonts w:ascii="Century Gothic" w:eastAsia="Century Gothic" w:hAnsi="Century Gothic" w:cs="Century Gothic"/>
          <w:color w:val="000000"/>
          <w:sz w:val="16"/>
          <w:szCs w:val="16"/>
        </w:rPr>
        <w:t>1</w:t>
      </w:r>
      <w:r>
        <w:rPr>
          <w:rFonts w:ascii="Century Gothic" w:eastAsia="Century Gothic" w:hAnsi="Century Gothic" w:cs="Century Gothic"/>
          <w:color w:val="000000"/>
          <w:sz w:val="16"/>
          <w:szCs w:val="16"/>
        </w:rPr>
        <w:t>.</w:t>
      </w:r>
    </w:p>
  </w:footnote>
  <w:footnote w:id="50">
    <w:p w14:paraId="55580254" w14:textId="77777777" w:rsidR="004F3125" w:rsidRDefault="004F3125" w:rsidP="004F3125">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w:t>
      </w:r>
      <w:hyperlink r:id="rId32">
        <w:r>
          <w:rPr>
            <w:rFonts w:ascii="Century Gothic" w:eastAsia="Century Gothic" w:hAnsi="Century Gothic" w:cs="Century Gothic"/>
            <w:color w:val="0000FF"/>
            <w:sz w:val="16"/>
            <w:szCs w:val="16"/>
            <w:u w:val="single"/>
          </w:rPr>
          <w:t>https://revistas.javeriana.edu.co/index.php/revPsycho/article/view/4764</w:t>
        </w:r>
      </w:hyperlink>
      <w:r>
        <w:rPr>
          <w:color w:val="000000"/>
          <w:sz w:val="20"/>
          <w:szCs w:val="20"/>
        </w:rPr>
        <w:t xml:space="preserve"> </w:t>
      </w:r>
    </w:p>
  </w:footnote>
  <w:footnote w:id="51">
    <w:p w14:paraId="2C5E2722" w14:textId="76B07D03" w:rsidR="004F3125" w:rsidRDefault="004F3125" w:rsidP="004F31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 xml:space="preserve">Informe estadístico población privada de la libertad – INPEC, </w:t>
      </w:r>
      <w:r w:rsidR="001E2258">
        <w:rPr>
          <w:rFonts w:ascii="Century Gothic" w:eastAsia="Century Gothic" w:hAnsi="Century Gothic" w:cs="Century Gothic"/>
          <w:color w:val="000000"/>
          <w:sz w:val="16"/>
          <w:szCs w:val="16"/>
        </w:rPr>
        <w:t>octubre</w:t>
      </w:r>
      <w:r>
        <w:rPr>
          <w:rFonts w:ascii="Century Gothic" w:eastAsia="Century Gothic" w:hAnsi="Century Gothic" w:cs="Century Gothic"/>
          <w:color w:val="000000"/>
          <w:sz w:val="16"/>
          <w:szCs w:val="16"/>
        </w:rPr>
        <w:t xml:space="preserve"> de 2021: p. 42</w:t>
      </w:r>
    </w:p>
  </w:footnote>
  <w:footnote w:id="52">
    <w:p w14:paraId="33101C4B" w14:textId="77777777" w:rsidR="004F3125" w:rsidRDefault="004F3125" w:rsidP="004F3125">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Respuesta DP INPEC del 4/febrero/2021</w:t>
      </w:r>
    </w:p>
  </w:footnote>
  <w:footnote w:id="53">
    <w:p w14:paraId="707DA7DC"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 291 de 2016 https://www.corteconstitucional.gov.co/relatoria/2016/t-291-16.htm</w:t>
      </w:r>
    </w:p>
  </w:footnote>
  <w:footnote w:id="54">
    <w:p w14:paraId="1F9D858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https://www.unfpa.org/es/menstruación-preguntas-frecuentes</w:t>
      </w:r>
    </w:p>
  </w:footnote>
  <w:footnote w:id="55">
    <w:p w14:paraId="7918676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https://www.ourbodiesourselves.org/2019/10/negocio-sucio-falta-de-equidad-menstrual-en-las-carceles-colombianas/</w:t>
      </w:r>
    </w:p>
  </w:footnote>
  <w:footnote w:id="56">
    <w:p w14:paraId="3842DE30"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https://www.ourbodiesourselves.org/2019/10/negocio-sucio-falta-de-equidad-menstrual-en-las-carceles-colombianas/</w:t>
      </w:r>
    </w:p>
  </w:footnote>
  <w:footnote w:id="57">
    <w:p w14:paraId="7852AB47"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https://www.corteconstitucional.gov.co/relatoria/2019/T-398-19.htm#_ftnref93 par. 169.</w:t>
      </w:r>
    </w:p>
  </w:footnote>
  <w:footnote w:id="58">
    <w:p w14:paraId="1681CCD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T-398 de 2019 https://www.corteconstitucional.gov.co/relatoria/2019/T-398-19.htm#_ftnref93, par 167</w:t>
      </w:r>
    </w:p>
  </w:footnote>
  <w:footnote w:id="59">
    <w:p w14:paraId="0C9B1185"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https://www.corteconstitucional.gov.co/relatoria/2016/C-586-16.htm</w:t>
      </w:r>
    </w:p>
  </w:footnote>
  <w:footnote w:id="60">
    <w:p w14:paraId="33FBD982"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Constr. Ibídem párrafo 176</w:t>
      </w:r>
    </w:p>
  </w:footnote>
  <w:footnote w:id="61">
    <w:p w14:paraId="5FD420EC"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 Const., sentencia de constitucionalidad C- 117 de 2018.</w:t>
      </w:r>
    </w:p>
  </w:footnote>
  <w:footnote w:id="62">
    <w:p w14:paraId="67FFEFA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https://www.corteconstitucional.gov.co/RELATORIA/2015/T-121-15.htm</w:t>
      </w:r>
    </w:p>
  </w:footnote>
  <w:footnote w:id="63">
    <w:p w14:paraId="6098AA8F"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3">
        <w:r>
          <w:rPr>
            <w:rFonts w:ascii="Century Gothic" w:eastAsia="Century Gothic" w:hAnsi="Century Gothic" w:cs="Century Gothic"/>
            <w:color w:val="0000FF"/>
            <w:sz w:val="16"/>
            <w:szCs w:val="16"/>
            <w:u w:val="single"/>
          </w:rPr>
          <w:t>https://www.unfpa.org/es/menstruaci%C3%B3n-preguntas-frecuentes</w:t>
        </w:r>
      </w:hyperlink>
      <w:r>
        <w:rPr>
          <w:rFonts w:ascii="Century Gothic" w:eastAsia="Century Gothic" w:hAnsi="Century Gothic" w:cs="Century Gothic"/>
          <w:color w:val="000000"/>
          <w:sz w:val="16"/>
          <w:szCs w:val="16"/>
        </w:rPr>
        <w:t xml:space="preserve"> </w:t>
      </w:r>
    </w:p>
  </w:footnote>
  <w:footnote w:id="64">
    <w:p w14:paraId="5BD41D31"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Contras. https://www.ourbodiesourselves.org/2019/10/negocio-sucio-falta-de-equidad-menstrual-en-las-carceles-colombianas/</w:t>
      </w:r>
    </w:p>
  </w:footnote>
  <w:footnote w:id="65">
    <w:p w14:paraId="7370DA8E"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La Corte Constitucional ha expuesto en múltiples decisiones el estado de cosas inconstitucionales que se presentan en los centros penitenciarios y carcelarios en Colombia entre ellas T-276/2017, T-153/1998, T-388/2013 y T-762/2015, entre otras.</w:t>
      </w:r>
    </w:p>
  </w:footnote>
  <w:footnote w:id="66">
    <w:p w14:paraId="4B7D802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https://revistas.udea.edu.co/index.php/red/article/view/342877/20804380#content/citation_reference_15</w:t>
      </w:r>
    </w:p>
  </w:footnote>
  <w:footnote w:id="67">
    <w:p w14:paraId="28AA6110"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https://www.dejusticia.org/wp-content/uploads/2018/02/Tercer-Informe-de-Seguimiento.pdf, pie de página.</w:t>
      </w:r>
    </w:p>
  </w:footnote>
  <w:footnote w:id="68">
    <w:p w14:paraId="2B5A772F"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4">
        <w:r>
          <w:rPr>
            <w:rFonts w:ascii="Century Gothic" w:eastAsia="Century Gothic" w:hAnsi="Century Gothic" w:cs="Century Gothic"/>
            <w:color w:val="0000FF"/>
            <w:sz w:val="16"/>
            <w:szCs w:val="16"/>
            <w:u w:val="single"/>
          </w:rPr>
          <w:t>https://www.corteconstitucional.gov.co/relatoria/2019/T-398-19.htm</w:t>
        </w:r>
      </w:hyperlink>
      <w:r>
        <w:rPr>
          <w:rFonts w:ascii="Century Gothic" w:eastAsia="Century Gothic" w:hAnsi="Century Gothic" w:cs="Century Gothic"/>
          <w:color w:val="000000"/>
          <w:sz w:val="16"/>
          <w:szCs w:val="16"/>
        </w:rPr>
        <w:t xml:space="preserve"> </w:t>
      </w:r>
    </w:p>
  </w:footnote>
  <w:footnote w:id="69">
    <w:p w14:paraId="489B0DC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https://www.corteconstitucional.gov.co/noticia.php?La-Corte-Constitucional-protege-la-dignidad-humana-de-las-mujeres-habitantes-de-calle-y-ordena-disenar-una-politica-publica-de-gestion-de-su-higiene-menstrual.-8758</w:t>
      </w:r>
    </w:p>
  </w:footnote>
  <w:footnote w:id="70">
    <w:p w14:paraId="7F6C84F9"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T-398/19. p. 60-61.</w:t>
      </w:r>
    </w:p>
  </w:footnote>
  <w:footnote w:id="71">
    <w:p w14:paraId="01364410"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https://www.corteconstitucional.gov.co/relatoria/2018/t-267-18.htm</w:t>
      </w:r>
    </w:p>
  </w:footnote>
  <w:footnote w:id="72">
    <w:p w14:paraId="19DDDA2E"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3">
    <w:p w14:paraId="6F07CB4F"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https://www.corteconstitucional.gov.co/relatoria/2018/C-117-18.htm Párr. 49</w:t>
      </w:r>
    </w:p>
  </w:footnote>
  <w:footnote w:id="74">
    <w:p w14:paraId="190F8EAC"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Ibídem</w:t>
      </w:r>
    </w:p>
  </w:footnote>
  <w:footnote w:id="75">
    <w:p w14:paraId="04E12D3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https://www.corteconstitucional.gov.co/relatoria/2013/t-388-13.htm</w:t>
      </w:r>
    </w:p>
  </w:footnote>
  <w:footnote w:id="76">
    <w:p w14:paraId="4D8F2F9A"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7">
    <w:p w14:paraId="09220462"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https://www.un.org/womenwatch/daw/cedaw/recommendations/recomm-sp.htm, numeral 12 literal a </w:t>
      </w:r>
    </w:p>
  </w:footnote>
  <w:footnote w:id="78">
    <w:p w14:paraId="790EEA7B"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https://www.un.org/womenwatch/daw/cedaw/recommendations/recomm-sp.htm, numeral 23 literal b</w:t>
      </w:r>
    </w:p>
  </w:footnote>
  <w:footnote w:id="79">
    <w:p w14:paraId="4C466A71"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https://www.contagioradio.com/reglas-de-bangkok-una-garantia-para-las-mujeres-reclusas/</w:t>
      </w:r>
    </w:p>
  </w:footnote>
  <w:footnote w:id="80">
    <w:p w14:paraId="446E5155"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81">
    <w:p w14:paraId="57331360"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http://www.oas.org/es/cidh/mandato/Basicos/PrincipiosPPL.asp</w:t>
      </w:r>
    </w:p>
  </w:footnote>
  <w:footnote w:id="82">
    <w:p w14:paraId="5D7B407C"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A/RES/70/175 - S - A/RES/70/175 -Desktop. (2015, 17 diciembre). Organización de las Naciones Unidas. https://undocs.org/es/A/RES/70/175</w:t>
      </w:r>
    </w:p>
  </w:footnote>
  <w:footnote w:id="83">
    <w:p w14:paraId="5C65C37D"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para el Desarrollo Sostenible | Comisión Económica para América Latina y el Caribe. (s. f.). Comisión Económica para América Latina y el Caribe. https://www.cepal.org/es/temas/agenda-2030-desarrollo-sostenible</w:t>
      </w:r>
    </w:p>
  </w:footnote>
  <w:footnote w:id="84">
    <w:p w14:paraId="47098892"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5">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3.7.</w:t>
      </w:r>
    </w:p>
  </w:footnote>
  <w:footnote w:id="85">
    <w:p w14:paraId="53C93409"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6">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3.8</w:t>
      </w:r>
    </w:p>
  </w:footnote>
  <w:footnote w:id="86">
    <w:p w14:paraId="68DE25CB"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7">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5.6</w:t>
      </w:r>
    </w:p>
  </w:footnote>
  <w:footnote w:id="87">
    <w:p w14:paraId="2D5CC57F" w14:textId="77777777" w:rsidR="002051CB" w:rsidRDefault="002051CB" w:rsidP="002051CB">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Agenda 2030. </w:t>
      </w:r>
      <w:hyperlink r:id="rId38">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6.2</w:t>
      </w:r>
    </w:p>
  </w:footnote>
  <w:footnote w:id="88">
    <w:p w14:paraId="5B11706D" w14:textId="77777777" w:rsidR="002051CB" w:rsidRDefault="002051CB" w:rsidP="002051CB">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https://www.corteidh.or.cr/docs/casos/articulos/seriec_160_esp.pdf párrafo 319</w:t>
      </w:r>
    </w:p>
  </w:footnote>
  <w:footnote w:id="89">
    <w:p w14:paraId="4712F6E4" w14:textId="77777777" w:rsidR="002051CB" w:rsidRDefault="002051CB" w:rsidP="002051CB">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https://www.corteidh.or.cr/docs/casos/articulos/seriec_160_esp.pdf párrafo 315</w:t>
      </w:r>
    </w:p>
  </w:footnote>
  <w:footnote w:id="90">
    <w:p w14:paraId="3D9654E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https://www.pagina12.com.ar/249639-tampones-y-toallitas-seran-gratis-en-escocia</w:t>
      </w:r>
    </w:p>
  </w:footnote>
  <w:footnote w:id="91">
    <w:p w14:paraId="4B432397" w14:textId="73F8DB4C" w:rsidR="002051CB" w:rsidRPr="008E7DD7" w:rsidRDefault="002051CB" w:rsidP="002051CB">
      <w:pPr>
        <w:jc w:val="both"/>
        <w:rPr>
          <w:rFonts w:ascii="Century Gothic" w:eastAsia="Century Gothic" w:hAnsi="Century Gothic" w:cs="Century Gothic"/>
          <w:i/>
          <w:sz w:val="16"/>
          <w:szCs w:val="16"/>
          <w:lang w:val="en-US"/>
        </w:rPr>
      </w:pPr>
      <w:r>
        <w:rPr>
          <w:vertAlign w:val="superscript"/>
        </w:rPr>
        <w:footnoteRef/>
      </w:r>
      <w:r>
        <w:rPr>
          <w:rFonts w:ascii="Century Gothic" w:eastAsia="Century Gothic" w:hAnsi="Century Gothic" w:cs="Century Gothic"/>
          <w:i/>
          <w:sz w:val="16"/>
          <w:szCs w:val="16"/>
        </w:rPr>
        <w:t xml:space="preserve"> </w:t>
      </w:r>
      <w:r>
        <w:rPr>
          <w:rFonts w:ascii="Century Gothic" w:eastAsia="Century Gothic" w:hAnsi="Century Gothic" w:cs="Century Gothic"/>
          <w:sz w:val="16"/>
          <w:szCs w:val="16"/>
        </w:rPr>
        <w:t xml:space="preserve">Traducción propia del siguiente texto: </w:t>
      </w:r>
      <w:r>
        <w:rPr>
          <w:rFonts w:ascii="Century Gothic" w:eastAsia="Century Gothic" w:hAnsi="Century Gothic" w:cs="Century Gothic"/>
          <w:i/>
          <w:sz w:val="16"/>
          <w:szCs w:val="16"/>
        </w:rPr>
        <w:t>“</w:t>
      </w:r>
      <w:r w:rsidR="008E7DD7">
        <w:rPr>
          <w:rFonts w:ascii="Century Gothic" w:eastAsia="Century Gothic" w:hAnsi="Century Gothic" w:cs="Century Gothic"/>
          <w:i/>
          <w:sz w:val="16"/>
          <w:szCs w:val="16"/>
        </w:rPr>
        <w:t>Periodo</w:t>
      </w:r>
      <w:r>
        <w:rPr>
          <w:rFonts w:ascii="Century Gothic" w:eastAsia="Century Gothic" w:hAnsi="Century Gothic" w:cs="Century Gothic"/>
          <w:i/>
          <w:sz w:val="16"/>
          <w:szCs w:val="16"/>
        </w:rPr>
        <w:t xml:space="preserve"> Products (Free </w:t>
      </w:r>
      <w:r w:rsidRPr="008E7DD7">
        <w:rPr>
          <w:rFonts w:ascii="Century Gothic" w:eastAsia="Century Gothic" w:hAnsi="Century Gothic" w:cs="Century Gothic"/>
          <w:i/>
          <w:sz w:val="16"/>
          <w:szCs w:val="16"/>
          <w:lang w:val="en-US"/>
        </w:rPr>
        <w:t>Provision) (Scotland</w:t>
      </w:r>
      <w:r>
        <w:rPr>
          <w:rFonts w:ascii="Century Gothic" w:eastAsia="Century Gothic" w:hAnsi="Century Gothic" w:cs="Century Gothic"/>
          <w:i/>
          <w:sz w:val="16"/>
          <w:szCs w:val="16"/>
        </w:rPr>
        <w:t xml:space="preserve">) Bill (2020): </w:t>
      </w:r>
      <w:r w:rsidRPr="008E7DD7">
        <w:rPr>
          <w:rFonts w:ascii="Century Gothic" w:eastAsia="Century Gothic" w:hAnsi="Century Gothic" w:cs="Century Gothic"/>
          <w:i/>
          <w:sz w:val="16"/>
          <w:szCs w:val="16"/>
          <w:lang w:val="en-US"/>
        </w:rPr>
        <w:t>(1) Each local authority must ensure that, within its area, period products are obtainable free of charge (in accordance with arrangements established and maintained by the local authority) by all persons who need to use them. (2) The period products obtainable free of charge by a person under such arrangements (whether obtained under one or more than one local authority’s arrangements) are to be sufficient products to meet the person’s needs while in Scotland. (3) Arrangements established and maintained under subsection (1)— (a) must include provision under which period products are obtainable by another person on behalf of the person who needs to use them, (b) may, where they include provision under which period products may be delivered to a person, require the person to pay costs associated with packing and delivery (except where the person could not reasonably obtain products in</w:t>
      </w:r>
      <w:r>
        <w:rPr>
          <w:rFonts w:ascii="Century Gothic" w:eastAsia="Century Gothic" w:hAnsi="Century Gothic" w:cs="Century Gothic"/>
          <w:i/>
          <w:sz w:val="16"/>
          <w:szCs w:val="16"/>
        </w:rPr>
        <w:t xml:space="preserve"> </w:t>
      </w:r>
      <w:r w:rsidRPr="008E7DD7">
        <w:rPr>
          <w:rFonts w:ascii="Century Gothic" w:eastAsia="Century Gothic" w:hAnsi="Century Gothic" w:cs="Century Gothic"/>
          <w:i/>
          <w:sz w:val="16"/>
          <w:szCs w:val="16"/>
          <w:lang w:val="en-US"/>
        </w:rPr>
        <w:t xml:space="preserve">accordance with the arrangements in any other way). (4) For the purposes of subsection (2), the needs of a person who lives in Scotland are to be regarded as all arising while in Scotland” (p.1). </w:t>
      </w:r>
      <w:r w:rsidRPr="008E7DD7">
        <w:rPr>
          <w:rFonts w:ascii="Century Gothic" w:eastAsia="Century Gothic" w:hAnsi="Century Gothic" w:cs="Century Gothic"/>
          <w:sz w:val="16"/>
          <w:szCs w:val="16"/>
          <w:lang w:val="en-US"/>
        </w:rPr>
        <w:t xml:space="preserve">Free period products in Scotland (Vol. 396, </w:t>
      </w:r>
      <w:r w:rsidRPr="008E7DD7">
        <w:rPr>
          <w:rFonts w:ascii="Century Gothic" w:eastAsia="Century Gothic" w:hAnsi="Century Gothic" w:cs="Century Gothic"/>
          <w:sz w:val="16"/>
          <w:szCs w:val="16"/>
          <w:lang w:val="es-ES"/>
        </w:rPr>
        <w:t>Número</w:t>
      </w:r>
      <w:r w:rsidRPr="008E7DD7">
        <w:rPr>
          <w:rFonts w:ascii="Century Gothic" w:eastAsia="Century Gothic" w:hAnsi="Century Gothic" w:cs="Century Gothic"/>
          <w:sz w:val="16"/>
          <w:szCs w:val="16"/>
          <w:lang w:val="en-US"/>
        </w:rPr>
        <w:t xml:space="preserve"> 10265). (2020). Elsevier BV. https://doi.org/10.1016/s0140-6736(20)32583-6.</w:t>
      </w:r>
    </w:p>
  </w:footnote>
  <w:footnote w:id="92">
    <w:p w14:paraId="69B92840"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9">
        <w:r>
          <w:rPr>
            <w:rFonts w:ascii="Century Gothic" w:eastAsia="Century Gothic" w:hAnsi="Century Gothic" w:cs="Century Gothic"/>
            <w:color w:val="0000FF"/>
            <w:sz w:val="16"/>
            <w:szCs w:val="16"/>
            <w:u w:val="single"/>
          </w:rPr>
          <w:t>https://www.sbs.com.au/news/canada-scraps-tampon-tax</w:t>
        </w:r>
      </w:hyperlink>
    </w:p>
  </w:footnote>
  <w:footnote w:id="93">
    <w:p w14:paraId="7F4A1BA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https://www.magazinelatino.com/bc-sera-la-primera-provincia-de-canada-en-proporcionar-a-las-estudiantes-tampones-y-toallas-higienicas-gratis/</w:t>
      </w:r>
    </w:p>
  </w:footnote>
  <w:footnote w:id="94">
    <w:p w14:paraId="5912DD6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https://consumer.healthday.com/pregnancy-information-29/menstruation-news-473/dos-tercios-de-las-mujeres-pobres-de-ee-uu-no-pueden-costear-las-toallas-sanitarias-ni-los-tampones-seg-uacute-n-un-estudio-741695.html</w:t>
      </w:r>
    </w:p>
  </w:footnote>
  <w:footnote w:id="95">
    <w:p w14:paraId="43C4CA9A"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https://www.bancomundial.org/es/news/feature/2019/10/23/el-alto-costo-de-ser-mujer-en-el-mundo-en-desarrollo</w:t>
      </w:r>
    </w:p>
  </w:footnote>
  <w:footnote w:id="96">
    <w:p w14:paraId="6F9D5E65"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i/>
          <w:color w:val="000000"/>
          <w:sz w:val="16"/>
          <w:szCs w:val="16"/>
        </w:rPr>
        <w:t>1524 (115th</w:t>
      </w:r>
      <w:r w:rsidRPr="008E7DD7">
        <w:rPr>
          <w:rFonts w:ascii="Century Gothic" w:eastAsia="Century Gothic" w:hAnsi="Century Gothic" w:cs="Century Gothic"/>
          <w:i/>
          <w:color w:val="000000"/>
          <w:sz w:val="16"/>
          <w:szCs w:val="16"/>
          <w:lang w:val="en-US"/>
        </w:rPr>
        <w:t>): Dignity Act</w:t>
      </w:r>
      <w:r>
        <w:rPr>
          <w:rFonts w:ascii="Century Gothic" w:eastAsia="Century Gothic" w:hAnsi="Century Gothic" w:cs="Century Gothic"/>
          <w:color w:val="000000"/>
          <w:sz w:val="16"/>
          <w:szCs w:val="16"/>
        </w:rPr>
        <w:t xml:space="preserve"> (Vol. 1, Número 7). (2017).  </w:t>
      </w:r>
      <w:hyperlink r:id="rId40">
        <w:r>
          <w:rPr>
            <w:rFonts w:ascii="Century Gothic" w:eastAsia="Century Gothic" w:hAnsi="Century Gothic" w:cs="Century Gothic"/>
            <w:color w:val="0000FF"/>
            <w:sz w:val="16"/>
            <w:szCs w:val="16"/>
            <w:u w:val="single"/>
          </w:rPr>
          <w:t>https://www.govtrack.us/congress/bills/115/s1524/text</w:t>
        </w:r>
      </w:hyperlink>
      <w:r>
        <w:rPr>
          <w:rFonts w:ascii="Century Gothic" w:eastAsia="Century Gothic" w:hAnsi="Century Gothic" w:cs="Century Gothic"/>
          <w:color w:val="000000"/>
          <w:sz w:val="16"/>
          <w:szCs w:val="16"/>
        </w:rPr>
        <w:t>. (p. 6 -7)</w:t>
      </w:r>
    </w:p>
  </w:footnote>
  <w:footnote w:id="97">
    <w:p w14:paraId="033B2A7A"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1">
        <w:r>
          <w:rPr>
            <w:rFonts w:ascii="Century Gothic" w:eastAsia="Century Gothic" w:hAnsi="Century Gothic" w:cs="Century Gothic"/>
            <w:color w:val="0000FF"/>
            <w:sz w:val="16"/>
            <w:szCs w:val="16"/>
            <w:u w:val="single"/>
          </w:rPr>
          <w:t>https://economiafeminita.com/esimportante-hablar-de-menstruacion/</w:t>
        </w:r>
      </w:hyperlink>
    </w:p>
    <w:p w14:paraId="0FD93F73" w14:textId="77777777" w:rsidR="002051CB" w:rsidRDefault="00C75FF9" w:rsidP="002051CB">
      <w:pPr>
        <w:pBdr>
          <w:top w:val="nil"/>
          <w:left w:val="nil"/>
          <w:bottom w:val="nil"/>
          <w:right w:val="nil"/>
          <w:between w:val="nil"/>
        </w:pBdr>
        <w:jc w:val="both"/>
        <w:rPr>
          <w:rFonts w:ascii="Century Gothic" w:eastAsia="Century Gothic" w:hAnsi="Century Gothic" w:cs="Century Gothic"/>
          <w:color w:val="000000"/>
          <w:sz w:val="16"/>
          <w:szCs w:val="16"/>
        </w:rPr>
      </w:pPr>
      <w:hyperlink r:id="rId42">
        <w:r w:rsidR="002051CB">
          <w:rPr>
            <w:rFonts w:ascii="Century Gothic" w:eastAsia="Century Gothic" w:hAnsi="Century Gothic" w:cs="Century Gothic"/>
            <w:color w:val="0000FF"/>
            <w:sz w:val="16"/>
            <w:szCs w:val="16"/>
            <w:u w:val="single"/>
          </w:rPr>
          <w:t>https://economiafeminita.com/sangre-sudor-y-gastos-por-que-la-menstruacion-es-un-factor-de-desigualdad/</w:t>
        </w:r>
      </w:hyperlink>
    </w:p>
  </w:footnote>
  <w:footnote w:id="98">
    <w:p w14:paraId="1C63C9F1"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3">
        <w:r>
          <w:rPr>
            <w:rFonts w:ascii="Century Gothic" w:eastAsia="Century Gothic" w:hAnsi="Century Gothic" w:cs="Century Gothic"/>
            <w:color w:val="0000FF"/>
            <w:sz w:val="16"/>
            <w:szCs w:val="16"/>
            <w:u w:val="single"/>
          </w:rPr>
          <w:t>https://larepublica.pe/mundo/2020/01/15/chile-camara-de-diputados-busca-que-productos-de-higiene-menstrual-sean-gratuitos-atmp/</w:t>
        </w:r>
      </w:hyperlink>
    </w:p>
  </w:footnote>
  <w:footnote w:id="99">
    <w:p w14:paraId="3B46DEA5"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https://www.escr-net.org/es/noticias/2019/carceles-egipcias-deben-respetar-necesidades-corporales-y-salud-mujeres-en-carceles</w:t>
      </w:r>
    </w:p>
  </w:footnote>
  <w:footnote w:id="100">
    <w:p w14:paraId="28D82D58"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https://www.escr-net.org/es/noticias/2019/carceles-egipcias-deben-respetar-necesidades-corporales-y-salud-mujeres-en-carceles</w:t>
      </w:r>
    </w:p>
  </w:footnote>
  <w:footnote w:id="101">
    <w:p w14:paraId="085054CD"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44">
        <w:r>
          <w:rPr>
            <w:rFonts w:ascii="Century Gothic" w:eastAsia="Century Gothic" w:hAnsi="Century Gothic" w:cs="Century Gothic"/>
            <w:color w:val="0000FF"/>
            <w:sz w:val="16"/>
            <w:szCs w:val="16"/>
            <w:u w:val="single"/>
          </w:rPr>
          <w:t>https://infosen.senado.gob.mx/sgsp/gaceta/64/2/2020-06-10- 1/assets/documentos/Inic_MC_Dip_Martha_Tagle_art_115_LGE.pdf</w:t>
        </w:r>
      </w:hyperlink>
      <w:r>
        <w:rPr>
          <w:rFonts w:ascii="Century Gothic" w:eastAsia="Century Gothic" w:hAnsi="Century Gothic" w:cs="Century Gothic"/>
          <w:color w:val="000000"/>
          <w:sz w:val="16"/>
          <w:szCs w:val="16"/>
        </w:rPr>
        <w:t xml:space="preserve"> </w:t>
      </w:r>
    </w:p>
  </w:footnote>
  <w:footnote w:id="102">
    <w:p w14:paraId="0CD1E90F" w14:textId="77777777" w:rsidR="002051CB" w:rsidRDefault="002051CB" w:rsidP="002051CB">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i/>
          <w:color w:val="000000"/>
          <w:sz w:val="16"/>
          <w:szCs w:val="16"/>
        </w:rPr>
        <w:t>UK to provide all female prisoners with free sanitary products</w:t>
      </w:r>
      <w:r>
        <w:rPr>
          <w:rFonts w:ascii="Century Gothic" w:eastAsia="Century Gothic" w:hAnsi="Century Gothic" w:cs="Century Gothic"/>
          <w:color w:val="000000"/>
          <w:sz w:val="16"/>
          <w:szCs w:val="16"/>
        </w:rPr>
        <w:t xml:space="preserve">. (2019, 29 abril). World Economic Forum. </w:t>
      </w:r>
      <w:hyperlink r:id="rId45">
        <w:r>
          <w:rPr>
            <w:rFonts w:ascii="Century Gothic" w:eastAsia="Century Gothic" w:hAnsi="Century Gothic" w:cs="Century Gothic"/>
            <w:color w:val="0000FF"/>
            <w:sz w:val="16"/>
            <w:szCs w:val="16"/>
            <w:u w:val="single"/>
          </w:rPr>
          <w:t>https://www.weforum.org/agenda/2019/04/uk-to-provide-all-female-prisoners-with-free-sanitary-products/</w:t>
        </w:r>
      </w:hyperlink>
      <w:r>
        <w:rPr>
          <w:rFonts w:ascii="Century Gothic" w:eastAsia="Century Gothic" w:hAnsi="Century Gothic" w:cs="Century Gothic"/>
          <w:color w:val="000000"/>
          <w:sz w:val="16"/>
          <w:szCs w:val="16"/>
        </w:rPr>
        <w:t>.</w:t>
      </w:r>
    </w:p>
    <w:p w14:paraId="6BE69AD8" w14:textId="77777777" w:rsidR="002051CB" w:rsidRDefault="002051CB" w:rsidP="002051C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7E78" w14:textId="404815BB" w:rsidR="00553E85" w:rsidRPr="003F7608" w:rsidRDefault="00483D54" w:rsidP="003F7608">
    <w:pPr>
      <w:jc w:val="center"/>
    </w:pPr>
    <w:r>
      <w:rPr>
        <w:rFonts w:ascii="Century Gothic" w:hAnsi="Century Gothic"/>
        <w:strike/>
        <w:noProof/>
      </w:rPr>
      <w:drawing>
        <wp:anchor distT="0" distB="0" distL="114300" distR="114300" simplePos="0" relativeHeight="251659264" behindDoc="0" locked="0" layoutInCell="1" allowOverlap="1" wp14:anchorId="7A6975E8" wp14:editId="416537EF">
          <wp:simplePos x="0" y="0"/>
          <wp:positionH relativeFrom="margin">
            <wp:posOffset>3962920</wp:posOffset>
          </wp:positionH>
          <wp:positionV relativeFrom="paragraph">
            <wp:posOffset>-57380</wp:posOffset>
          </wp:positionV>
          <wp:extent cx="1154545" cy="562848"/>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4401" cy="56765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trike/>
        <w:noProof/>
      </w:rPr>
      <w:drawing>
        <wp:anchor distT="0" distB="0" distL="114300" distR="114300" simplePos="0" relativeHeight="251661312" behindDoc="0" locked="0" layoutInCell="1" allowOverlap="1" wp14:anchorId="417074DA" wp14:editId="6F8E05EF">
          <wp:simplePos x="0" y="0"/>
          <wp:positionH relativeFrom="column">
            <wp:posOffset>-27190</wp:posOffset>
          </wp:positionH>
          <wp:positionV relativeFrom="paragraph">
            <wp:posOffset>-48145</wp:posOffset>
          </wp:positionV>
          <wp:extent cx="1819564" cy="53899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ongre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9425" cy="547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 w15:restartNumberingAfterBreak="0">
    <w:nsid w:val="0BFE3D6E"/>
    <w:multiLevelType w:val="hybridMultilevel"/>
    <w:tmpl w:val="FA7608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7B62"/>
    <w:multiLevelType w:val="multilevel"/>
    <w:tmpl w:val="B12EE1FA"/>
    <w:lvl w:ilvl="0">
      <w:start w:val="1"/>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12BE40A1"/>
    <w:multiLevelType w:val="multilevel"/>
    <w:tmpl w:val="23223C7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40401EA"/>
    <w:multiLevelType w:val="multilevel"/>
    <w:tmpl w:val="40B843C4"/>
    <w:lvl w:ilvl="0">
      <w:start w:val="5"/>
      <w:numFmt w:val="bullet"/>
      <w:lvlText w:val="~"/>
      <w:lvlJc w:val="left"/>
      <w:pPr>
        <w:ind w:left="426" w:hanging="360"/>
      </w:pPr>
      <w:rPr>
        <w:rFonts w:ascii="Times New Roman" w:eastAsia="Times New Roman" w:hAnsi="Times New Roman" w:cs="Times New Roman"/>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5" w15:restartNumberingAfterBreak="0">
    <w:nsid w:val="1A82108E"/>
    <w:multiLevelType w:val="multilevel"/>
    <w:tmpl w:val="A8F67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66BCD"/>
    <w:multiLevelType w:val="multilevel"/>
    <w:tmpl w:val="D55CCD3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1E87B38"/>
    <w:multiLevelType w:val="multilevel"/>
    <w:tmpl w:val="EF0E9F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31D195C"/>
    <w:multiLevelType w:val="multilevel"/>
    <w:tmpl w:val="426A6D70"/>
    <w:lvl w:ilvl="0">
      <w:start w:val="3"/>
      <w:numFmt w:val="decimal"/>
      <w:lvlText w:val="%1"/>
      <w:lvlJc w:val="left"/>
      <w:pPr>
        <w:ind w:left="360" w:hanging="360"/>
      </w:pPr>
    </w:lvl>
    <w:lvl w:ilvl="1">
      <w:start w:val="7"/>
      <w:numFmt w:val="decimal"/>
      <w:lvlText w:val="%1.%2"/>
      <w:lvlJc w:val="left"/>
      <w:pPr>
        <w:ind w:left="644" w:hanging="359"/>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0" w15:restartNumberingAfterBreak="0">
    <w:nsid w:val="39374378"/>
    <w:multiLevelType w:val="hybridMultilevel"/>
    <w:tmpl w:val="DFDA67A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9B08D7"/>
    <w:multiLevelType w:val="hybridMultilevel"/>
    <w:tmpl w:val="94E20FAA"/>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36764"/>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59A77D5"/>
    <w:multiLevelType w:val="multilevel"/>
    <w:tmpl w:val="3EB871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9EA696E"/>
    <w:multiLevelType w:val="multilevel"/>
    <w:tmpl w:val="F102A3B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FBB7A41"/>
    <w:multiLevelType w:val="multilevel"/>
    <w:tmpl w:val="B58C5B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8F85C21"/>
    <w:multiLevelType w:val="multilevel"/>
    <w:tmpl w:val="56569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5E106F"/>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6EB13911"/>
    <w:multiLevelType w:val="hybridMultilevel"/>
    <w:tmpl w:val="F530E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994472"/>
    <w:multiLevelType w:val="hybridMultilevel"/>
    <w:tmpl w:val="68FAA9BA"/>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76DC346A"/>
    <w:multiLevelType w:val="multilevel"/>
    <w:tmpl w:val="54B06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E828A9"/>
    <w:multiLevelType w:val="multilevel"/>
    <w:tmpl w:val="2422A5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2"/>
  </w:num>
  <w:num w:numId="2">
    <w:abstractNumId w:val="7"/>
  </w:num>
  <w:num w:numId="3">
    <w:abstractNumId w:val="0"/>
  </w:num>
  <w:num w:numId="4">
    <w:abstractNumId w:val="19"/>
  </w:num>
  <w:num w:numId="5">
    <w:abstractNumId w:val="2"/>
  </w:num>
  <w:num w:numId="6">
    <w:abstractNumId w:val="12"/>
  </w:num>
  <w:num w:numId="7">
    <w:abstractNumId w:val="16"/>
  </w:num>
  <w:num w:numId="8">
    <w:abstractNumId w:val="15"/>
  </w:num>
  <w:num w:numId="9">
    <w:abstractNumId w:val="1"/>
  </w:num>
  <w:num w:numId="10">
    <w:abstractNumId w:val="10"/>
  </w:num>
  <w:num w:numId="11">
    <w:abstractNumId w:val="21"/>
  </w:num>
  <w:num w:numId="12">
    <w:abstractNumId w:val="24"/>
  </w:num>
  <w:num w:numId="13">
    <w:abstractNumId w:val="14"/>
  </w:num>
  <w:num w:numId="14">
    <w:abstractNumId w:val="4"/>
  </w:num>
  <w:num w:numId="15">
    <w:abstractNumId w:val="23"/>
  </w:num>
  <w:num w:numId="16">
    <w:abstractNumId w:val="17"/>
  </w:num>
  <w:num w:numId="17">
    <w:abstractNumId w:val="8"/>
  </w:num>
  <w:num w:numId="18">
    <w:abstractNumId w:val="6"/>
  </w:num>
  <w:num w:numId="19">
    <w:abstractNumId w:val="3"/>
  </w:num>
  <w:num w:numId="20">
    <w:abstractNumId w:val="9"/>
  </w:num>
  <w:num w:numId="21">
    <w:abstractNumId w:val="13"/>
  </w:num>
  <w:num w:numId="22">
    <w:abstractNumId w:val="5"/>
  </w:num>
  <w:num w:numId="23">
    <w:abstractNumId w:val="18"/>
  </w:num>
  <w:num w:numId="24">
    <w:abstractNumId w:val="20"/>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F3"/>
    <w:rsid w:val="00004540"/>
    <w:rsid w:val="00004D3D"/>
    <w:rsid w:val="00004DEE"/>
    <w:rsid w:val="0000556A"/>
    <w:rsid w:val="00005C10"/>
    <w:rsid w:val="00011551"/>
    <w:rsid w:val="00012BC2"/>
    <w:rsid w:val="000142A4"/>
    <w:rsid w:val="00020093"/>
    <w:rsid w:val="00022BD0"/>
    <w:rsid w:val="00027550"/>
    <w:rsid w:val="000275A1"/>
    <w:rsid w:val="00031886"/>
    <w:rsid w:val="00034E88"/>
    <w:rsid w:val="000357E2"/>
    <w:rsid w:val="000357EF"/>
    <w:rsid w:val="000435A0"/>
    <w:rsid w:val="00050DF3"/>
    <w:rsid w:val="00053DDB"/>
    <w:rsid w:val="00056C77"/>
    <w:rsid w:val="0006035F"/>
    <w:rsid w:val="00061926"/>
    <w:rsid w:val="00062C43"/>
    <w:rsid w:val="00067D33"/>
    <w:rsid w:val="00071F3B"/>
    <w:rsid w:val="00076BD8"/>
    <w:rsid w:val="00076D04"/>
    <w:rsid w:val="00077CCC"/>
    <w:rsid w:val="00082E57"/>
    <w:rsid w:val="00082F6D"/>
    <w:rsid w:val="000871BD"/>
    <w:rsid w:val="00090DC2"/>
    <w:rsid w:val="0009156A"/>
    <w:rsid w:val="00094DDB"/>
    <w:rsid w:val="00094E3A"/>
    <w:rsid w:val="000A19F6"/>
    <w:rsid w:val="000B14B3"/>
    <w:rsid w:val="000B575E"/>
    <w:rsid w:val="000B6EF1"/>
    <w:rsid w:val="000B7C6E"/>
    <w:rsid w:val="000D4A3B"/>
    <w:rsid w:val="000E194E"/>
    <w:rsid w:val="000E40C7"/>
    <w:rsid w:val="000E50C6"/>
    <w:rsid w:val="001002F2"/>
    <w:rsid w:val="00103EAB"/>
    <w:rsid w:val="001104E1"/>
    <w:rsid w:val="00111440"/>
    <w:rsid w:val="0011168F"/>
    <w:rsid w:val="00115295"/>
    <w:rsid w:val="00121DFB"/>
    <w:rsid w:val="00122982"/>
    <w:rsid w:val="001321E7"/>
    <w:rsid w:val="0013538C"/>
    <w:rsid w:val="0014268D"/>
    <w:rsid w:val="001430F4"/>
    <w:rsid w:val="00144F73"/>
    <w:rsid w:val="00145E3A"/>
    <w:rsid w:val="00154906"/>
    <w:rsid w:val="001557BD"/>
    <w:rsid w:val="00161B57"/>
    <w:rsid w:val="00163E91"/>
    <w:rsid w:val="00164A04"/>
    <w:rsid w:val="001814D8"/>
    <w:rsid w:val="001867E8"/>
    <w:rsid w:val="001873CD"/>
    <w:rsid w:val="00194232"/>
    <w:rsid w:val="00194FB1"/>
    <w:rsid w:val="00195522"/>
    <w:rsid w:val="001A2350"/>
    <w:rsid w:val="001A56BF"/>
    <w:rsid w:val="001B399B"/>
    <w:rsid w:val="001B76DB"/>
    <w:rsid w:val="001B7B55"/>
    <w:rsid w:val="001C1C45"/>
    <w:rsid w:val="001D22E3"/>
    <w:rsid w:val="001D2BF1"/>
    <w:rsid w:val="001D55E6"/>
    <w:rsid w:val="001D58DE"/>
    <w:rsid w:val="001D75DF"/>
    <w:rsid w:val="001E1C8F"/>
    <w:rsid w:val="001E222E"/>
    <w:rsid w:val="001E2258"/>
    <w:rsid w:val="001E7698"/>
    <w:rsid w:val="001F1358"/>
    <w:rsid w:val="001F1FCB"/>
    <w:rsid w:val="002051CB"/>
    <w:rsid w:val="002110B3"/>
    <w:rsid w:val="00217003"/>
    <w:rsid w:val="00221AB1"/>
    <w:rsid w:val="002246BE"/>
    <w:rsid w:val="00224D0D"/>
    <w:rsid w:val="002468F3"/>
    <w:rsid w:val="00246A9C"/>
    <w:rsid w:val="00247B3C"/>
    <w:rsid w:val="00250CB4"/>
    <w:rsid w:val="00253458"/>
    <w:rsid w:val="002551B9"/>
    <w:rsid w:val="002565DF"/>
    <w:rsid w:val="00257B30"/>
    <w:rsid w:val="00257E9C"/>
    <w:rsid w:val="002662BE"/>
    <w:rsid w:val="00266822"/>
    <w:rsid w:val="002703E6"/>
    <w:rsid w:val="00271840"/>
    <w:rsid w:val="00271E89"/>
    <w:rsid w:val="002737A8"/>
    <w:rsid w:val="00274BA6"/>
    <w:rsid w:val="00281BFE"/>
    <w:rsid w:val="00282AA5"/>
    <w:rsid w:val="00282ABD"/>
    <w:rsid w:val="00283B26"/>
    <w:rsid w:val="00283E92"/>
    <w:rsid w:val="00290332"/>
    <w:rsid w:val="00292643"/>
    <w:rsid w:val="002958F7"/>
    <w:rsid w:val="002969F8"/>
    <w:rsid w:val="002977C4"/>
    <w:rsid w:val="002A231C"/>
    <w:rsid w:val="002A5575"/>
    <w:rsid w:val="002A6056"/>
    <w:rsid w:val="002A6F71"/>
    <w:rsid w:val="002B62A9"/>
    <w:rsid w:val="002B7D1A"/>
    <w:rsid w:val="002C0DC5"/>
    <w:rsid w:val="002C6C43"/>
    <w:rsid w:val="002D17B6"/>
    <w:rsid w:val="002D4FDE"/>
    <w:rsid w:val="002E075D"/>
    <w:rsid w:val="002E3059"/>
    <w:rsid w:val="002E3137"/>
    <w:rsid w:val="002F2C34"/>
    <w:rsid w:val="002F7610"/>
    <w:rsid w:val="002F7924"/>
    <w:rsid w:val="00302E3D"/>
    <w:rsid w:val="0030314E"/>
    <w:rsid w:val="00306BF6"/>
    <w:rsid w:val="00313FDA"/>
    <w:rsid w:val="00317AE8"/>
    <w:rsid w:val="00323BA1"/>
    <w:rsid w:val="00325B6C"/>
    <w:rsid w:val="003302C8"/>
    <w:rsid w:val="0033112B"/>
    <w:rsid w:val="003326B3"/>
    <w:rsid w:val="0033485B"/>
    <w:rsid w:val="00343350"/>
    <w:rsid w:val="003462B3"/>
    <w:rsid w:val="00350F3D"/>
    <w:rsid w:val="0035140D"/>
    <w:rsid w:val="00352962"/>
    <w:rsid w:val="0035423B"/>
    <w:rsid w:val="00354E27"/>
    <w:rsid w:val="003607F3"/>
    <w:rsid w:val="003610C3"/>
    <w:rsid w:val="003658B2"/>
    <w:rsid w:val="003667EA"/>
    <w:rsid w:val="00374426"/>
    <w:rsid w:val="00384A0E"/>
    <w:rsid w:val="00387451"/>
    <w:rsid w:val="00390EA4"/>
    <w:rsid w:val="00395067"/>
    <w:rsid w:val="00395BEE"/>
    <w:rsid w:val="00395F13"/>
    <w:rsid w:val="003A0E68"/>
    <w:rsid w:val="003A6670"/>
    <w:rsid w:val="003D0DA8"/>
    <w:rsid w:val="003D1E35"/>
    <w:rsid w:val="003D2E8E"/>
    <w:rsid w:val="003D2F9E"/>
    <w:rsid w:val="003D5502"/>
    <w:rsid w:val="003D64A8"/>
    <w:rsid w:val="003E3A8F"/>
    <w:rsid w:val="003F0095"/>
    <w:rsid w:val="003F15A2"/>
    <w:rsid w:val="003F37E2"/>
    <w:rsid w:val="003F686F"/>
    <w:rsid w:val="003F69AD"/>
    <w:rsid w:val="003F7608"/>
    <w:rsid w:val="00400CB2"/>
    <w:rsid w:val="0040106F"/>
    <w:rsid w:val="004017E4"/>
    <w:rsid w:val="00401EDB"/>
    <w:rsid w:val="00405736"/>
    <w:rsid w:val="004065AE"/>
    <w:rsid w:val="004067F9"/>
    <w:rsid w:val="0041191D"/>
    <w:rsid w:val="00412A92"/>
    <w:rsid w:val="004169FD"/>
    <w:rsid w:val="00424EEC"/>
    <w:rsid w:val="00425046"/>
    <w:rsid w:val="0043003C"/>
    <w:rsid w:val="00436B19"/>
    <w:rsid w:val="00437964"/>
    <w:rsid w:val="00446AC0"/>
    <w:rsid w:val="0045061F"/>
    <w:rsid w:val="00452452"/>
    <w:rsid w:val="00452903"/>
    <w:rsid w:val="00452D81"/>
    <w:rsid w:val="00452E69"/>
    <w:rsid w:val="00454DDF"/>
    <w:rsid w:val="00463DAB"/>
    <w:rsid w:val="00470032"/>
    <w:rsid w:val="00470EEE"/>
    <w:rsid w:val="004771B5"/>
    <w:rsid w:val="00483216"/>
    <w:rsid w:val="00483792"/>
    <w:rsid w:val="00483D54"/>
    <w:rsid w:val="00484749"/>
    <w:rsid w:val="00485F69"/>
    <w:rsid w:val="004873C2"/>
    <w:rsid w:val="00492341"/>
    <w:rsid w:val="00493695"/>
    <w:rsid w:val="00496815"/>
    <w:rsid w:val="004A1D69"/>
    <w:rsid w:val="004A392F"/>
    <w:rsid w:val="004B09AA"/>
    <w:rsid w:val="004B0CB9"/>
    <w:rsid w:val="004B19A5"/>
    <w:rsid w:val="004B2747"/>
    <w:rsid w:val="004B3E71"/>
    <w:rsid w:val="004C1EA3"/>
    <w:rsid w:val="004C1FBE"/>
    <w:rsid w:val="004C2252"/>
    <w:rsid w:val="004C304C"/>
    <w:rsid w:val="004C3B79"/>
    <w:rsid w:val="004D0462"/>
    <w:rsid w:val="004D3DB2"/>
    <w:rsid w:val="004D40BE"/>
    <w:rsid w:val="004E03C9"/>
    <w:rsid w:val="004E1D78"/>
    <w:rsid w:val="004E3DBC"/>
    <w:rsid w:val="004E5C87"/>
    <w:rsid w:val="004E5D0A"/>
    <w:rsid w:val="004E6B3B"/>
    <w:rsid w:val="004F0480"/>
    <w:rsid w:val="004F3125"/>
    <w:rsid w:val="004F3C62"/>
    <w:rsid w:val="004F45B3"/>
    <w:rsid w:val="004F5520"/>
    <w:rsid w:val="004F6EE0"/>
    <w:rsid w:val="004F736A"/>
    <w:rsid w:val="00504481"/>
    <w:rsid w:val="005048C8"/>
    <w:rsid w:val="00510DC6"/>
    <w:rsid w:val="00511AB9"/>
    <w:rsid w:val="005213DF"/>
    <w:rsid w:val="00523520"/>
    <w:rsid w:val="005238F5"/>
    <w:rsid w:val="00526BC5"/>
    <w:rsid w:val="00526DBF"/>
    <w:rsid w:val="00542F33"/>
    <w:rsid w:val="00545F6B"/>
    <w:rsid w:val="00547033"/>
    <w:rsid w:val="0054771E"/>
    <w:rsid w:val="0054782B"/>
    <w:rsid w:val="00550505"/>
    <w:rsid w:val="00553E85"/>
    <w:rsid w:val="0055462E"/>
    <w:rsid w:val="00556458"/>
    <w:rsid w:val="00556F72"/>
    <w:rsid w:val="0055705C"/>
    <w:rsid w:val="00563BFB"/>
    <w:rsid w:val="00570689"/>
    <w:rsid w:val="00571182"/>
    <w:rsid w:val="00572404"/>
    <w:rsid w:val="00575D7A"/>
    <w:rsid w:val="00582372"/>
    <w:rsid w:val="00582A01"/>
    <w:rsid w:val="00585031"/>
    <w:rsid w:val="00591E3C"/>
    <w:rsid w:val="00592E63"/>
    <w:rsid w:val="00593EBC"/>
    <w:rsid w:val="00594603"/>
    <w:rsid w:val="005A218E"/>
    <w:rsid w:val="005A3ADD"/>
    <w:rsid w:val="005A6D10"/>
    <w:rsid w:val="005B03F8"/>
    <w:rsid w:val="005B0CEE"/>
    <w:rsid w:val="005B0ECA"/>
    <w:rsid w:val="005B2F34"/>
    <w:rsid w:val="005B4B32"/>
    <w:rsid w:val="005B5220"/>
    <w:rsid w:val="005B5E0B"/>
    <w:rsid w:val="005C0E90"/>
    <w:rsid w:val="005C1593"/>
    <w:rsid w:val="005C2ABB"/>
    <w:rsid w:val="005C309A"/>
    <w:rsid w:val="005C5A93"/>
    <w:rsid w:val="005D07C1"/>
    <w:rsid w:val="005D50BF"/>
    <w:rsid w:val="005E2ECE"/>
    <w:rsid w:val="005E5A2B"/>
    <w:rsid w:val="005E6EF4"/>
    <w:rsid w:val="005F0DA3"/>
    <w:rsid w:val="005F2BC6"/>
    <w:rsid w:val="005F2C86"/>
    <w:rsid w:val="005F5AC7"/>
    <w:rsid w:val="00603A98"/>
    <w:rsid w:val="006042CC"/>
    <w:rsid w:val="00605F12"/>
    <w:rsid w:val="0061505F"/>
    <w:rsid w:val="00615F66"/>
    <w:rsid w:val="0061612C"/>
    <w:rsid w:val="00623D9D"/>
    <w:rsid w:val="00625BBA"/>
    <w:rsid w:val="00634407"/>
    <w:rsid w:val="006356AE"/>
    <w:rsid w:val="00636410"/>
    <w:rsid w:val="00637D71"/>
    <w:rsid w:val="006415B0"/>
    <w:rsid w:val="0064765F"/>
    <w:rsid w:val="00661F80"/>
    <w:rsid w:val="0066415C"/>
    <w:rsid w:val="00664CF3"/>
    <w:rsid w:val="00665F67"/>
    <w:rsid w:val="006704B6"/>
    <w:rsid w:val="0067309F"/>
    <w:rsid w:val="006760E5"/>
    <w:rsid w:val="00681D92"/>
    <w:rsid w:val="00681FAF"/>
    <w:rsid w:val="00682EC0"/>
    <w:rsid w:val="006848B1"/>
    <w:rsid w:val="006858B8"/>
    <w:rsid w:val="0069000C"/>
    <w:rsid w:val="00691346"/>
    <w:rsid w:val="00694C5F"/>
    <w:rsid w:val="006950E3"/>
    <w:rsid w:val="00696274"/>
    <w:rsid w:val="006979C9"/>
    <w:rsid w:val="006A276B"/>
    <w:rsid w:val="006A3506"/>
    <w:rsid w:val="006A5383"/>
    <w:rsid w:val="006A5CDF"/>
    <w:rsid w:val="006A7028"/>
    <w:rsid w:val="006A72C2"/>
    <w:rsid w:val="006B07DA"/>
    <w:rsid w:val="006B4C29"/>
    <w:rsid w:val="006B6A10"/>
    <w:rsid w:val="006C0B79"/>
    <w:rsid w:val="006C3019"/>
    <w:rsid w:val="006C576A"/>
    <w:rsid w:val="006C6A07"/>
    <w:rsid w:val="006C7FCD"/>
    <w:rsid w:val="006D2B86"/>
    <w:rsid w:val="006D52F7"/>
    <w:rsid w:val="006D5B39"/>
    <w:rsid w:val="006E319A"/>
    <w:rsid w:val="006E5245"/>
    <w:rsid w:val="006E5498"/>
    <w:rsid w:val="006F4B90"/>
    <w:rsid w:val="006F5D99"/>
    <w:rsid w:val="007053B2"/>
    <w:rsid w:val="00711570"/>
    <w:rsid w:val="007118C5"/>
    <w:rsid w:val="007169CB"/>
    <w:rsid w:val="00716CCD"/>
    <w:rsid w:val="00724D58"/>
    <w:rsid w:val="00725C9C"/>
    <w:rsid w:val="0073089F"/>
    <w:rsid w:val="00730DF4"/>
    <w:rsid w:val="00731653"/>
    <w:rsid w:val="00740770"/>
    <w:rsid w:val="00741B6F"/>
    <w:rsid w:val="00743A24"/>
    <w:rsid w:val="00744A35"/>
    <w:rsid w:val="00747CB0"/>
    <w:rsid w:val="00761521"/>
    <w:rsid w:val="007620F0"/>
    <w:rsid w:val="007649B8"/>
    <w:rsid w:val="00765D9F"/>
    <w:rsid w:val="00766581"/>
    <w:rsid w:val="00772B16"/>
    <w:rsid w:val="00773078"/>
    <w:rsid w:val="00777A6A"/>
    <w:rsid w:val="00782CC1"/>
    <w:rsid w:val="007832E2"/>
    <w:rsid w:val="00783D49"/>
    <w:rsid w:val="007856FD"/>
    <w:rsid w:val="00786246"/>
    <w:rsid w:val="00787C5B"/>
    <w:rsid w:val="00791330"/>
    <w:rsid w:val="00796A74"/>
    <w:rsid w:val="007A1DEE"/>
    <w:rsid w:val="007A2716"/>
    <w:rsid w:val="007A5464"/>
    <w:rsid w:val="007A563D"/>
    <w:rsid w:val="007A6153"/>
    <w:rsid w:val="007B3D1C"/>
    <w:rsid w:val="007B56EE"/>
    <w:rsid w:val="007B6D90"/>
    <w:rsid w:val="007C292B"/>
    <w:rsid w:val="007C2E7C"/>
    <w:rsid w:val="007C6757"/>
    <w:rsid w:val="007C6D13"/>
    <w:rsid w:val="007D2CFD"/>
    <w:rsid w:val="007E0EE3"/>
    <w:rsid w:val="007E20CB"/>
    <w:rsid w:val="007E2C9E"/>
    <w:rsid w:val="007F0152"/>
    <w:rsid w:val="007F1AD3"/>
    <w:rsid w:val="007F3321"/>
    <w:rsid w:val="007F6F06"/>
    <w:rsid w:val="008007D9"/>
    <w:rsid w:val="00800D9C"/>
    <w:rsid w:val="00810FB9"/>
    <w:rsid w:val="008175F3"/>
    <w:rsid w:val="00823506"/>
    <w:rsid w:val="00824444"/>
    <w:rsid w:val="00830C57"/>
    <w:rsid w:val="00831A3C"/>
    <w:rsid w:val="008332B9"/>
    <w:rsid w:val="00840455"/>
    <w:rsid w:val="00842964"/>
    <w:rsid w:val="008430DC"/>
    <w:rsid w:val="0084637D"/>
    <w:rsid w:val="008466A8"/>
    <w:rsid w:val="00855F29"/>
    <w:rsid w:val="00855F8B"/>
    <w:rsid w:val="00860496"/>
    <w:rsid w:val="00860D93"/>
    <w:rsid w:val="00866C0C"/>
    <w:rsid w:val="00866CF2"/>
    <w:rsid w:val="00866FF9"/>
    <w:rsid w:val="00867DB8"/>
    <w:rsid w:val="00870689"/>
    <w:rsid w:val="00876E5E"/>
    <w:rsid w:val="00881A35"/>
    <w:rsid w:val="00883DC9"/>
    <w:rsid w:val="00892127"/>
    <w:rsid w:val="00896581"/>
    <w:rsid w:val="008A1F6F"/>
    <w:rsid w:val="008B3D9B"/>
    <w:rsid w:val="008C1D0D"/>
    <w:rsid w:val="008C6B9F"/>
    <w:rsid w:val="008D3288"/>
    <w:rsid w:val="008D3C68"/>
    <w:rsid w:val="008D4594"/>
    <w:rsid w:val="008D6BF4"/>
    <w:rsid w:val="008D7722"/>
    <w:rsid w:val="008E7DD7"/>
    <w:rsid w:val="008F13E9"/>
    <w:rsid w:val="008F6A8A"/>
    <w:rsid w:val="00901558"/>
    <w:rsid w:val="009043E1"/>
    <w:rsid w:val="009058AD"/>
    <w:rsid w:val="00907B3B"/>
    <w:rsid w:val="00915954"/>
    <w:rsid w:val="00915C1A"/>
    <w:rsid w:val="00915F43"/>
    <w:rsid w:val="00917A07"/>
    <w:rsid w:val="0092406D"/>
    <w:rsid w:val="00926AD9"/>
    <w:rsid w:val="009272E5"/>
    <w:rsid w:val="00931C85"/>
    <w:rsid w:val="00934AC7"/>
    <w:rsid w:val="0094393E"/>
    <w:rsid w:val="00943D96"/>
    <w:rsid w:val="00945214"/>
    <w:rsid w:val="00952443"/>
    <w:rsid w:val="009547B4"/>
    <w:rsid w:val="009604DC"/>
    <w:rsid w:val="009612E6"/>
    <w:rsid w:val="00962355"/>
    <w:rsid w:val="0096468A"/>
    <w:rsid w:val="0096767D"/>
    <w:rsid w:val="0097408F"/>
    <w:rsid w:val="00974EB3"/>
    <w:rsid w:val="009761B5"/>
    <w:rsid w:val="0098217F"/>
    <w:rsid w:val="00982F55"/>
    <w:rsid w:val="00983D26"/>
    <w:rsid w:val="00984645"/>
    <w:rsid w:val="009872B0"/>
    <w:rsid w:val="0099206D"/>
    <w:rsid w:val="009A01FB"/>
    <w:rsid w:val="009A191B"/>
    <w:rsid w:val="009A1BD9"/>
    <w:rsid w:val="009A5B37"/>
    <w:rsid w:val="009B018D"/>
    <w:rsid w:val="009B1DE5"/>
    <w:rsid w:val="009B2479"/>
    <w:rsid w:val="009B2712"/>
    <w:rsid w:val="009C16C0"/>
    <w:rsid w:val="009D09BA"/>
    <w:rsid w:val="009D1352"/>
    <w:rsid w:val="009D52FC"/>
    <w:rsid w:val="009D587F"/>
    <w:rsid w:val="009E477F"/>
    <w:rsid w:val="009E6BE4"/>
    <w:rsid w:val="009F1ABA"/>
    <w:rsid w:val="009F62A0"/>
    <w:rsid w:val="00A00C39"/>
    <w:rsid w:val="00A02EF3"/>
    <w:rsid w:val="00A03130"/>
    <w:rsid w:val="00A03D7E"/>
    <w:rsid w:val="00A04A13"/>
    <w:rsid w:val="00A059D4"/>
    <w:rsid w:val="00A157EF"/>
    <w:rsid w:val="00A15AF0"/>
    <w:rsid w:val="00A17464"/>
    <w:rsid w:val="00A20CF9"/>
    <w:rsid w:val="00A27C59"/>
    <w:rsid w:val="00A27CB7"/>
    <w:rsid w:val="00A308B5"/>
    <w:rsid w:val="00A34C59"/>
    <w:rsid w:val="00A366FE"/>
    <w:rsid w:val="00A509E9"/>
    <w:rsid w:val="00A522D3"/>
    <w:rsid w:val="00A565CD"/>
    <w:rsid w:val="00A616AC"/>
    <w:rsid w:val="00A66C09"/>
    <w:rsid w:val="00A67048"/>
    <w:rsid w:val="00A67725"/>
    <w:rsid w:val="00A70D6C"/>
    <w:rsid w:val="00A75DA6"/>
    <w:rsid w:val="00A76CB2"/>
    <w:rsid w:val="00A800ED"/>
    <w:rsid w:val="00A803F1"/>
    <w:rsid w:val="00A8232A"/>
    <w:rsid w:val="00A83197"/>
    <w:rsid w:val="00A87739"/>
    <w:rsid w:val="00A90F6A"/>
    <w:rsid w:val="00AA17DA"/>
    <w:rsid w:val="00AA2209"/>
    <w:rsid w:val="00AA53BB"/>
    <w:rsid w:val="00AB13BA"/>
    <w:rsid w:val="00AB1CBD"/>
    <w:rsid w:val="00AB24F3"/>
    <w:rsid w:val="00AB2501"/>
    <w:rsid w:val="00AB2597"/>
    <w:rsid w:val="00AB2E98"/>
    <w:rsid w:val="00AC155C"/>
    <w:rsid w:val="00AC2BD4"/>
    <w:rsid w:val="00AC6A15"/>
    <w:rsid w:val="00AD0EF7"/>
    <w:rsid w:val="00AD3AE4"/>
    <w:rsid w:val="00AD5971"/>
    <w:rsid w:val="00AD7557"/>
    <w:rsid w:val="00AE0D24"/>
    <w:rsid w:val="00AE1FEF"/>
    <w:rsid w:val="00AE2A33"/>
    <w:rsid w:val="00AE348F"/>
    <w:rsid w:val="00AE4DEB"/>
    <w:rsid w:val="00AF0064"/>
    <w:rsid w:val="00AF088E"/>
    <w:rsid w:val="00AF16CF"/>
    <w:rsid w:val="00AF56D3"/>
    <w:rsid w:val="00B06292"/>
    <w:rsid w:val="00B111EA"/>
    <w:rsid w:val="00B11AB8"/>
    <w:rsid w:val="00B13BA4"/>
    <w:rsid w:val="00B1412C"/>
    <w:rsid w:val="00B154A5"/>
    <w:rsid w:val="00B22CE3"/>
    <w:rsid w:val="00B27203"/>
    <w:rsid w:val="00B324F1"/>
    <w:rsid w:val="00B3264A"/>
    <w:rsid w:val="00B348DC"/>
    <w:rsid w:val="00B34B37"/>
    <w:rsid w:val="00B36493"/>
    <w:rsid w:val="00B43D47"/>
    <w:rsid w:val="00B44BD5"/>
    <w:rsid w:val="00B5382A"/>
    <w:rsid w:val="00B54FC5"/>
    <w:rsid w:val="00B575BC"/>
    <w:rsid w:val="00B62366"/>
    <w:rsid w:val="00B6383E"/>
    <w:rsid w:val="00B659DC"/>
    <w:rsid w:val="00B66A20"/>
    <w:rsid w:val="00B738FC"/>
    <w:rsid w:val="00B74092"/>
    <w:rsid w:val="00B74E57"/>
    <w:rsid w:val="00B76609"/>
    <w:rsid w:val="00B828C2"/>
    <w:rsid w:val="00B85C85"/>
    <w:rsid w:val="00B9042F"/>
    <w:rsid w:val="00B933D7"/>
    <w:rsid w:val="00BB2065"/>
    <w:rsid w:val="00BB373A"/>
    <w:rsid w:val="00BC02C3"/>
    <w:rsid w:val="00BC116C"/>
    <w:rsid w:val="00BC18FF"/>
    <w:rsid w:val="00BC3990"/>
    <w:rsid w:val="00BC45E6"/>
    <w:rsid w:val="00BC4B1E"/>
    <w:rsid w:val="00BC5E1D"/>
    <w:rsid w:val="00BC7B13"/>
    <w:rsid w:val="00BD04C8"/>
    <w:rsid w:val="00BD4AA7"/>
    <w:rsid w:val="00BD5E1B"/>
    <w:rsid w:val="00BD6633"/>
    <w:rsid w:val="00BE1945"/>
    <w:rsid w:val="00BE53B5"/>
    <w:rsid w:val="00BE65C3"/>
    <w:rsid w:val="00BF03BA"/>
    <w:rsid w:val="00BF1CEF"/>
    <w:rsid w:val="00C07098"/>
    <w:rsid w:val="00C2379F"/>
    <w:rsid w:val="00C25D98"/>
    <w:rsid w:val="00C30719"/>
    <w:rsid w:val="00C31B96"/>
    <w:rsid w:val="00C34E7D"/>
    <w:rsid w:val="00C354D9"/>
    <w:rsid w:val="00C36E9E"/>
    <w:rsid w:val="00C37DA8"/>
    <w:rsid w:val="00C412B4"/>
    <w:rsid w:val="00C508EF"/>
    <w:rsid w:val="00C50B84"/>
    <w:rsid w:val="00C52CEA"/>
    <w:rsid w:val="00C61C3A"/>
    <w:rsid w:val="00C623B4"/>
    <w:rsid w:val="00C62DD3"/>
    <w:rsid w:val="00C64466"/>
    <w:rsid w:val="00C65003"/>
    <w:rsid w:val="00C650A9"/>
    <w:rsid w:val="00C65FC3"/>
    <w:rsid w:val="00C66C2B"/>
    <w:rsid w:val="00C670C1"/>
    <w:rsid w:val="00C734DC"/>
    <w:rsid w:val="00C7460E"/>
    <w:rsid w:val="00C75631"/>
    <w:rsid w:val="00C7583A"/>
    <w:rsid w:val="00C75FF9"/>
    <w:rsid w:val="00C80E58"/>
    <w:rsid w:val="00C83697"/>
    <w:rsid w:val="00C83FA7"/>
    <w:rsid w:val="00C8460C"/>
    <w:rsid w:val="00C85394"/>
    <w:rsid w:val="00C86AC5"/>
    <w:rsid w:val="00C8763C"/>
    <w:rsid w:val="00C916F2"/>
    <w:rsid w:val="00C934DA"/>
    <w:rsid w:val="00CA15C5"/>
    <w:rsid w:val="00CA5D85"/>
    <w:rsid w:val="00CA74EF"/>
    <w:rsid w:val="00CA761C"/>
    <w:rsid w:val="00CB19F3"/>
    <w:rsid w:val="00CC5734"/>
    <w:rsid w:val="00CC5884"/>
    <w:rsid w:val="00CC7554"/>
    <w:rsid w:val="00CD3425"/>
    <w:rsid w:val="00CD3F02"/>
    <w:rsid w:val="00CE2C92"/>
    <w:rsid w:val="00CE64FC"/>
    <w:rsid w:val="00CF0211"/>
    <w:rsid w:val="00CF0A5B"/>
    <w:rsid w:val="00CF0FDC"/>
    <w:rsid w:val="00CF16C1"/>
    <w:rsid w:val="00CF28F0"/>
    <w:rsid w:val="00CF4982"/>
    <w:rsid w:val="00CF6421"/>
    <w:rsid w:val="00D00F2C"/>
    <w:rsid w:val="00D05566"/>
    <w:rsid w:val="00D10198"/>
    <w:rsid w:val="00D10453"/>
    <w:rsid w:val="00D17A38"/>
    <w:rsid w:val="00D2039D"/>
    <w:rsid w:val="00D23248"/>
    <w:rsid w:val="00D23255"/>
    <w:rsid w:val="00D23A77"/>
    <w:rsid w:val="00D24487"/>
    <w:rsid w:val="00D24EFC"/>
    <w:rsid w:val="00D262D6"/>
    <w:rsid w:val="00D36E89"/>
    <w:rsid w:val="00D44712"/>
    <w:rsid w:val="00D5023F"/>
    <w:rsid w:val="00D50D2E"/>
    <w:rsid w:val="00D5113F"/>
    <w:rsid w:val="00D54F8A"/>
    <w:rsid w:val="00D5662A"/>
    <w:rsid w:val="00D64319"/>
    <w:rsid w:val="00D67E1A"/>
    <w:rsid w:val="00D70C50"/>
    <w:rsid w:val="00D75231"/>
    <w:rsid w:val="00D758B3"/>
    <w:rsid w:val="00D76704"/>
    <w:rsid w:val="00D76E79"/>
    <w:rsid w:val="00D80F86"/>
    <w:rsid w:val="00D826C5"/>
    <w:rsid w:val="00D835CC"/>
    <w:rsid w:val="00D85D7C"/>
    <w:rsid w:val="00D86F2D"/>
    <w:rsid w:val="00D8740E"/>
    <w:rsid w:val="00D9469E"/>
    <w:rsid w:val="00D95AD0"/>
    <w:rsid w:val="00D97800"/>
    <w:rsid w:val="00DA2017"/>
    <w:rsid w:val="00DA5F20"/>
    <w:rsid w:val="00DB0BAC"/>
    <w:rsid w:val="00DB2958"/>
    <w:rsid w:val="00DB3297"/>
    <w:rsid w:val="00DB416E"/>
    <w:rsid w:val="00DB5AE4"/>
    <w:rsid w:val="00DC26B2"/>
    <w:rsid w:val="00DC3973"/>
    <w:rsid w:val="00DC4789"/>
    <w:rsid w:val="00DC6F36"/>
    <w:rsid w:val="00DD0BB1"/>
    <w:rsid w:val="00DD120A"/>
    <w:rsid w:val="00DD2FB8"/>
    <w:rsid w:val="00DD5833"/>
    <w:rsid w:val="00DE57D6"/>
    <w:rsid w:val="00DF0660"/>
    <w:rsid w:val="00DF44C4"/>
    <w:rsid w:val="00E0085F"/>
    <w:rsid w:val="00E013DB"/>
    <w:rsid w:val="00E12626"/>
    <w:rsid w:val="00E1376E"/>
    <w:rsid w:val="00E21AF7"/>
    <w:rsid w:val="00E21B9E"/>
    <w:rsid w:val="00E22E8F"/>
    <w:rsid w:val="00E24791"/>
    <w:rsid w:val="00E24D46"/>
    <w:rsid w:val="00E2508F"/>
    <w:rsid w:val="00E26E5B"/>
    <w:rsid w:val="00E27B3D"/>
    <w:rsid w:val="00E30ECC"/>
    <w:rsid w:val="00E33ADD"/>
    <w:rsid w:val="00E345C6"/>
    <w:rsid w:val="00E4650F"/>
    <w:rsid w:val="00E46664"/>
    <w:rsid w:val="00E52B0A"/>
    <w:rsid w:val="00E577E4"/>
    <w:rsid w:val="00E61079"/>
    <w:rsid w:val="00E61DD5"/>
    <w:rsid w:val="00E622E7"/>
    <w:rsid w:val="00E70743"/>
    <w:rsid w:val="00E710BD"/>
    <w:rsid w:val="00E73930"/>
    <w:rsid w:val="00E74E42"/>
    <w:rsid w:val="00E75DD6"/>
    <w:rsid w:val="00E84C18"/>
    <w:rsid w:val="00E94E16"/>
    <w:rsid w:val="00E94F6F"/>
    <w:rsid w:val="00E959CD"/>
    <w:rsid w:val="00E968F6"/>
    <w:rsid w:val="00E96FA0"/>
    <w:rsid w:val="00EA2355"/>
    <w:rsid w:val="00EA3249"/>
    <w:rsid w:val="00EA4893"/>
    <w:rsid w:val="00EA7E2D"/>
    <w:rsid w:val="00EB2A7C"/>
    <w:rsid w:val="00EB2E67"/>
    <w:rsid w:val="00EB6133"/>
    <w:rsid w:val="00EC2110"/>
    <w:rsid w:val="00EC3022"/>
    <w:rsid w:val="00EC40FA"/>
    <w:rsid w:val="00EC4818"/>
    <w:rsid w:val="00EC56B7"/>
    <w:rsid w:val="00ED0D98"/>
    <w:rsid w:val="00ED16BA"/>
    <w:rsid w:val="00ED2FD1"/>
    <w:rsid w:val="00ED6B00"/>
    <w:rsid w:val="00ED79AC"/>
    <w:rsid w:val="00EE651A"/>
    <w:rsid w:val="00EE738E"/>
    <w:rsid w:val="00EF04D6"/>
    <w:rsid w:val="00EF18D0"/>
    <w:rsid w:val="00EF78AD"/>
    <w:rsid w:val="00F0031B"/>
    <w:rsid w:val="00F02C0D"/>
    <w:rsid w:val="00F03CE4"/>
    <w:rsid w:val="00F10186"/>
    <w:rsid w:val="00F117EC"/>
    <w:rsid w:val="00F12855"/>
    <w:rsid w:val="00F24006"/>
    <w:rsid w:val="00F24DF9"/>
    <w:rsid w:val="00F32046"/>
    <w:rsid w:val="00F32C93"/>
    <w:rsid w:val="00F4077E"/>
    <w:rsid w:val="00F42FDF"/>
    <w:rsid w:val="00F44683"/>
    <w:rsid w:val="00F50B93"/>
    <w:rsid w:val="00F51A2F"/>
    <w:rsid w:val="00F51BEF"/>
    <w:rsid w:val="00F524B6"/>
    <w:rsid w:val="00F62B08"/>
    <w:rsid w:val="00F6588B"/>
    <w:rsid w:val="00F674D3"/>
    <w:rsid w:val="00F67E7D"/>
    <w:rsid w:val="00F74A78"/>
    <w:rsid w:val="00F761CD"/>
    <w:rsid w:val="00F76D5C"/>
    <w:rsid w:val="00F76E6D"/>
    <w:rsid w:val="00F80506"/>
    <w:rsid w:val="00F84809"/>
    <w:rsid w:val="00F85E76"/>
    <w:rsid w:val="00F877F3"/>
    <w:rsid w:val="00F913B4"/>
    <w:rsid w:val="00FA6D65"/>
    <w:rsid w:val="00FA7059"/>
    <w:rsid w:val="00FB2158"/>
    <w:rsid w:val="00FB442E"/>
    <w:rsid w:val="00FB5576"/>
    <w:rsid w:val="00FB5732"/>
    <w:rsid w:val="00FC7135"/>
    <w:rsid w:val="00FC7446"/>
    <w:rsid w:val="00FC751C"/>
    <w:rsid w:val="00FD3690"/>
    <w:rsid w:val="00FD6A90"/>
    <w:rsid w:val="00FF0CF5"/>
    <w:rsid w:val="00FF3323"/>
    <w:rsid w:val="00FF33E8"/>
    <w:rsid w:val="00FF3FAE"/>
    <w:rsid w:val="00FF7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1643"/>
  <w15:docId w15:val="{93EE3D02-24B6-4A5E-9824-179B9AC7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4E88"/>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6D2B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D2B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List,titulo 3,Bullets,Párrafo de lista2,Cuadrícula clara - Énfasis 31,Elabora,Segundo nivel de viñetas,List Paragraph1,Llista Nivell1,EITI list,Numerado negrita propuestas"/>
    <w:basedOn w:val="Normal"/>
    <w:link w:val="PrrafodelistaCar"/>
    <w:uiPriority w:val="34"/>
    <w:qFormat/>
    <w:rsid w:val="00AB24F3"/>
    <w:pPr>
      <w:spacing w:after="200" w:line="276" w:lineRule="auto"/>
      <w:ind w:left="720"/>
      <w:contextualSpacing/>
    </w:pPr>
    <w:rPr>
      <w:rFonts w:asciiTheme="minorHAnsi" w:hAnsiTheme="minorHAnsi" w:cstheme="minorBidi"/>
      <w:sz w:val="22"/>
      <w:szCs w:val="22"/>
      <w:lang w:val="es-ES" w:eastAsia="en-U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link w:val="NormalWebCar"/>
    <w:uiPriority w:val="99"/>
    <w:unhideWhenUsed/>
    <w:rsid w:val="00DF44C4"/>
    <w:pPr>
      <w:spacing w:before="100" w:beforeAutospacing="1" w:after="100" w:afterAutospacing="1"/>
    </w:pPr>
    <w:rPr>
      <w:lang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paragraph" w:styleId="Sinespaciado">
    <w:name w:val="No Spacing"/>
    <w:link w:val="SinespaciadoCar"/>
    <w:uiPriority w:val="1"/>
    <w:qFormat/>
    <w:rsid w:val="0013538C"/>
    <w:rPr>
      <w:lang w:val="es-CO"/>
    </w:rPr>
  </w:style>
  <w:style w:type="table" w:styleId="Tablaconcuadrcula">
    <w:name w:val="Table Grid"/>
    <w:basedOn w:val="Tablanormal"/>
    <w:uiPriority w:val="39"/>
    <w:rsid w:val="00067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sestlosgacetas">
    <w:name w:val="prrafosestlosgacetas"/>
    <w:basedOn w:val="Normal"/>
    <w:rsid w:val="00AF0064"/>
    <w:pPr>
      <w:spacing w:before="100" w:beforeAutospacing="1" w:after="100" w:afterAutospacing="1"/>
    </w:pPr>
    <w:rPr>
      <w:lang w:eastAsia="es-CO"/>
    </w:rPr>
  </w:style>
  <w:style w:type="character" w:customStyle="1" w:styleId="NormalWebCar">
    <w:name w:val="Normal (Web) Car"/>
    <w:link w:val="NormalWeb"/>
    <w:uiPriority w:val="99"/>
    <w:rsid w:val="00DC3973"/>
    <w:rPr>
      <w:rFonts w:ascii="Times New Roman" w:eastAsia="Times New Roman" w:hAnsi="Times New Roman" w:cs="Times New Roman"/>
      <w:sz w:val="24"/>
      <w:szCs w:val="24"/>
      <w:lang w:val="es-CO" w:eastAsia="es-CO"/>
    </w:rPr>
  </w:style>
  <w:style w:type="paragraph" w:customStyle="1" w:styleId="CuerpoA">
    <w:name w:val="Cuerpo A"/>
    <w:rsid w:val="00DB5AE4"/>
    <w:pPr>
      <w:pBdr>
        <w:top w:val="nil"/>
        <w:left w:val="nil"/>
        <w:bottom w:val="nil"/>
        <w:right w:val="nil"/>
        <w:between w:val="nil"/>
        <w:bar w:val="nil"/>
      </w:pBdr>
    </w:pPr>
    <w:rPr>
      <w:rFonts w:ascii="Helvetica Neue" w:eastAsia="Arial Unicode MS" w:hAnsi="Helvetica Neue" w:cs="Arial Unicode MS"/>
      <w:color w:val="000000"/>
      <w:u w:color="000000"/>
      <w:bdr w:val="nil"/>
      <w:lang w:eastAsia="es-CO"/>
    </w:rPr>
  </w:style>
  <w:style w:type="paragraph" w:styleId="Textocomentario">
    <w:name w:val="annotation text"/>
    <w:basedOn w:val="Normal"/>
    <w:link w:val="TextocomentarioCar"/>
    <w:uiPriority w:val="99"/>
    <w:unhideWhenUsed/>
    <w:rsid w:val="00DB5AE4"/>
    <w:pPr>
      <w:spacing w:after="200"/>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DB5AE4"/>
    <w:rPr>
      <w:rFonts w:ascii="Calibri" w:eastAsia="Calibri" w:hAnsi="Calibri" w:cs="Calibri"/>
      <w:sz w:val="20"/>
      <w:szCs w:val="20"/>
      <w:lang w:val="es-CO" w:eastAsia="es-CO"/>
    </w:rPr>
  </w:style>
  <w:style w:type="paragraph" w:customStyle="1" w:styleId="centrado">
    <w:name w:val="centrado"/>
    <w:basedOn w:val="Normal"/>
    <w:rsid w:val="00E61079"/>
    <w:pPr>
      <w:spacing w:before="100" w:beforeAutospacing="1" w:after="100" w:afterAutospacing="1"/>
    </w:pPr>
    <w:rPr>
      <w:lang w:eastAsia="es-CO"/>
    </w:rPr>
  </w:style>
  <w:style w:type="character" w:customStyle="1" w:styleId="baj">
    <w:name w:val="b_aj"/>
    <w:basedOn w:val="Fuentedeprrafopredeter"/>
    <w:rsid w:val="00E61079"/>
  </w:style>
  <w:style w:type="character" w:customStyle="1" w:styleId="Ttulo1Car">
    <w:name w:val="Título 1 Car"/>
    <w:basedOn w:val="Fuentedeprrafopredeter"/>
    <w:link w:val="Ttulo1"/>
    <w:uiPriority w:val="9"/>
    <w:rsid w:val="006D2B86"/>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
    <w:name w:val="Título 2 Car"/>
    <w:basedOn w:val="Fuentedeprrafopredeter"/>
    <w:link w:val="Ttulo2"/>
    <w:uiPriority w:val="9"/>
    <w:rsid w:val="006D2B86"/>
    <w:rPr>
      <w:rFonts w:asciiTheme="majorHAnsi" w:eastAsiaTheme="majorEastAsia" w:hAnsiTheme="majorHAnsi" w:cstheme="majorBidi"/>
      <w:color w:val="365F91" w:themeColor="accent1" w:themeShade="BF"/>
      <w:sz w:val="26"/>
      <w:szCs w:val="26"/>
      <w:lang w:val="es-ES_tradnl" w:eastAsia="es-ES_tradnl"/>
    </w:rPr>
  </w:style>
  <w:style w:type="character" w:customStyle="1" w:styleId="TextonotapieCar1">
    <w:name w:val="Texto nota pie Car1"/>
    <w:aliases w:val="Ref. de nota al pie1 Car,Texto de nota al pie Car,referencia nota al pie Car,FA Fu Car1,Footnote Text Char Char Char Char Char Car1,Footnote Text Char Char Char Char Car1,Footnote reference Car1,Footnote Text Char Car1,f Car1"/>
    <w:basedOn w:val="Fuentedeprrafopredeter"/>
    <w:link w:val="Textonotapie"/>
    <w:uiPriority w:val="99"/>
    <w:locked/>
    <w:rsid w:val="00F524B6"/>
    <w:rPr>
      <w:rFonts w:ascii="Times New Roman" w:hAnsi="Times New Roman" w:cs="Times New Roman"/>
      <w:lang w:eastAsia="es-ES"/>
    </w:rPr>
  </w:style>
  <w:style w:type="paragraph" w:styleId="Textonotapie">
    <w:name w:val="footnote text"/>
    <w:aliases w:val="Ref. de nota al pie1,Texto de nota al pie,referencia nota al pie,FA Fu,Footnote Text Char Char Char Char Char,Footnote Text Char Char Char Char,Footnote reference,Footnote Text Char,Footnote Text Char Char Char Char Char Char Char Char,f"/>
    <w:basedOn w:val="Normal"/>
    <w:link w:val="TextonotapieCar1"/>
    <w:unhideWhenUsed/>
    <w:qFormat/>
    <w:rsid w:val="00F524B6"/>
    <w:rPr>
      <w:sz w:val="22"/>
      <w:szCs w:val="22"/>
      <w:lang w:val="en-US" w:eastAsia="es-ES"/>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f Car"/>
    <w:basedOn w:val="Fuentedeprrafopredeter"/>
    <w:rsid w:val="00F524B6"/>
    <w:rPr>
      <w:rFonts w:ascii="Times New Roman" w:hAnsi="Times New Roman" w:cs="Times New Roman"/>
      <w:sz w:val="20"/>
      <w:szCs w:val="20"/>
      <w:lang w:val="es-ES_tradnl" w:eastAsia="es-ES_tradnl"/>
    </w:rPr>
  </w:style>
  <w:style w:type="character" w:customStyle="1" w:styleId="iaj">
    <w:name w:val="i_aj"/>
    <w:basedOn w:val="Fuentedeprrafopredeter"/>
    <w:rsid w:val="00D86F2D"/>
  </w:style>
  <w:style w:type="character" w:styleId="Refdenotaalpie">
    <w:name w:val="footnote reference"/>
    <w:aliases w:val="Footnotes refss,Appel note de bas de page,Footnote number,BVI fnr,4_G,16 Point,Superscript 6 Point,Texto nota al pie,Footnote Reference Char3,Footnote Reference Char1 Char,Ref1,Ref11,Ref"/>
    <w:basedOn w:val="Fuentedeprrafopredeter"/>
    <w:uiPriority w:val="99"/>
    <w:unhideWhenUsed/>
    <w:rsid w:val="00F32C93"/>
    <w:rPr>
      <w:vertAlign w:val="superscript"/>
    </w:rPr>
  </w:style>
  <w:style w:type="paragraph" w:customStyle="1" w:styleId="estlos-gacetaspies-de-p-ginas">
    <w:name w:val="estlos-gacetas_pies-de-p-ginas"/>
    <w:basedOn w:val="Normal"/>
    <w:rsid w:val="00F32C93"/>
    <w:pPr>
      <w:spacing w:before="100" w:beforeAutospacing="1" w:after="100" w:afterAutospacing="1"/>
    </w:pPr>
    <w:rPr>
      <w:lang w:eastAsia="es-CO"/>
    </w:rPr>
  </w:style>
  <w:style w:type="character" w:customStyle="1" w:styleId="superindice">
    <w:name w:val="superindice"/>
    <w:basedOn w:val="Fuentedeprrafopredeter"/>
    <w:rsid w:val="00F32C93"/>
  </w:style>
  <w:style w:type="character" w:customStyle="1" w:styleId="charoverride-5">
    <w:name w:val="charoverride-5"/>
    <w:basedOn w:val="Fuentedeprrafopredeter"/>
    <w:rsid w:val="00F32C93"/>
  </w:style>
  <w:style w:type="character" w:customStyle="1" w:styleId="charoverride-54">
    <w:name w:val="charoverride-54"/>
    <w:basedOn w:val="Fuentedeprrafopredeter"/>
    <w:rsid w:val="00F32C93"/>
  </w:style>
  <w:style w:type="character" w:customStyle="1" w:styleId="SinespaciadoCar">
    <w:name w:val="Sin espaciado Car"/>
    <w:link w:val="Sinespaciado"/>
    <w:uiPriority w:val="1"/>
    <w:locked/>
    <w:rsid w:val="00CF16C1"/>
    <w:rPr>
      <w:lang w:val="es-CO"/>
    </w:rPr>
  </w:style>
  <w:style w:type="paragraph" w:customStyle="1" w:styleId="xmsonormal">
    <w:name w:val="x_msonormal"/>
    <w:basedOn w:val="Normal"/>
    <w:rsid w:val="00004DEE"/>
    <w:pPr>
      <w:spacing w:before="100" w:beforeAutospacing="1" w:after="100" w:afterAutospacing="1"/>
    </w:pPr>
    <w:rPr>
      <w:lang w:eastAsia="es-CO"/>
    </w:rPr>
  </w:style>
  <w:style w:type="character" w:customStyle="1" w:styleId="xapple-converted-space">
    <w:name w:val="x_apple-converted-space"/>
    <w:basedOn w:val="Fuentedeprrafopredeter"/>
    <w:rsid w:val="00004DEE"/>
  </w:style>
  <w:style w:type="paragraph" w:styleId="Textoindependiente">
    <w:name w:val="Body Text"/>
    <w:basedOn w:val="Normal"/>
    <w:link w:val="TextoindependienteCar"/>
    <w:uiPriority w:val="1"/>
    <w:qFormat/>
    <w:rsid w:val="007C2E7C"/>
    <w:pPr>
      <w:widowControl w:val="0"/>
      <w:autoSpaceDE w:val="0"/>
      <w:autoSpaceDN w:val="0"/>
      <w:ind w:left="153" w:firstLine="283"/>
      <w:jc w:val="both"/>
    </w:pPr>
    <w:rPr>
      <w:sz w:val="23"/>
      <w:szCs w:val="23"/>
      <w:lang w:val="es-ES" w:eastAsia="en-US"/>
    </w:rPr>
  </w:style>
  <w:style w:type="character" w:customStyle="1" w:styleId="TextoindependienteCar">
    <w:name w:val="Texto independiente Car"/>
    <w:basedOn w:val="Fuentedeprrafopredeter"/>
    <w:link w:val="Textoindependiente"/>
    <w:uiPriority w:val="1"/>
    <w:rsid w:val="007C2E7C"/>
    <w:rPr>
      <w:rFonts w:ascii="Times New Roman" w:eastAsia="Times New Roman" w:hAnsi="Times New Roman" w:cs="Times New Roman"/>
      <w:sz w:val="23"/>
      <w:szCs w:val="23"/>
      <w:lang w:val="es-ES"/>
    </w:rPr>
  </w:style>
  <w:style w:type="character" w:customStyle="1" w:styleId="s8">
    <w:name w:val="s8"/>
    <w:basedOn w:val="Fuentedeprrafopredeter"/>
    <w:rsid w:val="00A800ED"/>
    <w:rPr>
      <w:rFonts w:ascii="Times New Roman" w:hAnsi="Times New Roman" w:cs="Times New Roman" w:hint="default"/>
      <w:b w:val="0"/>
      <w:bCs w:val="0"/>
      <w:i/>
      <w:iCs/>
      <w:color w:val="000000"/>
      <w:sz w:val="20"/>
      <w:szCs w:val="20"/>
    </w:rPr>
  </w:style>
  <w:style w:type="character" w:customStyle="1" w:styleId="s5">
    <w:name w:val="s5"/>
    <w:basedOn w:val="Fuentedeprrafopredeter"/>
    <w:rsid w:val="00A800ED"/>
    <w:rPr>
      <w:rFonts w:ascii="Helvetica" w:hAnsi="Helvetica" w:hint="default"/>
      <w:b w:val="0"/>
      <w:bCs w:val="0"/>
      <w:i w:val="0"/>
      <w:iCs w:val="0"/>
      <w:color w:val="000000"/>
      <w:sz w:val="20"/>
      <w:szCs w:val="20"/>
    </w:rPr>
  </w:style>
  <w:style w:type="character" w:customStyle="1" w:styleId="s6">
    <w:name w:val="s6"/>
    <w:basedOn w:val="Fuentedeprrafopredeter"/>
    <w:rsid w:val="00A800ED"/>
    <w:rPr>
      <w:rFonts w:ascii="Helvetica" w:hAnsi="Helvetica" w:hint="default"/>
      <w:b w:val="0"/>
      <w:bCs w:val="0"/>
      <w:i w:val="0"/>
      <w:iCs w:val="0"/>
      <w:color w:val="000000"/>
      <w:sz w:val="20"/>
      <w:szCs w:val="20"/>
    </w:rPr>
  </w:style>
  <w:style w:type="character" w:customStyle="1" w:styleId="s4">
    <w:name w:val="s4"/>
    <w:basedOn w:val="Fuentedeprrafopredeter"/>
    <w:rsid w:val="00A800ED"/>
    <w:rPr>
      <w:rFonts w:ascii="Times New Roman" w:hAnsi="Times New Roman" w:cs="Times New Roman" w:hint="default"/>
      <w:b w:val="0"/>
      <w:bCs w:val="0"/>
      <w:i w:val="0"/>
      <w:iCs w:val="0"/>
      <w:color w:val="000000"/>
      <w:sz w:val="20"/>
      <w:szCs w:val="20"/>
    </w:rPr>
  </w:style>
  <w:style w:type="character" w:customStyle="1" w:styleId="s7">
    <w:name w:val="s7"/>
    <w:basedOn w:val="Fuentedeprrafopredeter"/>
    <w:rsid w:val="00A800ED"/>
    <w:rPr>
      <w:rFonts w:ascii="Times New Roman" w:hAnsi="Times New Roman" w:cs="Times New Roman" w:hint="default"/>
      <w:b/>
      <w:bCs/>
      <w:i w:val="0"/>
      <w:iCs w:val="0"/>
      <w:color w:val="000000"/>
      <w:sz w:val="20"/>
      <w:szCs w:val="20"/>
    </w:rPr>
  </w:style>
  <w:style w:type="character" w:styleId="Mencinsinresolver">
    <w:name w:val="Unresolved Mention"/>
    <w:basedOn w:val="Fuentedeprrafopredeter"/>
    <w:uiPriority w:val="99"/>
    <w:rsid w:val="00C30719"/>
    <w:rPr>
      <w:color w:val="605E5C"/>
      <w:shd w:val="clear" w:color="auto" w:fill="E1DFDD"/>
    </w:rPr>
  </w:style>
  <w:style w:type="character" w:customStyle="1" w:styleId="PrrafodelistaCar">
    <w:name w:val="Párrafo de lista Car"/>
    <w:aliases w:val="Ha Car,Resume Title Car,List Car,titulo 3 Car,Bullets Car,Párrafo de lista2 Car,Cuadrícula clara - Énfasis 31 Car,Elabora Car,Segundo nivel de viñetas Car,List Paragraph1 Car,Llista Nivell1 Car,EITI list Car"/>
    <w:link w:val="Prrafodelista"/>
    <w:uiPriority w:val="34"/>
    <w:locked/>
    <w:rsid w:val="00E1376E"/>
    <w:rPr>
      <w:lang w:val="es-ES"/>
    </w:rPr>
  </w:style>
  <w:style w:type="character" w:styleId="Refdecomentario">
    <w:name w:val="annotation reference"/>
    <w:basedOn w:val="Fuentedeprrafopredeter"/>
    <w:uiPriority w:val="99"/>
    <w:semiHidden/>
    <w:unhideWhenUsed/>
    <w:rsid w:val="00A308B5"/>
    <w:rPr>
      <w:sz w:val="16"/>
      <w:szCs w:val="16"/>
    </w:rPr>
  </w:style>
  <w:style w:type="table" w:customStyle="1" w:styleId="1">
    <w:name w:val="1"/>
    <w:basedOn w:val="Tablanormal"/>
    <w:rsid w:val="001B399B"/>
    <w:pPr>
      <w:spacing w:line="276" w:lineRule="auto"/>
    </w:pPr>
    <w:rPr>
      <w:rFonts w:ascii="Arial" w:eastAsia="Arial" w:hAnsi="Arial" w:cs="Arial"/>
      <w:lang w:val="es-ES_tradnl" w:eastAsia="es-ES_tradn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006">
      <w:bodyDiv w:val="1"/>
      <w:marLeft w:val="0"/>
      <w:marRight w:val="0"/>
      <w:marTop w:val="0"/>
      <w:marBottom w:val="0"/>
      <w:divBdr>
        <w:top w:val="none" w:sz="0" w:space="0" w:color="auto"/>
        <w:left w:val="none" w:sz="0" w:space="0" w:color="auto"/>
        <w:bottom w:val="none" w:sz="0" w:space="0" w:color="auto"/>
        <w:right w:val="none" w:sz="0" w:space="0" w:color="auto"/>
      </w:divBdr>
    </w:div>
    <w:div w:id="26219458">
      <w:bodyDiv w:val="1"/>
      <w:marLeft w:val="0"/>
      <w:marRight w:val="0"/>
      <w:marTop w:val="0"/>
      <w:marBottom w:val="0"/>
      <w:divBdr>
        <w:top w:val="none" w:sz="0" w:space="0" w:color="auto"/>
        <w:left w:val="none" w:sz="0" w:space="0" w:color="auto"/>
        <w:bottom w:val="none" w:sz="0" w:space="0" w:color="auto"/>
        <w:right w:val="none" w:sz="0" w:space="0" w:color="auto"/>
      </w:divBdr>
      <w:divsChild>
        <w:div w:id="1839300116">
          <w:marLeft w:val="0"/>
          <w:marRight w:val="0"/>
          <w:marTop w:val="0"/>
          <w:marBottom w:val="0"/>
          <w:divBdr>
            <w:top w:val="none" w:sz="0" w:space="0" w:color="auto"/>
            <w:left w:val="none" w:sz="0" w:space="0" w:color="auto"/>
            <w:bottom w:val="none" w:sz="0" w:space="0" w:color="auto"/>
            <w:right w:val="none" w:sz="0" w:space="0" w:color="auto"/>
          </w:divBdr>
        </w:div>
        <w:div w:id="27806618">
          <w:marLeft w:val="0"/>
          <w:marRight w:val="0"/>
          <w:marTop w:val="0"/>
          <w:marBottom w:val="0"/>
          <w:divBdr>
            <w:top w:val="none" w:sz="0" w:space="0" w:color="auto"/>
            <w:left w:val="none" w:sz="0" w:space="0" w:color="auto"/>
            <w:bottom w:val="none" w:sz="0" w:space="0" w:color="auto"/>
            <w:right w:val="none" w:sz="0" w:space="0" w:color="auto"/>
          </w:divBdr>
        </w:div>
      </w:divsChild>
    </w:div>
    <w:div w:id="41906163">
      <w:bodyDiv w:val="1"/>
      <w:marLeft w:val="0"/>
      <w:marRight w:val="0"/>
      <w:marTop w:val="0"/>
      <w:marBottom w:val="0"/>
      <w:divBdr>
        <w:top w:val="none" w:sz="0" w:space="0" w:color="auto"/>
        <w:left w:val="none" w:sz="0" w:space="0" w:color="auto"/>
        <w:bottom w:val="none" w:sz="0" w:space="0" w:color="auto"/>
        <w:right w:val="none" w:sz="0" w:space="0" w:color="auto"/>
      </w:divBdr>
      <w:divsChild>
        <w:div w:id="1549607338">
          <w:marLeft w:val="0"/>
          <w:marRight w:val="0"/>
          <w:marTop w:val="0"/>
          <w:marBottom w:val="0"/>
          <w:divBdr>
            <w:top w:val="none" w:sz="0" w:space="0" w:color="auto"/>
            <w:left w:val="none" w:sz="0" w:space="0" w:color="auto"/>
            <w:bottom w:val="none" w:sz="0" w:space="0" w:color="auto"/>
            <w:right w:val="none" w:sz="0" w:space="0" w:color="auto"/>
          </w:divBdr>
          <w:divsChild>
            <w:div w:id="1328971540">
              <w:marLeft w:val="0"/>
              <w:marRight w:val="0"/>
              <w:marTop w:val="0"/>
              <w:marBottom w:val="0"/>
              <w:divBdr>
                <w:top w:val="none" w:sz="0" w:space="0" w:color="auto"/>
                <w:left w:val="none" w:sz="0" w:space="0" w:color="auto"/>
                <w:bottom w:val="none" w:sz="0" w:space="0" w:color="auto"/>
                <w:right w:val="none" w:sz="0" w:space="0" w:color="auto"/>
              </w:divBdr>
              <w:divsChild>
                <w:div w:id="12775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4711">
      <w:bodyDiv w:val="1"/>
      <w:marLeft w:val="0"/>
      <w:marRight w:val="0"/>
      <w:marTop w:val="0"/>
      <w:marBottom w:val="0"/>
      <w:divBdr>
        <w:top w:val="none" w:sz="0" w:space="0" w:color="auto"/>
        <w:left w:val="none" w:sz="0" w:space="0" w:color="auto"/>
        <w:bottom w:val="none" w:sz="0" w:space="0" w:color="auto"/>
        <w:right w:val="none" w:sz="0" w:space="0" w:color="auto"/>
      </w:divBdr>
    </w:div>
    <w:div w:id="69814110">
      <w:bodyDiv w:val="1"/>
      <w:marLeft w:val="0"/>
      <w:marRight w:val="0"/>
      <w:marTop w:val="0"/>
      <w:marBottom w:val="0"/>
      <w:divBdr>
        <w:top w:val="none" w:sz="0" w:space="0" w:color="auto"/>
        <w:left w:val="none" w:sz="0" w:space="0" w:color="auto"/>
        <w:bottom w:val="none" w:sz="0" w:space="0" w:color="auto"/>
        <w:right w:val="none" w:sz="0" w:space="0" w:color="auto"/>
      </w:divBdr>
    </w:div>
    <w:div w:id="115950793">
      <w:bodyDiv w:val="1"/>
      <w:marLeft w:val="0"/>
      <w:marRight w:val="0"/>
      <w:marTop w:val="0"/>
      <w:marBottom w:val="0"/>
      <w:divBdr>
        <w:top w:val="none" w:sz="0" w:space="0" w:color="auto"/>
        <w:left w:val="none" w:sz="0" w:space="0" w:color="auto"/>
        <w:bottom w:val="none" w:sz="0" w:space="0" w:color="auto"/>
        <w:right w:val="none" w:sz="0" w:space="0" w:color="auto"/>
      </w:divBdr>
    </w:div>
    <w:div w:id="132136870">
      <w:bodyDiv w:val="1"/>
      <w:marLeft w:val="0"/>
      <w:marRight w:val="0"/>
      <w:marTop w:val="0"/>
      <w:marBottom w:val="0"/>
      <w:divBdr>
        <w:top w:val="none" w:sz="0" w:space="0" w:color="auto"/>
        <w:left w:val="none" w:sz="0" w:space="0" w:color="auto"/>
        <w:bottom w:val="none" w:sz="0" w:space="0" w:color="auto"/>
        <w:right w:val="none" w:sz="0" w:space="0" w:color="auto"/>
      </w:divBdr>
      <w:divsChild>
        <w:div w:id="1863086642">
          <w:marLeft w:val="0"/>
          <w:marRight w:val="0"/>
          <w:marTop w:val="0"/>
          <w:marBottom w:val="0"/>
          <w:divBdr>
            <w:top w:val="none" w:sz="0" w:space="0" w:color="auto"/>
            <w:left w:val="none" w:sz="0" w:space="0" w:color="auto"/>
            <w:bottom w:val="none" w:sz="0" w:space="0" w:color="auto"/>
            <w:right w:val="none" w:sz="0" w:space="0" w:color="auto"/>
          </w:divBdr>
          <w:divsChild>
            <w:div w:id="1099376589">
              <w:marLeft w:val="0"/>
              <w:marRight w:val="0"/>
              <w:marTop w:val="0"/>
              <w:marBottom w:val="0"/>
              <w:divBdr>
                <w:top w:val="none" w:sz="0" w:space="0" w:color="auto"/>
                <w:left w:val="none" w:sz="0" w:space="0" w:color="auto"/>
                <w:bottom w:val="none" w:sz="0" w:space="0" w:color="auto"/>
                <w:right w:val="none" w:sz="0" w:space="0" w:color="auto"/>
              </w:divBdr>
              <w:divsChild>
                <w:div w:id="10985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131">
      <w:bodyDiv w:val="1"/>
      <w:marLeft w:val="0"/>
      <w:marRight w:val="0"/>
      <w:marTop w:val="0"/>
      <w:marBottom w:val="0"/>
      <w:divBdr>
        <w:top w:val="none" w:sz="0" w:space="0" w:color="auto"/>
        <w:left w:val="none" w:sz="0" w:space="0" w:color="auto"/>
        <w:bottom w:val="none" w:sz="0" w:space="0" w:color="auto"/>
        <w:right w:val="none" w:sz="0" w:space="0" w:color="auto"/>
      </w:divBdr>
    </w:div>
    <w:div w:id="193275729">
      <w:bodyDiv w:val="1"/>
      <w:marLeft w:val="0"/>
      <w:marRight w:val="0"/>
      <w:marTop w:val="0"/>
      <w:marBottom w:val="0"/>
      <w:divBdr>
        <w:top w:val="none" w:sz="0" w:space="0" w:color="auto"/>
        <w:left w:val="none" w:sz="0" w:space="0" w:color="auto"/>
        <w:bottom w:val="none" w:sz="0" w:space="0" w:color="auto"/>
        <w:right w:val="none" w:sz="0" w:space="0" w:color="auto"/>
      </w:divBdr>
    </w:div>
    <w:div w:id="245385904">
      <w:bodyDiv w:val="1"/>
      <w:marLeft w:val="0"/>
      <w:marRight w:val="0"/>
      <w:marTop w:val="0"/>
      <w:marBottom w:val="0"/>
      <w:divBdr>
        <w:top w:val="none" w:sz="0" w:space="0" w:color="auto"/>
        <w:left w:val="none" w:sz="0" w:space="0" w:color="auto"/>
        <w:bottom w:val="none" w:sz="0" w:space="0" w:color="auto"/>
        <w:right w:val="none" w:sz="0" w:space="0" w:color="auto"/>
      </w:divBdr>
    </w:div>
    <w:div w:id="260843480">
      <w:bodyDiv w:val="1"/>
      <w:marLeft w:val="0"/>
      <w:marRight w:val="0"/>
      <w:marTop w:val="0"/>
      <w:marBottom w:val="0"/>
      <w:divBdr>
        <w:top w:val="none" w:sz="0" w:space="0" w:color="auto"/>
        <w:left w:val="none" w:sz="0" w:space="0" w:color="auto"/>
        <w:bottom w:val="none" w:sz="0" w:space="0" w:color="auto"/>
        <w:right w:val="none" w:sz="0" w:space="0" w:color="auto"/>
      </w:divBdr>
    </w:div>
    <w:div w:id="264461297">
      <w:bodyDiv w:val="1"/>
      <w:marLeft w:val="0"/>
      <w:marRight w:val="0"/>
      <w:marTop w:val="0"/>
      <w:marBottom w:val="0"/>
      <w:divBdr>
        <w:top w:val="none" w:sz="0" w:space="0" w:color="auto"/>
        <w:left w:val="none" w:sz="0" w:space="0" w:color="auto"/>
        <w:bottom w:val="none" w:sz="0" w:space="0" w:color="auto"/>
        <w:right w:val="none" w:sz="0" w:space="0" w:color="auto"/>
      </w:divBdr>
    </w:div>
    <w:div w:id="276983376">
      <w:bodyDiv w:val="1"/>
      <w:marLeft w:val="0"/>
      <w:marRight w:val="0"/>
      <w:marTop w:val="0"/>
      <w:marBottom w:val="0"/>
      <w:divBdr>
        <w:top w:val="none" w:sz="0" w:space="0" w:color="auto"/>
        <w:left w:val="none" w:sz="0" w:space="0" w:color="auto"/>
        <w:bottom w:val="none" w:sz="0" w:space="0" w:color="auto"/>
        <w:right w:val="none" w:sz="0" w:space="0" w:color="auto"/>
      </w:divBdr>
      <w:divsChild>
        <w:div w:id="238029582">
          <w:marLeft w:val="0"/>
          <w:marRight w:val="0"/>
          <w:marTop w:val="0"/>
          <w:marBottom w:val="0"/>
          <w:divBdr>
            <w:top w:val="none" w:sz="0" w:space="0" w:color="auto"/>
            <w:left w:val="none" w:sz="0" w:space="0" w:color="auto"/>
            <w:bottom w:val="none" w:sz="0" w:space="0" w:color="auto"/>
            <w:right w:val="none" w:sz="0" w:space="0" w:color="auto"/>
          </w:divBdr>
          <w:divsChild>
            <w:div w:id="1377971694">
              <w:marLeft w:val="0"/>
              <w:marRight w:val="0"/>
              <w:marTop w:val="0"/>
              <w:marBottom w:val="0"/>
              <w:divBdr>
                <w:top w:val="none" w:sz="0" w:space="0" w:color="auto"/>
                <w:left w:val="none" w:sz="0" w:space="0" w:color="auto"/>
                <w:bottom w:val="none" w:sz="0" w:space="0" w:color="auto"/>
                <w:right w:val="none" w:sz="0" w:space="0" w:color="auto"/>
              </w:divBdr>
              <w:divsChild>
                <w:div w:id="11807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382">
      <w:bodyDiv w:val="1"/>
      <w:marLeft w:val="0"/>
      <w:marRight w:val="0"/>
      <w:marTop w:val="0"/>
      <w:marBottom w:val="0"/>
      <w:divBdr>
        <w:top w:val="none" w:sz="0" w:space="0" w:color="auto"/>
        <w:left w:val="none" w:sz="0" w:space="0" w:color="auto"/>
        <w:bottom w:val="none" w:sz="0" w:space="0" w:color="auto"/>
        <w:right w:val="none" w:sz="0" w:space="0" w:color="auto"/>
      </w:divBdr>
    </w:div>
    <w:div w:id="322130145">
      <w:bodyDiv w:val="1"/>
      <w:marLeft w:val="0"/>
      <w:marRight w:val="0"/>
      <w:marTop w:val="0"/>
      <w:marBottom w:val="0"/>
      <w:divBdr>
        <w:top w:val="none" w:sz="0" w:space="0" w:color="auto"/>
        <w:left w:val="none" w:sz="0" w:space="0" w:color="auto"/>
        <w:bottom w:val="none" w:sz="0" w:space="0" w:color="auto"/>
        <w:right w:val="none" w:sz="0" w:space="0" w:color="auto"/>
      </w:divBdr>
    </w:div>
    <w:div w:id="341709591">
      <w:bodyDiv w:val="1"/>
      <w:marLeft w:val="0"/>
      <w:marRight w:val="0"/>
      <w:marTop w:val="0"/>
      <w:marBottom w:val="0"/>
      <w:divBdr>
        <w:top w:val="none" w:sz="0" w:space="0" w:color="auto"/>
        <w:left w:val="none" w:sz="0" w:space="0" w:color="auto"/>
        <w:bottom w:val="none" w:sz="0" w:space="0" w:color="auto"/>
        <w:right w:val="none" w:sz="0" w:space="0" w:color="auto"/>
      </w:divBdr>
    </w:div>
    <w:div w:id="358897562">
      <w:bodyDiv w:val="1"/>
      <w:marLeft w:val="0"/>
      <w:marRight w:val="0"/>
      <w:marTop w:val="0"/>
      <w:marBottom w:val="0"/>
      <w:divBdr>
        <w:top w:val="none" w:sz="0" w:space="0" w:color="auto"/>
        <w:left w:val="none" w:sz="0" w:space="0" w:color="auto"/>
        <w:bottom w:val="none" w:sz="0" w:space="0" w:color="auto"/>
        <w:right w:val="none" w:sz="0" w:space="0" w:color="auto"/>
      </w:divBdr>
    </w:div>
    <w:div w:id="382364089">
      <w:bodyDiv w:val="1"/>
      <w:marLeft w:val="0"/>
      <w:marRight w:val="0"/>
      <w:marTop w:val="0"/>
      <w:marBottom w:val="0"/>
      <w:divBdr>
        <w:top w:val="none" w:sz="0" w:space="0" w:color="auto"/>
        <w:left w:val="none" w:sz="0" w:space="0" w:color="auto"/>
        <w:bottom w:val="none" w:sz="0" w:space="0" w:color="auto"/>
        <w:right w:val="none" w:sz="0" w:space="0" w:color="auto"/>
      </w:divBdr>
    </w:div>
    <w:div w:id="404568772">
      <w:bodyDiv w:val="1"/>
      <w:marLeft w:val="0"/>
      <w:marRight w:val="0"/>
      <w:marTop w:val="0"/>
      <w:marBottom w:val="0"/>
      <w:divBdr>
        <w:top w:val="none" w:sz="0" w:space="0" w:color="auto"/>
        <w:left w:val="none" w:sz="0" w:space="0" w:color="auto"/>
        <w:bottom w:val="none" w:sz="0" w:space="0" w:color="auto"/>
        <w:right w:val="none" w:sz="0" w:space="0" w:color="auto"/>
      </w:divBdr>
    </w:div>
    <w:div w:id="420025768">
      <w:bodyDiv w:val="1"/>
      <w:marLeft w:val="0"/>
      <w:marRight w:val="0"/>
      <w:marTop w:val="0"/>
      <w:marBottom w:val="0"/>
      <w:divBdr>
        <w:top w:val="none" w:sz="0" w:space="0" w:color="auto"/>
        <w:left w:val="none" w:sz="0" w:space="0" w:color="auto"/>
        <w:bottom w:val="none" w:sz="0" w:space="0" w:color="auto"/>
        <w:right w:val="none" w:sz="0" w:space="0" w:color="auto"/>
      </w:divBdr>
    </w:div>
    <w:div w:id="427120880">
      <w:bodyDiv w:val="1"/>
      <w:marLeft w:val="0"/>
      <w:marRight w:val="0"/>
      <w:marTop w:val="0"/>
      <w:marBottom w:val="0"/>
      <w:divBdr>
        <w:top w:val="none" w:sz="0" w:space="0" w:color="auto"/>
        <w:left w:val="none" w:sz="0" w:space="0" w:color="auto"/>
        <w:bottom w:val="none" w:sz="0" w:space="0" w:color="auto"/>
        <w:right w:val="none" w:sz="0" w:space="0" w:color="auto"/>
      </w:divBdr>
    </w:div>
    <w:div w:id="437650628">
      <w:bodyDiv w:val="1"/>
      <w:marLeft w:val="0"/>
      <w:marRight w:val="0"/>
      <w:marTop w:val="0"/>
      <w:marBottom w:val="0"/>
      <w:divBdr>
        <w:top w:val="none" w:sz="0" w:space="0" w:color="auto"/>
        <w:left w:val="none" w:sz="0" w:space="0" w:color="auto"/>
        <w:bottom w:val="none" w:sz="0" w:space="0" w:color="auto"/>
        <w:right w:val="none" w:sz="0" w:space="0" w:color="auto"/>
      </w:divBdr>
    </w:div>
    <w:div w:id="464855596">
      <w:bodyDiv w:val="1"/>
      <w:marLeft w:val="0"/>
      <w:marRight w:val="0"/>
      <w:marTop w:val="0"/>
      <w:marBottom w:val="0"/>
      <w:divBdr>
        <w:top w:val="none" w:sz="0" w:space="0" w:color="auto"/>
        <w:left w:val="none" w:sz="0" w:space="0" w:color="auto"/>
        <w:bottom w:val="none" w:sz="0" w:space="0" w:color="auto"/>
        <w:right w:val="none" w:sz="0" w:space="0" w:color="auto"/>
      </w:divBdr>
    </w:div>
    <w:div w:id="497426902">
      <w:bodyDiv w:val="1"/>
      <w:marLeft w:val="0"/>
      <w:marRight w:val="0"/>
      <w:marTop w:val="0"/>
      <w:marBottom w:val="0"/>
      <w:divBdr>
        <w:top w:val="none" w:sz="0" w:space="0" w:color="auto"/>
        <w:left w:val="none" w:sz="0" w:space="0" w:color="auto"/>
        <w:bottom w:val="none" w:sz="0" w:space="0" w:color="auto"/>
        <w:right w:val="none" w:sz="0" w:space="0" w:color="auto"/>
      </w:divBdr>
    </w:div>
    <w:div w:id="515384164">
      <w:bodyDiv w:val="1"/>
      <w:marLeft w:val="0"/>
      <w:marRight w:val="0"/>
      <w:marTop w:val="0"/>
      <w:marBottom w:val="0"/>
      <w:divBdr>
        <w:top w:val="none" w:sz="0" w:space="0" w:color="auto"/>
        <w:left w:val="none" w:sz="0" w:space="0" w:color="auto"/>
        <w:bottom w:val="none" w:sz="0" w:space="0" w:color="auto"/>
        <w:right w:val="none" w:sz="0" w:space="0" w:color="auto"/>
      </w:divBdr>
    </w:div>
    <w:div w:id="521894241">
      <w:bodyDiv w:val="1"/>
      <w:marLeft w:val="0"/>
      <w:marRight w:val="0"/>
      <w:marTop w:val="0"/>
      <w:marBottom w:val="0"/>
      <w:divBdr>
        <w:top w:val="none" w:sz="0" w:space="0" w:color="auto"/>
        <w:left w:val="none" w:sz="0" w:space="0" w:color="auto"/>
        <w:bottom w:val="none" w:sz="0" w:space="0" w:color="auto"/>
        <w:right w:val="none" w:sz="0" w:space="0" w:color="auto"/>
      </w:divBdr>
    </w:div>
    <w:div w:id="551623783">
      <w:bodyDiv w:val="1"/>
      <w:marLeft w:val="0"/>
      <w:marRight w:val="0"/>
      <w:marTop w:val="0"/>
      <w:marBottom w:val="0"/>
      <w:divBdr>
        <w:top w:val="none" w:sz="0" w:space="0" w:color="auto"/>
        <w:left w:val="none" w:sz="0" w:space="0" w:color="auto"/>
        <w:bottom w:val="none" w:sz="0" w:space="0" w:color="auto"/>
        <w:right w:val="none" w:sz="0" w:space="0" w:color="auto"/>
      </w:divBdr>
    </w:div>
    <w:div w:id="558782846">
      <w:bodyDiv w:val="1"/>
      <w:marLeft w:val="0"/>
      <w:marRight w:val="0"/>
      <w:marTop w:val="0"/>
      <w:marBottom w:val="0"/>
      <w:divBdr>
        <w:top w:val="none" w:sz="0" w:space="0" w:color="auto"/>
        <w:left w:val="none" w:sz="0" w:space="0" w:color="auto"/>
        <w:bottom w:val="none" w:sz="0" w:space="0" w:color="auto"/>
        <w:right w:val="none" w:sz="0" w:space="0" w:color="auto"/>
      </w:divBdr>
    </w:div>
    <w:div w:id="581839747">
      <w:bodyDiv w:val="1"/>
      <w:marLeft w:val="0"/>
      <w:marRight w:val="0"/>
      <w:marTop w:val="0"/>
      <w:marBottom w:val="0"/>
      <w:divBdr>
        <w:top w:val="none" w:sz="0" w:space="0" w:color="auto"/>
        <w:left w:val="none" w:sz="0" w:space="0" w:color="auto"/>
        <w:bottom w:val="none" w:sz="0" w:space="0" w:color="auto"/>
        <w:right w:val="none" w:sz="0" w:space="0" w:color="auto"/>
      </w:divBdr>
    </w:div>
    <w:div w:id="584269565">
      <w:bodyDiv w:val="1"/>
      <w:marLeft w:val="0"/>
      <w:marRight w:val="0"/>
      <w:marTop w:val="0"/>
      <w:marBottom w:val="0"/>
      <w:divBdr>
        <w:top w:val="none" w:sz="0" w:space="0" w:color="auto"/>
        <w:left w:val="none" w:sz="0" w:space="0" w:color="auto"/>
        <w:bottom w:val="none" w:sz="0" w:space="0" w:color="auto"/>
        <w:right w:val="none" w:sz="0" w:space="0" w:color="auto"/>
      </w:divBdr>
    </w:div>
    <w:div w:id="604115358">
      <w:bodyDiv w:val="1"/>
      <w:marLeft w:val="0"/>
      <w:marRight w:val="0"/>
      <w:marTop w:val="0"/>
      <w:marBottom w:val="0"/>
      <w:divBdr>
        <w:top w:val="none" w:sz="0" w:space="0" w:color="auto"/>
        <w:left w:val="none" w:sz="0" w:space="0" w:color="auto"/>
        <w:bottom w:val="none" w:sz="0" w:space="0" w:color="auto"/>
        <w:right w:val="none" w:sz="0" w:space="0" w:color="auto"/>
      </w:divBdr>
    </w:div>
    <w:div w:id="604964762">
      <w:bodyDiv w:val="1"/>
      <w:marLeft w:val="0"/>
      <w:marRight w:val="0"/>
      <w:marTop w:val="0"/>
      <w:marBottom w:val="0"/>
      <w:divBdr>
        <w:top w:val="none" w:sz="0" w:space="0" w:color="auto"/>
        <w:left w:val="none" w:sz="0" w:space="0" w:color="auto"/>
        <w:bottom w:val="none" w:sz="0" w:space="0" w:color="auto"/>
        <w:right w:val="none" w:sz="0" w:space="0" w:color="auto"/>
      </w:divBdr>
    </w:div>
    <w:div w:id="620455676">
      <w:bodyDiv w:val="1"/>
      <w:marLeft w:val="0"/>
      <w:marRight w:val="0"/>
      <w:marTop w:val="0"/>
      <w:marBottom w:val="0"/>
      <w:divBdr>
        <w:top w:val="none" w:sz="0" w:space="0" w:color="auto"/>
        <w:left w:val="none" w:sz="0" w:space="0" w:color="auto"/>
        <w:bottom w:val="none" w:sz="0" w:space="0" w:color="auto"/>
        <w:right w:val="none" w:sz="0" w:space="0" w:color="auto"/>
      </w:divBdr>
    </w:div>
    <w:div w:id="651910748">
      <w:bodyDiv w:val="1"/>
      <w:marLeft w:val="0"/>
      <w:marRight w:val="0"/>
      <w:marTop w:val="0"/>
      <w:marBottom w:val="0"/>
      <w:divBdr>
        <w:top w:val="none" w:sz="0" w:space="0" w:color="auto"/>
        <w:left w:val="none" w:sz="0" w:space="0" w:color="auto"/>
        <w:bottom w:val="none" w:sz="0" w:space="0" w:color="auto"/>
        <w:right w:val="none" w:sz="0" w:space="0" w:color="auto"/>
      </w:divBdr>
    </w:div>
    <w:div w:id="665934569">
      <w:bodyDiv w:val="1"/>
      <w:marLeft w:val="0"/>
      <w:marRight w:val="0"/>
      <w:marTop w:val="0"/>
      <w:marBottom w:val="0"/>
      <w:divBdr>
        <w:top w:val="none" w:sz="0" w:space="0" w:color="auto"/>
        <w:left w:val="none" w:sz="0" w:space="0" w:color="auto"/>
        <w:bottom w:val="none" w:sz="0" w:space="0" w:color="auto"/>
        <w:right w:val="none" w:sz="0" w:space="0" w:color="auto"/>
      </w:divBdr>
    </w:div>
    <w:div w:id="700282721">
      <w:bodyDiv w:val="1"/>
      <w:marLeft w:val="0"/>
      <w:marRight w:val="0"/>
      <w:marTop w:val="0"/>
      <w:marBottom w:val="0"/>
      <w:divBdr>
        <w:top w:val="none" w:sz="0" w:space="0" w:color="auto"/>
        <w:left w:val="none" w:sz="0" w:space="0" w:color="auto"/>
        <w:bottom w:val="none" w:sz="0" w:space="0" w:color="auto"/>
        <w:right w:val="none" w:sz="0" w:space="0" w:color="auto"/>
      </w:divBdr>
    </w:div>
    <w:div w:id="716776501">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58211401">
      <w:bodyDiv w:val="1"/>
      <w:marLeft w:val="0"/>
      <w:marRight w:val="0"/>
      <w:marTop w:val="0"/>
      <w:marBottom w:val="0"/>
      <w:divBdr>
        <w:top w:val="none" w:sz="0" w:space="0" w:color="auto"/>
        <w:left w:val="none" w:sz="0" w:space="0" w:color="auto"/>
        <w:bottom w:val="none" w:sz="0" w:space="0" w:color="auto"/>
        <w:right w:val="none" w:sz="0" w:space="0" w:color="auto"/>
      </w:divBdr>
      <w:divsChild>
        <w:div w:id="883366378">
          <w:marLeft w:val="0"/>
          <w:marRight w:val="0"/>
          <w:marTop w:val="0"/>
          <w:marBottom w:val="0"/>
          <w:divBdr>
            <w:top w:val="none" w:sz="0" w:space="0" w:color="auto"/>
            <w:left w:val="none" w:sz="0" w:space="0" w:color="auto"/>
            <w:bottom w:val="none" w:sz="0" w:space="0" w:color="auto"/>
            <w:right w:val="none" w:sz="0" w:space="0" w:color="auto"/>
          </w:divBdr>
          <w:divsChild>
            <w:div w:id="1662391606">
              <w:marLeft w:val="0"/>
              <w:marRight w:val="0"/>
              <w:marTop w:val="0"/>
              <w:marBottom w:val="0"/>
              <w:divBdr>
                <w:top w:val="none" w:sz="0" w:space="0" w:color="auto"/>
                <w:left w:val="none" w:sz="0" w:space="0" w:color="auto"/>
                <w:bottom w:val="none" w:sz="0" w:space="0" w:color="auto"/>
                <w:right w:val="none" w:sz="0" w:space="0" w:color="auto"/>
              </w:divBdr>
              <w:divsChild>
                <w:div w:id="9712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68">
      <w:bodyDiv w:val="1"/>
      <w:marLeft w:val="0"/>
      <w:marRight w:val="0"/>
      <w:marTop w:val="0"/>
      <w:marBottom w:val="0"/>
      <w:divBdr>
        <w:top w:val="none" w:sz="0" w:space="0" w:color="auto"/>
        <w:left w:val="none" w:sz="0" w:space="0" w:color="auto"/>
        <w:bottom w:val="none" w:sz="0" w:space="0" w:color="auto"/>
        <w:right w:val="none" w:sz="0" w:space="0" w:color="auto"/>
      </w:divBdr>
    </w:div>
    <w:div w:id="801580447">
      <w:bodyDiv w:val="1"/>
      <w:marLeft w:val="0"/>
      <w:marRight w:val="0"/>
      <w:marTop w:val="0"/>
      <w:marBottom w:val="0"/>
      <w:divBdr>
        <w:top w:val="none" w:sz="0" w:space="0" w:color="auto"/>
        <w:left w:val="none" w:sz="0" w:space="0" w:color="auto"/>
        <w:bottom w:val="none" w:sz="0" w:space="0" w:color="auto"/>
        <w:right w:val="none" w:sz="0" w:space="0" w:color="auto"/>
      </w:divBdr>
    </w:div>
    <w:div w:id="833641610">
      <w:bodyDiv w:val="1"/>
      <w:marLeft w:val="0"/>
      <w:marRight w:val="0"/>
      <w:marTop w:val="0"/>
      <w:marBottom w:val="0"/>
      <w:divBdr>
        <w:top w:val="none" w:sz="0" w:space="0" w:color="auto"/>
        <w:left w:val="none" w:sz="0" w:space="0" w:color="auto"/>
        <w:bottom w:val="none" w:sz="0" w:space="0" w:color="auto"/>
        <w:right w:val="none" w:sz="0" w:space="0" w:color="auto"/>
      </w:divBdr>
      <w:divsChild>
        <w:div w:id="618295969">
          <w:marLeft w:val="0"/>
          <w:marRight w:val="0"/>
          <w:marTop w:val="0"/>
          <w:marBottom w:val="0"/>
          <w:divBdr>
            <w:top w:val="none" w:sz="0" w:space="0" w:color="auto"/>
            <w:left w:val="none" w:sz="0" w:space="0" w:color="auto"/>
            <w:bottom w:val="none" w:sz="0" w:space="0" w:color="auto"/>
            <w:right w:val="none" w:sz="0" w:space="0" w:color="auto"/>
          </w:divBdr>
        </w:div>
        <w:div w:id="1089815939">
          <w:marLeft w:val="0"/>
          <w:marRight w:val="0"/>
          <w:marTop w:val="0"/>
          <w:marBottom w:val="0"/>
          <w:divBdr>
            <w:top w:val="none" w:sz="0" w:space="0" w:color="auto"/>
            <w:left w:val="none" w:sz="0" w:space="0" w:color="auto"/>
            <w:bottom w:val="none" w:sz="0" w:space="0" w:color="auto"/>
            <w:right w:val="none" w:sz="0" w:space="0" w:color="auto"/>
          </w:divBdr>
        </w:div>
        <w:div w:id="1487236323">
          <w:marLeft w:val="0"/>
          <w:marRight w:val="0"/>
          <w:marTop w:val="0"/>
          <w:marBottom w:val="0"/>
          <w:divBdr>
            <w:top w:val="none" w:sz="0" w:space="0" w:color="auto"/>
            <w:left w:val="none" w:sz="0" w:space="0" w:color="auto"/>
            <w:bottom w:val="none" w:sz="0" w:space="0" w:color="auto"/>
            <w:right w:val="none" w:sz="0" w:space="0" w:color="auto"/>
          </w:divBdr>
        </w:div>
        <w:div w:id="1486507278">
          <w:marLeft w:val="0"/>
          <w:marRight w:val="0"/>
          <w:marTop w:val="0"/>
          <w:marBottom w:val="0"/>
          <w:divBdr>
            <w:top w:val="none" w:sz="0" w:space="0" w:color="auto"/>
            <w:left w:val="none" w:sz="0" w:space="0" w:color="auto"/>
            <w:bottom w:val="none" w:sz="0" w:space="0" w:color="auto"/>
            <w:right w:val="none" w:sz="0" w:space="0" w:color="auto"/>
          </w:divBdr>
        </w:div>
      </w:divsChild>
    </w:div>
    <w:div w:id="837310196">
      <w:bodyDiv w:val="1"/>
      <w:marLeft w:val="0"/>
      <w:marRight w:val="0"/>
      <w:marTop w:val="0"/>
      <w:marBottom w:val="0"/>
      <w:divBdr>
        <w:top w:val="none" w:sz="0" w:space="0" w:color="auto"/>
        <w:left w:val="none" w:sz="0" w:space="0" w:color="auto"/>
        <w:bottom w:val="none" w:sz="0" w:space="0" w:color="auto"/>
        <w:right w:val="none" w:sz="0" w:space="0" w:color="auto"/>
      </w:divBdr>
    </w:div>
    <w:div w:id="839007377">
      <w:bodyDiv w:val="1"/>
      <w:marLeft w:val="0"/>
      <w:marRight w:val="0"/>
      <w:marTop w:val="0"/>
      <w:marBottom w:val="0"/>
      <w:divBdr>
        <w:top w:val="none" w:sz="0" w:space="0" w:color="auto"/>
        <w:left w:val="none" w:sz="0" w:space="0" w:color="auto"/>
        <w:bottom w:val="none" w:sz="0" w:space="0" w:color="auto"/>
        <w:right w:val="none" w:sz="0" w:space="0" w:color="auto"/>
      </w:divBdr>
    </w:div>
    <w:div w:id="870731644">
      <w:bodyDiv w:val="1"/>
      <w:marLeft w:val="0"/>
      <w:marRight w:val="0"/>
      <w:marTop w:val="0"/>
      <w:marBottom w:val="0"/>
      <w:divBdr>
        <w:top w:val="none" w:sz="0" w:space="0" w:color="auto"/>
        <w:left w:val="none" w:sz="0" w:space="0" w:color="auto"/>
        <w:bottom w:val="none" w:sz="0" w:space="0" w:color="auto"/>
        <w:right w:val="none" w:sz="0" w:space="0" w:color="auto"/>
      </w:divBdr>
    </w:div>
    <w:div w:id="872958817">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03874461">
      <w:bodyDiv w:val="1"/>
      <w:marLeft w:val="0"/>
      <w:marRight w:val="0"/>
      <w:marTop w:val="0"/>
      <w:marBottom w:val="0"/>
      <w:divBdr>
        <w:top w:val="none" w:sz="0" w:space="0" w:color="auto"/>
        <w:left w:val="none" w:sz="0" w:space="0" w:color="auto"/>
        <w:bottom w:val="none" w:sz="0" w:space="0" w:color="auto"/>
        <w:right w:val="none" w:sz="0" w:space="0" w:color="auto"/>
      </w:divBdr>
    </w:div>
    <w:div w:id="907417054">
      <w:bodyDiv w:val="1"/>
      <w:marLeft w:val="0"/>
      <w:marRight w:val="0"/>
      <w:marTop w:val="0"/>
      <w:marBottom w:val="0"/>
      <w:divBdr>
        <w:top w:val="none" w:sz="0" w:space="0" w:color="auto"/>
        <w:left w:val="none" w:sz="0" w:space="0" w:color="auto"/>
        <w:bottom w:val="none" w:sz="0" w:space="0" w:color="auto"/>
        <w:right w:val="none" w:sz="0" w:space="0" w:color="auto"/>
      </w:divBdr>
    </w:div>
    <w:div w:id="923882427">
      <w:bodyDiv w:val="1"/>
      <w:marLeft w:val="0"/>
      <w:marRight w:val="0"/>
      <w:marTop w:val="0"/>
      <w:marBottom w:val="0"/>
      <w:divBdr>
        <w:top w:val="none" w:sz="0" w:space="0" w:color="auto"/>
        <w:left w:val="none" w:sz="0" w:space="0" w:color="auto"/>
        <w:bottom w:val="none" w:sz="0" w:space="0" w:color="auto"/>
        <w:right w:val="none" w:sz="0" w:space="0" w:color="auto"/>
      </w:divBdr>
    </w:div>
    <w:div w:id="934821762">
      <w:bodyDiv w:val="1"/>
      <w:marLeft w:val="0"/>
      <w:marRight w:val="0"/>
      <w:marTop w:val="0"/>
      <w:marBottom w:val="0"/>
      <w:divBdr>
        <w:top w:val="none" w:sz="0" w:space="0" w:color="auto"/>
        <w:left w:val="none" w:sz="0" w:space="0" w:color="auto"/>
        <w:bottom w:val="none" w:sz="0" w:space="0" w:color="auto"/>
        <w:right w:val="none" w:sz="0" w:space="0" w:color="auto"/>
      </w:divBdr>
    </w:div>
    <w:div w:id="941911822">
      <w:bodyDiv w:val="1"/>
      <w:marLeft w:val="0"/>
      <w:marRight w:val="0"/>
      <w:marTop w:val="0"/>
      <w:marBottom w:val="0"/>
      <w:divBdr>
        <w:top w:val="none" w:sz="0" w:space="0" w:color="auto"/>
        <w:left w:val="none" w:sz="0" w:space="0" w:color="auto"/>
        <w:bottom w:val="none" w:sz="0" w:space="0" w:color="auto"/>
        <w:right w:val="none" w:sz="0" w:space="0" w:color="auto"/>
      </w:divBdr>
    </w:div>
    <w:div w:id="945885377">
      <w:bodyDiv w:val="1"/>
      <w:marLeft w:val="0"/>
      <w:marRight w:val="0"/>
      <w:marTop w:val="0"/>
      <w:marBottom w:val="0"/>
      <w:divBdr>
        <w:top w:val="none" w:sz="0" w:space="0" w:color="auto"/>
        <w:left w:val="none" w:sz="0" w:space="0" w:color="auto"/>
        <w:bottom w:val="none" w:sz="0" w:space="0" w:color="auto"/>
        <w:right w:val="none" w:sz="0" w:space="0" w:color="auto"/>
      </w:divBdr>
    </w:div>
    <w:div w:id="974336284">
      <w:bodyDiv w:val="1"/>
      <w:marLeft w:val="0"/>
      <w:marRight w:val="0"/>
      <w:marTop w:val="0"/>
      <w:marBottom w:val="0"/>
      <w:divBdr>
        <w:top w:val="none" w:sz="0" w:space="0" w:color="auto"/>
        <w:left w:val="none" w:sz="0" w:space="0" w:color="auto"/>
        <w:bottom w:val="none" w:sz="0" w:space="0" w:color="auto"/>
        <w:right w:val="none" w:sz="0" w:space="0" w:color="auto"/>
      </w:divBdr>
    </w:div>
    <w:div w:id="993728771">
      <w:bodyDiv w:val="1"/>
      <w:marLeft w:val="0"/>
      <w:marRight w:val="0"/>
      <w:marTop w:val="0"/>
      <w:marBottom w:val="0"/>
      <w:divBdr>
        <w:top w:val="none" w:sz="0" w:space="0" w:color="auto"/>
        <w:left w:val="none" w:sz="0" w:space="0" w:color="auto"/>
        <w:bottom w:val="none" w:sz="0" w:space="0" w:color="auto"/>
        <w:right w:val="none" w:sz="0" w:space="0" w:color="auto"/>
      </w:divBdr>
    </w:div>
    <w:div w:id="1052073491">
      <w:bodyDiv w:val="1"/>
      <w:marLeft w:val="0"/>
      <w:marRight w:val="0"/>
      <w:marTop w:val="0"/>
      <w:marBottom w:val="0"/>
      <w:divBdr>
        <w:top w:val="none" w:sz="0" w:space="0" w:color="auto"/>
        <w:left w:val="none" w:sz="0" w:space="0" w:color="auto"/>
        <w:bottom w:val="none" w:sz="0" w:space="0" w:color="auto"/>
        <w:right w:val="none" w:sz="0" w:space="0" w:color="auto"/>
      </w:divBdr>
      <w:divsChild>
        <w:div w:id="537663269">
          <w:marLeft w:val="0"/>
          <w:marRight w:val="0"/>
          <w:marTop w:val="0"/>
          <w:marBottom w:val="0"/>
          <w:divBdr>
            <w:top w:val="none" w:sz="0" w:space="0" w:color="auto"/>
            <w:left w:val="none" w:sz="0" w:space="0" w:color="auto"/>
            <w:bottom w:val="single" w:sz="12" w:space="8" w:color="D5D5D5"/>
            <w:right w:val="none" w:sz="0" w:space="0" w:color="auto"/>
          </w:divBdr>
          <w:divsChild>
            <w:div w:id="1533304374">
              <w:marLeft w:val="0"/>
              <w:marRight w:val="0"/>
              <w:marTop w:val="0"/>
              <w:marBottom w:val="0"/>
              <w:divBdr>
                <w:top w:val="none" w:sz="0" w:space="0" w:color="auto"/>
                <w:left w:val="none" w:sz="0" w:space="0" w:color="auto"/>
                <w:bottom w:val="none" w:sz="0" w:space="0" w:color="auto"/>
                <w:right w:val="none" w:sz="0" w:space="0" w:color="auto"/>
              </w:divBdr>
            </w:div>
            <w:div w:id="1786079764">
              <w:marLeft w:val="0"/>
              <w:marRight w:val="0"/>
              <w:marTop w:val="0"/>
              <w:marBottom w:val="0"/>
              <w:divBdr>
                <w:top w:val="none" w:sz="0" w:space="0" w:color="auto"/>
                <w:left w:val="none" w:sz="0" w:space="0" w:color="auto"/>
                <w:bottom w:val="none" w:sz="0" w:space="0" w:color="auto"/>
                <w:right w:val="none" w:sz="0" w:space="0" w:color="auto"/>
              </w:divBdr>
            </w:div>
          </w:divsChild>
        </w:div>
        <w:div w:id="1930969368">
          <w:marLeft w:val="0"/>
          <w:marRight w:val="0"/>
          <w:marTop w:val="150"/>
          <w:marBottom w:val="342"/>
          <w:divBdr>
            <w:top w:val="none" w:sz="0" w:space="0" w:color="auto"/>
            <w:left w:val="none" w:sz="0" w:space="0" w:color="auto"/>
            <w:bottom w:val="none" w:sz="0" w:space="0" w:color="auto"/>
            <w:right w:val="none" w:sz="0" w:space="0" w:color="auto"/>
          </w:divBdr>
          <w:divsChild>
            <w:div w:id="76171359">
              <w:marLeft w:val="0"/>
              <w:marRight w:val="0"/>
              <w:marTop w:val="0"/>
              <w:marBottom w:val="0"/>
              <w:divBdr>
                <w:top w:val="none" w:sz="0" w:space="0" w:color="auto"/>
                <w:left w:val="none" w:sz="0" w:space="0" w:color="auto"/>
                <w:bottom w:val="none" w:sz="0" w:space="0" w:color="auto"/>
                <w:right w:val="none" w:sz="0" w:space="0" w:color="auto"/>
              </w:divBdr>
            </w:div>
            <w:div w:id="46220482">
              <w:marLeft w:val="0"/>
              <w:marRight w:val="0"/>
              <w:marTop w:val="0"/>
              <w:marBottom w:val="0"/>
              <w:divBdr>
                <w:top w:val="none" w:sz="0" w:space="0" w:color="auto"/>
                <w:left w:val="none" w:sz="0" w:space="0" w:color="auto"/>
                <w:bottom w:val="none" w:sz="0" w:space="0" w:color="auto"/>
                <w:right w:val="none" w:sz="0" w:space="0" w:color="auto"/>
              </w:divBdr>
            </w:div>
            <w:div w:id="1837577077">
              <w:marLeft w:val="0"/>
              <w:marRight w:val="0"/>
              <w:marTop w:val="0"/>
              <w:marBottom w:val="0"/>
              <w:divBdr>
                <w:top w:val="none" w:sz="0" w:space="0" w:color="auto"/>
                <w:left w:val="none" w:sz="0" w:space="0" w:color="auto"/>
                <w:bottom w:val="none" w:sz="0" w:space="0" w:color="auto"/>
                <w:right w:val="none" w:sz="0" w:space="0" w:color="auto"/>
              </w:divBdr>
            </w:div>
            <w:div w:id="790782893">
              <w:marLeft w:val="0"/>
              <w:marRight w:val="0"/>
              <w:marTop w:val="0"/>
              <w:marBottom w:val="0"/>
              <w:divBdr>
                <w:top w:val="none" w:sz="0" w:space="0" w:color="auto"/>
                <w:left w:val="none" w:sz="0" w:space="0" w:color="auto"/>
                <w:bottom w:val="none" w:sz="0" w:space="0" w:color="auto"/>
                <w:right w:val="none" w:sz="0" w:space="0" w:color="auto"/>
              </w:divBdr>
            </w:div>
            <w:div w:id="2083480093">
              <w:marLeft w:val="0"/>
              <w:marRight w:val="0"/>
              <w:marTop w:val="0"/>
              <w:marBottom w:val="0"/>
              <w:divBdr>
                <w:top w:val="none" w:sz="0" w:space="0" w:color="auto"/>
                <w:left w:val="none" w:sz="0" w:space="0" w:color="auto"/>
                <w:bottom w:val="none" w:sz="0" w:space="0" w:color="auto"/>
                <w:right w:val="none" w:sz="0" w:space="0" w:color="auto"/>
              </w:divBdr>
            </w:div>
            <w:div w:id="4019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033">
      <w:bodyDiv w:val="1"/>
      <w:marLeft w:val="0"/>
      <w:marRight w:val="0"/>
      <w:marTop w:val="0"/>
      <w:marBottom w:val="0"/>
      <w:divBdr>
        <w:top w:val="none" w:sz="0" w:space="0" w:color="auto"/>
        <w:left w:val="none" w:sz="0" w:space="0" w:color="auto"/>
        <w:bottom w:val="none" w:sz="0" w:space="0" w:color="auto"/>
        <w:right w:val="none" w:sz="0" w:space="0" w:color="auto"/>
      </w:divBdr>
    </w:div>
    <w:div w:id="1084184618">
      <w:bodyDiv w:val="1"/>
      <w:marLeft w:val="0"/>
      <w:marRight w:val="0"/>
      <w:marTop w:val="0"/>
      <w:marBottom w:val="0"/>
      <w:divBdr>
        <w:top w:val="none" w:sz="0" w:space="0" w:color="auto"/>
        <w:left w:val="none" w:sz="0" w:space="0" w:color="auto"/>
        <w:bottom w:val="none" w:sz="0" w:space="0" w:color="auto"/>
        <w:right w:val="none" w:sz="0" w:space="0" w:color="auto"/>
      </w:divBdr>
      <w:divsChild>
        <w:div w:id="1183205700">
          <w:marLeft w:val="0"/>
          <w:marRight w:val="0"/>
          <w:marTop w:val="0"/>
          <w:marBottom w:val="0"/>
          <w:divBdr>
            <w:top w:val="none" w:sz="0" w:space="0" w:color="auto"/>
            <w:left w:val="none" w:sz="0" w:space="0" w:color="auto"/>
            <w:bottom w:val="none" w:sz="0" w:space="0" w:color="auto"/>
            <w:right w:val="none" w:sz="0" w:space="0" w:color="auto"/>
          </w:divBdr>
        </w:div>
        <w:div w:id="1599217915">
          <w:marLeft w:val="0"/>
          <w:marRight w:val="0"/>
          <w:marTop w:val="0"/>
          <w:marBottom w:val="0"/>
          <w:divBdr>
            <w:top w:val="none" w:sz="0" w:space="0" w:color="auto"/>
            <w:left w:val="none" w:sz="0" w:space="0" w:color="auto"/>
            <w:bottom w:val="none" w:sz="0" w:space="0" w:color="auto"/>
            <w:right w:val="none" w:sz="0" w:space="0" w:color="auto"/>
          </w:divBdr>
        </w:div>
        <w:div w:id="1596473527">
          <w:marLeft w:val="0"/>
          <w:marRight w:val="0"/>
          <w:marTop w:val="0"/>
          <w:marBottom w:val="0"/>
          <w:divBdr>
            <w:top w:val="none" w:sz="0" w:space="0" w:color="auto"/>
            <w:left w:val="none" w:sz="0" w:space="0" w:color="auto"/>
            <w:bottom w:val="none" w:sz="0" w:space="0" w:color="auto"/>
            <w:right w:val="none" w:sz="0" w:space="0" w:color="auto"/>
          </w:divBdr>
        </w:div>
        <w:div w:id="973873219">
          <w:marLeft w:val="0"/>
          <w:marRight w:val="0"/>
          <w:marTop w:val="0"/>
          <w:marBottom w:val="0"/>
          <w:divBdr>
            <w:top w:val="none" w:sz="0" w:space="0" w:color="auto"/>
            <w:left w:val="none" w:sz="0" w:space="0" w:color="auto"/>
            <w:bottom w:val="none" w:sz="0" w:space="0" w:color="auto"/>
            <w:right w:val="none" w:sz="0" w:space="0" w:color="auto"/>
          </w:divBdr>
        </w:div>
      </w:divsChild>
    </w:div>
    <w:div w:id="1099444297">
      <w:bodyDiv w:val="1"/>
      <w:marLeft w:val="0"/>
      <w:marRight w:val="0"/>
      <w:marTop w:val="0"/>
      <w:marBottom w:val="0"/>
      <w:divBdr>
        <w:top w:val="none" w:sz="0" w:space="0" w:color="auto"/>
        <w:left w:val="none" w:sz="0" w:space="0" w:color="auto"/>
        <w:bottom w:val="none" w:sz="0" w:space="0" w:color="auto"/>
        <w:right w:val="none" w:sz="0" w:space="0" w:color="auto"/>
      </w:divBdr>
    </w:div>
    <w:div w:id="1148209341">
      <w:bodyDiv w:val="1"/>
      <w:marLeft w:val="0"/>
      <w:marRight w:val="0"/>
      <w:marTop w:val="0"/>
      <w:marBottom w:val="0"/>
      <w:divBdr>
        <w:top w:val="none" w:sz="0" w:space="0" w:color="auto"/>
        <w:left w:val="none" w:sz="0" w:space="0" w:color="auto"/>
        <w:bottom w:val="none" w:sz="0" w:space="0" w:color="auto"/>
        <w:right w:val="none" w:sz="0" w:space="0" w:color="auto"/>
      </w:divBdr>
    </w:div>
    <w:div w:id="1152720288">
      <w:bodyDiv w:val="1"/>
      <w:marLeft w:val="0"/>
      <w:marRight w:val="0"/>
      <w:marTop w:val="0"/>
      <w:marBottom w:val="0"/>
      <w:divBdr>
        <w:top w:val="none" w:sz="0" w:space="0" w:color="auto"/>
        <w:left w:val="none" w:sz="0" w:space="0" w:color="auto"/>
        <w:bottom w:val="none" w:sz="0" w:space="0" w:color="auto"/>
        <w:right w:val="none" w:sz="0" w:space="0" w:color="auto"/>
      </w:divBdr>
    </w:div>
    <w:div w:id="1155755522">
      <w:bodyDiv w:val="1"/>
      <w:marLeft w:val="0"/>
      <w:marRight w:val="0"/>
      <w:marTop w:val="0"/>
      <w:marBottom w:val="0"/>
      <w:divBdr>
        <w:top w:val="none" w:sz="0" w:space="0" w:color="auto"/>
        <w:left w:val="none" w:sz="0" w:space="0" w:color="auto"/>
        <w:bottom w:val="none" w:sz="0" w:space="0" w:color="auto"/>
        <w:right w:val="none" w:sz="0" w:space="0" w:color="auto"/>
      </w:divBdr>
    </w:div>
    <w:div w:id="1159661517">
      <w:bodyDiv w:val="1"/>
      <w:marLeft w:val="0"/>
      <w:marRight w:val="0"/>
      <w:marTop w:val="0"/>
      <w:marBottom w:val="0"/>
      <w:divBdr>
        <w:top w:val="none" w:sz="0" w:space="0" w:color="auto"/>
        <w:left w:val="none" w:sz="0" w:space="0" w:color="auto"/>
        <w:bottom w:val="none" w:sz="0" w:space="0" w:color="auto"/>
        <w:right w:val="none" w:sz="0" w:space="0" w:color="auto"/>
      </w:divBdr>
    </w:div>
    <w:div w:id="1205556816">
      <w:bodyDiv w:val="1"/>
      <w:marLeft w:val="0"/>
      <w:marRight w:val="0"/>
      <w:marTop w:val="0"/>
      <w:marBottom w:val="0"/>
      <w:divBdr>
        <w:top w:val="none" w:sz="0" w:space="0" w:color="auto"/>
        <w:left w:val="none" w:sz="0" w:space="0" w:color="auto"/>
        <w:bottom w:val="none" w:sz="0" w:space="0" w:color="auto"/>
        <w:right w:val="none" w:sz="0" w:space="0" w:color="auto"/>
      </w:divBdr>
    </w:div>
    <w:div w:id="1217005838">
      <w:bodyDiv w:val="1"/>
      <w:marLeft w:val="0"/>
      <w:marRight w:val="0"/>
      <w:marTop w:val="0"/>
      <w:marBottom w:val="0"/>
      <w:divBdr>
        <w:top w:val="none" w:sz="0" w:space="0" w:color="auto"/>
        <w:left w:val="none" w:sz="0" w:space="0" w:color="auto"/>
        <w:bottom w:val="none" w:sz="0" w:space="0" w:color="auto"/>
        <w:right w:val="none" w:sz="0" w:space="0" w:color="auto"/>
      </w:divBdr>
    </w:div>
    <w:div w:id="1227110725">
      <w:bodyDiv w:val="1"/>
      <w:marLeft w:val="0"/>
      <w:marRight w:val="0"/>
      <w:marTop w:val="0"/>
      <w:marBottom w:val="0"/>
      <w:divBdr>
        <w:top w:val="none" w:sz="0" w:space="0" w:color="auto"/>
        <w:left w:val="none" w:sz="0" w:space="0" w:color="auto"/>
        <w:bottom w:val="none" w:sz="0" w:space="0" w:color="auto"/>
        <w:right w:val="none" w:sz="0" w:space="0" w:color="auto"/>
      </w:divBdr>
      <w:divsChild>
        <w:div w:id="414060787">
          <w:marLeft w:val="0"/>
          <w:marRight w:val="0"/>
          <w:marTop w:val="0"/>
          <w:marBottom w:val="0"/>
          <w:divBdr>
            <w:top w:val="none" w:sz="0" w:space="0" w:color="auto"/>
            <w:left w:val="none" w:sz="0" w:space="0" w:color="auto"/>
            <w:bottom w:val="none" w:sz="0" w:space="0" w:color="auto"/>
            <w:right w:val="none" w:sz="0" w:space="0" w:color="auto"/>
          </w:divBdr>
          <w:divsChild>
            <w:div w:id="1537500558">
              <w:marLeft w:val="0"/>
              <w:marRight w:val="0"/>
              <w:marTop w:val="0"/>
              <w:marBottom w:val="0"/>
              <w:divBdr>
                <w:top w:val="none" w:sz="0" w:space="0" w:color="auto"/>
                <w:left w:val="none" w:sz="0" w:space="0" w:color="auto"/>
                <w:bottom w:val="none" w:sz="0" w:space="0" w:color="auto"/>
                <w:right w:val="none" w:sz="0" w:space="0" w:color="auto"/>
              </w:divBdr>
              <w:divsChild>
                <w:div w:id="20166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066">
      <w:bodyDiv w:val="1"/>
      <w:marLeft w:val="0"/>
      <w:marRight w:val="0"/>
      <w:marTop w:val="0"/>
      <w:marBottom w:val="0"/>
      <w:divBdr>
        <w:top w:val="none" w:sz="0" w:space="0" w:color="auto"/>
        <w:left w:val="none" w:sz="0" w:space="0" w:color="auto"/>
        <w:bottom w:val="none" w:sz="0" w:space="0" w:color="auto"/>
        <w:right w:val="none" w:sz="0" w:space="0" w:color="auto"/>
      </w:divBdr>
    </w:div>
    <w:div w:id="1245801231">
      <w:bodyDiv w:val="1"/>
      <w:marLeft w:val="0"/>
      <w:marRight w:val="0"/>
      <w:marTop w:val="0"/>
      <w:marBottom w:val="0"/>
      <w:divBdr>
        <w:top w:val="none" w:sz="0" w:space="0" w:color="auto"/>
        <w:left w:val="none" w:sz="0" w:space="0" w:color="auto"/>
        <w:bottom w:val="none" w:sz="0" w:space="0" w:color="auto"/>
        <w:right w:val="none" w:sz="0" w:space="0" w:color="auto"/>
      </w:divBdr>
    </w:div>
    <w:div w:id="1248030902">
      <w:bodyDiv w:val="1"/>
      <w:marLeft w:val="0"/>
      <w:marRight w:val="0"/>
      <w:marTop w:val="0"/>
      <w:marBottom w:val="0"/>
      <w:divBdr>
        <w:top w:val="none" w:sz="0" w:space="0" w:color="auto"/>
        <w:left w:val="none" w:sz="0" w:space="0" w:color="auto"/>
        <w:bottom w:val="none" w:sz="0" w:space="0" w:color="auto"/>
        <w:right w:val="none" w:sz="0" w:space="0" w:color="auto"/>
      </w:divBdr>
    </w:div>
    <w:div w:id="1261916182">
      <w:bodyDiv w:val="1"/>
      <w:marLeft w:val="0"/>
      <w:marRight w:val="0"/>
      <w:marTop w:val="0"/>
      <w:marBottom w:val="0"/>
      <w:divBdr>
        <w:top w:val="none" w:sz="0" w:space="0" w:color="auto"/>
        <w:left w:val="none" w:sz="0" w:space="0" w:color="auto"/>
        <w:bottom w:val="none" w:sz="0" w:space="0" w:color="auto"/>
        <w:right w:val="none" w:sz="0" w:space="0" w:color="auto"/>
      </w:divBdr>
    </w:div>
    <w:div w:id="1285189292">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49789332">
      <w:bodyDiv w:val="1"/>
      <w:marLeft w:val="0"/>
      <w:marRight w:val="0"/>
      <w:marTop w:val="0"/>
      <w:marBottom w:val="0"/>
      <w:divBdr>
        <w:top w:val="none" w:sz="0" w:space="0" w:color="auto"/>
        <w:left w:val="none" w:sz="0" w:space="0" w:color="auto"/>
        <w:bottom w:val="none" w:sz="0" w:space="0" w:color="auto"/>
        <w:right w:val="none" w:sz="0" w:space="0" w:color="auto"/>
      </w:divBdr>
    </w:div>
    <w:div w:id="1352413980">
      <w:bodyDiv w:val="1"/>
      <w:marLeft w:val="0"/>
      <w:marRight w:val="0"/>
      <w:marTop w:val="0"/>
      <w:marBottom w:val="0"/>
      <w:divBdr>
        <w:top w:val="none" w:sz="0" w:space="0" w:color="auto"/>
        <w:left w:val="none" w:sz="0" w:space="0" w:color="auto"/>
        <w:bottom w:val="none" w:sz="0" w:space="0" w:color="auto"/>
        <w:right w:val="none" w:sz="0" w:space="0" w:color="auto"/>
      </w:divBdr>
    </w:div>
    <w:div w:id="1377241576">
      <w:bodyDiv w:val="1"/>
      <w:marLeft w:val="0"/>
      <w:marRight w:val="0"/>
      <w:marTop w:val="0"/>
      <w:marBottom w:val="0"/>
      <w:divBdr>
        <w:top w:val="none" w:sz="0" w:space="0" w:color="auto"/>
        <w:left w:val="none" w:sz="0" w:space="0" w:color="auto"/>
        <w:bottom w:val="none" w:sz="0" w:space="0" w:color="auto"/>
        <w:right w:val="none" w:sz="0" w:space="0" w:color="auto"/>
      </w:divBdr>
    </w:div>
    <w:div w:id="1395657841">
      <w:bodyDiv w:val="1"/>
      <w:marLeft w:val="0"/>
      <w:marRight w:val="0"/>
      <w:marTop w:val="0"/>
      <w:marBottom w:val="0"/>
      <w:divBdr>
        <w:top w:val="none" w:sz="0" w:space="0" w:color="auto"/>
        <w:left w:val="none" w:sz="0" w:space="0" w:color="auto"/>
        <w:bottom w:val="none" w:sz="0" w:space="0" w:color="auto"/>
        <w:right w:val="none" w:sz="0" w:space="0" w:color="auto"/>
      </w:divBdr>
      <w:divsChild>
        <w:div w:id="1508252726">
          <w:marLeft w:val="0"/>
          <w:marRight w:val="0"/>
          <w:marTop w:val="0"/>
          <w:marBottom w:val="0"/>
          <w:divBdr>
            <w:top w:val="none" w:sz="0" w:space="0" w:color="auto"/>
            <w:left w:val="none" w:sz="0" w:space="0" w:color="auto"/>
            <w:bottom w:val="none" w:sz="0" w:space="0" w:color="auto"/>
            <w:right w:val="none" w:sz="0" w:space="0" w:color="auto"/>
          </w:divBdr>
          <w:divsChild>
            <w:div w:id="1410537990">
              <w:marLeft w:val="0"/>
              <w:marRight w:val="0"/>
              <w:marTop w:val="0"/>
              <w:marBottom w:val="0"/>
              <w:divBdr>
                <w:top w:val="none" w:sz="0" w:space="0" w:color="auto"/>
                <w:left w:val="none" w:sz="0" w:space="0" w:color="auto"/>
                <w:bottom w:val="none" w:sz="0" w:space="0" w:color="auto"/>
                <w:right w:val="none" w:sz="0" w:space="0" w:color="auto"/>
              </w:divBdr>
              <w:divsChild>
                <w:div w:id="991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10423503">
      <w:bodyDiv w:val="1"/>
      <w:marLeft w:val="0"/>
      <w:marRight w:val="0"/>
      <w:marTop w:val="0"/>
      <w:marBottom w:val="0"/>
      <w:divBdr>
        <w:top w:val="none" w:sz="0" w:space="0" w:color="auto"/>
        <w:left w:val="none" w:sz="0" w:space="0" w:color="auto"/>
        <w:bottom w:val="none" w:sz="0" w:space="0" w:color="auto"/>
        <w:right w:val="none" w:sz="0" w:space="0" w:color="auto"/>
      </w:divBdr>
    </w:div>
    <w:div w:id="1420983908">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66923484">
      <w:bodyDiv w:val="1"/>
      <w:marLeft w:val="0"/>
      <w:marRight w:val="0"/>
      <w:marTop w:val="0"/>
      <w:marBottom w:val="0"/>
      <w:divBdr>
        <w:top w:val="none" w:sz="0" w:space="0" w:color="auto"/>
        <w:left w:val="none" w:sz="0" w:space="0" w:color="auto"/>
        <w:bottom w:val="none" w:sz="0" w:space="0" w:color="auto"/>
        <w:right w:val="none" w:sz="0" w:space="0" w:color="auto"/>
      </w:divBdr>
    </w:div>
    <w:div w:id="1467352122">
      <w:bodyDiv w:val="1"/>
      <w:marLeft w:val="0"/>
      <w:marRight w:val="0"/>
      <w:marTop w:val="0"/>
      <w:marBottom w:val="0"/>
      <w:divBdr>
        <w:top w:val="none" w:sz="0" w:space="0" w:color="auto"/>
        <w:left w:val="none" w:sz="0" w:space="0" w:color="auto"/>
        <w:bottom w:val="none" w:sz="0" w:space="0" w:color="auto"/>
        <w:right w:val="none" w:sz="0" w:space="0" w:color="auto"/>
      </w:divBdr>
    </w:div>
    <w:div w:id="1517499045">
      <w:bodyDiv w:val="1"/>
      <w:marLeft w:val="0"/>
      <w:marRight w:val="0"/>
      <w:marTop w:val="0"/>
      <w:marBottom w:val="0"/>
      <w:divBdr>
        <w:top w:val="none" w:sz="0" w:space="0" w:color="auto"/>
        <w:left w:val="none" w:sz="0" w:space="0" w:color="auto"/>
        <w:bottom w:val="none" w:sz="0" w:space="0" w:color="auto"/>
        <w:right w:val="none" w:sz="0" w:space="0" w:color="auto"/>
      </w:divBdr>
      <w:divsChild>
        <w:div w:id="35325621">
          <w:marLeft w:val="0"/>
          <w:marRight w:val="0"/>
          <w:marTop w:val="0"/>
          <w:marBottom w:val="0"/>
          <w:divBdr>
            <w:top w:val="none" w:sz="0" w:space="0" w:color="auto"/>
            <w:left w:val="none" w:sz="0" w:space="0" w:color="auto"/>
            <w:bottom w:val="none" w:sz="0" w:space="0" w:color="auto"/>
            <w:right w:val="none" w:sz="0" w:space="0" w:color="auto"/>
          </w:divBdr>
          <w:divsChild>
            <w:div w:id="1647859281">
              <w:marLeft w:val="0"/>
              <w:marRight w:val="0"/>
              <w:marTop w:val="0"/>
              <w:marBottom w:val="0"/>
              <w:divBdr>
                <w:top w:val="none" w:sz="0" w:space="0" w:color="auto"/>
                <w:left w:val="none" w:sz="0" w:space="0" w:color="auto"/>
                <w:bottom w:val="none" w:sz="0" w:space="0" w:color="auto"/>
                <w:right w:val="none" w:sz="0" w:space="0" w:color="auto"/>
              </w:divBdr>
              <w:divsChild>
                <w:div w:id="4413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5648">
      <w:bodyDiv w:val="1"/>
      <w:marLeft w:val="0"/>
      <w:marRight w:val="0"/>
      <w:marTop w:val="0"/>
      <w:marBottom w:val="0"/>
      <w:divBdr>
        <w:top w:val="none" w:sz="0" w:space="0" w:color="auto"/>
        <w:left w:val="none" w:sz="0" w:space="0" w:color="auto"/>
        <w:bottom w:val="none" w:sz="0" w:space="0" w:color="auto"/>
        <w:right w:val="none" w:sz="0" w:space="0" w:color="auto"/>
      </w:divBdr>
    </w:div>
    <w:div w:id="1525289210">
      <w:bodyDiv w:val="1"/>
      <w:marLeft w:val="0"/>
      <w:marRight w:val="0"/>
      <w:marTop w:val="0"/>
      <w:marBottom w:val="0"/>
      <w:divBdr>
        <w:top w:val="none" w:sz="0" w:space="0" w:color="auto"/>
        <w:left w:val="none" w:sz="0" w:space="0" w:color="auto"/>
        <w:bottom w:val="none" w:sz="0" w:space="0" w:color="auto"/>
        <w:right w:val="none" w:sz="0" w:space="0" w:color="auto"/>
      </w:divBdr>
    </w:div>
    <w:div w:id="1537304471">
      <w:bodyDiv w:val="1"/>
      <w:marLeft w:val="0"/>
      <w:marRight w:val="0"/>
      <w:marTop w:val="0"/>
      <w:marBottom w:val="0"/>
      <w:divBdr>
        <w:top w:val="none" w:sz="0" w:space="0" w:color="auto"/>
        <w:left w:val="none" w:sz="0" w:space="0" w:color="auto"/>
        <w:bottom w:val="none" w:sz="0" w:space="0" w:color="auto"/>
        <w:right w:val="none" w:sz="0" w:space="0" w:color="auto"/>
      </w:divBdr>
    </w:div>
    <w:div w:id="1545289006">
      <w:bodyDiv w:val="1"/>
      <w:marLeft w:val="0"/>
      <w:marRight w:val="0"/>
      <w:marTop w:val="0"/>
      <w:marBottom w:val="0"/>
      <w:divBdr>
        <w:top w:val="none" w:sz="0" w:space="0" w:color="auto"/>
        <w:left w:val="none" w:sz="0" w:space="0" w:color="auto"/>
        <w:bottom w:val="none" w:sz="0" w:space="0" w:color="auto"/>
        <w:right w:val="none" w:sz="0" w:space="0" w:color="auto"/>
      </w:divBdr>
    </w:div>
    <w:div w:id="1565409789">
      <w:bodyDiv w:val="1"/>
      <w:marLeft w:val="0"/>
      <w:marRight w:val="0"/>
      <w:marTop w:val="0"/>
      <w:marBottom w:val="0"/>
      <w:divBdr>
        <w:top w:val="none" w:sz="0" w:space="0" w:color="auto"/>
        <w:left w:val="none" w:sz="0" w:space="0" w:color="auto"/>
        <w:bottom w:val="none" w:sz="0" w:space="0" w:color="auto"/>
        <w:right w:val="none" w:sz="0" w:space="0" w:color="auto"/>
      </w:divBdr>
    </w:div>
    <w:div w:id="1587495553">
      <w:bodyDiv w:val="1"/>
      <w:marLeft w:val="0"/>
      <w:marRight w:val="0"/>
      <w:marTop w:val="0"/>
      <w:marBottom w:val="0"/>
      <w:divBdr>
        <w:top w:val="none" w:sz="0" w:space="0" w:color="auto"/>
        <w:left w:val="none" w:sz="0" w:space="0" w:color="auto"/>
        <w:bottom w:val="none" w:sz="0" w:space="0" w:color="auto"/>
        <w:right w:val="none" w:sz="0" w:space="0" w:color="auto"/>
      </w:divBdr>
      <w:divsChild>
        <w:div w:id="732578711">
          <w:marLeft w:val="0"/>
          <w:marRight w:val="0"/>
          <w:marTop w:val="0"/>
          <w:marBottom w:val="0"/>
          <w:divBdr>
            <w:top w:val="none" w:sz="0" w:space="0" w:color="auto"/>
            <w:left w:val="none" w:sz="0" w:space="0" w:color="auto"/>
            <w:bottom w:val="none" w:sz="0" w:space="0" w:color="auto"/>
            <w:right w:val="none" w:sz="0" w:space="0" w:color="auto"/>
          </w:divBdr>
          <w:divsChild>
            <w:div w:id="71785082">
              <w:marLeft w:val="0"/>
              <w:marRight w:val="0"/>
              <w:marTop w:val="0"/>
              <w:marBottom w:val="0"/>
              <w:divBdr>
                <w:top w:val="none" w:sz="0" w:space="0" w:color="auto"/>
                <w:left w:val="none" w:sz="0" w:space="0" w:color="auto"/>
                <w:bottom w:val="none" w:sz="0" w:space="0" w:color="auto"/>
                <w:right w:val="none" w:sz="0" w:space="0" w:color="auto"/>
              </w:divBdr>
            </w:div>
          </w:divsChild>
        </w:div>
        <w:div w:id="763648262">
          <w:marLeft w:val="0"/>
          <w:marRight w:val="0"/>
          <w:marTop w:val="0"/>
          <w:marBottom w:val="0"/>
          <w:divBdr>
            <w:top w:val="none" w:sz="0" w:space="0" w:color="auto"/>
            <w:left w:val="none" w:sz="0" w:space="0" w:color="auto"/>
            <w:bottom w:val="none" w:sz="0" w:space="0" w:color="auto"/>
            <w:right w:val="none" w:sz="0" w:space="0" w:color="auto"/>
          </w:divBdr>
          <w:divsChild>
            <w:div w:id="472063359">
              <w:marLeft w:val="0"/>
              <w:marRight w:val="0"/>
              <w:marTop w:val="0"/>
              <w:marBottom w:val="0"/>
              <w:divBdr>
                <w:top w:val="none" w:sz="0" w:space="0" w:color="auto"/>
                <w:left w:val="none" w:sz="0" w:space="0" w:color="auto"/>
                <w:bottom w:val="none" w:sz="0" w:space="0" w:color="auto"/>
                <w:right w:val="none" w:sz="0" w:space="0" w:color="auto"/>
              </w:divBdr>
              <w:divsChild>
                <w:div w:id="331689986">
                  <w:marLeft w:val="0"/>
                  <w:marRight w:val="0"/>
                  <w:marTop w:val="0"/>
                  <w:marBottom w:val="0"/>
                  <w:divBdr>
                    <w:top w:val="none" w:sz="0" w:space="0" w:color="auto"/>
                    <w:left w:val="none" w:sz="0" w:space="0" w:color="auto"/>
                    <w:bottom w:val="none" w:sz="0" w:space="0" w:color="auto"/>
                    <w:right w:val="none" w:sz="0" w:space="0" w:color="auto"/>
                  </w:divBdr>
                </w:div>
                <w:div w:id="15355727">
                  <w:marLeft w:val="0"/>
                  <w:marRight w:val="0"/>
                  <w:marTop w:val="0"/>
                  <w:marBottom w:val="0"/>
                  <w:divBdr>
                    <w:top w:val="none" w:sz="0" w:space="0" w:color="auto"/>
                    <w:left w:val="none" w:sz="0" w:space="0" w:color="auto"/>
                    <w:bottom w:val="none" w:sz="0" w:space="0" w:color="auto"/>
                    <w:right w:val="none" w:sz="0" w:space="0" w:color="auto"/>
                  </w:divBdr>
                  <w:divsChild>
                    <w:div w:id="5979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5689">
      <w:bodyDiv w:val="1"/>
      <w:marLeft w:val="0"/>
      <w:marRight w:val="0"/>
      <w:marTop w:val="0"/>
      <w:marBottom w:val="0"/>
      <w:divBdr>
        <w:top w:val="none" w:sz="0" w:space="0" w:color="auto"/>
        <w:left w:val="none" w:sz="0" w:space="0" w:color="auto"/>
        <w:bottom w:val="none" w:sz="0" w:space="0" w:color="auto"/>
        <w:right w:val="none" w:sz="0" w:space="0" w:color="auto"/>
      </w:divBdr>
    </w:div>
    <w:div w:id="1592814012">
      <w:bodyDiv w:val="1"/>
      <w:marLeft w:val="0"/>
      <w:marRight w:val="0"/>
      <w:marTop w:val="0"/>
      <w:marBottom w:val="0"/>
      <w:divBdr>
        <w:top w:val="none" w:sz="0" w:space="0" w:color="auto"/>
        <w:left w:val="none" w:sz="0" w:space="0" w:color="auto"/>
        <w:bottom w:val="none" w:sz="0" w:space="0" w:color="auto"/>
        <w:right w:val="none" w:sz="0" w:space="0" w:color="auto"/>
      </w:divBdr>
    </w:div>
    <w:div w:id="1615551813">
      <w:bodyDiv w:val="1"/>
      <w:marLeft w:val="0"/>
      <w:marRight w:val="0"/>
      <w:marTop w:val="0"/>
      <w:marBottom w:val="0"/>
      <w:divBdr>
        <w:top w:val="none" w:sz="0" w:space="0" w:color="auto"/>
        <w:left w:val="none" w:sz="0" w:space="0" w:color="auto"/>
        <w:bottom w:val="none" w:sz="0" w:space="0" w:color="auto"/>
        <w:right w:val="none" w:sz="0" w:space="0" w:color="auto"/>
      </w:divBdr>
    </w:div>
    <w:div w:id="1629584403">
      <w:bodyDiv w:val="1"/>
      <w:marLeft w:val="0"/>
      <w:marRight w:val="0"/>
      <w:marTop w:val="0"/>
      <w:marBottom w:val="0"/>
      <w:divBdr>
        <w:top w:val="none" w:sz="0" w:space="0" w:color="auto"/>
        <w:left w:val="none" w:sz="0" w:space="0" w:color="auto"/>
        <w:bottom w:val="none" w:sz="0" w:space="0" w:color="auto"/>
        <w:right w:val="none" w:sz="0" w:space="0" w:color="auto"/>
      </w:divBdr>
    </w:div>
    <w:div w:id="1636108065">
      <w:bodyDiv w:val="1"/>
      <w:marLeft w:val="0"/>
      <w:marRight w:val="0"/>
      <w:marTop w:val="0"/>
      <w:marBottom w:val="0"/>
      <w:divBdr>
        <w:top w:val="none" w:sz="0" w:space="0" w:color="auto"/>
        <w:left w:val="none" w:sz="0" w:space="0" w:color="auto"/>
        <w:bottom w:val="none" w:sz="0" w:space="0" w:color="auto"/>
        <w:right w:val="none" w:sz="0" w:space="0" w:color="auto"/>
      </w:divBdr>
    </w:div>
    <w:div w:id="1656256180">
      <w:bodyDiv w:val="1"/>
      <w:marLeft w:val="0"/>
      <w:marRight w:val="0"/>
      <w:marTop w:val="0"/>
      <w:marBottom w:val="0"/>
      <w:divBdr>
        <w:top w:val="none" w:sz="0" w:space="0" w:color="auto"/>
        <w:left w:val="none" w:sz="0" w:space="0" w:color="auto"/>
        <w:bottom w:val="none" w:sz="0" w:space="0" w:color="auto"/>
        <w:right w:val="none" w:sz="0" w:space="0" w:color="auto"/>
      </w:divBdr>
    </w:div>
    <w:div w:id="1659307122">
      <w:bodyDiv w:val="1"/>
      <w:marLeft w:val="0"/>
      <w:marRight w:val="0"/>
      <w:marTop w:val="0"/>
      <w:marBottom w:val="0"/>
      <w:divBdr>
        <w:top w:val="none" w:sz="0" w:space="0" w:color="auto"/>
        <w:left w:val="none" w:sz="0" w:space="0" w:color="auto"/>
        <w:bottom w:val="none" w:sz="0" w:space="0" w:color="auto"/>
        <w:right w:val="none" w:sz="0" w:space="0" w:color="auto"/>
      </w:divBdr>
    </w:div>
    <w:div w:id="1684428563">
      <w:bodyDiv w:val="1"/>
      <w:marLeft w:val="0"/>
      <w:marRight w:val="0"/>
      <w:marTop w:val="0"/>
      <w:marBottom w:val="0"/>
      <w:divBdr>
        <w:top w:val="none" w:sz="0" w:space="0" w:color="auto"/>
        <w:left w:val="none" w:sz="0" w:space="0" w:color="auto"/>
        <w:bottom w:val="none" w:sz="0" w:space="0" w:color="auto"/>
        <w:right w:val="none" w:sz="0" w:space="0" w:color="auto"/>
      </w:divBdr>
    </w:div>
    <w:div w:id="1695573320">
      <w:bodyDiv w:val="1"/>
      <w:marLeft w:val="0"/>
      <w:marRight w:val="0"/>
      <w:marTop w:val="0"/>
      <w:marBottom w:val="0"/>
      <w:divBdr>
        <w:top w:val="none" w:sz="0" w:space="0" w:color="auto"/>
        <w:left w:val="none" w:sz="0" w:space="0" w:color="auto"/>
        <w:bottom w:val="none" w:sz="0" w:space="0" w:color="auto"/>
        <w:right w:val="none" w:sz="0" w:space="0" w:color="auto"/>
      </w:divBdr>
      <w:divsChild>
        <w:div w:id="185796498">
          <w:marLeft w:val="0"/>
          <w:marRight w:val="0"/>
          <w:marTop w:val="0"/>
          <w:marBottom w:val="0"/>
          <w:divBdr>
            <w:top w:val="none" w:sz="0" w:space="0" w:color="auto"/>
            <w:left w:val="none" w:sz="0" w:space="0" w:color="auto"/>
            <w:bottom w:val="none" w:sz="0" w:space="0" w:color="auto"/>
            <w:right w:val="none" w:sz="0" w:space="0" w:color="auto"/>
          </w:divBdr>
          <w:divsChild>
            <w:div w:id="368800443">
              <w:marLeft w:val="0"/>
              <w:marRight w:val="0"/>
              <w:marTop w:val="0"/>
              <w:marBottom w:val="0"/>
              <w:divBdr>
                <w:top w:val="none" w:sz="0" w:space="0" w:color="auto"/>
                <w:left w:val="none" w:sz="0" w:space="0" w:color="auto"/>
                <w:bottom w:val="none" w:sz="0" w:space="0" w:color="auto"/>
                <w:right w:val="none" w:sz="0" w:space="0" w:color="auto"/>
              </w:divBdr>
              <w:divsChild>
                <w:div w:id="4209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4210280">
      <w:bodyDiv w:val="1"/>
      <w:marLeft w:val="0"/>
      <w:marRight w:val="0"/>
      <w:marTop w:val="0"/>
      <w:marBottom w:val="0"/>
      <w:divBdr>
        <w:top w:val="none" w:sz="0" w:space="0" w:color="auto"/>
        <w:left w:val="none" w:sz="0" w:space="0" w:color="auto"/>
        <w:bottom w:val="none" w:sz="0" w:space="0" w:color="auto"/>
        <w:right w:val="none" w:sz="0" w:space="0" w:color="auto"/>
      </w:divBdr>
    </w:div>
    <w:div w:id="1834486127">
      <w:bodyDiv w:val="1"/>
      <w:marLeft w:val="0"/>
      <w:marRight w:val="0"/>
      <w:marTop w:val="0"/>
      <w:marBottom w:val="0"/>
      <w:divBdr>
        <w:top w:val="none" w:sz="0" w:space="0" w:color="auto"/>
        <w:left w:val="none" w:sz="0" w:space="0" w:color="auto"/>
        <w:bottom w:val="none" w:sz="0" w:space="0" w:color="auto"/>
        <w:right w:val="none" w:sz="0" w:space="0" w:color="auto"/>
      </w:divBdr>
    </w:div>
    <w:div w:id="1838571131">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875731495">
      <w:bodyDiv w:val="1"/>
      <w:marLeft w:val="0"/>
      <w:marRight w:val="0"/>
      <w:marTop w:val="0"/>
      <w:marBottom w:val="0"/>
      <w:divBdr>
        <w:top w:val="none" w:sz="0" w:space="0" w:color="auto"/>
        <w:left w:val="none" w:sz="0" w:space="0" w:color="auto"/>
        <w:bottom w:val="none" w:sz="0" w:space="0" w:color="auto"/>
        <w:right w:val="none" w:sz="0" w:space="0" w:color="auto"/>
      </w:divBdr>
    </w:div>
    <w:div w:id="1896619036">
      <w:bodyDiv w:val="1"/>
      <w:marLeft w:val="0"/>
      <w:marRight w:val="0"/>
      <w:marTop w:val="0"/>
      <w:marBottom w:val="0"/>
      <w:divBdr>
        <w:top w:val="none" w:sz="0" w:space="0" w:color="auto"/>
        <w:left w:val="none" w:sz="0" w:space="0" w:color="auto"/>
        <w:bottom w:val="none" w:sz="0" w:space="0" w:color="auto"/>
        <w:right w:val="none" w:sz="0" w:space="0" w:color="auto"/>
      </w:divBdr>
    </w:div>
    <w:div w:id="1901594019">
      <w:bodyDiv w:val="1"/>
      <w:marLeft w:val="0"/>
      <w:marRight w:val="0"/>
      <w:marTop w:val="0"/>
      <w:marBottom w:val="0"/>
      <w:divBdr>
        <w:top w:val="none" w:sz="0" w:space="0" w:color="auto"/>
        <w:left w:val="none" w:sz="0" w:space="0" w:color="auto"/>
        <w:bottom w:val="none" w:sz="0" w:space="0" w:color="auto"/>
        <w:right w:val="none" w:sz="0" w:space="0" w:color="auto"/>
      </w:divBdr>
    </w:div>
    <w:div w:id="1916862956">
      <w:bodyDiv w:val="1"/>
      <w:marLeft w:val="0"/>
      <w:marRight w:val="0"/>
      <w:marTop w:val="0"/>
      <w:marBottom w:val="0"/>
      <w:divBdr>
        <w:top w:val="none" w:sz="0" w:space="0" w:color="auto"/>
        <w:left w:val="none" w:sz="0" w:space="0" w:color="auto"/>
        <w:bottom w:val="none" w:sz="0" w:space="0" w:color="auto"/>
        <w:right w:val="none" w:sz="0" w:space="0" w:color="auto"/>
      </w:divBdr>
    </w:div>
    <w:div w:id="1929458625">
      <w:bodyDiv w:val="1"/>
      <w:marLeft w:val="0"/>
      <w:marRight w:val="0"/>
      <w:marTop w:val="0"/>
      <w:marBottom w:val="0"/>
      <w:divBdr>
        <w:top w:val="none" w:sz="0" w:space="0" w:color="auto"/>
        <w:left w:val="none" w:sz="0" w:space="0" w:color="auto"/>
        <w:bottom w:val="none" w:sz="0" w:space="0" w:color="auto"/>
        <w:right w:val="none" w:sz="0" w:space="0" w:color="auto"/>
      </w:divBdr>
    </w:div>
    <w:div w:id="1932081781">
      <w:bodyDiv w:val="1"/>
      <w:marLeft w:val="0"/>
      <w:marRight w:val="0"/>
      <w:marTop w:val="0"/>
      <w:marBottom w:val="0"/>
      <w:divBdr>
        <w:top w:val="none" w:sz="0" w:space="0" w:color="auto"/>
        <w:left w:val="none" w:sz="0" w:space="0" w:color="auto"/>
        <w:bottom w:val="none" w:sz="0" w:space="0" w:color="auto"/>
        <w:right w:val="none" w:sz="0" w:space="0" w:color="auto"/>
      </w:divBdr>
    </w:div>
    <w:div w:id="1969043009">
      <w:bodyDiv w:val="1"/>
      <w:marLeft w:val="0"/>
      <w:marRight w:val="0"/>
      <w:marTop w:val="0"/>
      <w:marBottom w:val="0"/>
      <w:divBdr>
        <w:top w:val="none" w:sz="0" w:space="0" w:color="auto"/>
        <w:left w:val="none" w:sz="0" w:space="0" w:color="auto"/>
        <w:bottom w:val="none" w:sz="0" w:space="0" w:color="auto"/>
        <w:right w:val="none" w:sz="0" w:space="0" w:color="auto"/>
      </w:divBdr>
      <w:divsChild>
        <w:div w:id="1044676566">
          <w:marLeft w:val="0"/>
          <w:marRight w:val="0"/>
          <w:marTop w:val="0"/>
          <w:marBottom w:val="0"/>
          <w:divBdr>
            <w:top w:val="none" w:sz="0" w:space="0" w:color="auto"/>
            <w:left w:val="none" w:sz="0" w:space="0" w:color="auto"/>
            <w:bottom w:val="none" w:sz="0" w:space="0" w:color="auto"/>
            <w:right w:val="none" w:sz="0" w:space="0" w:color="auto"/>
          </w:divBdr>
          <w:divsChild>
            <w:div w:id="1433279568">
              <w:marLeft w:val="0"/>
              <w:marRight w:val="0"/>
              <w:marTop w:val="0"/>
              <w:marBottom w:val="0"/>
              <w:divBdr>
                <w:top w:val="none" w:sz="0" w:space="0" w:color="auto"/>
                <w:left w:val="none" w:sz="0" w:space="0" w:color="auto"/>
                <w:bottom w:val="none" w:sz="0" w:space="0" w:color="auto"/>
                <w:right w:val="none" w:sz="0" w:space="0" w:color="auto"/>
              </w:divBdr>
              <w:divsChild>
                <w:div w:id="15095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40083">
      <w:bodyDiv w:val="1"/>
      <w:marLeft w:val="0"/>
      <w:marRight w:val="0"/>
      <w:marTop w:val="0"/>
      <w:marBottom w:val="0"/>
      <w:divBdr>
        <w:top w:val="none" w:sz="0" w:space="0" w:color="auto"/>
        <w:left w:val="none" w:sz="0" w:space="0" w:color="auto"/>
        <w:bottom w:val="none" w:sz="0" w:space="0" w:color="auto"/>
        <w:right w:val="none" w:sz="0" w:space="0" w:color="auto"/>
      </w:divBdr>
    </w:div>
    <w:div w:id="1973053432">
      <w:bodyDiv w:val="1"/>
      <w:marLeft w:val="0"/>
      <w:marRight w:val="0"/>
      <w:marTop w:val="0"/>
      <w:marBottom w:val="0"/>
      <w:divBdr>
        <w:top w:val="none" w:sz="0" w:space="0" w:color="auto"/>
        <w:left w:val="none" w:sz="0" w:space="0" w:color="auto"/>
        <w:bottom w:val="none" w:sz="0" w:space="0" w:color="auto"/>
        <w:right w:val="none" w:sz="0" w:space="0" w:color="auto"/>
      </w:divBdr>
    </w:div>
    <w:div w:id="1981031278">
      <w:bodyDiv w:val="1"/>
      <w:marLeft w:val="0"/>
      <w:marRight w:val="0"/>
      <w:marTop w:val="0"/>
      <w:marBottom w:val="0"/>
      <w:divBdr>
        <w:top w:val="none" w:sz="0" w:space="0" w:color="auto"/>
        <w:left w:val="none" w:sz="0" w:space="0" w:color="auto"/>
        <w:bottom w:val="none" w:sz="0" w:space="0" w:color="auto"/>
        <w:right w:val="none" w:sz="0" w:space="0" w:color="auto"/>
      </w:divBdr>
      <w:divsChild>
        <w:div w:id="1552961378">
          <w:marLeft w:val="0"/>
          <w:marRight w:val="0"/>
          <w:marTop w:val="0"/>
          <w:marBottom w:val="0"/>
          <w:divBdr>
            <w:top w:val="none" w:sz="0" w:space="0" w:color="auto"/>
            <w:left w:val="none" w:sz="0" w:space="0" w:color="auto"/>
            <w:bottom w:val="none" w:sz="0" w:space="0" w:color="auto"/>
            <w:right w:val="none" w:sz="0" w:space="0" w:color="auto"/>
          </w:divBdr>
          <w:divsChild>
            <w:div w:id="101268777">
              <w:marLeft w:val="0"/>
              <w:marRight w:val="0"/>
              <w:marTop w:val="0"/>
              <w:marBottom w:val="0"/>
              <w:divBdr>
                <w:top w:val="none" w:sz="0" w:space="0" w:color="auto"/>
                <w:left w:val="none" w:sz="0" w:space="0" w:color="auto"/>
                <w:bottom w:val="none" w:sz="0" w:space="0" w:color="auto"/>
                <w:right w:val="none" w:sz="0" w:space="0" w:color="auto"/>
              </w:divBdr>
              <w:divsChild>
                <w:div w:id="16679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1677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22659158">
      <w:bodyDiv w:val="1"/>
      <w:marLeft w:val="0"/>
      <w:marRight w:val="0"/>
      <w:marTop w:val="0"/>
      <w:marBottom w:val="0"/>
      <w:divBdr>
        <w:top w:val="none" w:sz="0" w:space="0" w:color="auto"/>
        <w:left w:val="none" w:sz="0" w:space="0" w:color="auto"/>
        <w:bottom w:val="none" w:sz="0" w:space="0" w:color="auto"/>
        <w:right w:val="none" w:sz="0" w:space="0" w:color="auto"/>
      </w:divBdr>
    </w:div>
    <w:div w:id="2040738368">
      <w:bodyDiv w:val="1"/>
      <w:marLeft w:val="0"/>
      <w:marRight w:val="0"/>
      <w:marTop w:val="0"/>
      <w:marBottom w:val="0"/>
      <w:divBdr>
        <w:top w:val="none" w:sz="0" w:space="0" w:color="auto"/>
        <w:left w:val="none" w:sz="0" w:space="0" w:color="auto"/>
        <w:bottom w:val="none" w:sz="0" w:space="0" w:color="auto"/>
        <w:right w:val="none" w:sz="0" w:space="0" w:color="auto"/>
      </w:divBdr>
      <w:divsChild>
        <w:div w:id="208997507">
          <w:marLeft w:val="0"/>
          <w:marRight w:val="0"/>
          <w:marTop w:val="0"/>
          <w:marBottom w:val="0"/>
          <w:divBdr>
            <w:top w:val="none" w:sz="0" w:space="0" w:color="auto"/>
            <w:left w:val="none" w:sz="0" w:space="0" w:color="auto"/>
            <w:bottom w:val="none" w:sz="0" w:space="0" w:color="auto"/>
            <w:right w:val="none" w:sz="0" w:space="0" w:color="auto"/>
          </w:divBdr>
          <w:divsChild>
            <w:div w:id="2140568578">
              <w:marLeft w:val="0"/>
              <w:marRight w:val="0"/>
              <w:marTop w:val="0"/>
              <w:marBottom w:val="0"/>
              <w:divBdr>
                <w:top w:val="none" w:sz="0" w:space="0" w:color="auto"/>
                <w:left w:val="none" w:sz="0" w:space="0" w:color="auto"/>
                <w:bottom w:val="none" w:sz="0" w:space="0" w:color="auto"/>
                <w:right w:val="none" w:sz="0" w:space="0" w:color="auto"/>
              </w:divBdr>
              <w:divsChild>
                <w:div w:id="1814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5018">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55300784">
      <w:bodyDiv w:val="1"/>
      <w:marLeft w:val="0"/>
      <w:marRight w:val="0"/>
      <w:marTop w:val="0"/>
      <w:marBottom w:val="0"/>
      <w:divBdr>
        <w:top w:val="none" w:sz="0" w:space="0" w:color="auto"/>
        <w:left w:val="none" w:sz="0" w:space="0" w:color="auto"/>
        <w:bottom w:val="none" w:sz="0" w:space="0" w:color="auto"/>
        <w:right w:val="none" w:sz="0" w:space="0" w:color="auto"/>
      </w:divBdr>
    </w:div>
    <w:div w:id="2063365583">
      <w:bodyDiv w:val="1"/>
      <w:marLeft w:val="0"/>
      <w:marRight w:val="0"/>
      <w:marTop w:val="0"/>
      <w:marBottom w:val="0"/>
      <w:divBdr>
        <w:top w:val="none" w:sz="0" w:space="0" w:color="auto"/>
        <w:left w:val="none" w:sz="0" w:space="0" w:color="auto"/>
        <w:bottom w:val="none" w:sz="0" w:space="0" w:color="auto"/>
        <w:right w:val="none" w:sz="0" w:space="0" w:color="auto"/>
      </w:divBdr>
    </w:div>
    <w:div w:id="2065642022">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119056440">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13" Type="http://schemas.openxmlformats.org/officeDocument/2006/relationships/hyperlink" Target="https://www.corteconstitucional.gov.co/relatoria/2018/t-267-18.htm" TargetMode="External"/><Relationship Id="rId18" Type="http://schemas.openxmlformats.org/officeDocument/2006/relationships/hyperlink" Target="https://repository.javeriana.edu.co/handle/10554/41010" TargetMode="External"/><Relationship Id="rId26" Type="http://schemas.openxmlformats.org/officeDocument/2006/relationships/hyperlink" Target="https://repositorio.unicordoba.edu.co/bitstream/handle/ucordoba/832/FACTORES%20DE%20RIESGO%20%20RELACIONADOS%20A%20VAGINOSIS%20BACTERIANA%20EN%20MUJERES%20ENTRE%2018%20y%2024%20A%C3%91OS%20EN%20UNA%20INST.pdf?sequence=1&amp;isAllowed=y" TargetMode="External"/><Relationship Id="rId39" Type="http://schemas.openxmlformats.org/officeDocument/2006/relationships/hyperlink" Target="https://www.sbs.com.au/news/canada-scraps-tampon-tax" TargetMode="External"/><Relationship Id="rId21" Type="http://schemas.openxmlformats.org/officeDocument/2006/relationships/hyperlink" Target="https://www.corteconstitucional.gov.co/relatoria/2018/C-117-18.htm" TargetMode="External"/><Relationship Id="rId34" Type="http://schemas.openxmlformats.org/officeDocument/2006/relationships/hyperlink" Target="https://www.corteconstitucional.gov.co/relatoria/2019/T-398-19.htm" TargetMode="External"/><Relationship Id="rId42" Type="http://schemas.openxmlformats.org/officeDocument/2006/relationships/hyperlink" Target="https://economiafeminita.com/sangre-sudor-y-gastos-por-que-la-menstruacion-es-un-factor-de-desigualdad/" TargetMode="External"/><Relationship Id="rId7" Type="http://schemas.openxmlformats.org/officeDocument/2006/relationships/hyperlink" Target="http://www.secretariasenado.gov.co/senado/basedoc/ley_0065_1993.html" TargetMode="External"/><Relationship Id="rId2" Type="http://schemas.openxmlformats.org/officeDocument/2006/relationships/hyperlink" Target="http://www.secretariasenado.gov.co/senado/basedoc/ley_0065_1993.html" TargetMode="External"/><Relationship Id="rId16" Type="http://schemas.openxmlformats.org/officeDocument/2006/relationships/hyperlink" Target="https://www.inpec.gov.co/estadisticas/-/document_library/TWBuJQCWH6KV/view_file/45662" TargetMode="External"/><Relationship Id="rId29" Type="http://schemas.openxmlformats.org/officeDocument/2006/relationships/hyperlink" Target="https://repositorio.unicordoba.edu.co/bitstream/handle/ucordoba/832/FACTORES%20DE%20RIESGO%20%20RELACIONADOS%20A%20VAGINOSIS%20BACTERIANA%20EN%20MUJERES%20ENTRE%2018%20y%2024%20A%C3%91OS%20EN%20UNA%20INST.pdf?sequence=1&amp;isAllowed=y" TargetMode="External"/><Relationship Id="rId1" Type="http://schemas.openxmlformats.org/officeDocument/2006/relationships/hyperlink" Target="https://www.corteconstitucional.gov.co/relatoria/2016/t-291-16.htm" TargetMode="External"/><Relationship Id="rId6" Type="http://schemas.openxmlformats.org/officeDocument/2006/relationships/hyperlink" Target="https://www.corteconstitucional.gov.co/relatoria/2013/t-388-13.htm" TargetMode="External"/><Relationship Id="rId11" Type="http://schemas.openxmlformats.org/officeDocument/2006/relationships/hyperlink" Target="https://www.corteconstitucional.gov.co/relatoria/2018/C-117-18.htm" TargetMode="External"/><Relationship Id="rId24" Type="http://schemas.openxmlformats.org/officeDocument/2006/relationships/hyperlink" Target="https://www.msdmanuals.com/es-co/professional/enfermedades-infecciosas/cocos-grampositivos/s%C3%ADndrome-de-shock-t%C3%B3xico-tss" TargetMode="External"/><Relationship Id="rId32" Type="http://schemas.openxmlformats.org/officeDocument/2006/relationships/hyperlink" Target="https://revistas.javeriana.edu.co/index.php/revPsycho/article/view/4764" TargetMode="External"/><Relationship Id="rId37" Type="http://schemas.openxmlformats.org/officeDocument/2006/relationships/hyperlink" Target="https://www.cepal.org/es/temas/agenda-2030-desarrollo-sostenible" TargetMode="External"/><Relationship Id="rId40" Type="http://schemas.openxmlformats.org/officeDocument/2006/relationships/hyperlink" Target="https://www.govtrack.us/congress/bills/115/s1524/text" TargetMode="External"/><Relationship Id="rId45" Type="http://schemas.openxmlformats.org/officeDocument/2006/relationships/hyperlink" Target="https://www.weforum.org/agenda/2019/04/uk-to-provide-all-female-prisoners-with-free-sanitary-products/" TargetMode="External"/><Relationship Id="rId5" Type="http://schemas.openxmlformats.org/officeDocument/2006/relationships/hyperlink" Target="https://www.corteconstitucional.gov.co/relatoria/2013/t-388-13.htm" TargetMode="External"/><Relationship Id="rId15" Type="http://schemas.openxmlformats.org/officeDocument/2006/relationships/hyperlink" Target="https://www.corteconstitucional.gov.co/relatoria/2015/t-762-15.htm" TargetMode="External"/><Relationship Id="rId23" Type="http://schemas.openxmlformats.org/officeDocument/2006/relationships/hyperlink" Target="https://www.medigraphic.com/pdfs/medcri/ti-2013/ti133h.pdf" TargetMode="External"/><Relationship Id="rId28" Type="http://schemas.openxmlformats.org/officeDocument/2006/relationships/hyperlink" Target="https://www.elsevier.es/es-revista-offarm-4-articulo-candidiasis-vulvovaginal-13132028" TargetMode="External"/><Relationship Id="rId36" Type="http://schemas.openxmlformats.org/officeDocument/2006/relationships/hyperlink" Target="https://www.cepal.org/es/temas/agenda-2030-desarrollo-sostenible" TargetMode="External"/><Relationship Id="rId10" Type="http://schemas.openxmlformats.org/officeDocument/2006/relationships/hyperlink" Target="https://revistas.udea.edu.co/index.php/red/article/view/342877/20804379" TargetMode="External"/><Relationship Id="rId19" Type="http://schemas.openxmlformats.org/officeDocument/2006/relationships/hyperlink" Target="https://repository.usta.edu.co/bitstream/handle/11634/28167/2020karenbarbosa5.pdf?sequence=18&amp;isAllowed=y" TargetMode="External"/><Relationship Id="rId31" Type="http://schemas.openxmlformats.org/officeDocument/2006/relationships/hyperlink" Target="https://www.corteconstitucional.gov.co/relatoria/2018/C-117-18.htm" TargetMode="External"/><Relationship Id="rId44" Type="http://schemas.openxmlformats.org/officeDocument/2006/relationships/hyperlink" Target="https://infosen.senado.gob.mx/sgsp/gaceta/64/2/2020-06-10-%201/assets/documentos/Inic_MC_Dip_Martha_Tagle_art_115_LGE.pdf" TargetMode="External"/><Relationship Id="rId4" Type="http://schemas.openxmlformats.org/officeDocument/2006/relationships/hyperlink" Target="https://www.corteconstitucional.gov.co/relatoria/1998/t-153-98.htm" TargetMode="External"/><Relationship Id="rId9" Type="http://schemas.openxmlformats.org/officeDocument/2006/relationships/hyperlink" Target="https://www.icrc.org/es/document/informe-carceles-y-mujeres-en-colombia" TargetMode="External"/><Relationship Id="rId14" Type="http://schemas.openxmlformats.org/officeDocument/2006/relationships/hyperlink" Target="http://www.politicacriminal.gov.co/Portals/0/Primer-Informe-Grupo-Lider-de-Seguimiento-Sentencia-T-762-de-2015-ilovepdf-compressed-1-100.pdf?ver=2016-12-09-172038-980" TargetMode="External"/><Relationship Id="rId22" Type="http://schemas.openxmlformats.org/officeDocument/2006/relationships/hyperlink" Target="https://www.corteconstitucional.gov.co/relatoria/2018/T-345-18.htm" TargetMode="External"/><Relationship Id="rId27" Type="http://schemas.openxmlformats.org/officeDocument/2006/relationships/hyperlink" Target="https://sisbib.unmsm.edu.pe/bvrevistas/ginecologia/vol53_n3/pdf/A03V53N3.pdf" TargetMode="External"/><Relationship Id="rId30" Type="http://schemas.openxmlformats.org/officeDocument/2006/relationships/hyperlink" Target="http://scielo.isciii.es/scielo.php?script=sci_arttext&amp;pid=S1137-66272009000200004&amp;lng=es&amp;tlng=es" TargetMode="External"/><Relationship Id="rId35" Type="http://schemas.openxmlformats.org/officeDocument/2006/relationships/hyperlink" Target="https://www.cepal.org/es/temas/agenda-2030-desarrollo-sostenible" TargetMode="External"/><Relationship Id="rId43" Type="http://schemas.openxmlformats.org/officeDocument/2006/relationships/hyperlink" Target="https://larepublica.pe/mundo/2020/01/15/chile-camara-de-diputados-busca-que-productos-de-higiene-menstrual-sean-gratuitos-atmp/" TargetMode="External"/><Relationship Id="rId8" Type="http://schemas.openxmlformats.org/officeDocument/2006/relationships/hyperlink" Target="http://www.secretariasenado.gov.co/senado/basedoc/ley_0975_2005.html" TargetMode="External"/><Relationship Id="rId3" Type="http://schemas.openxmlformats.org/officeDocument/2006/relationships/hyperlink" Target="http://www.politicacriminal.gov.co/Portals/0/documento/cosas%20institucional.pdf" TargetMode="External"/><Relationship Id="rId12" Type="http://schemas.openxmlformats.org/officeDocument/2006/relationships/hyperlink" Target="https://www.corteconstitucional.gov.co/relatoria/2019/T-398-19.htm" TargetMode="External"/><Relationship Id="rId17" Type="http://schemas.openxmlformats.org/officeDocument/2006/relationships/hyperlink" Target="https://repository.javeriana.edu.co/handle/10554/41010" TargetMode="External"/><Relationship Id="rId25" Type="http://schemas.openxmlformats.org/officeDocument/2006/relationships/hyperlink" Target="http://scielo.isciii.es/scielo.php?script=sci_arttext&amp;pid=S1137-66272009000200004&amp;lng=es&amp;tlng=es" TargetMode="External"/><Relationship Id="rId33" Type="http://schemas.openxmlformats.org/officeDocument/2006/relationships/hyperlink" Target="https://www.unfpa.org/es/menstruaci%C3%B3n-preguntas-frecuentes" TargetMode="External"/><Relationship Id="rId38" Type="http://schemas.openxmlformats.org/officeDocument/2006/relationships/hyperlink" Target="https://www.cepal.org/es/temas/agenda-2030-desarrollo-sostenible" TargetMode="External"/><Relationship Id="rId20" Type="http://schemas.openxmlformats.org/officeDocument/2006/relationships/hyperlink" Target="https://doi.org/10.1055/s-0031-1287662" TargetMode="External"/><Relationship Id="rId41" Type="http://schemas.openxmlformats.org/officeDocument/2006/relationships/hyperlink" Target="https://economiafeminita.com/esimportante-hablar-de-menstruac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3" Type="http://schemas.openxmlformats.org/officeDocument/2006/relationships/oleObject" Target="file:////Users/laura/Downloads/Actualizacion%20mujeres%20rango%20etario%20Mayo%202021.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es-ES_tradnl" sz="1000">
                <a:solidFill>
                  <a:schemeClr val="tx1"/>
                </a:solidFill>
                <a:latin typeface="Century Gothic" panose="020B0502020202020204" pitchFamily="34" charset="0"/>
              </a:rPr>
              <a:t>población con medida</a:t>
            </a:r>
            <a:r>
              <a:rPr lang="es-ES_tradnl" sz="1000" baseline="0">
                <a:solidFill>
                  <a:schemeClr val="tx1"/>
                </a:solidFill>
                <a:latin typeface="Century Gothic" panose="020B0502020202020204" pitchFamily="34" charset="0"/>
              </a:rPr>
              <a:t> de aseguramiento</a:t>
            </a:r>
            <a:endParaRPr lang="es-ES_tradnl" sz="1000">
              <a:solidFill>
                <a:schemeClr val="tx1"/>
              </a:solidFill>
              <a:latin typeface="Century Gothic" panose="020B0502020202020204" pitchFamily="34" charset="0"/>
            </a:endParaRPr>
          </a:p>
        </c:rich>
      </c:tx>
      <c:layout>
        <c:manualLayout>
          <c:xMode val="edge"/>
          <c:yMode val="edge"/>
          <c:x val="0.23105727925741565"/>
          <c:y val="6.1782877316857901E-2"/>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2.588844433984467E-2"/>
          <c:y val="0.25884454204919"/>
          <c:w val="0.94822311132031067"/>
          <c:h val="0.41120583067612415"/>
        </c:manualLayout>
      </c:layout>
      <c:barChart>
        <c:barDir val="col"/>
        <c:grouping val="stacked"/>
        <c:varyColors val="0"/>
        <c:ser>
          <c:idx val="0"/>
          <c:order val="0"/>
          <c:tx>
            <c:strRef>
              <c:f>Hoja1!$B$1</c:f>
              <c:strCache>
                <c:ptCount val="1"/>
                <c:pt idx="0">
                  <c:v>Columna2</c:v>
                </c:pt>
              </c:strCache>
            </c:strRef>
          </c:tx>
          <c:spPr>
            <a:solidFill>
              <a:schemeClr val="accent1"/>
            </a:solidFill>
            <a:ln>
              <a:noFill/>
            </a:ln>
            <a:effectLst/>
          </c:spPr>
          <c:invertIfNegative val="0"/>
          <c:dLbls>
            <c:dLbl>
              <c:idx val="0"/>
              <c:layout>
                <c:manualLayout>
                  <c:x val="6.8793844761258207E-3"/>
                  <c:y val="-0.198164248064033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2C-A94F-89D0-CB4989E79753}"/>
                </c:ext>
              </c:extLst>
            </c:dLbl>
            <c:dLbl>
              <c:idx val="1"/>
              <c:layout>
                <c:manualLayout>
                  <c:x val="4.6164290563475482E-3"/>
                  <c:y val="-0.1473950673521182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2C-A94F-89D0-CB4989E79753}"/>
                </c:ext>
              </c:extLst>
            </c:dLbl>
            <c:dLbl>
              <c:idx val="2"/>
              <c:layout>
                <c:manualLayout>
                  <c:x val="-4.7069898799717578E-3"/>
                  <c:y val="-0.221043324491600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2C-A94F-89D0-CB4989E79753}"/>
                </c:ext>
              </c:extLst>
            </c:dLbl>
            <c:dLbl>
              <c:idx val="3"/>
              <c:layout>
                <c:manualLayout>
                  <c:x val="4.7069898799717578E-3"/>
                  <c:y val="-0.1237842617152962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2C-A94F-89D0-CB4989E79753}"/>
                </c:ext>
              </c:extLst>
            </c:dLbl>
            <c:dLbl>
              <c:idx val="4"/>
              <c:layout>
                <c:manualLayout>
                  <c:x val="0"/>
                  <c:y val="-6.16522811344019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2C-A94F-89D0-CB4989E7975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Hoja1!$B$2:$B$6</c:f>
              <c:numCache>
                <c:formatCode>General</c:formatCode>
                <c:ptCount val="5"/>
                <c:pt idx="0" formatCode="#,##0">
                  <c:v>96819</c:v>
                </c:pt>
                <c:pt idx="1">
                  <c:v>70912</c:v>
                </c:pt>
                <c:pt idx="2" formatCode="#,##0">
                  <c:v>4978</c:v>
                </c:pt>
                <c:pt idx="3" formatCode="#,##0">
                  <c:v>2929</c:v>
                </c:pt>
                <c:pt idx="4" formatCode="#,##0">
                  <c:v>419</c:v>
                </c:pt>
              </c:numCache>
            </c:numRef>
          </c:val>
          <c:extLst>
            <c:ext xmlns:c16="http://schemas.microsoft.com/office/drawing/2014/chart" uri="{C3380CC4-5D6E-409C-BE32-E72D297353CC}">
              <c16:uniqueId val="{00000005-542C-A94F-89D0-CB4989E79753}"/>
            </c:ext>
          </c:extLst>
        </c:ser>
        <c:ser>
          <c:idx val="1"/>
          <c:order val="1"/>
          <c:tx>
            <c:strRef>
              <c:f>Hoja1!$C$1</c:f>
              <c:strCache>
                <c:ptCount val="1"/>
                <c:pt idx="0">
                  <c:v>Serie 2</c:v>
                </c:pt>
              </c:strCache>
            </c:strRef>
          </c:tx>
          <c:spPr>
            <a:solidFill>
              <a:schemeClr val="tx1"/>
            </a:solidFill>
            <a:ln>
              <a:noFill/>
            </a:ln>
            <a:effectLst/>
          </c:spPr>
          <c:invertIfNegative val="0"/>
          <c:dLbls>
            <c:delete val="1"/>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Hoja1!$C$2:$C$6</c:f>
              <c:numCache>
                <c:formatCode>General</c:formatCode>
                <c:ptCount val="5"/>
                <c:pt idx="0">
                  <c:v>2.4</c:v>
                </c:pt>
                <c:pt idx="1">
                  <c:v>4.4000000000000004</c:v>
                </c:pt>
                <c:pt idx="2">
                  <c:v>1.8</c:v>
                </c:pt>
                <c:pt idx="3">
                  <c:v>2.8</c:v>
                </c:pt>
              </c:numCache>
            </c:numRef>
          </c:val>
          <c:extLst>
            <c:ext xmlns:c16="http://schemas.microsoft.com/office/drawing/2014/chart" uri="{C3380CC4-5D6E-409C-BE32-E72D297353CC}">
              <c16:uniqueId val="{00000006-542C-A94F-89D0-CB4989E79753}"/>
            </c:ext>
          </c:extLst>
        </c:ser>
        <c:ser>
          <c:idx val="2"/>
          <c:order val="2"/>
          <c:tx>
            <c:strRef>
              <c:f>Hoja1!$D$1</c:f>
              <c:strCache>
                <c:ptCount val="1"/>
                <c:pt idx="0">
                  <c:v>Serie 3</c:v>
                </c:pt>
              </c:strCache>
            </c:strRef>
          </c:tx>
          <c:spPr>
            <a:gradFill>
              <a:gsLst>
                <a:gs pos="0">
                  <a:schemeClr val="accent2">
                    <a:lumMod val="60000"/>
                    <a:lumOff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invertIfNegative val="0"/>
          <c:dLbls>
            <c:delete val="1"/>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Hoja1!$D$2:$D$6</c:f>
              <c:numCache>
                <c:formatCode>General</c:formatCode>
                <c:ptCount val="5"/>
                <c:pt idx="0">
                  <c:v>2</c:v>
                </c:pt>
                <c:pt idx="1">
                  <c:v>2</c:v>
                </c:pt>
                <c:pt idx="2">
                  <c:v>3</c:v>
                </c:pt>
                <c:pt idx="3">
                  <c:v>5</c:v>
                </c:pt>
              </c:numCache>
            </c:numRef>
          </c:val>
          <c:extLst>
            <c:ext xmlns:c16="http://schemas.microsoft.com/office/drawing/2014/chart" uri="{C3380CC4-5D6E-409C-BE32-E72D297353CC}">
              <c16:uniqueId val="{00000007-542C-A94F-89D0-CB4989E79753}"/>
            </c:ext>
          </c:extLst>
        </c:ser>
        <c:dLbls>
          <c:dLblPos val="ctr"/>
          <c:showLegendKey val="0"/>
          <c:showVal val="1"/>
          <c:showCatName val="0"/>
          <c:showSerName val="0"/>
          <c:showPercent val="0"/>
          <c:showBubbleSize val="0"/>
        </c:dLbls>
        <c:gapWidth val="79"/>
        <c:overlap val="100"/>
        <c:axId val="167118080"/>
        <c:axId val="133819824"/>
      </c:barChart>
      <c:catAx>
        <c:axId val="1671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33819824"/>
        <c:crosses val="autoZero"/>
        <c:auto val="1"/>
        <c:lblAlgn val="ctr"/>
        <c:lblOffset val="100"/>
        <c:noMultiLvlLbl val="0"/>
      </c:catAx>
      <c:valAx>
        <c:axId val="133819824"/>
        <c:scaling>
          <c:orientation val="minMax"/>
        </c:scaling>
        <c:delete val="1"/>
        <c:axPos val="l"/>
        <c:numFmt formatCode="#,##0" sourceLinked="1"/>
        <c:majorTickMark val="none"/>
        <c:minorTickMark val="none"/>
        <c:tickLblPos val="nextTo"/>
        <c:crossAx val="16711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solidFill>
                <a:latin typeface="+mn-lt"/>
                <a:ea typeface="+mn-ea"/>
                <a:cs typeface="+mn-cs"/>
              </a:defRPr>
            </a:pPr>
            <a:r>
              <a:rPr lang="es-AR" sz="900">
                <a:solidFill>
                  <a:schemeClr val="tx1"/>
                </a:solidFill>
                <a:effectLst/>
                <a:latin typeface="Century Gothic" panose="020B0502020202020204" pitchFamily="34" charset="0"/>
              </a:rPr>
              <a:t>Población de Mujeres en Establecimientos de ReclusioN </a:t>
            </a:r>
            <a:endParaRPr lang="es-AR" sz="900">
              <a:solidFill>
                <a:schemeClr val="tx1"/>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solidFill>
              <a:latin typeface="+mn-lt"/>
              <a:ea typeface="+mn-ea"/>
              <a:cs typeface="+mn-cs"/>
            </a:defRPr>
          </a:pPr>
          <a:endParaRPr lang="es-CO"/>
        </a:p>
      </c:txPr>
    </c:title>
    <c:autoTitleDeleted val="0"/>
    <c:plotArea>
      <c:layout/>
      <c:barChart>
        <c:barDir val="col"/>
        <c:grouping val="stacked"/>
        <c:varyColors val="0"/>
        <c:ser>
          <c:idx val="0"/>
          <c:order val="0"/>
          <c:tx>
            <c:strRef>
              <c:f>Hoja1!$B$1</c:f>
              <c:strCache>
                <c:ptCount val="1"/>
                <c:pt idx="0">
                  <c:v>Columna2</c:v>
                </c:pt>
              </c:strCache>
            </c:strRef>
          </c:tx>
          <c:spPr>
            <a:solidFill>
              <a:srgbClr val="FFFF00"/>
            </a:solidFill>
            <a:ln>
              <a:noFill/>
            </a:ln>
            <a:effectLst>
              <a:glow rad="127000">
                <a:schemeClr val="bg1"/>
              </a:glow>
              <a:outerShdw blurRad="50800" dist="50800" dir="5400000" algn="ctr" rotWithShape="0">
                <a:schemeClr val="bg1"/>
              </a:outerShdw>
            </a:effectLst>
          </c:spPr>
          <c:invertIfNegative val="0"/>
          <c:dPt>
            <c:idx val="0"/>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1-6434-3D47-A490-F5D20822CF83}"/>
              </c:ext>
            </c:extLst>
          </c:dPt>
          <c:dPt>
            <c:idx val="1"/>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3-6434-3D47-A490-F5D20822CF83}"/>
              </c:ext>
            </c:extLst>
          </c:dPt>
          <c:dPt>
            <c:idx val="2"/>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5-6434-3D47-A490-F5D20822CF83}"/>
              </c:ext>
            </c:extLst>
          </c:dPt>
          <c:dPt>
            <c:idx val="3"/>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7-6434-3D47-A490-F5D20822CF83}"/>
              </c:ext>
            </c:extLst>
          </c:dPt>
          <c:dPt>
            <c:idx val="4"/>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9-6434-3D47-A490-F5D20822CF83}"/>
              </c:ext>
            </c:extLst>
          </c:dPt>
          <c:dPt>
            <c:idx val="5"/>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B-6434-3D47-A490-F5D20822CF83}"/>
              </c:ext>
            </c:extLst>
          </c:dPt>
          <c:dPt>
            <c:idx val="6"/>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c:ext xmlns:c16="http://schemas.microsoft.com/office/drawing/2014/chart" uri="{C3380CC4-5D6E-409C-BE32-E72D297353CC}">
                <c16:uniqueId val="{0000000D-6434-3D47-A490-F5D20822CF83}"/>
              </c:ext>
            </c:extLst>
          </c:dPt>
          <c:dLbls>
            <c:dLbl>
              <c:idx val="1"/>
              <c:layout>
                <c:manualLayout>
                  <c:x val="2.3534949399858789E-3"/>
                  <c:y val="-5.64857776881179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34-3D47-A490-F5D20822CF83}"/>
                </c:ext>
              </c:extLst>
            </c:dLbl>
            <c:dLbl>
              <c:idx val="4"/>
              <c:layout>
                <c:manualLayout>
                  <c:x val="0"/>
                  <c:y val="-6.16522811344019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34-3D47-A490-F5D20822CF8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Hoja1!$A$2:$A$8</c:f>
              <c:numCache>
                <c:formatCode>General</c:formatCode>
                <c:ptCount val="7"/>
                <c:pt idx="0">
                  <c:v>2015</c:v>
                </c:pt>
                <c:pt idx="1">
                  <c:v>2016</c:v>
                </c:pt>
                <c:pt idx="2">
                  <c:v>2017</c:v>
                </c:pt>
                <c:pt idx="3">
                  <c:v>2018</c:v>
                </c:pt>
                <c:pt idx="4">
                  <c:v>2019</c:v>
                </c:pt>
                <c:pt idx="5">
                  <c:v>2020</c:v>
                </c:pt>
                <c:pt idx="6" formatCode="mmm\-yy">
                  <c:v>44470</c:v>
                </c:pt>
              </c:numCache>
            </c:numRef>
          </c:cat>
          <c:val>
            <c:numRef>
              <c:f>Hoja1!$B$2:$B$8</c:f>
              <c:numCache>
                <c:formatCode>#,##0</c:formatCode>
                <c:ptCount val="7"/>
                <c:pt idx="0">
                  <c:v>8256</c:v>
                </c:pt>
                <c:pt idx="1">
                  <c:v>7779</c:v>
                </c:pt>
                <c:pt idx="2">
                  <c:v>7614</c:v>
                </c:pt>
                <c:pt idx="3">
                  <c:v>8219</c:v>
                </c:pt>
                <c:pt idx="4">
                  <c:v>8757</c:v>
                </c:pt>
                <c:pt idx="5">
                  <c:v>6840</c:v>
                </c:pt>
                <c:pt idx="6">
                  <c:v>6756</c:v>
                </c:pt>
              </c:numCache>
            </c:numRef>
          </c:val>
          <c:extLst>
            <c:ext xmlns:c16="http://schemas.microsoft.com/office/drawing/2014/chart" uri="{C3380CC4-5D6E-409C-BE32-E72D297353CC}">
              <c16:uniqueId val="{0000000E-6434-3D47-A490-F5D20822CF83}"/>
            </c:ext>
          </c:extLst>
        </c:ser>
        <c:dLbls>
          <c:dLblPos val="ctr"/>
          <c:showLegendKey val="0"/>
          <c:showVal val="1"/>
          <c:showCatName val="0"/>
          <c:showSerName val="0"/>
          <c:showPercent val="0"/>
          <c:showBubbleSize val="0"/>
        </c:dLbls>
        <c:gapWidth val="79"/>
        <c:overlap val="100"/>
        <c:axId val="167118080"/>
        <c:axId val="133819824"/>
      </c:barChart>
      <c:catAx>
        <c:axId val="1671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33819824"/>
        <c:crosses val="autoZero"/>
        <c:auto val="1"/>
        <c:lblAlgn val="ctr"/>
        <c:lblOffset val="100"/>
        <c:noMultiLvlLbl val="0"/>
      </c:catAx>
      <c:valAx>
        <c:axId val="133819824"/>
        <c:scaling>
          <c:orientation val="minMax"/>
        </c:scaling>
        <c:delete val="1"/>
        <c:axPos val="l"/>
        <c:numFmt formatCode="#,##0" sourceLinked="1"/>
        <c:majorTickMark val="none"/>
        <c:minorTickMark val="none"/>
        <c:tickLblPos val="nextTo"/>
        <c:crossAx val="16711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ES_tradnl"/>
              <a:t>INDICE DE HACINAMIENTO EN RECLUSIONES DE MUJERES</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3.3108667376138108E-2"/>
          <c:y val="0.10706585058057311"/>
          <c:w val="0.94797209412321159"/>
          <c:h val="0.51503168754945772"/>
        </c:manualLayout>
      </c:layout>
      <c:barChart>
        <c:barDir val="col"/>
        <c:grouping val="clustered"/>
        <c:varyColors val="0"/>
        <c:ser>
          <c:idx val="0"/>
          <c:order val="0"/>
          <c:tx>
            <c:strRef>
              <c:f>Hoja1!$B$1</c:f>
              <c:strCache>
                <c:ptCount val="1"/>
                <c:pt idx="0">
                  <c:v>capacidad</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3.2332563510392612E-2"/>
                  <c:y val="-1.13919938329387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09-AD42-A71D-1A1216EAF0C9}"/>
                </c:ext>
              </c:extLst>
            </c:dLbl>
            <c:dLbl>
              <c:idx val="1"/>
              <c:layout>
                <c:manualLayout>
                  <c:x val="-5.66150141856214E-3"/>
                  <c:y val="7.1417530470571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09-AD42-A71D-1A1216EAF0C9}"/>
                </c:ext>
              </c:extLst>
            </c:dLbl>
            <c:dLbl>
              <c:idx val="2"/>
              <c:layout>
                <c:manualLayout>
                  <c:x val="-1.1824524062906554E-2"/>
                  <c:y val="7.92961198591350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09-AD42-A71D-1A1216EAF0C9}"/>
                </c:ext>
              </c:extLst>
            </c:dLbl>
            <c:dLbl>
              <c:idx val="3"/>
              <c:layout>
                <c:manualLayout>
                  <c:x val="-4.7298096251625872E-3"/>
                  <c:y val="5.39410584570614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09-AD42-A71D-1A1216EAF0C9}"/>
                </c:ext>
              </c:extLst>
            </c:dLbl>
            <c:dLbl>
              <c:idx val="4"/>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8B09-AD42-A71D-1A1216EAF0C9}"/>
                </c:ext>
              </c:extLst>
            </c:dLbl>
            <c:dLbl>
              <c:idx val="5"/>
              <c:layout>
                <c:manualLayout>
                  <c:x val="-2.3649048125812936E-3"/>
                  <c:y val="2.8154570249023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09-AD42-A71D-1A1216EAF0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Hoja1!$B$2:$B$7</c:f>
              <c:numCache>
                <c:formatCode>General</c:formatCode>
                <c:ptCount val="6"/>
                <c:pt idx="0" formatCode="#,##0">
                  <c:v>1246</c:v>
                </c:pt>
                <c:pt idx="1">
                  <c:v>100</c:v>
                </c:pt>
                <c:pt idx="2">
                  <c:v>247</c:v>
                </c:pt>
                <c:pt idx="3">
                  <c:v>305</c:v>
                </c:pt>
                <c:pt idx="4">
                  <c:v>128</c:v>
                </c:pt>
                <c:pt idx="5">
                  <c:v>156</c:v>
                </c:pt>
              </c:numCache>
            </c:numRef>
          </c:val>
          <c:extLst>
            <c:ext xmlns:c16="http://schemas.microsoft.com/office/drawing/2014/chart" uri="{C3380CC4-5D6E-409C-BE32-E72D297353CC}">
              <c16:uniqueId val="{00000006-8B09-AD42-A71D-1A1216EAF0C9}"/>
            </c:ext>
          </c:extLst>
        </c:ser>
        <c:ser>
          <c:idx val="1"/>
          <c:order val="1"/>
          <c:tx>
            <c:strRef>
              <c:f>Hoja1!$C$1</c:f>
              <c:strCache>
                <c:ptCount val="1"/>
                <c:pt idx="0">
                  <c:v>Internas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5.7736720554272515E-2"/>
                  <c:y val="0.1436671989427895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09-AD42-A71D-1A1216EAF0C9}"/>
                </c:ext>
              </c:extLst>
            </c:dLbl>
            <c:dLbl>
              <c:idx val="1"/>
              <c:layout>
                <c:manualLayout>
                  <c:x val="0"/>
                  <c:y val="-1.16491524701735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09-AD42-A71D-1A1216EAF0C9}"/>
                </c:ext>
              </c:extLst>
            </c:dLbl>
            <c:dLbl>
              <c:idx val="2"/>
              <c:layout>
                <c:manualLayout>
                  <c:x val="-1.4189428875487761E-2"/>
                  <c:y val="-7.968418812513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09-AD42-A71D-1A1216EAF0C9}"/>
                </c:ext>
              </c:extLst>
            </c:dLbl>
            <c:dLbl>
              <c:idx val="3"/>
              <c:layout>
                <c:manualLayout>
                  <c:x val="2.3649048125812936E-3"/>
                  <c:y val="-1.52457969780804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09-AD42-A71D-1A1216EAF0C9}"/>
                </c:ext>
              </c:extLst>
            </c:dLbl>
            <c:dLbl>
              <c:idx val="4"/>
              <c:layout>
                <c:manualLayout>
                  <c:x val="-8.6712174754871887E-17"/>
                  <c:y val="-6.21545009576505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09-AD42-A71D-1A1216EAF0C9}"/>
                </c:ext>
              </c:extLst>
            </c:dLbl>
            <c:dLbl>
              <c:idx val="5"/>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C-8B09-AD42-A71D-1A1216EAF0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Hoja1!$C$2:$C$7</c:f>
              <c:numCache>
                <c:formatCode>General</c:formatCode>
                <c:ptCount val="6"/>
                <c:pt idx="0" formatCode="#,##0">
                  <c:v>1758</c:v>
                </c:pt>
                <c:pt idx="1">
                  <c:v>127</c:v>
                </c:pt>
                <c:pt idx="2">
                  <c:v>233</c:v>
                </c:pt>
                <c:pt idx="3">
                  <c:v>312</c:v>
                </c:pt>
                <c:pt idx="4">
                  <c:v>151</c:v>
                </c:pt>
                <c:pt idx="5">
                  <c:v>182</c:v>
                </c:pt>
              </c:numCache>
            </c:numRef>
          </c:val>
          <c:extLst>
            <c:ext xmlns:c16="http://schemas.microsoft.com/office/drawing/2014/chart" uri="{C3380CC4-5D6E-409C-BE32-E72D297353CC}">
              <c16:uniqueId val="{0000000D-8B09-AD42-A71D-1A1216EAF0C9}"/>
            </c:ext>
          </c:extLst>
        </c:ser>
        <c:ser>
          <c:idx val="2"/>
          <c:order val="2"/>
          <c:tx>
            <c:strRef>
              <c:f>Hoja1!$D$1</c:f>
              <c:strCache>
                <c:ptCount val="1"/>
                <c:pt idx="0">
                  <c:v>Indice de hacinamiento</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2.3649048125812915E-2"/>
                  <c:y val="-4.85545860821452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09-AD42-A71D-1A1216EAF0C9}"/>
                </c:ext>
              </c:extLst>
            </c:dLbl>
            <c:dLbl>
              <c:idx val="1"/>
              <c:layout>
                <c:manualLayout>
                  <c:x val="2.3647505955519993E-3"/>
                  <c:y val="-0.1321804966686856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09-AD42-A71D-1A1216EAF0C9}"/>
                </c:ext>
              </c:extLst>
            </c:dLbl>
            <c:dLbl>
              <c:idx val="2"/>
              <c:layout>
                <c:manualLayout>
                  <c:x val="1.7987633501967398E-2"/>
                  <c:y val="0.1479597353701574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09-AD42-A71D-1A1216EAF0C9}"/>
                </c:ext>
              </c:extLst>
            </c:dLbl>
            <c:dLbl>
              <c:idx val="3"/>
              <c:layout>
                <c:manualLayout>
                  <c:x val="3.1926214969847377E-2"/>
                  <c:y val="-7.06021390255409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09-AD42-A71D-1A1216EAF0C9}"/>
                </c:ext>
              </c:extLst>
            </c:dLbl>
            <c:dLbl>
              <c:idx val="4"/>
              <c:layout>
                <c:manualLayout>
                  <c:x val="1.4189521981976446E-2"/>
                  <c:y val="-2.81561587129629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09-AD42-A71D-1A1216EAF0C9}"/>
                </c:ext>
              </c:extLst>
            </c:dLbl>
            <c:dLbl>
              <c:idx val="5"/>
              <c:layout>
                <c:manualLayout>
                  <c:x val="1.4973200019474799E-2"/>
                  <c:y val="-4.77315101529911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09-AD42-A71D-1A1216EAF0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Hoja1!$D$2:$D$7</c:f>
              <c:numCache>
                <c:formatCode>0%</c:formatCode>
                <c:ptCount val="6"/>
                <c:pt idx="0">
                  <c:v>0.43</c:v>
                </c:pt>
                <c:pt idx="1">
                  <c:v>0.27</c:v>
                </c:pt>
                <c:pt idx="3" formatCode="0.0%">
                  <c:v>2.3E-2</c:v>
                </c:pt>
                <c:pt idx="4" formatCode="0.0%">
                  <c:v>0.18</c:v>
                </c:pt>
                <c:pt idx="5" formatCode="0.0%">
                  <c:v>0.16700000000000001</c:v>
                </c:pt>
              </c:numCache>
            </c:numRef>
          </c:val>
          <c:extLst>
            <c:ext xmlns:c16="http://schemas.microsoft.com/office/drawing/2014/chart" uri="{C3380CC4-5D6E-409C-BE32-E72D297353CC}">
              <c16:uniqueId val="{00000014-8B09-AD42-A71D-1A1216EAF0C9}"/>
            </c:ext>
          </c:extLst>
        </c:ser>
        <c:dLbls>
          <c:dLblPos val="ctr"/>
          <c:showLegendKey val="0"/>
          <c:showVal val="1"/>
          <c:showCatName val="0"/>
          <c:showSerName val="0"/>
          <c:showPercent val="0"/>
          <c:showBubbleSize val="0"/>
        </c:dLbls>
        <c:gapWidth val="164"/>
        <c:overlap val="-22"/>
        <c:axId val="205167296"/>
        <c:axId val="191710704"/>
      </c:barChart>
      <c:catAx>
        <c:axId val="2051672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1710704"/>
        <c:crosses val="autoZero"/>
        <c:auto val="1"/>
        <c:lblAlgn val="ctr"/>
        <c:lblOffset val="100"/>
        <c:noMultiLvlLbl val="0"/>
      </c:catAx>
      <c:valAx>
        <c:axId val="1917107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5167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20" baseline="0">
                <a:solidFill>
                  <a:schemeClr val="tx1"/>
                </a:solidFill>
                <a:latin typeface="+mn-lt"/>
                <a:ea typeface="+mn-ea"/>
                <a:cs typeface="+mn-cs"/>
              </a:defRPr>
            </a:pPr>
            <a:r>
              <a:rPr lang="es-ES_tradnl" sz="900" b="1">
                <a:solidFill>
                  <a:schemeClr val="tx1"/>
                </a:solidFill>
                <a:latin typeface="Century Gothic" panose="020B0502020202020204" pitchFamily="34" charset="0"/>
              </a:rPr>
              <a:t>MUJERES BENEFICIADAS CON LA INICIATIVA POR RANGO ETARIO Y REGIONAL </a:t>
            </a:r>
          </a:p>
        </c:rich>
      </c:tx>
      <c:layout>
        <c:manualLayout>
          <c:xMode val="edge"/>
          <c:yMode val="edge"/>
          <c:x val="0.14385122975404918"/>
          <c:y val="4.6635576282478344E-2"/>
        </c:manualLayout>
      </c:layout>
      <c:overlay val="0"/>
      <c:spPr>
        <a:noFill/>
        <a:ln>
          <a:noFill/>
        </a:ln>
        <a:effectLst/>
      </c:spPr>
    </c:title>
    <c:autoTitleDeleted val="0"/>
    <c:plotArea>
      <c:layout>
        <c:manualLayout>
          <c:layoutTarget val="inner"/>
          <c:xMode val="edge"/>
          <c:yMode val="edge"/>
          <c:x val="0"/>
          <c:y val="0.31970444900250222"/>
          <c:w val="1"/>
          <c:h val="0.36029995750864258"/>
        </c:manualLayout>
      </c:layout>
      <c:barChart>
        <c:barDir val="col"/>
        <c:grouping val="clustered"/>
        <c:varyColors val="0"/>
        <c:ser>
          <c:idx val="0"/>
          <c:order val="0"/>
          <c:tx>
            <c:strRef>
              <c:f>Hoja1!$B$1</c:f>
              <c:strCache>
                <c:ptCount val="1"/>
                <c:pt idx="0">
                  <c:v>Nacional</c:v>
                </c:pt>
              </c:strCache>
            </c:strRef>
          </c:tx>
          <c:spPr>
            <a:solidFill>
              <a:schemeClr val="accent5">
                <a:lumMod val="60000"/>
                <a:lumOff val="40000"/>
              </a:schemeClr>
            </a:solidFill>
            <a:ln w="9525" cap="flat" cmpd="sng" algn="ctr">
              <a:solidFill>
                <a:schemeClr val="tx1"/>
              </a:solidFill>
              <a:round/>
            </a:ln>
            <a:effectLst/>
          </c:spPr>
          <c:invertIfNegative val="0"/>
          <c:dLbls>
            <c:dLbl>
              <c:idx val="0"/>
              <c:layout>
                <c:manualLayout>
                  <c:x val="-1.9120458891013384E-3"/>
                  <c:y val="1.42541910083819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AB-AC4A-ACD4-95405E728FAA}"/>
                </c:ext>
              </c:extLst>
            </c:dLbl>
            <c:dLbl>
              <c:idx val="1"/>
              <c:layout>
                <c:manualLayout>
                  <c:x val="-7.044458830791642E-4"/>
                  <c:y val="1.48291846583693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AB-AC4A-ACD4-95405E728FAA}"/>
                </c:ext>
              </c:extLst>
            </c:dLbl>
            <c:dLbl>
              <c:idx val="2"/>
              <c:layout>
                <c:manualLayout>
                  <c:x val="-3.5229821893678203E-4"/>
                  <c:y val="2.00263525527051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AB-AC4A-ACD4-95405E728FAA}"/>
                </c:ext>
              </c:extLst>
            </c:dLbl>
            <c:dLbl>
              <c:idx val="3"/>
              <c:layout>
                <c:manualLayout>
                  <c:x val="-9.057376432152482E-4"/>
                  <c:y val="2.15230505461010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AB-AC4A-ACD4-95405E728FAA}"/>
                </c:ext>
              </c:extLst>
            </c:dLbl>
            <c:dLbl>
              <c:idx val="4"/>
              <c:layout>
                <c:manualLayout>
                  <c:x val="0"/>
                  <c:y val="1.7639382778765558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F5AB-AC4A-ACD4-95405E728FAA}"/>
                </c:ext>
              </c:extLst>
            </c:dLbl>
            <c:dLbl>
              <c:idx val="5"/>
              <c:layout>
                <c:manualLayout>
                  <c:x val="-2.364839433311824E-3"/>
                  <c:y val="4.4283718567437132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5.3919829726853497E-2"/>
                      <c:h val="0.10996586390994045"/>
                    </c:manualLayout>
                  </c15:layout>
                </c:ext>
                <c:ext xmlns:c16="http://schemas.microsoft.com/office/drawing/2014/chart" uri="{C3380CC4-5D6E-409C-BE32-E72D297353CC}">
                  <c16:uniqueId val="{00000005-F5AB-AC4A-ACD4-95405E728FAA}"/>
                </c:ext>
              </c:extLst>
            </c:dLbl>
            <c:dLbl>
              <c:idx val="6"/>
              <c:layout>
                <c:manualLayout>
                  <c:x val="-1.4021507875754332E-16"/>
                  <c:y val="1.11776098552197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AB-AC4A-ACD4-95405E728FAA}"/>
                </c:ext>
              </c:extLst>
            </c:dLbl>
            <c:dLbl>
              <c:idx val="7"/>
              <c:layout>
                <c:manualLayout>
                  <c:x val="-1.4021507875754332E-16"/>
                  <c:y val="1.12541275082550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AB-AC4A-ACD4-95405E728FA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18 - 24</c:v>
                </c:pt>
                <c:pt idx="1">
                  <c:v>25 - 29</c:v>
                </c:pt>
                <c:pt idx="2">
                  <c:v>30 - 34</c:v>
                </c:pt>
                <c:pt idx="3">
                  <c:v>35 - 39</c:v>
                </c:pt>
                <c:pt idx="4">
                  <c:v>40 - 44</c:v>
                </c:pt>
                <c:pt idx="5">
                  <c:v>45 - 49</c:v>
                </c:pt>
                <c:pt idx="6">
                  <c:v>50 - 54</c:v>
                </c:pt>
              </c:strCache>
            </c:strRef>
          </c:cat>
          <c:val>
            <c:numRef>
              <c:f>Hoja1!$B$2:$B$8</c:f>
              <c:numCache>
                <c:formatCode>#,##0</c:formatCode>
                <c:ptCount val="7"/>
                <c:pt idx="0">
                  <c:v>843</c:v>
                </c:pt>
                <c:pt idx="1">
                  <c:v>1373</c:v>
                </c:pt>
                <c:pt idx="2">
                  <c:v>1188</c:v>
                </c:pt>
                <c:pt idx="3">
                  <c:v>1106</c:v>
                </c:pt>
                <c:pt idx="4" formatCode="General">
                  <c:v>811</c:v>
                </c:pt>
                <c:pt idx="5" formatCode="General">
                  <c:v>581</c:v>
                </c:pt>
                <c:pt idx="6" formatCode="General">
                  <c:v>359</c:v>
                </c:pt>
              </c:numCache>
            </c:numRef>
          </c:val>
          <c:extLst>
            <c:ext xmlns:c16="http://schemas.microsoft.com/office/drawing/2014/chart" uri="{C3380CC4-5D6E-409C-BE32-E72D297353CC}">
              <c16:uniqueId val="{00000008-F5AB-AC4A-ACD4-95405E728FAA}"/>
            </c:ext>
          </c:extLst>
        </c:ser>
        <c:dLbls>
          <c:dLblPos val="ctr"/>
          <c:showLegendKey val="0"/>
          <c:showVal val="1"/>
          <c:showCatName val="0"/>
          <c:showSerName val="0"/>
          <c:showPercent val="0"/>
          <c:showBubbleSize val="0"/>
        </c:dLbls>
        <c:gapWidth val="150"/>
        <c:axId val="205167296"/>
        <c:axId val="191710704"/>
      </c:barChart>
      <c:catAx>
        <c:axId val="2051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Century Gothic" panose="020B0502020202020204" pitchFamily="34" charset="0"/>
                <a:ea typeface="+mn-ea"/>
                <a:cs typeface="+mn-cs"/>
              </a:defRPr>
            </a:pPr>
            <a:endParaRPr lang="es-CO"/>
          </a:p>
        </c:txPr>
        <c:crossAx val="191710704"/>
        <c:crosses val="autoZero"/>
        <c:auto val="1"/>
        <c:lblAlgn val="ctr"/>
        <c:lblOffset val="100"/>
        <c:noMultiLvlLbl val="0"/>
      </c:catAx>
      <c:valAx>
        <c:axId val="191710704"/>
        <c:scaling>
          <c:orientation val="minMax"/>
        </c:scaling>
        <c:delete val="1"/>
        <c:axPos val="l"/>
        <c:numFmt formatCode="#,##0" sourceLinked="1"/>
        <c:majorTickMark val="none"/>
        <c:minorTickMark val="none"/>
        <c:tickLblPos val="nextTo"/>
        <c:crossAx val="205167296"/>
        <c:crosses val="autoZero"/>
        <c:crossBetween val="between"/>
      </c:valAx>
      <c:spPr>
        <a:noFill/>
        <a:ln>
          <a:noFill/>
        </a:ln>
        <a:effectLst/>
      </c:spPr>
    </c:plotArea>
    <c:legend>
      <c:legendPos val="b"/>
      <c:layout>
        <c:manualLayout>
          <c:xMode val="edge"/>
          <c:yMode val="edge"/>
          <c:x val="0.18368708317628932"/>
          <c:y val="0.82153075131372433"/>
          <c:w val="0.64464249949929908"/>
          <c:h val="0.1370518304589089"/>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8230183987676792E-2"/>
          <c:w val="0.89019685039370078"/>
          <c:h val="0.66191541102049423"/>
        </c:manualLayout>
      </c:layout>
      <c:barChart>
        <c:barDir val="col"/>
        <c:grouping val="clustered"/>
        <c:varyColors val="0"/>
        <c:ser>
          <c:idx val="0"/>
          <c:order val="0"/>
          <c:tx>
            <c:strRef>
              <c:f>Hoja1!$C$1</c:f>
              <c:strCache>
                <c:ptCount val="1"/>
                <c:pt idx="0">
                  <c:v>Regional Central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Hoja1!$C$2:$C$8</c:f>
              <c:numCache>
                <c:formatCode>General</c:formatCode>
                <c:ptCount val="7"/>
                <c:pt idx="0">
                  <c:v>280</c:v>
                </c:pt>
                <c:pt idx="1">
                  <c:v>492</c:v>
                </c:pt>
                <c:pt idx="2">
                  <c:v>405</c:v>
                </c:pt>
                <c:pt idx="3">
                  <c:v>363</c:v>
                </c:pt>
                <c:pt idx="4">
                  <c:v>262</c:v>
                </c:pt>
                <c:pt idx="5">
                  <c:v>201</c:v>
                </c:pt>
                <c:pt idx="6">
                  <c:v>108</c:v>
                </c:pt>
              </c:numCache>
            </c:numRef>
          </c:val>
          <c:extLst>
            <c:ext xmlns:c16="http://schemas.microsoft.com/office/drawing/2014/chart" uri="{C3380CC4-5D6E-409C-BE32-E72D297353CC}">
              <c16:uniqueId val="{00000000-E3D4-ED44-9658-BD28FEF01F9D}"/>
            </c:ext>
          </c:extLst>
        </c:ser>
        <c:ser>
          <c:idx val="1"/>
          <c:order val="1"/>
          <c:tx>
            <c:strRef>
              <c:f>Hoja1!$D$1</c:f>
              <c:strCache>
                <c:ptCount val="1"/>
                <c:pt idx="0">
                  <c:v>Regional Occidente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Hoja1!$D$2:$D$8</c:f>
              <c:numCache>
                <c:formatCode>General</c:formatCode>
                <c:ptCount val="7"/>
                <c:pt idx="0">
                  <c:v>158</c:v>
                </c:pt>
                <c:pt idx="1">
                  <c:v>268</c:v>
                </c:pt>
                <c:pt idx="2">
                  <c:v>247</c:v>
                </c:pt>
                <c:pt idx="3">
                  <c:v>200</c:v>
                </c:pt>
                <c:pt idx="4">
                  <c:v>163</c:v>
                </c:pt>
                <c:pt idx="5">
                  <c:v>124</c:v>
                </c:pt>
                <c:pt idx="6">
                  <c:v>83</c:v>
                </c:pt>
              </c:numCache>
            </c:numRef>
          </c:val>
          <c:extLst>
            <c:ext xmlns:c16="http://schemas.microsoft.com/office/drawing/2014/chart" uri="{C3380CC4-5D6E-409C-BE32-E72D297353CC}">
              <c16:uniqueId val="{00000001-E3D4-ED44-9658-BD28FEF01F9D}"/>
            </c:ext>
          </c:extLst>
        </c:ser>
        <c:ser>
          <c:idx val="2"/>
          <c:order val="2"/>
          <c:tx>
            <c:strRef>
              <c:f>Hoja1!$E$1</c:f>
              <c:strCache>
                <c:ptCount val="1"/>
                <c:pt idx="0">
                  <c:v>Regional Norte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Hoja1!$E$2:$E$8</c:f>
              <c:numCache>
                <c:formatCode>General</c:formatCode>
                <c:ptCount val="7"/>
                <c:pt idx="0">
                  <c:v>13</c:v>
                </c:pt>
                <c:pt idx="1">
                  <c:v>48</c:v>
                </c:pt>
                <c:pt idx="2">
                  <c:v>42</c:v>
                </c:pt>
                <c:pt idx="3">
                  <c:v>51</c:v>
                </c:pt>
                <c:pt idx="4">
                  <c:v>23</c:v>
                </c:pt>
                <c:pt idx="5">
                  <c:v>31</c:v>
                </c:pt>
                <c:pt idx="6">
                  <c:v>14</c:v>
                </c:pt>
              </c:numCache>
            </c:numRef>
          </c:val>
          <c:extLst>
            <c:ext xmlns:c16="http://schemas.microsoft.com/office/drawing/2014/chart" uri="{C3380CC4-5D6E-409C-BE32-E72D297353CC}">
              <c16:uniqueId val="{00000002-E3D4-ED44-9658-BD28FEF01F9D}"/>
            </c:ext>
          </c:extLst>
        </c:ser>
        <c:ser>
          <c:idx val="3"/>
          <c:order val="3"/>
          <c:tx>
            <c:strRef>
              <c:f>Hoja1!$F$1</c:f>
              <c:strCache>
                <c:ptCount val="1"/>
                <c:pt idx="0">
                  <c:v>Regional Oriente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Hoja1!$F$2:$F$8</c:f>
              <c:numCache>
                <c:formatCode>General</c:formatCode>
                <c:ptCount val="7"/>
                <c:pt idx="0">
                  <c:v>85</c:v>
                </c:pt>
                <c:pt idx="1">
                  <c:v>114</c:v>
                </c:pt>
                <c:pt idx="2">
                  <c:v>121</c:v>
                </c:pt>
                <c:pt idx="3">
                  <c:v>110</c:v>
                </c:pt>
                <c:pt idx="4">
                  <c:v>93</c:v>
                </c:pt>
                <c:pt idx="5">
                  <c:v>59</c:v>
                </c:pt>
                <c:pt idx="6">
                  <c:v>26</c:v>
                </c:pt>
              </c:numCache>
            </c:numRef>
          </c:val>
          <c:extLst>
            <c:ext xmlns:c16="http://schemas.microsoft.com/office/drawing/2014/chart" uri="{C3380CC4-5D6E-409C-BE32-E72D297353CC}">
              <c16:uniqueId val="{00000003-E3D4-ED44-9658-BD28FEF01F9D}"/>
            </c:ext>
          </c:extLst>
        </c:ser>
        <c:ser>
          <c:idx val="4"/>
          <c:order val="4"/>
          <c:tx>
            <c:strRef>
              <c:f>Hoja1!$G$1</c:f>
              <c:strCache>
                <c:ptCount val="1"/>
                <c:pt idx="0">
                  <c:v>Regional Noreste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Hoja1!$G$2:$G$8</c:f>
              <c:numCache>
                <c:formatCode>General</c:formatCode>
                <c:ptCount val="7"/>
                <c:pt idx="0">
                  <c:v>160</c:v>
                </c:pt>
                <c:pt idx="1">
                  <c:v>251</c:v>
                </c:pt>
                <c:pt idx="2">
                  <c:v>187</c:v>
                </c:pt>
                <c:pt idx="3">
                  <c:v>211</c:v>
                </c:pt>
                <c:pt idx="4">
                  <c:v>158</c:v>
                </c:pt>
                <c:pt idx="5">
                  <c:v>100</c:v>
                </c:pt>
                <c:pt idx="6">
                  <c:v>81</c:v>
                </c:pt>
              </c:numCache>
            </c:numRef>
          </c:val>
          <c:extLst>
            <c:ext xmlns:c16="http://schemas.microsoft.com/office/drawing/2014/chart" uri="{C3380CC4-5D6E-409C-BE32-E72D297353CC}">
              <c16:uniqueId val="{00000004-E3D4-ED44-9658-BD28FEF01F9D}"/>
            </c:ext>
          </c:extLst>
        </c:ser>
        <c:ser>
          <c:idx val="5"/>
          <c:order val="5"/>
          <c:tx>
            <c:strRef>
              <c:f>Hoja1!$H$1</c:f>
              <c:strCache>
                <c:ptCount val="1"/>
                <c:pt idx="0">
                  <c:v>Regional Viejo de Caldas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Hoja1!$H$2:$H$8</c:f>
              <c:numCache>
                <c:formatCode>General</c:formatCode>
                <c:ptCount val="7"/>
                <c:pt idx="0">
                  <c:v>97</c:v>
                </c:pt>
                <c:pt idx="1">
                  <c:v>225</c:v>
                </c:pt>
                <c:pt idx="2">
                  <c:v>197</c:v>
                </c:pt>
                <c:pt idx="3">
                  <c:v>182</c:v>
                </c:pt>
                <c:pt idx="4">
                  <c:v>137</c:v>
                </c:pt>
                <c:pt idx="5">
                  <c:v>91</c:v>
                </c:pt>
                <c:pt idx="6">
                  <c:v>73</c:v>
                </c:pt>
              </c:numCache>
            </c:numRef>
          </c:val>
          <c:extLst>
            <c:ext xmlns:c16="http://schemas.microsoft.com/office/drawing/2014/chart" uri="{C3380CC4-5D6E-409C-BE32-E72D297353CC}">
              <c16:uniqueId val="{00000005-E3D4-ED44-9658-BD28FEF01F9D}"/>
            </c:ext>
          </c:extLst>
        </c:ser>
        <c:dLbls>
          <c:dLblPos val="outEnd"/>
          <c:showLegendKey val="0"/>
          <c:showVal val="1"/>
          <c:showCatName val="0"/>
          <c:showSerName val="0"/>
          <c:showPercent val="0"/>
          <c:showBubbleSize val="0"/>
        </c:dLbls>
        <c:gapWidth val="444"/>
        <c:overlap val="-90"/>
        <c:axId val="1513952592"/>
        <c:axId val="1513953008"/>
      </c:barChart>
      <c:catAx>
        <c:axId val="1513952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513953008"/>
        <c:crosses val="autoZero"/>
        <c:auto val="1"/>
        <c:lblAlgn val="ctr"/>
        <c:lblOffset val="100"/>
        <c:noMultiLvlLbl val="0"/>
      </c:catAx>
      <c:valAx>
        <c:axId val="1513953008"/>
        <c:scaling>
          <c:orientation val="minMax"/>
        </c:scaling>
        <c:delete val="1"/>
        <c:axPos val="l"/>
        <c:numFmt formatCode="General" sourceLinked="1"/>
        <c:majorTickMark val="none"/>
        <c:minorTickMark val="none"/>
        <c:tickLblPos val="nextTo"/>
        <c:crossAx val="1513952592"/>
        <c:crosses val="autoZero"/>
        <c:crossBetween val="between"/>
      </c:valAx>
      <c:spPr>
        <a:noFill/>
        <a:ln w="25400">
          <a:noFill/>
        </a:ln>
        <a:effectLst/>
      </c:spPr>
    </c:plotArea>
    <c:legend>
      <c:legendPos val="t"/>
      <c:layout>
        <c:manualLayout>
          <c:xMode val="edge"/>
          <c:yMode val="edge"/>
          <c:x val="0.14542531041792853"/>
          <c:y val="0.83641573699960015"/>
          <c:w val="0.71395707147183529"/>
          <c:h val="0.1129605471820400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a:t>
            </a:r>
            <a:r>
              <a:rPr lang="es-AR" sz="1100" baseline="0">
                <a:effectLst/>
                <a:latin typeface="Century Gothic" panose="020B0502020202020204" pitchFamily="34" charset="0"/>
              </a:rPr>
              <a:t> PARA MUJER </a:t>
            </a:r>
            <a:r>
              <a:rPr lang="es-AR" sz="1100">
                <a:effectLst/>
                <a:latin typeface="Century Gothic" panose="020B0502020202020204" pitchFamily="34" charset="0"/>
              </a:rPr>
              <a:t>estimado por</a:t>
            </a:r>
            <a:r>
              <a:rPr lang="es-AR" sz="1100" baseline="0">
                <a:effectLst/>
                <a:latin typeface="Century Gothic" panose="020B0502020202020204" pitchFamily="34" charset="0"/>
              </a:rPr>
              <a:t> el cojam jamundi </a:t>
            </a:r>
            <a:r>
              <a:rPr lang="es-AR" sz="900" baseline="0">
                <a:effectLst/>
                <a:latin typeface="Century Gothic" panose="020B0502020202020204" pitchFamily="34" charset="0"/>
              </a:rPr>
              <a:t>(1.072 mujereS RECLUSAs)</a:t>
            </a:r>
            <a:endParaRPr lang="es-AR" sz="900"/>
          </a:p>
        </c:rich>
      </c:tx>
      <c:layout>
        <c:manualLayout>
          <c:xMode val="edge"/>
          <c:yMode val="edge"/>
          <c:x val="0.13341167648161628"/>
          <c:y val="3.262642740619901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5160492298607821"/>
          <c:w val="0.94822311132031067"/>
          <c:h val="0.41847629898698191"/>
        </c:manualLayout>
      </c:layout>
      <c:barChart>
        <c:barDir val="col"/>
        <c:grouping val="stacked"/>
        <c:varyColors val="0"/>
        <c:ser>
          <c:idx val="0"/>
          <c:order val="0"/>
          <c:tx>
            <c:strRef>
              <c:f>Hoja1!$B$1</c:f>
              <c:strCache>
                <c:ptCount val="1"/>
                <c:pt idx="0">
                  <c:v>Columna2</c:v>
                </c:pt>
              </c:strCache>
            </c:strRef>
          </c:tx>
          <c:spPr>
            <a:solidFill>
              <a:srgbClr val="C00000"/>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c:ext xmlns:c16="http://schemas.microsoft.com/office/drawing/2014/chart" uri="{C3380CC4-5D6E-409C-BE32-E72D297353CC}">
                <c16:uniqueId val="{00000000-F45B-9643-96C3-CC79D69E93C3}"/>
              </c:ext>
            </c:extLst>
          </c:dPt>
          <c:dPt>
            <c:idx val="1"/>
            <c:invertIfNegative val="0"/>
            <c:bubble3D val="0"/>
            <c:extLst>
              <c:ext xmlns:c16="http://schemas.microsoft.com/office/drawing/2014/chart" uri="{C3380CC4-5D6E-409C-BE32-E72D297353CC}">
                <c16:uniqueId val="{00000001-F45B-9643-96C3-CC79D69E93C3}"/>
              </c:ext>
            </c:extLst>
          </c:dPt>
          <c:dPt>
            <c:idx val="2"/>
            <c:invertIfNegative val="0"/>
            <c:bubble3D val="0"/>
            <c:extLst>
              <c:ext xmlns:c16="http://schemas.microsoft.com/office/drawing/2014/chart" uri="{C3380CC4-5D6E-409C-BE32-E72D297353CC}">
                <c16:uniqueId val="{00000002-F45B-9643-96C3-CC79D69E93C3}"/>
              </c:ext>
            </c:extLst>
          </c:dPt>
          <c:dPt>
            <c:idx val="3"/>
            <c:invertIfNegative val="0"/>
            <c:bubble3D val="0"/>
            <c:extLst>
              <c:ext xmlns:c16="http://schemas.microsoft.com/office/drawing/2014/chart" uri="{C3380CC4-5D6E-409C-BE32-E72D297353CC}">
                <c16:uniqueId val="{00000003-F45B-9643-96C3-CC79D69E93C3}"/>
              </c:ext>
            </c:extLst>
          </c:dPt>
          <c:dPt>
            <c:idx val="4"/>
            <c:invertIfNegative val="0"/>
            <c:bubble3D val="0"/>
            <c:extLst>
              <c:ext xmlns:c16="http://schemas.microsoft.com/office/drawing/2014/chart" uri="{C3380CC4-5D6E-409C-BE32-E72D297353CC}">
                <c16:uniqueId val="{00000004-F45B-9643-96C3-CC79D69E93C3}"/>
              </c:ext>
            </c:extLst>
          </c:dPt>
          <c:dPt>
            <c:idx val="5"/>
            <c:invertIfNegative val="0"/>
            <c:bubble3D val="0"/>
            <c:extLst>
              <c:ext xmlns:c16="http://schemas.microsoft.com/office/drawing/2014/chart" uri="{C3380CC4-5D6E-409C-BE32-E72D297353CC}">
                <c16:uniqueId val="{00000005-F45B-9643-96C3-CC79D69E93C3}"/>
              </c:ext>
            </c:extLst>
          </c:dPt>
          <c:dPt>
            <c:idx val="6"/>
            <c:invertIfNegative val="0"/>
            <c:bubble3D val="0"/>
            <c:extLst>
              <c:ext xmlns:c16="http://schemas.microsoft.com/office/drawing/2014/chart" uri="{C3380CC4-5D6E-409C-BE32-E72D297353CC}">
                <c16:uniqueId val="{00000006-F45B-9643-96C3-CC79D69E93C3}"/>
              </c:ext>
            </c:extLst>
          </c:dPt>
          <c:dLbls>
            <c:dLbl>
              <c:idx val="0"/>
              <c:layout>
                <c:manualLayout>
                  <c:x val="-1.0270656329158986E-17"/>
                  <c:y val="-9.07821229050279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5B-9643-96C3-CC79D69E93C3}"/>
                </c:ext>
              </c:extLst>
            </c:dLbl>
            <c:dLbl>
              <c:idx val="1"/>
              <c:layout>
                <c:manualLayout>
                  <c:x val="2.3534949399858789E-3"/>
                  <c:y val="-5.64857776881179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5B-9643-96C3-CC79D69E93C3}"/>
                </c:ext>
              </c:extLst>
            </c:dLbl>
            <c:dLbl>
              <c:idx val="2"/>
              <c:layout>
                <c:manualLayout>
                  <c:x val="0"/>
                  <c:y val="-8.37988826815642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5B-9643-96C3-CC79D69E93C3}"/>
                </c:ext>
              </c:extLst>
            </c:dLbl>
            <c:dLbl>
              <c:idx val="3"/>
              <c:layout>
                <c:manualLayout>
                  <c:x val="-2.2408963585434172E-3"/>
                  <c:y val="-7.68156424581005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5B-9643-96C3-CC79D69E93C3}"/>
                </c:ext>
              </c:extLst>
            </c:dLbl>
            <c:dLbl>
              <c:idx val="4"/>
              <c:layout>
                <c:manualLayout>
                  <c:x val="0"/>
                  <c:y val="-6.16522811344019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5B-9643-96C3-CC79D69E93C3}"/>
                </c:ext>
              </c:extLst>
            </c:dLbl>
            <c:dLbl>
              <c:idx val="5"/>
              <c:layout>
                <c:manualLayout>
                  <c:x val="0"/>
                  <c:y val="-7.68156424581005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5B-9643-96C3-CC79D69E93C3}"/>
                </c:ext>
              </c:extLst>
            </c:dLbl>
            <c:dLbl>
              <c:idx val="6"/>
              <c:layout>
                <c:manualLayout>
                  <c:x val="0"/>
                  <c:y val="-0.1117318435754190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5B-9643-96C3-CC79D69E93C3}"/>
                </c:ext>
              </c:extLst>
            </c:dLbl>
            <c:dLbl>
              <c:idx val="7"/>
              <c:layout>
                <c:manualLayout>
                  <c:x val="2.2408963585432528E-3"/>
                  <c:y val="-0.258379888268156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5B-9643-96C3-CC79D69E93C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4200</c:v>
                </c:pt>
                <c:pt idx="1">
                  <c:v>2200</c:v>
                </c:pt>
                <c:pt idx="2">
                  <c:v>4300</c:v>
                </c:pt>
                <c:pt idx="3">
                  <c:v>2200</c:v>
                </c:pt>
                <c:pt idx="4">
                  <c:v>1600</c:v>
                </c:pt>
                <c:pt idx="5">
                  <c:v>1300</c:v>
                </c:pt>
                <c:pt idx="6">
                  <c:v>7000</c:v>
                </c:pt>
                <c:pt idx="7">
                  <c:v>22800</c:v>
                </c:pt>
              </c:numCache>
            </c:numRef>
          </c:val>
          <c:extLst>
            <c:ext xmlns:c16="http://schemas.microsoft.com/office/drawing/2014/chart" uri="{C3380CC4-5D6E-409C-BE32-E72D297353CC}">
              <c16:uniqueId val="{00000008-F45B-9643-96C3-CC79D69E93C3}"/>
            </c:ext>
          </c:extLst>
        </c:ser>
        <c:dLbls>
          <c:dLblPos val="ctr"/>
          <c:showLegendKey val="0"/>
          <c:showVal val="1"/>
          <c:showCatName val="0"/>
          <c:showSerName val="0"/>
          <c:showPercent val="0"/>
          <c:showBubbleSize val="0"/>
        </c:dLbls>
        <c:gapWidth val="79"/>
        <c:overlap val="100"/>
        <c:axId val="167118080"/>
        <c:axId val="133819824"/>
      </c:barChart>
      <c:catAx>
        <c:axId val="1671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33819824"/>
        <c:crosses val="autoZero"/>
        <c:auto val="1"/>
        <c:lblAlgn val="ctr"/>
        <c:lblOffset val="100"/>
        <c:noMultiLvlLbl val="0"/>
      </c:catAx>
      <c:valAx>
        <c:axId val="133819824"/>
        <c:scaling>
          <c:orientation val="minMax"/>
        </c:scaling>
        <c:delete val="1"/>
        <c:axPos val="l"/>
        <c:numFmt formatCode="_(&quot;$&quot;\ * #,##0_);_(&quot;$&quot;\ * \(#,##0\);_(&quot;$&quot;\ * &quot;-&quot;??_);_(@_)" sourceLinked="1"/>
        <c:majorTickMark val="none"/>
        <c:minorTickMark val="none"/>
        <c:tickLblPos val="nextTo"/>
        <c:crossAx val="16711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 PARA MUJER estimado por</a:t>
            </a:r>
            <a:r>
              <a:rPr lang="es-AR" sz="1100" baseline="0">
                <a:effectLst/>
                <a:latin typeface="Century Gothic" panose="020B0502020202020204" pitchFamily="34" charset="0"/>
              </a:rPr>
              <a:t> el EPMSC FLORENCIA </a:t>
            </a:r>
            <a:r>
              <a:rPr lang="es-AR" sz="900" b="1" i="0" u="none" strike="noStrike" cap="all" normalizeH="0" baseline="0">
                <a:effectLst/>
                <a:latin typeface="Century Gothic" panose="020B0502020202020204" pitchFamily="34" charset="0"/>
              </a:rPr>
              <a:t>(58 mujeres RECLUSAS)</a:t>
            </a:r>
            <a:r>
              <a:rPr lang="es-AR" sz="900" b="1" i="0" u="none" strike="noStrike" cap="all" normalizeH="0" baseline="0">
                <a:latin typeface="Century Gothic" panose="020B0502020202020204" pitchFamily="34" charset="0"/>
              </a:rPr>
              <a:t> </a:t>
            </a:r>
            <a:endParaRPr lang="es-AR" sz="9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0299376640419945"/>
          <c:w val="0.94822311132031067"/>
          <c:h val="0.47067093175853025"/>
        </c:manualLayout>
      </c:layout>
      <c:barChart>
        <c:barDir val="col"/>
        <c:grouping val="stacked"/>
        <c:varyColors val="0"/>
        <c:ser>
          <c:idx val="0"/>
          <c:order val="0"/>
          <c:tx>
            <c:strRef>
              <c:f>Hoja1!$B$1</c:f>
              <c:strCache>
                <c:ptCount val="1"/>
                <c:pt idx="0">
                  <c:v>Columna2</c:v>
                </c:pt>
              </c:strCache>
            </c:strRef>
          </c:tx>
          <c:spPr>
            <a:solidFill>
              <a:schemeClr val="accent4"/>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c:ext xmlns:c16="http://schemas.microsoft.com/office/drawing/2014/chart" uri="{C3380CC4-5D6E-409C-BE32-E72D297353CC}">
                <c16:uniqueId val="{00000000-FBCA-1443-B7E5-3C69A9AED7B5}"/>
              </c:ext>
            </c:extLst>
          </c:dPt>
          <c:dPt>
            <c:idx val="1"/>
            <c:invertIfNegative val="0"/>
            <c:bubble3D val="0"/>
            <c:extLst>
              <c:ext xmlns:c16="http://schemas.microsoft.com/office/drawing/2014/chart" uri="{C3380CC4-5D6E-409C-BE32-E72D297353CC}">
                <c16:uniqueId val="{00000001-FBCA-1443-B7E5-3C69A9AED7B5}"/>
              </c:ext>
            </c:extLst>
          </c:dPt>
          <c:dPt>
            <c:idx val="2"/>
            <c:invertIfNegative val="0"/>
            <c:bubble3D val="0"/>
            <c:extLst>
              <c:ext xmlns:c16="http://schemas.microsoft.com/office/drawing/2014/chart" uri="{C3380CC4-5D6E-409C-BE32-E72D297353CC}">
                <c16:uniqueId val="{00000002-FBCA-1443-B7E5-3C69A9AED7B5}"/>
              </c:ext>
            </c:extLst>
          </c:dPt>
          <c:dPt>
            <c:idx val="3"/>
            <c:invertIfNegative val="0"/>
            <c:bubble3D val="0"/>
            <c:extLst>
              <c:ext xmlns:c16="http://schemas.microsoft.com/office/drawing/2014/chart" uri="{C3380CC4-5D6E-409C-BE32-E72D297353CC}">
                <c16:uniqueId val="{00000003-FBCA-1443-B7E5-3C69A9AED7B5}"/>
              </c:ext>
            </c:extLst>
          </c:dPt>
          <c:dPt>
            <c:idx val="4"/>
            <c:invertIfNegative val="0"/>
            <c:bubble3D val="0"/>
            <c:extLst>
              <c:ext xmlns:c16="http://schemas.microsoft.com/office/drawing/2014/chart" uri="{C3380CC4-5D6E-409C-BE32-E72D297353CC}">
                <c16:uniqueId val="{00000004-FBCA-1443-B7E5-3C69A9AED7B5}"/>
              </c:ext>
            </c:extLst>
          </c:dPt>
          <c:dPt>
            <c:idx val="5"/>
            <c:invertIfNegative val="0"/>
            <c:bubble3D val="0"/>
            <c:extLst>
              <c:ext xmlns:c16="http://schemas.microsoft.com/office/drawing/2014/chart" uri="{C3380CC4-5D6E-409C-BE32-E72D297353CC}">
                <c16:uniqueId val="{00000005-FBCA-1443-B7E5-3C69A9AED7B5}"/>
              </c:ext>
            </c:extLst>
          </c:dPt>
          <c:dPt>
            <c:idx val="6"/>
            <c:invertIfNegative val="0"/>
            <c:bubble3D val="0"/>
            <c:extLst>
              <c:ext xmlns:c16="http://schemas.microsoft.com/office/drawing/2014/chart" uri="{C3380CC4-5D6E-409C-BE32-E72D297353CC}">
                <c16:uniqueId val="{00000006-FBCA-1443-B7E5-3C69A9AED7B5}"/>
              </c:ext>
            </c:extLst>
          </c:dPt>
          <c:dLbls>
            <c:dLbl>
              <c:idx val="0"/>
              <c:layout>
                <c:manualLayout>
                  <c:x val="-1.0270656329158986E-17"/>
                  <c:y val="-9.07821229050279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CA-1443-B7E5-3C69A9AED7B5}"/>
                </c:ext>
              </c:extLst>
            </c:dLbl>
            <c:dLbl>
              <c:idx val="1"/>
              <c:layout>
                <c:manualLayout>
                  <c:x val="2.3534949399858789E-3"/>
                  <c:y val="-5.64857776881179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CA-1443-B7E5-3C69A9AED7B5}"/>
                </c:ext>
              </c:extLst>
            </c:dLbl>
            <c:dLbl>
              <c:idx val="2"/>
              <c:layout>
                <c:manualLayout>
                  <c:x val="0"/>
                  <c:y val="-8.37988826815642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CA-1443-B7E5-3C69A9AED7B5}"/>
                </c:ext>
              </c:extLst>
            </c:dLbl>
            <c:dLbl>
              <c:idx val="3"/>
              <c:layout>
                <c:manualLayout>
                  <c:x val="-2.2408963585434172E-3"/>
                  <c:y val="-7.68156424581005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CA-1443-B7E5-3C69A9AED7B5}"/>
                </c:ext>
              </c:extLst>
            </c:dLbl>
            <c:dLbl>
              <c:idx val="4"/>
              <c:layout>
                <c:manualLayout>
                  <c:x val="0"/>
                  <c:y val="-6.16522811344019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CA-1443-B7E5-3C69A9AED7B5}"/>
                </c:ext>
              </c:extLst>
            </c:dLbl>
            <c:dLbl>
              <c:idx val="5"/>
              <c:layout>
                <c:manualLayout>
                  <c:x val="0"/>
                  <c:y val="-7.68156424581005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CA-1443-B7E5-3C69A9AED7B5}"/>
                </c:ext>
              </c:extLst>
            </c:dLbl>
            <c:dLbl>
              <c:idx val="6"/>
              <c:layout>
                <c:manualLayout>
                  <c:x val="0"/>
                  <c:y val="-0.1117318435754190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CA-1443-B7E5-3C69A9AED7B5}"/>
                </c:ext>
              </c:extLst>
            </c:dLbl>
            <c:dLbl>
              <c:idx val="7"/>
              <c:layout>
                <c:manualLayout>
                  <c:x val="2.2408963585432528E-3"/>
                  <c:y val="-0.258379888268156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CA-1443-B7E5-3C69A9AED7B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1282</c:v>
                </c:pt>
                <c:pt idx="1">
                  <c:v>896</c:v>
                </c:pt>
                <c:pt idx="2">
                  <c:v>2959</c:v>
                </c:pt>
                <c:pt idx="3">
                  <c:v>1056</c:v>
                </c:pt>
                <c:pt idx="4">
                  <c:v>381</c:v>
                </c:pt>
                <c:pt idx="5">
                  <c:v>640</c:v>
                </c:pt>
                <c:pt idx="6">
                  <c:v>815</c:v>
                </c:pt>
                <c:pt idx="7">
                  <c:v>9692</c:v>
                </c:pt>
              </c:numCache>
            </c:numRef>
          </c:val>
          <c:extLst>
            <c:ext xmlns:c16="http://schemas.microsoft.com/office/drawing/2014/chart" uri="{C3380CC4-5D6E-409C-BE32-E72D297353CC}">
              <c16:uniqueId val="{00000008-FBCA-1443-B7E5-3C69A9AED7B5}"/>
            </c:ext>
          </c:extLst>
        </c:ser>
        <c:dLbls>
          <c:dLblPos val="ctr"/>
          <c:showLegendKey val="0"/>
          <c:showVal val="1"/>
          <c:showCatName val="0"/>
          <c:showSerName val="0"/>
          <c:showPercent val="0"/>
          <c:showBubbleSize val="0"/>
        </c:dLbls>
        <c:gapWidth val="79"/>
        <c:overlap val="100"/>
        <c:axId val="167118080"/>
        <c:axId val="133819824"/>
      </c:barChart>
      <c:catAx>
        <c:axId val="1671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33819824"/>
        <c:crosses val="autoZero"/>
        <c:auto val="1"/>
        <c:lblAlgn val="ctr"/>
        <c:lblOffset val="100"/>
        <c:noMultiLvlLbl val="0"/>
      </c:catAx>
      <c:valAx>
        <c:axId val="133819824"/>
        <c:scaling>
          <c:orientation val="minMax"/>
        </c:scaling>
        <c:delete val="1"/>
        <c:axPos val="l"/>
        <c:numFmt formatCode="_(&quot;$&quot;\ * #,##0_);_(&quot;$&quot;\ * \(#,##0\);_(&quot;$&quot;\ * &quot;-&quot;??_);_(@_)" sourceLinked="1"/>
        <c:majorTickMark val="none"/>
        <c:minorTickMark val="none"/>
        <c:tickLblPos val="nextTo"/>
        <c:crossAx val="16711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 PARA MUJER estimado por</a:t>
            </a:r>
            <a:r>
              <a:rPr lang="es-AR" sz="1100" baseline="0">
                <a:effectLst/>
                <a:latin typeface="Century Gothic" panose="020B0502020202020204" pitchFamily="34" charset="0"/>
              </a:rPr>
              <a:t> el EPMSC ipiales </a:t>
            </a:r>
            <a:r>
              <a:rPr lang="es-AR" sz="900" baseline="0">
                <a:effectLst/>
                <a:latin typeface="Century Gothic" panose="020B0502020202020204" pitchFamily="34" charset="0"/>
              </a:rPr>
              <a:t>(18 mujeres RECLUSAS)</a:t>
            </a:r>
            <a:endParaRPr lang="es-AR" sz="9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5160492298607821"/>
          <c:w val="0.94822311132031067"/>
          <c:h val="0.4220598909074913"/>
        </c:manualLayout>
      </c:layout>
      <c:barChart>
        <c:barDir val="col"/>
        <c:grouping val="stacked"/>
        <c:varyColors val="0"/>
        <c:ser>
          <c:idx val="0"/>
          <c:order val="0"/>
          <c:tx>
            <c:strRef>
              <c:f>Hoja1!$B$1</c:f>
              <c:strCache>
                <c:ptCount val="1"/>
                <c:pt idx="0">
                  <c:v>Columna2</c:v>
                </c:pt>
              </c:strCache>
            </c:strRef>
          </c:tx>
          <c:spPr>
            <a:solidFill>
              <a:schemeClr val="accent6">
                <a:lumMod val="75000"/>
              </a:schemeClr>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c:ext xmlns:c16="http://schemas.microsoft.com/office/drawing/2014/chart" uri="{C3380CC4-5D6E-409C-BE32-E72D297353CC}">
                <c16:uniqueId val="{00000000-7181-334A-AEA1-2F798D8985BE}"/>
              </c:ext>
            </c:extLst>
          </c:dPt>
          <c:dPt>
            <c:idx val="1"/>
            <c:invertIfNegative val="0"/>
            <c:bubble3D val="0"/>
            <c:extLst>
              <c:ext xmlns:c16="http://schemas.microsoft.com/office/drawing/2014/chart" uri="{C3380CC4-5D6E-409C-BE32-E72D297353CC}">
                <c16:uniqueId val="{00000001-7181-334A-AEA1-2F798D8985BE}"/>
              </c:ext>
            </c:extLst>
          </c:dPt>
          <c:dPt>
            <c:idx val="2"/>
            <c:invertIfNegative val="0"/>
            <c:bubble3D val="0"/>
            <c:extLst>
              <c:ext xmlns:c16="http://schemas.microsoft.com/office/drawing/2014/chart" uri="{C3380CC4-5D6E-409C-BE32-E72D297353CC}">
                <c16:uniqueId val="{00000002-7181-334A-AEA1-2F798D8985BE}"/>
              </c:ext>
            </c:extLst>
          </c:dPt>
          <c:dPt>
            <c:idx val="3"/>
            <c:invertIfNegative val="0"/>
            <c:bubble3D val="0"/>
            <c:extLst>
              <c:ext xmlns:c16="http://schemas.microsoft.com/office/drawing/2014/chart" uri="{C3380CC4-5D6E-409C-BE32-E72D297353CC}">
                <c16:uniqueId val="{00000003-7181-334A-AEA1-2F798D8985BE}"/>
              </c:ext>
            </c:extLst>
          </c:dPt>
          <c:dPt>
            <c:idx val="4"/>
            <c:invertIfNegative val="0"/>
            <c:bubble3D val="0"/>
            <c:extLst>
              <c:ext xmlns:c16="http://schemas.microsoft.com/office/drawing/2014/chart" uri="{C3380CC4-5D6E-409C-BE32-E72D297353CC}">
                <c16:uniqueId val="{00000004-7181-334A-AEA1-2F798D8985BE}"/>
              </c:ext>
            </c:extLst>
          </c:dPt>
          <c:dPt>
            <c:idx val="5"/>
            <c:invertIfNegative val="0"/>
            <c:bubble3D val="0"/>
            <c:extLst>
              <c:ext xmlns:c16="http://schemas.microsoft.com/office/drawing/2014/chart" uri="{C3380CC4-5D6E-409C-BE32-E72D297353CC}">
                <c16:uniqueId val="{00000005-7181-334A-AEA1-2F798D8985BE}"/>
              </c:ext>
            </c:extLst>
          </c:dPt>
          <c:dPt>
            <c:idx val="6"/>
            <c:invertIfNegative val="0"/>
            <c:bubble3D val="0"/>
            <c:extLst>
              <c:ext xmlns:c16="http://schemas.microsoft.com/office/drawing/2014/chart" uri="{C3380CC4-5D6E-409C-BE32-E72D297353CC}">
                <c16:uniqueId val="{00000006-7181-334A-AEA1-2F798D8985BE}"/>
              </c:ext>
            </c:extLst>
          </c:dPt>
          <c:dLbls>
            <c:dLbl>
              <c:idx val="0"/>
              <c:layout>
                <c:manualLayout>
                  <c:x val="-1.0270656329158986E-17"/>
                  <c:y val="-9.07821229050279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81-334A-AEA1-2F798D8985BE}"/>
                </c:ext>
              </c:extLst>
            </c:dLbl>
            <c:dLbl>
              <c:idx val="1"/>
              <c:layout>
                <c:manualLayout>
                  <c:x val="2.3534949399858789E-3"/>
                  <c:y val="-5.648577768811795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81-334A-AEA1-2F798D8985BE}"/>
                </c:ext>
              </c:extLst>
            </c:dLbl>
            <c:dLbl>
              <c:idx val="2"/>
              <c:layout>
                <c:manualLayout>
                  <c:x val="0"/>
                  <c:y val="-8.37988826815642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81-334A-AEA1-2F798D8985BE}"/>
                </c:ext>
              </c:extLst>
            </c:dLbl>
            <c:dLbl>
              <c:idx val="3"/>
              <c:layout>
                <c:manualLayout>
                  <c:x val="-2.2408963585434172E-3"/>
                  <c:y val="-7.68156424581005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81-334A-AEA1-2F798D8985BE}"/>
                </c:ext>
              </c:extLst>
            </c:dLbl>
            <c:dLbl>
              <c:idx val="4"/>
              <c:layout>
                <c:manualLayout>
                  <c:x val="0"/>
                  <c:y val="-6.16522811344019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81-334A-AEA1-2F798D8985BE}"/>
                </c:ext>
              </c:extLst>
            </c:dLbl>
            <c:dLbl>
              <c:idx val="5"/>
              <c:layout>
                <c:manualLayout>
                  <c:x val="0"/>
                  <c:y val="-7.68156424581005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81-334A-AEA1-2F798D8985BE}"/>
                </c:ext>
              </c:extLst>
            </c:dLbl>
            <c:dLbl>
              <c:idx val="6"/>
              <c:layout>
                <c:manualLayout>
                  <c:x val="0"/>
                  <c:y val="-0.1117318435754190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81-334A-AEA1-2F798D8985BE}"/>
                </c:ext>
              </c:extLst>
            </c:dLbl>
            <c:dLbl>
              <c:idx val="7"/>
              <c:layout>
                <c:manualLayout>
                  <c:x val="2.2408963585432528E-3"/>
                  <c:y val="-0.258379888268156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81-334A-AEA1-2F798D8985B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2000</c:v>
                </c:pt>
                <c:pt idx="1">
                  <c:v>2500</c:v>
                </c:pt>
                <c:pt idx="2">
                  <c:v>4000</c:v>
                </c:pt>
                <c:pt idx="3">
                  <c:v>2800</c:v>
                </c:pt>
                <c:pt idx="4">
                  <c:v>800</c:v>
                </c:pt>
                <c:pt idx="5">
                  <c:v>1800</c:v>
                </c:pt>
                <c:pt idx="6">
                  <c:v>2500</c:v>
                </c:pt>
                <c:pt idx="7">
                  <c:v>16400</c:v>
                </c:pt>
              </c:numCache>
            </c:numRef>
          </c:val>
          <c:extLst>
            <c:ext xmlns:c16="http://schemas.microsoft.com/office/drawing/2014/chart" uri="{C3380CC4-5D6E-409C-BE32-E72D297353CC}">
              <c16:uniqueId val="{00000008-7181-334A-AEA1-2F798D8985BE}"/>
            </c:ext>
          </c:extLst>
        </c:ser>
        <c:dLbls>
          <c:dLblPos val="ctr"/>
          <c:showLegendKey val="0"/>
          <c:showVal val="1"/>
          <c:showCatName val="0"/>
          <c:showSerName val="0"/>
          <c:showPercent val="0"/>
          <c:showBubbleSize val="0"/>
        </c:dLbls>
        <c:gapWidth val="79"/>
        <c:overlap val="100"/>
        <c:axId val="167118080"/>
        <c:axId val="133819824"/>
      </c:barChart>
      <c:catAx>
        <c:axId val="1671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33819824"/>
        <c:crosses val="autoZero"/>
        <c:auto val="1"/>
        <c:lblAlgn val="ctr"/>
        <c:lblOffset val="100"/>
        <c:noMultiLvlLbl val="0"/>
      </c:catAx>
      <c:valAx>
        <c:axId val="133819824"/>
        <c:scaling>
          <c:orientation val="minMax"/>
        </c:scaling>
        <c:delete val="1"/>
        <c:axPos val="l"/>
        <c:numFmt formatCode="_(&quot;$&quot;\ * #,##0_);_(&quot;$&quot;\ * \(#,##0\);_(&quot;$&quot;\ * &quot;-&quot;??_);_(@_)" sourceLinked="1"/>
        <c:majorTickMark val="none"/>
        <c:minorTickMark val="none"/>
        <c:tickLblPos val="nextTo"/>
        <c:crossAx val="16711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C96C-93E7-B84B-BA6B-66708BBA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50</Pages>
  <Words>14750</Words>
  <Characters>81125</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Laura Silva</cp:lastModifiedBy>
  <cp:revision>8</cp:revision>
  <cp:lastPrinted>2019-06-13T20:05:00Z</cp:lastPrinted>
  <dcterms:created xsi:type="dcterms:W3CDTF">2021-11-03T02:00:00Z</dcterms:created>
  <dcterms:modified xsi:type="dcterms:W3CDTF">2021-11-03T14:31:00Z</dcterms:modified>
</cp:coreProperties>
</file>