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5B1AA" w14:textId="77777777" w:rsidR="0036009C" w:rsidRPr="0036009C" w:rsidRDefault="0036009C" w:rsidP="0036009C">
      <w:pPr>
        <w:rPr>
          <w:b/>
          <w:sz w:val="24"/>
          <w:szCs w:val="24"/>
        </w:rPr>
      </w:pPr>
    </w:p>
    <w:p w14:paraId="543DAD1C" w14:textId="77777777" w:rsidR="0036009C" w:rsidRPr="0036009C" w:rsidRDefault="0036009C" w:rsidP="0036009C">
      <w:pPr>
        <w:jc w:val="right"/>
        <w:rPr>
          <w:b/>
          <w:sz w:val="24"/>
          <w:szCs w:val="24"/>
        </w:rPr>
      </w:pPr>
    </w:p>
    <w:p w14:paraId="5D26E9CE" w14:textId="2F54B3E0" w:rsidR="0036009C" w:rsidRPr="0036009C" w:rsidRDefault="0036009C" w:rsidP="0036009C">
      <w:pPr>
        <w:jc w:val="right"/>
        <w:rPr>
          <w:b/>
          <w:sz w:val="24"/>
          <w:szCs w:val="24"/>
        </w:rPr>
      </w:pPr>
      <w:r w:rsidRPr="0036009C">
        <w:rPr>
          <w:b/>
          <w:sz w:val="24"/>
          <w:szCs w:val="24"/>
        </w:rPr>
        <w:t>Bogotá, Agosto 1</w:t>
      </w:r>
      <w:r w:rsidR="005E2FF3">
        <w:rPr>
          <w:b/>
          <w:sz w:val="24"/>
          <w:szCs w:val="24"/>
        </w:rPr>
        <w:t>8</w:t>
      </w:r>
      <w:r w:rsidRPr="0036009C">
        <w:rPr>
          <w:b/>
          <w:sz w:val="24"/>
          <w:szCs w:val="24"/>
        </w:rPr>
        <w:t xml:space="preserve"> de 2021</w:t>
      </w:r>
    </w:p>
    <w:p w14:paraId="38E46D7C" w14:textId="77777777" w:rsidR="0036009C" w:rsidRPr="0036009C" w:rsidRDefault="0036009C" w:rsidP="0036009C">
      <w:pPr>
        <w:jc w:val="right"/>
        <w:rPr>
          <w:b/>
          <w:sz w:val="24"/>
          <w:szCs w:val="24"/>
        </w:rPr>
      </w:pPr>
    </w:p>
    <w:p w14:paraId="2E490C3C" w14:textId="77777777" w:rsidR="0036009C" w:rsidRPr="0036009C" w:rsidRDefault="0036009C" w:rsidP="0036009C">
      <w:pPr>
        <w:jc w:val="right"/>
        <w:rPr>
          <w:b/>
          <w:sz w:val="24"/>
          <w:szCs w:val="24"/>
        </w:rPr>
      </w:pPr>
    </w:p>
    <w:p w14:paraId="436719A3" w14:textId="77777777" w:rsidR="0036009C" w:rsidRPr="0036009C" w:rsidRDefault="0036009C" w:rsidP="0036009C">
      <w:pPr>
        <w:rPr>
          <w:sz w:val="24"/>
          <w:szCs w:val="24"/>
        </w:rPr>
      </w:pPr>
      <w:r w:rsidRPr="0036009C">
        <w:rPr>
          <w:sz w:val="24"/>
          <w:szCs w:val="24"/>
        </w:rPr>
        <w:t>Representante</w:t>
      </w:r>
    </w:p>
    <w:p w14:paraId="654F52C3" w14:textId="77777777" w:rsidR="0036009C" w:rsidRPr="0036009C" w:rsidRDefault="0036009C" w:rsidP="0036009C">
      <w:pPr>
        <w:rPr>
          <w:b/>
          <w:sz w:val="24"/>
          <w:szCs w:val="24"/>
        </w:rPr>
      </w:pPr>
      <w:r w:rsidRPr="0036009C">
        <w:rPr>
          <w:b/>
          <w:sz w:val="24"/>
          <w:szCs w:val="24"/>
        </w:rPr>
        <w:t>JULIO CESAR TRIANA</w:t>
      </w:r>
    </w:p>
    <w:p w14:paraId="2F26E6CC" w14:textId="77777777" w:rsidR="0036009C" w:rsidRPr="0036009C" w:rsidRDefault="0036009C" w:rsidP="0036009C">
      <w:pPr>
        <w:rPr>
          <w:sz w:val="24"/>
          <w:szCs w:val="24"/>
        </w:rPr>
      </w:pPr>
      <w:r w:rsidRPr="0036009C">
        <w:rPr>
          <w:sz w:val="24"/>
          <w:szCs w:val="24"/>
        </w:rPr>
        <w:t>Presidente Comisión Primera</w:t>
      </w:r>
    </w:p>
    <w:p w14:paraId="0270DF6E" w14:textId="77777777" w:rsidR="0036009C" w:rsidRPr="0036009C" w:rsidRDefault="0036009C" w:rsidP="0036009C">
      <w:pPr>
        <w:rPr>
          <w:sz w:val="24"/>
          <w:szCs w:val="24"/>
        </w:rPr>
      </w:pPr>
      <w:r w:rsidRPr="0036009C">
        <w:rPr>
          <w:sz w:val="24"/>
          <w:szCs w:val="24"/>
        </w:rPr>
        <w:t>Cámara de Representantes</w:t>
      </w:r>
    </w:p>
    <w:p w14:paraId="3F381EBB" w14:textId="77777777" w:rsidR="0036009C" w:rsidRPr="0036009C" w:rsidRDefault="0036009C" w:rsidP="0036009C">
      <w:pPr>
        <w:rPr>
          <w:sz w:val="24"/>
          <w:szCs w:val="24"/>
        </w:rPr>
      </w:pPr>
    </w:p>
    <w:p w14:paraId="66FFC65F" w14:textId="5EA3CE69" w:rsidR="0036009C" w:rsidRDefault="0036009C" w:rsidP="0036009C">
      <w:pPr>
        <w:spacing w:after="120"/>
        <w:ind w:right="49"/>
        <w:jc w:val="right"/>
        <w:rPr>
          <w:color w:val="000000"/>
          <w:sz w:val="24"/>
          <w:szCs w:val="24"/>
        </w:rPr>
      </w:pPr>
      <w:r w:rsidRPr="0036009C">
        <w:rPr>
          <w:b/>
          <w:color w:val="000000"/>
          <w:sz w:val="24"/>
          <w:szCs w:val="24"/>
        </w:rPr>
        <w:t xml:space="preserve">Asunto: </w:t>
      </w:r>
      <w:r w:rsidRPr="0036009C">
        <w:rPr>
          <w:color w:val="000000"/>
          <w:sz w:val="24"/>
          <w:szCs w:val="24"/>
        </w:rPr>
        <w:t>Ponencia positiva para primer debate del Proyecto de ley N° 00</w:t>
      </w:r>
      <w:r w:rsidR="00560D82">
        <w:rPr>
          <w:color w:val="000000"/>
          <w:sz w:val="24"/>
          <w:szCs w:val="24"/>
        </w:rPr>
        <w:t>8</w:t>
      </w:r>
      <w:r w:rsidRPr="0036009C">
        <w:rPr>
          <w:color w:val="000000"/>
          <w:sz w:val="24"/>
          <w:szCs w:val="24"/>
        </w:rPr>
        <w:t xml:space="preserve"> de 2021 Cámara.</w:t>
      </w:r>
    </w:p>
    <w:p w14:paraId="1D505B98" w14:textId="2ED6A0B3" w:rsidR="005E2FF3" w:rsidRDefault="005E2FF3" w:rsidP="0036009C">
      <w:pPr>
        <w:spacing w:after="120"/>
        <w:ind w:right="49"/>
        <w:jc w:val="right"/>
        <w:rPr>
          <w:color w:val="000000"/>
          <w:sz w:val="24"/>
          <w:szCs w:val="24"/>
        </w:rPr>
      </w:pPr>
    </w:p>
    <w:p w14:paraId="7ADFBBA1" w14:textId="77777777" w:rsidR="005E2FF3" w:rsidRPr="0036009C" w:rsidRDefault="005E2FF3" w:rsidP="0036009C">
      <w:pPr>
        <w:spacing w:after="120"/>
        <w:ind w:right="49"/>
        <w:jc w:val="right"/>
        <w:rPr>
          <w:color w:val="000000"/>
          <w:sz w:val="24"/>
          <w:szCs w:val="24"/>
        </w:rPr>
      </w:pPr>
    </w:p>
    <w:p w14:paraId="00000010" w14:textId="3845C5AD" w:rsidR="00FA794D" w:rsidRPr="0036009C" w:rsidRDefault="0036009C" w:rsidP="0036009C">
      <w:pPr>
        <w:jc w:val="both"/>
        <w:rPr>
          <w:b/>
          <w:i/>
          <w:color w:val="000000"/>
          <w:sz w:val="24"/>
          <w:szCs w:val="24"/>
        </w:rPr>
      </w:pPr>
      <w:r w:rsidRPr="0036009C">
        <w:rPr>
          <w:sz w:val="24"/>
          <w:szCs w:val="24"/>
        </w:rPr>
        <w:t>En cumplimiento del encargo recibido por parte de la honorable Mesa Directiva de la Comisión Primera de la Cámara de Representantes y de conformidad con lo establecido en el artículo 150 de la Ley 5ª de 1992, procedo a rendir Informe de Ponencia positiva para primer debate al Proyecto de Ley N° 00</w:t>
      </w:r>
      <w:r>
        <w:rPr>
          <w:sz w:val="24"/>
          <w:szCs w:val="24"/>
        </w:rPr>
        <w:t>8</w:t>
      </w:r>
      <w:r w:rsidRPr="0036009C">
        <w:rPr>
          <w:sz w:val="24"/>
          <w:szCs w:val="24"/>
        </w:rPr>
        <w:t xml:space="preserve"> de 2021 Cámara</w:t>
      </w:r>
      <w:r w:rsidR="009F509E" w:rsidRPr="0036009C">
        <w:rPr>
          <w:b/>
          <w:i/>
          <w:sz w:val="24"/>
          <w:szCs w:val="24"/>
        </w:rPr>
        <w:t xml:space="preserve"> </w:t>
      </w:r>
      <w:r w:rsidR="009F509E" w:rsidRPr="0036009C">
        <w:rPr>
          <w:b/>
          <w:i/>
          <w:color w:val="000000"/>
          <w:sz w:val="24"/>
          <w:szCs w:val="24"/>
        </w:rPr>
        <w:t>“Por medio de la cual se establecen principios y parámetros generales para la mejora de la calidad normativa en las entidades de la Rama Ejecutiva del nivel Nacional y Territorial”</w:t>
      </w:r>
    </w:p>
    <w:p w14:paraId="00000011" w14:textId="77777777" w:rsidR="00FA794D" w:rsidRDefault="00FA794D">
      <w:pPr>
        <w:jc w:val="both"/>
        <w:rPr>
          <w:i/>
          <w:color w:val="000000"/>
          <w:sz w:val="24"/>
          <w:szCs w:val="24"/>
        </w:rPr>
      </w:pPr>
    </w:p>
    <w:p w14:paraId="00000012" w14:textId="77777777" w:rsidR="00FA794D" w:rsidRDefault="00FA794D">
      <w:pPr>
        <w:rPr>
          <w:sz w:val="24"/>
          <w:szCs w:val="24"/>
        </w:rPr>
      </w:pPr>
    </w:p>
    <w:p w14:paraId="00000013" w14:textId="77777777" w:rsidR="00FA794D" w:rsidRDefault="00FA794D">
      <w:pPr>
        <w:rPr>
          <w:sz w:val="24"/>
          <w:szCs w:val="24"/>
        </w:rPr>
      </w:pPr>
    </w:p>
    <w:p w14:paraId="00000014" w14:textId="4FA9DF35" w:rsidR="00FA794D" w:rsidRDefault="009F509E">
      <w:pPr>
        <w:rPr>
          <w:sz w:val="24"/>
          <w:szCs w:val="24"/>
        </w:rPr>
      </w:pPr>
      <w:r>
        <w:rPr>
          <w:sz w:val="24"/>
          <w:szCs w:val="24"/>
        </w:rPr>
        <w:t xml:space="preserve">Atentamente, </w:t>
      </w:r>
    </w:p>
    <w:p w14:paraId="00000018" w14:textId="7BD09C51" w:rsidR="00FA794D" w:rsidRDefault="00FA794D">
      <w:pPr>
        <w:rPr>
          <w:sz w:val="24"/>
          <w:szCs w:val="24"/>
        </w:rPr>
      </w:pPr>
    </w:p>
    <w:p w14:paraId="00000019" w14:textId="2CEAE023" w:rsidR="00FA794D" w:rsidRDefault="00FA794D">
      <w:pPr>
        <w:rPr>
          <w:sz w:val="24"/>
          <w:szCs w:val="24"/>
        </w:rPr>
      </w:pPr>
    </w:p>
    <w:p w14:paraId="49A56778" w14:textId="77777777" w:rsidR="0036009C" w:rsidRDefault="0036009C">
      <w:pPr>
        <w:rPr>
          <w:sz w:val="24"/>
          <w:szCs w:val="24"/>
        </w:rPr>
      </w:pPr>
    </w:p>
    <w:p w14:paraId="0000001A" w14:textId="77777777" w:rsidR="00FA794D" w:rsidRDefault="00FA794D">
      <w:pPr>
        <w:rPr>
          <w:sz w:val="24"/>
          <w:szCs w:val="24"/>
        </w:rPr>
      </w:pPr>
    </w:p>
    <w:p w14:paraId="0000001B" w14:textId="77777777" w:rsidR="00FA794D" w:rsidRDefault="009F509E">
      <w:pPr>
        <w:jc w:val="both"/>
        <w:rPr>
          <w:b/>
          <w:sz w:val="24"/>
          <w:szCs w:val="24"/>
        </w:rPr>
      </w:pPr>
      <w:r>
        <w:rPr>
          <w:b/>
          <w:sz w:val="24"/>
          <w:szCs w:val="24"/>
        </w:rPr>
        <w:t>___________________________</w:t>
      </w:r>
    </w:p>
    <w:p w14:paraId="0000001C" w14:textId="77777777" w:rsidR="00FA794D" w:rsidRPr="008531D0" w:rsidRDefault="009F509E">
      <w:pPr>
        <w:jc w:val="both"/>
        <w:rPr>
          <w:b/>
          <w:sz w:val="24"/>
          <w:szCs w:val="24"/>
        </w:rPr>
      </w:pPr>
      <w:r>
        <w:rPr>
          <w:b/>
          <w:sz w:val="24"/>
          <w:szCs w:val="24"/>
        </w:rPr>
        <w:t xml:space="preserve">JUAN FERNANDO REYES </w:t>
      </w:r>
      <w:r w:rsidRPr="008531D0">
        <w:rPr>
          <w:b/>
          <w:sz w:val="24"/>
          <w:szCs w:val="24"/>
        </w:rPr>
        <w:t>KURI</w:t>
      </w:r>
    </w:p>
    <w:p w14:paraId="0000001D" w14:textId="77777777" w:rsidR="00FA794D" w:rsidRPr="008531D0" w:rsidRDefault="009F509E">
      <w:pPr>
        <w:jc w:val="both"/>
        <w:rPr>
          <w:sz w:val="24"/>
          <w:szCs w:val="24"/>
        </w:rPr>
      </w:pPr>
      <w:r w:rsidRPr="008531D0">
        <w:rPr>
          <w:sz w:val="24"/>
          <w:szCs w:val="24"/>
        </w:rPr>
        <w:t>Representante a la Cámara por el Valle del Cauca</w:t>
      </w:r>
    </w:p>
    <w:p w14:paraId="0000001E" w14:textId="77777777" w:rsidR="00FA794D" w:rsidRPr="008531D0" w:rsidRDefault="009F509E">
      <w:pPr>
        <w:jc w:val="both"/>
        <w:rPr>
          <w:sz w:val="24"/>
          <w:szCs w:val="24"/>
        </w:rPr>
      </w:pPr>
      <w:r w:rsidRPr="008531D0">
        <w:rPr>
          <w:sz w:val="24"/>
          <w:szCs w:val="24"/>
        </w:rPr>
        <w:t>Partido Liberal</w:t>
      </w:r>
    </w:p>
    <w:p w14:paraId="00000023" w14:textId="77777777" w:rsidR="00FA794D" w:rsidRPr="008531D0" w:rsidRDefault="00FA794D">
      <w:pPr>
        <w:spacing w:line="240" w:lineRule="auto"/>
        <w:jc w:val="center"/>
        <w:rPr>
          <w:rFonts w:eastAsia="Bookman Old Style"/>
          <w:b/>
          <w:color w:val="0D0D0D"/>
          <w:sz w:val="24"/>
          <w:szCs w:val="24"/>
        </w:rPr>
      </w:pPr>
    </w:p>
    <w:p w14:paraId="00000081" w14:textId="77777777" w:rsidR="00FA794D" w:rsidRPr="008531D0" w:rsidRDefault="00FA794D" w:rsidP="008531D0">
      <w:pPr>
        <w:pBdr>
          <w:top w:val="nil"/>
          <w:left w:val="nil"/>
          <w:bottom w:val="nil"/>
          <w:right w:val="nil"/>
          <w:between w:val="nil"/>
        </w:pBdr>
        <w:rPr>
          <w:b/>
          <w:sz w:val="24"/>
          <w:szCs w:val="24"/>
        </w:rPr>
      </w:pPr>
    </w:p>
    <w:p w14:paraId="00000098" w14:textId="77777777" w:rsidR="00FA794D" w:rsidRDefault="00FA794D" w:rsidP="008531D0">
      <w:pPr>
        <w:pBdr>
          <w:top w:val="nil"/>
          <w:left w:val="nil"/>
          <w:bottom w:val="nil"/>
          <w:right w:val="nil"/>
          <w:between w:val="nil"/>
        </w:pBdr>
        <w:rPr>
          <w:b/>
          <w:sz w:val="24"/>
          <w:szCs w:val="24"/>
        </w:rPr>
      </w:pPr>
    </w:p>
    <w:p w14:paraId="00000099" w14:textId="77777777" w:rsidR="00FA794D" w:rsidRDefault="00FA794D">
      <w:pPr>
        <w:pBdr>
          <w:top w:val="nil"/>
          <w:left w:val="nil"/>
          <w:bottom w:val="nil"/>
          <w:right w:val="nil"/>
          <w:between w:val="nil"/>
        </w:pBdr>
        <w:ind w:left="400"/>
        <w:jc w:val="center"/>
        <w:rPr>
          <w:b/>
          <w:sz w:val="24"/>
          <w:szCs w:val="24"/>
        </w:rPr>
      </w:pPr>
    </w:p>
    <w:p w14:paraId="6AFFA436" w14:textId="77777777" w:rsidR="008531D0" w:rsidRDefault="008531D0">
      <w:pPr>
        <w:rPr>
          <w:b/>
          <w:sz w:val="24"/>
          <w:szCs w:val="24"/>
        </w:rPr>
      </w:pPr>
    </w:p>
    <w:p w14:paraId="0000016E" w14:textId="33A676B3" w:rsidR="00FA794D" w:rsidRPr="0036009C" w:rsidRDefault="0036009C">
      <w:pPr>
        <w:jc w:val="center"/>
        <w:rPr>
          <w:b/>
          <w:i/>
          <w:color w:val="000000"/>
          <w:sz w:val="24"/>
          <w:szCs w:val="24"/>
        </w:rPr>
      </w:pPr>
      <w:r w:rsidRPr="0036009C">
        <w:rPr>
          <w:b/>
          <w:sz w:val="24"/>
          <w:szCs w:val="24"/>
        </w:rPr>
        <w:lastRenderedPageBreak/>
        <w:t xml:space="preserve">PONENCIA PARA PRIMER DEBATE DEL PROYECTO DE LEY N° 008 DE 2021  CÁMARA </w:t>
      </w:r>
      <w:r w:rsidR="009F509E" w:rsidRPr="0036009C">
        <w:rPr>
          <w:b/>
          <w:i/>
          <w:color w:val="000000"/>
          <w:sz w:val="24"/>
          <w:szCs w:val="24"/>
        </w:rPr>
        <w:t>“Por medio de la cual se establecen principios y parámetros generales para la mejora de la calidad normativa en las entidades de la Rama Ejecutiva del nivel Nacional y Territorial”</w:t>
      </w:r>
    </w:p>
    <w:p w14:paraId="0000016F" w14:textId="77777777" w:rsidR="00FA794D" w:rsidRPr="0036009C" w:rsidRDefault="00FA794D">
      <w:pPr>
        <w:rPr>
          <w:b/>
          <w:sz w:val="24"/>
          <w:szCs w:val="24"/>
        </w:rPr>
      </w:pPr>
    </w:p>
    <w:p w14:paraId="00000170" w14:textId="77777777" w:rsidR="00FA794D" w:rsidRPr="0036009C" w:rsidRDefault="00FA794D">
      <w:pPr>
        <w:jc w:val="both"/>
        <w:rPr>
          <w:i/>
          <w:color w:val="000000"/>
          <w:sz w:val="24"/>
          <w:szCs w:val="24"/>
        </w:rPr>
      </w:pPr>
    </w:p>
    <w:p w14:paraId="00000171" w14:textId="120FF8AD" w:rsidR="00FA794D" w:rsidRPr="0036009C" w:rsidRDefault="009F509E">
      <w:pPr>
        <w:pBdr>
          <w:top w:val="nil"/>
          <w:left w:val="nil"/>
          <w:bottom w:val="nil"/>
          <w:right w:val="nil"/>
          <w:between w:val="nil"/>
        </w:pBdr>
        <w:spacing w:line="240" w:lineRule="auto"/>
        <w:jc w:val="both"/>
        <w:rPr>
          <w:color w:val="000000"/>
          <w:sz w:val="24"/>
          <w:szCs w:val="24"/>
        </w:rPr>
      </w:pPr>
      <w:r w:rsidRPr="0036009C">
        <w:rPr>
          <w:color w:val="000000"/>
          <w:sz w:val="24"/>
          <w:szCs w:val="24"/>
        </w:rPr>
        <w:t xml:space="preserve">El presente Informe está compuesto por </w:t>
      </w:r>
      <w:r w:rsidR="00A41A39">
        <w:rPr>
          <w:sz w:val="24"/>
          <w:szCs w:val="24"/>
        </w:rPr>
        <w:t>ocho</w:t>
      </w:r>
      <w:r w:rsidRPr="0036009C">
        <w:rPr>
          <w:color w:val="000000"/>
          <w:sz w:val="24"/>
          <w:szCs w:val="24"/>
        </w:rPr>
        <w:t xml:space="preserve"> (</w:t>
      </w:r>
      <w:r w:rsidR="005E2FF3">
        <w:rPr>
          <w:sz w:val="24"/>
          <w:szCs w:val="24"/>
        </w:rPr>
        <w:t>8</w:t>
      </w:r>
      <w:r w:rsidRPr="0036009C">
        <w:rPr>
          <w:color w:val="000000"/>
          <w:sz w:val="24"/>
          <w:szCs w:val="24"/>
        </w:rPr>
        <w:t>) apartes:</w:t>
      </w:r>
    </w:p>
    <w:p w14:paraId="00000172" w14:textId="77777777" w:rsidR="00FA794D" w:rsidRPr="0036009C" w:rsidRDefault="009F509E">
      <w:pPr>
        <w:numPr>
          <w:ilvl w:val="0"/>
          <w:numId w:val="9"/>
        </w:numPr>
        <w:pBdr>
          <w:top w:val="nil"/>
          <w:left w:val="nil"/>
          <w:bottom w:val="nil"/>
          <w:right w:val="nil"/>
          <w:between w:val="nil"/>
        </w:pBdr>
        <w:spacing w:line="240" w:lineRule="auto"/>
        <w:jc w:val="both"/>
        <w:rPr>
          <w:color w:val="000000"/>
          <w:sz w:val="24"/>
          <w:szCs w:val="24"/>
        </w:rPr>
      </w:pPr>
      <w:r w:rsidRPr="0036009C">
        <w:rPr>
          <w:color w:val="000000"/>
          <w:sz w:val="24"/>
          <w:szCs w:val="24"/>
        </w:rPr>
        <w:t>Objeto</w:t>
      </w:r>
    </w:p>
    <w:p w14:paraId="00000173" w14:textId="3208C733" w:rsidR="00FA794D" w:rsidRPr="0036009C" w:rsidRDefault="009F509E">
      <w:pPr>
        <w:numPr>
          <w:ilvl w:val="0"/>
          <w:numId w:val="9"/>
        </w:numPr>
        <w:pBdr>
          <w:top w:val="nil"/>
          <w:left w:val="nil"/>
          <w:bottom w:val="nil"/>
          <w:right w:val="nil"/>
          <w:between w:val="nil"/>
        </w:pBdr>
        <w:spacing w:line="240" w:lineRule="auto"/>
        <w:jc w:val="both"/>
        <w:rPr>
          <w:color w:val="000000"/>
          <w:sz w:val="24"/>
          <w:szCs w:val="24"/>
        </w:rPr>
      </w:pPr>
      <w:r w:rsidRPr="0036009C">
        <w:rPr>
          <w:color w:val="000000"/>
          <w:sz w:val="24"/>
          <w:szCs w:val="24"/>
        </w:rPr>
        <w:t>Problemas que pretende resolver el proyecto de ley</w:t>
      </w:r>
      <w:r w:rsidR="0036009C" w:rsidRPr="0036009C">
        <w:rPr>
          <w:color w:val="000000"/>
          <w:sz w:val="24"/>
          <w:szCs w:val="24"/>
        </w:rPr>
        <w:t>.</w:t>
      </w:r>
    </w:p>
    <w:p w14:paraId="00000174" w14:textId="4BD34FAC" w:rsidR="00FA794D" w:rsidRPr="0036009C" w:rsidRDefault="009F509E">
      <w:pPr>
        <w:numPr>
          <w:ilvl w:val="0"/>
          <w:numId w:val="9"/>
        </w:numPr>
        <w:pBdr>
          <w:top w:val="nil"/>
          <w:left w:val="nil"/>
          <w:bottom w:val="nil"/>
          <w:right w:val="nil"/>
          <w:between w:val="nil"/>
        </w:pBdr>
        <w:spacing w:line="240" w:lineRule="auto"/>
        <w:jc w:val="both"/>
        <w:rPr>
          <w:color w:val="000000"/>
          <w:sz w:val="24"/>
          <w:szCs w:val="24"/>
        </w:rPr>
      </w:pPr>
      <w:r w:rsidRPr="0036009C">
        <w:rPr>
          <w:color w:val="000000"/>
          <w:sz w:val="24"/>
          <w:szCs w:val="24"/>
        </w:rPr>
        <w:t>Cómo se resuelve el problema</w:t>
      </w:r>
      <w:r w:rsidR="0036009C" w:rsidRPr="0036009C">
        <w:rPr>
          <w:color w:val="000000"/>
          <w:sz w:val="24"/>
          <w:szCs w:val="24"/>
        </w:rPr>
        <w:t>.</w:t>
      </w:r>
    </w:p>
    <w:p w14:paraId="00000175" w14:textId="07187519" w:rsidR="00FA794D" w:rsidRPr="0036009C" w:rsidRDefault="009F509E">
      <w:pPr>
        <w:numPr>
          <w:ilvl w:val="0"/>
          <w:numId w:val="9"/>
        </w:numPr>
        <w:pBdr>
          <w:top w:val="nil"/>
          <w:left w:val="nil"/>
          <w:bottom w:val="nil"/>
          <w:right w:val="nil"/>
          <w:between w:val="nil"/>
        </w:pBdr>
        <w:spacing w:line="240" w:lineRule="auto"/>
        <w:jc w:val="both"/>
        <w:rPr>
          <w:color w:val="000000"/>
          <w:sz w:val="24"/>
          <w:szCs w:val="24"/>
        </w:rPr>
      </w:pPr>
      <w:r w:rsidRPr="0036009C">
        <w:rPr>
          <w:color w:val="000000"/>
          <w:sz w:val="24"/>
          <w:szCs w:val="24"/>
        </w:rPr>
        <w:t>Justificación del proyecto</w:t>
      </w:r>
      <w:r w:rsidR="0036009C" w:rsidRPr="0036009C">
        <w:rPr>
          <w:color w:val="000000"/>
          <w:sz w:val="24"/>
          <w:szCs w:val="24"/>
        </w:rPr>
        <w:t>.</w:t>
      </w:r>
    </w:p>
    <w:p w14:paraId="00000176" w14:textId="15CECB9E" w:rsidR="00FA794D" w:rsidRPr="0036009C" w:rsidRDefault="009F509E">
      <w:pPr>
        <w:numPr>
          <w:ilvl w:val="0"/>
          <w:numId w:val="9"/>
        </w:numPr>
        <w:pBdr>
          <w:top w:val="nil"/>
          <w:left w:val="nil"/>
          <w:bottom w:val="nil"/>
          <w:right w:val="nil"/>
          <w:between w:val="nil"/>
        </w:pBdr>
        <w:spacing w:line="240" w:lineRule="auto"/>
        <w:jc w:val="both"/>
        <w:rPr>
          <w:color w:val="000000"/>
          <w:sz w:val="24"/>
          <w:szCs w:val="24"/>
        </w:rPr>
      </w:pPr>
      <w:r w:rsidRPr="0036009C">
        <w:rPr>
          <w:color w:val="000000"/>
          <w:sz w:val="24"/>
          <w:szCs w:val="24"/>
        </w:rPr>
        <w:t>Conflicto de interés</w:t>
      </w:r>
      <w:r w:rsidR="0036009C" w:rsidRPr="0036009C">
        <w:rPr>
          <w:color w:val="000000"/>
          <w:sz w:val="24"/>
          <w:szCs w:val="24"/>
        </w:rPr>
        <w:t>.</w:t>
      </w:r>
    </w:p>
    <w:p w14:paraId="1F3D7667" w14:textId="77777777" w:rsidR="0036009C" w:rsidRPr="0036009C" w:rsidRDefault="0036009C" w:rsidP="0036009C">
      <w:pPr>
        <w:numPr>
          <w:ilvl w:val="0"/>
          <w:numId w:val="9"/>
        </w:numPr>
        <w:pBdr>
          <w:top w:val="nil"/>
          <w:left w:val="nil"/>
          <w:bottom w:val="nil"/>
          <w:right w:val="nil"/>
          <w:between w:val="nil"/>
        </w:pBdr>
        <w:spacing w:line="240" w:lineRule="auto"/>
        <w:ind w:right="115"/>
        <w:rPr>
          <w:color w:val="000000"/>
          <w:sz w:val="24"/>
          <w:szCs w:val="24"/>
        </w:rPr>
      </w:pPr>
      <w:r w:rsidRPr="0036009C">
        <w:rPr>
          <w:color w:val="000000"/>
          <w:sz w:val="24"/>
          <w:szCs w:val="24"/>
        </w:rPr>
        <w:t xml:space="preserve">Proposición </w:t>
      </w:r>
    </w:p>
    <w:p w14:paraId="396628F1" w14:textId="5A537958" w:rsidR="0036009C" w:rsidRPr="0036009C" w:rsidRDefault="0036009C" w:rsidP="0036009C">
      <w:pPr>
        <w:numPr>
          <w:ilvl w:val="0"/>
          <w:numId w:val="9"/>
        </w:numPr>
        <w:pBdr>
          <w:top w:val="nil"/>
          <w:left w:val="nil"/>
          <w:bottom w:val="nil"/>
          <w:right w:val="nil"/>
          <w:between w:val="nil"/>
        </w:pBdr>
        <w:spacing w:line="240" w:lineRule="auto"/>
        <w:ind w:right="115"/>
        <w:rPr>
          <w:color w:val="000000"/>
          <w:sz w:val="24"/>
          <w:szCs w:val="24"/>
        </w:rPr>
      </w:pPr>
      <w:r w:rsidRPr="0036009C">
        <w:rPr>
          <w:color w:val="000000"/>
          <w:sz w:val="24"/>
          <w:szCs w:val="24"/>
        </w:rPr>
        <w:t>Texto propuesto.</w:t>
      </w:r>
    </w:p>
    <w:p w14:paraId="00000177" w14:textId="77777777" w:rsidR="00FA794D" w:rsidRPr="0036009C" w:rsidRDefault="009F509E">
      <w:pPr>
        <w:numPr>
          <w:ilvl w:val="0"/>
          <w:numId w:val="9"/>
        </w:numPr>
        <w:pBdr>
          <w:top w:val="nil"/>
          <w:left w:val="nil"/>
          <w:bottom w:val="nil"/>
          <w:right w:val="nil"/>
          <w:between w:val="nil"/>
        </w:pBdr>
        <w:spacing w:line="240" w:lineRule="auto"/>
        <w:jc w:val="both"/>
        <w:rPr>
          <w:color w:val="000000"/>
          <w:sz w:val="24"/>
          <w:szCs w:val="24"/>
        </w:rPr>
      </w:pPr>
      <w:r w:rsidRPr="0036009C">
        <w:rPr>
          <w:color w:val="000000"/>
          <w:sz w:val="24"/>
          <w:szCs w:val="24"/>
        </w:rPr>
        <w:t xml:space="preserve">Referencias. </w:t>
      </w:r>
    </w:p>
    <w:p w14:paraId="00000178" w14:textId="77777777" w:rsidR="00FA794D" w:rsidRDefault="00FA794D">
      <w:pPr>
        <w:pBdr>
          <w:top w:val="nil"/>
          <w:left w:val="nil"/>
          <w:bottom w:val="nil"/>
          <w:right w:val="nil"/>
          <w:between w:val="nil"/>
        </w:pBdr>
        <w:rPr>
          <w:b/>
          <w:color w:val="000000"/>
          <w:sz w:val="24"/>
          <w:szCs w:val="24"/>
        </w:rPr>
      </w:pPr>
    </w:p>
    <w:p w14:paraId="00000179" w14:textId="77777777" w:rsidR="00FA794D" w:rsidRDefault="009F509E">
      <w:pPr>
        <w:numPr>
          <w:ilvl w:val="0"/>
          <w:numId w:val="10"/>
        </w:numPr>
        <w:pBdr>
          <w:top w:val="nil"/>
          <w:left w:val="nil"/>
          <w:bottom w:val="nil"/>
          <w:right w:val="nil"/>
          <w:between w:val="nil"/>
        </w:pBdr>
        <w:ind w:left="284"/>
        <w:jc w:val="center"/>
        <w:rPr>
          <w:b/>
          <w:color w:val="000000"/>
          <w:sz w:val="24"/>
          <w:szCs w:val="24"/>
        </w:rPr>
      </w:pPr>
      <w:r>
        <w:rPr>
          <w:b/>
          <w:color w:val="000000"/>
          <w:sz w:val="24"/>
          <w:szCs w:val="24"/>
        </w:rPr>
        <w:t xml:space="preserve">OBJETO. </w:t>
      </w:r>
    </w:p>
    <w:p w14:paraId="0000017A" w14:textId="77777777" w:rsidR="00FA794D" w:rsidRDefault="00FA794D">
      <w:pPr>
        <w:pBdr>
          <w:top w:val="nil"/>
          <w:left w:val="nil"/>
          <w:bottom w:val="nil"/>
          <w:right w:val="nil"/>
          <w:between w:val="nil"/>
        </w:pBdr>
        <w:ind w:left="284"/>
        <w:rPr>
          <w:b/>
          <w:color w:val="000000"/>
          <w:sz w:val="24"/>
          <w:szCs w:val="24"/>
        </w:rPr>
      </w:pPr>
    </w:p>
    <w:p w14:paraId="0000017B" w14:textId="77777777" w:rsidR="00FA794D" w:rsidRDefault="009F509E">
      <w:pPr>
        <w:jc w:val="both"/>
        <w:rPr>
          <w:color w:val="000000"/>
          <w:sz w:val="24"/>
          <w:szCs w:val="24"/>
        </w:rPr>
      </w:pPr>
      <w:r>
        <w:rPr>
          <w:color w:val="000000"/>
          <w:sz w:val="24"/>
          <w:szCs w:val="24"/>
        </w:rPr>
        <w:t>El presente Proyecto de Ley tiene como fin establecer principios y parámetros generales para la producción, modificación o derogación de actos administrativos de carácter general, con el fin de garantizar la mejora de la calidad normativa en las entidades de la Rama Ejecutiva del nivel nacional y territorial.</w:t>
      </w:r>
    </w:p>
    <w:p w14:paraId="0000017C" w14:textId="77777777" w:rsidR="00FA794D" w:rsidRDefault="00FA794D">
      <w:pPr>
        <w:jc w:val="both"/>
        <w:rPr>
          <w:sz w:val="24"/>
          <w:szCs w:val="24"/>
        </w:rPr>
      </w:pPr>
    </w:p>
    <w:p w14:paraId="0000017D" w14:textId="77777777" w:rsidR="00FA794D" w:rsidRDefault="009F509E">
      <w:pPr>
        <w:numPr>
          <w:ilvl w:val="0"/>
          <w:numId w:val="10"/>
        </w:numPr>
        <w:pBdr>
          <w:top w:val="nil"/>
          <w:left w:val="nil"/>
          <w:bottom w:val="nil"/>
          <w:right w:val="nil"/>
          <w:between w:val="nil"/>
        </w:pBdr>
        <w:ind w:left="284" w:hanging="720"/>
        <w:jc w:val="center"/>
        <w:rPr>
          <w:b/>
          <w:color w:val="000000"/>
          <w:sz w:val="24"/>
          <w:szCs w:val="24"/>
        </w:rPr>
      </w:pPr>
      <w:r>
        <w:rPr>
          <w:b/>
          <w:color w:val="000000"/>
          <w:sz w:val="24"/>
          <w:szCs w:val="24"/>
        </w:rPr>
        <w:t>PROBLEMA QUE SE PRETENDE SOLUCIONAR</w:t>
      </w:r>
    </w:p>
    <w:p w14:paraId="0000017E" w14:textId="77777777" w:rsidR="00FA794D" w:rsidRDefault="00FA794D">
      <w:pPr>
        <w:jc w:val="both"/>
        <w:rPr>
          <w:sz w:val="24"/>
          <w:szCs w:val="24"/>
        </w:rPr>
      </w:pPr>
    </w:p>
    <w:p w14:paraId="0000017F" w14:textId="77777777" w:rsidR="00FA794D" w:rsidRDefault="009F509E">
      <w:pPr>
        <w:jc w:val="both"/>
        <w:rPr>
          <w:sz w:val="24"/>
          <w:szCs w:val="24"/>
        </w:rPr>
      </w:pPr>
      <w:r>
        <w:rPr>
          <w:sz w:val="24"/>
          <w:szCs w:val="24"/>
        </w:rPr>
        <w:t>El problema a resolver es: Los bajos niveles de efectividad, eficiencia, transparencia y participación en la política de mejora regulatoria del Estado colombiano que afecta la competitividad, fomenta la corrupción y los derechos de los ciudadanos</w:t>
      </w:r>
      <w:r>
        <w:rPr>
          <w:sz w:val="24"/>
          <w:szCs w:val="24"/>
          <w:vertAlign w:val="superscript"/>
        </w:rPr>
        <w:footnoteReference w:id="1"/>
      </w:r>
      <w:r>
        <w:rPr>
          <w:sz w:val="24"/>
          <w:szCs w:val="24"/>
        </w:rPr>
        <w:t>.</w:t>
      </w:r>
    </w:p>
    <w:p w14:paraId="00000180" w14:textId="77777777" w:rsidR="00FA794D" w:rsidRDefault="00FA794D">
      <w:pPr>
        <w:rPr>
          <w:b/>
          <w:sz w:val="24"/>
          <w:szCs w:val="24"/>
        </w:rPr>
      </w:pPr>
    </w:p>
    <w:p w14:paraId="00000181" w14:textId="77777777" w:rsidR="00FA794D" w:rsidRDefault="009F509E">
      <w:pPr>
        <w:numPr>
          <w:ilvl w:val="0"/>
          <w:numId w:val="10"/>
        </w:numPr>
        <w:pBdr>
          <w:top w:val="nil"/>
          <w:left w:val="nil"/>
          <w:bottom w:val="nil"/>
          <w:right w:val="nil"/>
          <w:between w:val="nil"/>
        </w:pBdr>
        <w:ind w:left="284"/>
        <w:jc w:val="center"/>
        <w:rPr>
          <w:b/>
          <w:color w:val="000000"/>
          <w:sz w:val="24"/>
          <w:szCs w:val="24"/>
        </w:rPr>
      </w:pPr>
      <w:r>
        <w:rPr>
          <w:b/>
          <w:color w:val="000000"/>
          <w:sz w:val="24"/>
          <w:szCs w:val="24"/>
        </w:rPr>
        <w:t>CÓMO SOLUCIONA EL PROBLEMA</w:t>
      </w:r>
    </w:p>
    <w:p w14:paraId="00000182" w14:textId="77777777" w:rsidR="00FA794D" w:rsidRDefault="00FA794D">
      <w:pPr>
        <w:pBdr>
          <w:top w:val="nil"/>
          <w:left w:val="nil"/>
          <w:bottom w:val="nil"/>
          <w:right w:val="nil"/>
          <w:between w:val="nil"/>
        </w:pBdr>
        <w:ind w:left="284"/>
        <w:rPr>
          <w:b/>
          <w:color w:val="000000"/>
          <w:sz w:val="24"/>
          <w:szCs w:val="24"/>
        </w:rPr>
      </w:pPr>
    </w:p>
    <w:p w14:paraId="00000183" w14:textId="77777777" w:rsidR="00FA794D" w:rsidRDefault="009F509E">
      <w:pPr>
        <w:jc w:val="both"/>
        <w:rPr>
          <w:sz w:val="24"/>
          <w:szCs w:val="24"/>
        </w:rPr>
      </w:pPr>
      <w:r>
        <w:rPr>
          <w:sz w:val="24"/>
          <w:szCs w:val="24"/>
        </w:rPr>
        <w:t>El proyecto de ley dispone las siguientes herramientas que componen el ciclo de mejora de la calidad normativa, para solución del problema:</w:t>
      </w:r>
    </w:p>
    <w:p w14:paraId="00000184" w14:textId="77777777" w:rsidR="00FA794D" w:rsidRDefault="00FA794D">
      <w:pPr>
        <w:jc w:val="both"/>
        <w:rPr>
          <w:sz w:val="24"/>
          <w:szCs w:val="24"/>
        </w:rPr>
      </w:pPr>
    </w:p>
    <w:p w14:paraId="00000185" w14:textId="77777777" w:rsidR="00FA794D" w:rsidRDefault="009F509E">
      <w:pPr>
        <w:numPr>
          <w:ilvl w:val="0"/>
          <w:numId w:val="1"/>
        </w:numPr>
        <w:pBdr>
          <w:top w:val="nil"/>
          <w:left w:val="nil"/>
          <w:bottom w:val="nil"/>
          <w:right w:val="nil"/>
          <w:between w:val="nil"/>
        </w:pBdr>
        <w:rPr>
          <w:b/>
          <w:color w:val="000000"/>
          <w:sz w:val="24"/>
          <w:szCs w:val="24"/>
        </w:rPr>
      </w:pPr>
      <w:r>
        <w:rPr>
          <w:color w:val="000000"/>
          <w:sz w:val="24"/>
          <w:szCs w:val="24"/>
        </w:rPr>
        <w:t>Análisis de Impacto Normativo AIN.</w:t>
      </w:r>
    </w:p>
    <w:p w14:paraId="00000186" w14:textId="77777777" w:rsidR="00FA794D" w:rsidRDefault="009F509E">
      <w:pPr>
        <w:numPr>
          <w:ilvl w:val="0"/>
          <w:numId w:val="1"/>
        </w:numPr>
        <w:pBdr>
          <w:top w:val="nil"/>
          <w:left w:val="nil"/>
          <w:bottom w:val="nil"/>
          <w:right w:val="nil"/>
          <w:between w:val="nil"/>
        </w:pBdr>
        <w:rPr>
          <w:b/>
          <w:color w:val="000000"/>
          <w:sz w:val="24"/>
          <w:szCs w:val="24"/>
        </w:rPr>
      </w:pPr>
      <w:r>
        <w:rPr>
          <w:color w:val="000000"/>
          <w:sz w:val="24"/>
          <w:szCs w:val="24"/>
        </w:rPr>
        <w:t>Mecanismos de control y publicidad del Inventario normativo.</w:t>
      </w:r>
    </w:p>
    <w:p w14:paraId="00000187" w14:textId="77777777" w:rsidR="00FA794D" w:rsidRDefault="009F509E">
      <w:pPr>
        <w:numPr>
          <w:ilvl w:val="0"/>
          <w:numId w:val="1"/>
        </w:numPr>
        <w:pBdr>
          <w:top w:val="nil"/>
          <w:left w:val="nil"/>
          <w:bottom w:val="nil"/>
          <w:right w:val="nil"/>
          <w:between w:val="nil"/>
        </w:pBdr>
        <w:rPr>
          <w:b/>
          <w:color w:val="000000"/>
          <w:sz w:val="24"/>
          <w:szCs w:val="24"/>
        </w:rPr>
      </w:pPr>
      <w:r>
        <w:rPr>
          <w:color w:val="000000"/>
          <w:sz w:val="24"/>
          <w:szCs w:val="24"/>
        </w:rPr>
        <w:t>Evaluación Ex-Post.</w:t>
      </w:r>
    </w:p>
    <w:p w14:paraId="00000188" w14:textId="77777777" w:rsidR="00FA794D" w:rsidRDefault="009F509E">
      <w:pPr>
        <w:numPr>
          <w:ilvl w:val="0"/>
          <w:numId w:val="1"/>
        </w:numPr>
        <w:pBdr>
          <w:top w:val="nil"/>
          <w:left w:val="nil"/>
          <w:bottom w:val="nil"/>
          <w:right w:val="nil"/>
          <w:between w:val="nil"/>
        </w:pBdr>
        <w:rPr>
          <w:b/>
          <w:color w:val="000000"/>
          <w:sz w:val="24"/>
          <w:szCs w:val="24"/>
        </w:rPr>
      </w:pPr>
      <w:r>
        <w:rPr>
          <w:color w:val="000000"/>
          <w:sz w:val="24"/>
          <w:szCs w:val="24"/>
        </w:rPr>
        <w:t xml:space="preserve">Depuración del inventario normativo. </w:t>
      </w:r>
    </w:p>
    <w:p w14:paraId="00000189" w14:textId="77777777" w:rsidR="00FA794D" w:rsidRDefault="009F509E">
      <w:pPr>
        <w:numPr>
          <w:ilvl w:val="0"/>
          <w:numId w:val="1"/>
        </w:numPr>
        <w:pBdr>
          <w:top w:val="nil"/>
          <w:left w:val="nil"/>
          <w:bottom w:val="nil"/>
          <w:right w:val="nil"/>
          <w:between w:val="nil"/>
        </w:pBdr>
        <w:rPr>
          <w:b/>
          <w:color w:val="000000"/>
          <w:sz w:val="24"/>
          <w:szCs w:val="24"/>
        </w:rPr>
      </w:pPr>
      <w:r>
        <w:rPr>
          <w:color w:val="000000"/>
          <w:sz w:val="24"/>
          <w:szCs w:val="24"/>
        </w:rPr>
        <w:t>Publicidad de la agenda normativa.</w:t>
      </w:r>
    </w:p>
    <w:p w14:paraId="0000018A" w14:textId="77777777" w:rsidR="00FA794D" w:rsidRDefault="009F509E">
      <w:pPr>
        <w:numPr>
          <w:ilvl w:val="0"/>
          <w:numId w:val="1"/>
        </w:numPr>
        <w:pBdr>
          <w:top w:val="nil"/>
          <w:left w:val="nil"/>
          <w:bottom w:val="nil"/>
          <w:right w:val="nil"/>
          <w:between w:val="nil"/>
        </w:pBdr>
        <w:rPr>
          <w:b/>
          <w:color w:val="000000"/>
          <w:sz w:val="24"/>
          <w:szCs w:val="24"/>
        </w:rPr>
      </w:pPr>
      <w:r>
        <w:rPr>
          <w:color w:val="000000"/>
          <w:sz w:val="24"/>
          <w:szCs w:val="24"/>
        </w:rPr>
        <w:t>Consulta pública y participación ciudadana.</w:t>
      </w:r>
    </w:p>
    <w:p w14:paraId="0000018B" w14:textId="77777777" w:rsidR="00FA794D" w:rsidRDefault="00FA794D">
      <w:pPr>
        <w:jc w:val="both"/>
        <w:rPr>
          <w:sz w:val="24"/>
          <w:szCs w:val="24"/>
        </w:rPr>
      </w:pPr>
    </w:p>
    <w:p w14:paraId="0000018C" w14:textId="77777777" w:rsidR="00FA794D" w:rsidRDefault="009F509E">
      <w:pPr>
        <w:numPr>
          <w:ilvl w:val="0"/>
          <w:numId w:val="4"/>
        </w:numPr>
        <w:pBdr>
          <w:top w:val="nil"/>
          <w:left w:val="nil"/>
          <w:bottom w:val="nil"/>
          <w:right w:val="nil"/>
          <w:between w:val="nil"/>
        </w:pBdr>
        <w:jc w:val="center"/>
        <w:rPr>
          <w:b/>
          <w:color w:val="000000"/>
          <w:sz w:val="24"/>
          <w:szCs w:val="24"/>
        </w:rPr>
      </w:pPr>
      <w:r>
        <w:rPr>
          <w:b/>
          <w:color w:val="000000"/>
          <w:sz w:val="24"/>
          <w:szCs w:val="24"/>
        </w:rPr>
        <w:t>JUSTIFICACIÓN DEL PROYECTO</w:t>
      </w:r>
    </w:p>
    <w:p w14:paraId="0000018D" w14:textId="77777777" w:rsidR="00FA794D" w:rsidRDefault="00FA794D">
      <w:pPr>
        <w:pBdr>
          <w:top w:val="nil"/>
          <w:left w:val="nil"/>
          <w:bottom w:val="nil"/>
          <w:right w:val="nil"/>
          <w:between w:val="nil"/>
        </w:pBdr>
        <w:ind w:left="426" w:hanging="720"/>
        <w:rPr>
          <w:b/>
          <w:color w:val="000000"/>
          <w:sz w:val="24"/>
          <w:szCs w:val="24"/>
        </w:rPr>
      </w:pPr>
    </w:p>
    <w:p w14:paraId="0000018E" w14:textId="77777777" w:rsidR="00FA794D" w:rsidRDefault="009F509E">
      <w:pPr>
        <w:numPr>
          <w:ilvl w:val="1"/>
          <w:numId w:val="4"/>
        </w:numPr>
        <w:pBdr>
          <w:top w:val="nil"/>
          <w:left w:val="nil"/>
          <w:bottom w:val="nil"/>
          <w:right w:val="nil"/>
          <w:between w:val="nil"/>
        </w:pBdr>
        <w:jc w:val="both"/>
        <w:rPr>
          <w:b/>
          <w:color w:val="000000"/>
          <w:sz w:val="24"/>
          <w:szCs w:val="24"/>
        </w:rPr>
      </w:pPr>
      <w:r>
        <w:rPr>
          <w:b/>
          <w:color w:val="000000"/>
          <w:sz w:val="24"/>
          <w:szCs w:val="24"/>
        </w:rPr>
        <w:t>Datos de la problemática actual.</w:t>
      </w:r>
    </w:p>
    <w:p w14:paraId="0000018F" w14:textId="77777777" w:rsidR="00FA794D" w:rsidRDefault="00FA794D">
      <w:pPr>
        <w:pBdr>
          <w:top w:val="nil"/>
          <w:left w:val="nil"/>
          <w:bottom w:val="nil"/>
          <w:right w:val="nil"/>
          <w:between w:val="nil"/>
        </w:pBdr>
        <w:ind w:left="720"/>
        <w:jc w:val="both"/>
        <w:rPr>
          <w:b/>
          <w:color w:val="000000"/>
          <w:sz w:val="24"/>
          <w:szCs w:val="24"/>
        </w:rPr>
      </w:pPr>
    </w:p>
    <w:p w14:paraId="00000190" w14:textId="09C3B973" w:rsidR="00FA794D" w:rsidRDefault="009F509E">
      <w:pPr>
        <w:jc w:val="both"/>
        <w:rPr>
          <w:sz w:val="24"/>
          <w:szCs w:val="24"/>
        </w:rPr>
      </w:pPr>
      <w:r>
        <w:rPr>
          <w:sz w:val="24"/>
          <w:szCs w:val="24"/>
        </w:rPr>
        <w:t>Según el Observatorio de Mejora Normativa, liderado por el Departamento Nacional de Planeación y la Imprenta Nacional de Colombia</w:t>
      </w:r>
      <w:r>
        <w:rPr>
          <w:sz w:val="24"/>
          <w:szCs w:val="24"/>
          <w:vertAlign w:val="superscript"/>
        </w:rPr>
        <w:footnoteReference w:id="2"/>
      </w:r>
      <w:r>
        <w:rPr>
          <w:sz w:val="24"/>
          <w:szCs w:val="24"/>
        </w:rPr>
        <w:t xml:space="preserve">, se determinó que se han promulgado 60.000 Resoluciones, 16.721 Decretos y 696 Circulares, para un total de 77.417 normas al año 2020 y aproximadamente 10,6 normas diarias. </w:t>
      </w:r>
    </w:p>
    <w:p w14:paraId="00000191" w14:textId="77777777" w:rsidR="00FA794D" w:rsidRDefault="00FA794D">
      <w:pPr>
        <w:jc w:val="both"/>
        <w:rPr>
          <w:sz w:val="24"/>
          <w:szCs w:val="24"/>
        </w:rPr>
      </w:pPr>
    </w:p>
    <w:p w14:paraId="00000192" w14:textId="77777777" w:rsidR="00FA794D" w:rsidRDefault="009F509E">
      <w:pPr>
        <w:jc w:val="both"/>
        <w:rPr>
          <w:color w:val="000000"/>
          <w:sz w:val="24"/>
          <w:szCs w:val="24"/>
        </w:rPr>
      </w:pPr>
      <w:r>
        <w:rPr>
          <w:color w:val="000000"/>
          <w:sz w:val="24"/>
          <w:szCs w:val="24"/>
        </w:rPr>
        <w:t xml:space="preserve">Esto ha generado normas poco efectivas, proliferación de normas de distinto rango legal y una carga regulatoria para los ciudadanos y las empresas difícil de asumir y, ha llevado a Colombia a ocupar puestos considerablemente bajos frente al resto de Latinoamérica en los índices de competitividad, carga regulatoria y el índice de cumplimiento regulatorio. Por ejemplo, de acuerdo al informe </w:t>
      </w:r>
      <w:proofErr w:type="spellStart"/>
      <w:r>
        <w:rPr>
          <w:color w:val="000000"/>
          <w:sz w:val="24"/>
          <w:szCs w:val="24"/>
        </w:rPr>
        <w:t>Doing</w:t>
      </w:r>
      <w:proofErr w:type="spellEnd"/>
      <w:r>
        <w:rPr>
          <w:color w:val="000000"/>
          <w:sz w:val="24"/>
          <w:szCs w:val="24"/>
        </w:rPr>
        <w:t xml:space="preserve"> Business, del Banco Mundial, Colombia se ubica en el puesto 65 de 190 de los países a nivel mundial donde más difícil es hacer negocios (Banco Mundial, 2021).</w:t>
      </w:r>
    </w:p>
    <w:p w14:paraId="00000193" w14:textId="77777777" w:rsidR="00FA794D" w:rsidRDefault="00FA794D">
      <w:pPr>
        <w:jc w:val="both"/>
        <w:rPr>
          <w:color w:val="000000"/>
          <w:sz w:val="24"/>
          <w:szCs w:val="24"/>
        </w:rPr>
      </w:pPr>
    </w:p>
    <w:p w14:paraId="00000194" w14:textId="5AED04CF" w:rsidR="00FA794D" w:rsidRDefault="009F509E">
      <w:pPr>
        <w:jc w:val="both"/>
        <w:rPr>
          <w:sz w:val="24"/>
          <w:szCs w:val="24"/>
        </w:rPr>
      </w:pPr>
      <w:r>
        <w:rPr>
          <w:sz w:val="24"/>
          <w:szCs w:val="24"/>
        </w:rPr>
        <w:t>En ese sentido</w:t>
      </w:r>
      <w:r w:rsidR="005E2FF3">
        <w:rPr>
          <w:sz w:val="24"/>
          <w:szCs w:val="24"/>
        </w:rPr>
        <w:t xml:space="preserve"> tal y como </w:t>
      </w:r>
      <w:r w:rsidR="005E2FF3">
        <w:rPr>
          <w:sz w:val="24"/>
          <w:szCs w:val="24"/>
        </w:rPr>
        <w:t>lo advierte el Consejo Privado de Competitividad (2018)-en adelante CPC</w:t>
      </w:r>
      <w:r>
        <w:rPr>
          <w:sz w:val="24"/>
          <w:szCs w:val="24"/>
        </w:rPr>
        <w:t>, si bien, todas las regulaciones representan un costo para todos los ciudadanos y la iniciativa empresarial, se debe garantizar que el beneficio derivado de esta regulación supere el costo generado por tener que cumplirla, garantizando la justa repartición de las cargas públicas y que no se convierta en un impedimento para la competitividad o para acceder a los derechos de los ciudadanos</w:t>
      </w:r>
      <w:r w:rsidR="005E2FF3">
        <w:rPr>
          <w:sz w:val="24"/>
          <w:szCs w:val="24"/>
        </w:rPr>
        <w:t>.</w:t>
      </w:r>
    </w:p>
    <w:p w14:paraId="00000195" w14:textId="77777777" w:rsidR="00FA794D" w:rsidRDefault="00FA794D">
      <w:pPr>
        <w:jc w:val="both"/>
        <w:rPr>
          <w:sz w:val="24"/>
          <w:szCs w:val="24"/>
        </w:rPr>
      </w:pPr>
    </w:p>
    <w:p w14:paraId="00000196" w14:textId="77777777" w:rsidR="00FA794D" w:rsidRDefault="009F509E">
      <w:pPr>
        <w:jc w:val="both"/>
        <w:rPr>
          <w:sz w:val="24"/>
          <w:szCs w:val="24"/>
        </w:rPr>
      </w:pPr>
      <w:r>
        <w:rPr>
          <w:sz w:val="24"/>
          <w:szCs w:val="24"/>
        </w:rPr>
        <w:t xml:space="preserve">Según el CPC, la política regulatoria, junto con la política fiscal y la política monetaria, constituye una de las herramientas del Gobierno para corregir fallas de mercado. Para lograr esto de manera efectiva, es necesario contar con regulación de calidad basada en evidencia. Al respecto, si bien Colombia ha evolucionado positivamente en los últimos años, según el CPC (2018) aún necesita mejorar su posición relativa en la región y acercarse a países como Chile, Perú ́ y Uruguay. </w:t>
      </w:r>
    </w:p>
    <w:p w14:paraId="00000197" w14:textId="77777777" w:rsidR="00FA794D" w:rsidRDefault="00FA794D">
      <w:pPr>
        <w:rPr>
          <w:sz w:val="24"/>
          <w:szCs w:val="24"/>
        </w:rPr>
      </w:pPr>
    </w:p>
    <w:p w14:paraId="00000199" w14:textId="1816C6F2" w:rsidR="00FA794D" w:rsidRPr="00EF5706" w:rsidRDefault="009F509E" w:rsidP="00EF5706">
      <w:pPr>
        <w:numPr>
          <w:ilvl w:val="1"/>
          <w:numId w:val="4"/>
        </w:numPr>
        <w:pBdr>
          <w:top w:val="nil"/>
          <w:left w:val="nil"/>
          <w:bottom w:val="nil"/>
          <w:right w:val="nil"/>
          <w:between w:val="nil"/>
        </w:pBdr>
        <w:rPr>
          <w:b/>
          <w:color w:val="000000"/>
          <w:sz w:val="24"/>
          <w:szCs w:val="24"/>
        </w:rPr>
      </w:pPr>
      <w:r>
        <w:rPr>
          <w:b/>
          <w:color w:val="000000"/>
          <w:sz w:val="24"/>
          <w:szCs w:val="24"/>
        </w:rPr>
        <w:t>Afectación de los derechos.</w:t>
      </w:r>
    </w:p>
    <w:p w14:paraId="0000019A" w14:textId="77777777" w:rsidR="00FA794D" w:rsidRDefault="009F509E">
      <w:pPr>
        <w:jc w:val="both"/>
        <w:rPr>
          <w:sz w:val="24"/>
          <w:szCs w:val="24"/>
        </w:rPr>
      </w:pPr>
      <w:r>
        <w:rPr>
          <w:sz w:val="24"/>
          <w:szCs w:val="24"/>
        </w:rPr>
        <w:t xml:space="preserve">La excesiva carga normativa afecta el acceso y la garantía de los derechos, va en contra de la Constitución, el respeto de la dignidad humana, las garantías y fines para las cuales se constituye el Estado, la administración púbica y los deberes que a esta les confiere frente a los ciudadanos.  </w:t>
      </w:r>
    </w:p>
    <w:p w14:paraId="0000019B" w14:textId="77777777" w:rsidR="00FA794D" w:rsidRDefault="00FA794D">
      <w:pPr>
        <w:jc w:val="both"/>
        <w:rPr>
          <w:sz w:val="24"/>
          <w:szCs w:val="24"/>
        </w:rPr>
      </w:pPr>
    </w:p>
    <w:p w14:paraId="0000019C" w14:textId="77777777" w:rsidR="00FA794D" w:rsidRDefault="009F509E">
      <w:pPr>
        <w:jc w:val="both"/>
        <w:rPr>
          <w:sz w:val="24"/>
          <w:szCs w:val="24"/>
        </w:rPr>
      </w:pPr>
      <w:r>
        <w:rPr>
          <w:sz w:val="24"/>
          <w:szCs w:val="24"/>
        </w:rPr>
        <w:t xml:space="preserve">El artículo 1º  de la Constitución establece que, </w:t>
      </w:r>
      <w:r>
        <w:rPr>
          <w:i/>
          <w:sz w:val="24"/>
          <w:szCs w:val="24"/>
        </w:rPr>
        <w:t>“Colombia es un Estado social de derecho, organizado en forma de República unitaria, descentralizada, con autonomía de sus entidades territoriales, democrática, participativa y pluralista, fundada en el respeto de la dignidad humana, en el trabajo y la solidaridad de las personas que la integran y en la prevalencia del interés general”,</w:t>
      </w:r>
      <w:r>
        <w:rPr>
          <w:sz w:val="24"/>
          <w:szCs w:val="24"/>
        </w:rPr>
        <w:t xml:space="preserve"> Estado cuyo principio fundante es la dignidad y la solidaridad, por ello debemos, nosotros como Congresistas, trabajar en aras de lograr su efectivo cumplimiento y no podemos considerar que nuestro Estado respete la dignidad y la solidaridad, cuando muchos ciudadanos,  día a día, no pueden acceder a sus derechos, su gran mayoría de carácter fundamental, por la gran cantidad de normas, que además de ser confusas, no garantizan los fines para los cuales se constituye el Estado.</w:t>
      </w:r>
    </w:p>
    <w:p w14:paraId="0000019D" w14:textId="77777777" w:rsidR="00FA794D" w:rsidRDefault="00FA794D">
      <w:pPr>
        <w:jc w:val="both"/>
        <w:rPr>
          <w:sz w:val="24"/>
          <w:szCs w:val="24"/>
        </w:rPr>
      </w:pPr>
    </w:p>
    <w:p w14:paraId="0000019E" w14:textId="77777777" w:rsidR="00FA794D" w:rsidRDefault="009F509E">
      <w:pPr>
        <w:jc w:val="both"/>
        <w:rPr>
          <w:sz w:val="24"/>
          <w:szCs w:val="24"/>
        </w:rPr>
      </w:pPr>
      <w:r>
        <w:rPr>
          <w:sz w:val="24"/>
          <w:szCs w:val="24"/>
        </w:rPr>
        <w:t xml:space="preserve">De acuerdo con el artículo 2º de la Constitución, uno de los fines esenciales del Estado es garantizar la efectividad de los derechos. Una de las formas más efectivas de garantizar los derechos es a través de la mejora regulatoria de las normas que expide el Estado, ya que cuando existe sobrerregulación se genera, un ordenamiento jurídico disperso o una hipertrofia normativa, esto se convierte en una barrera para el ejercicio de los derechos de los colombianos. </w:t>
      </w:r>
    </w:p>
    <w:p w14:paraId="0000019F" w14:textId="77777777" w:rsidR="00FA794D" w:rsidRDefault="00FA794D">
      <w:pPr>
        <w:jc w:val="both"/>
        <w:rPr>
          <w:sz w:val="24"/>
          <w:szCs w:val="24"/>
        </w:rPr>
      </w:pPr>
    </w:p>
    <w:p w14:paraId="000001A0" w14:textId="77777777" w:rsidR="00FA794D" w:rsidRDefault="009F509E">
      <w:pPr>
        <w:jc w:val="both"/>
        <w:rPr>
          <w:sz w:val="24"/>
          <w:szCs w:val="24"/>
        </w:rPr>
      </w:pPr>
      <w:r>
        <w:rPr>
          <w:sz w:val="24"/>
          <w:szCs w:val="24"/>
        </w:rPr>
        <w:t>De igual forma el artículo 6º de la Constitución establece que, “</w:t>
      </w:r>
      <w:r>
        <w:rPr>
          <w:i/>
          <w:sz w:val="24"/>
          <w:szCs w:val="24"/>
        </w:rPr>
        <w:t>los particulares sólo son responsables ante las autoridades por infringir la Constitución y las leyes. Los servidores públicos lo son por la misma causa y por omisión o extralimitación en el ejercicio de sus funciones</w:t>
      </w:r>
      <w:r>
        <w:rPr>
          <w:sz w:val="24"/>
          <w:szCs w:val="24"/>
        </w:rPr>
        <w:t>”, la sobrerregulación, que a su vez genera un ordenamiento jurídico confuso, fomenta la corrupción y la falta de claridad de las reglas de juego para los servidores públicos a la hora de cumplir con sus funciones.</w:t>
      </w:r>
    </w:p>
    <w:p w14:paraId="000001A1" w14:textId="77777777" w:rsidR="00FA794D" w:rsidRDefault="00FA794D">
      <w:pPr>
        <w:jc w:val="both"/>
        <w:rPr>
          <w:sz w:val="24"/>
          <w:szCs w:val="24"/>
        </w:rPr>
      </w:pPr>
    </w:p>
    <w:p w14:paraId="000001A2" w14:textId="77777777" w:rsidR="00FA794D" w:rsidRDefault="009F509E">
      <w:pPr>
        <w:jc w:val="both"/>
        <w:rPr>
          <w:sz w:val="24"/>
          <w:szCs w:val="24"/>
        </w:rPr>
      </w:pPr>
      <w:r>
        <w:rPr>
          <w:sz w:val="24"/>
          <w:szCs w:val="24"/>
        </w:rPr>
        <w:t xml:space="preserve">El artículo 209 de la Constitución señala que, la función administrativa se fundamenta en principios como la moralidad, la eficacia, economía, celeridad, entre otros. Cuando hay exceso de regulaciones o dispersión en las mismas se está atentando contra dichos principios, ya que dicho exceso vuelve a la administración más lenta, más compleja, menos eficaz y, además, se aumentan los riesgos de corrupción. </w:t>
      </w:r>
    </w:p>
    <w:p w14:paraId="000001A3" w14:textId="77777777" w:rsidR="00FA794D" w:rsidRDefault="00FA794D">
      <w:pPr>
        <w:jc w:val="both"/>
        <w:rPr>
          <w:sz w:val="24"/>
          <w:szCs w:val="24"/>
        </w:rPr>
      </w:pPr>
    </w:p>
    <w:p w14:paraId="000001A4" w14:textId="77777777" w:rsidR="00FA794D" w:rsidRDefault="009F509E">
      <w:pPr>
        <w:jc w:val="both"/>
        <w:rPr>
          <w:sz w:val="24"/>
          <w:szCs w:val="24"/>
        </w:rPr>
      </w:pPr>
      <w:r>
        <w:rPr>
          <w:sz w:val="24"/>
          <w:szCs w:val="24"/>
        </w:rPr>
        <w:t xml:space="preserve">Así mismo el artículo 84 de la Carta Política establece que </w:t>
      </w:r>
      <w:r>
        <w:rPr>
          <w:i/>
          <w:sz w:val="24"/>
          <w:szCs w:val="24"/>
        </w:rPr>
        <w:t>“cuando un derecho o una actividad hayan sido reglamentados de manera general las autoridades públicas no podrán establecer ni exigir permisos, licencias o requisitos adicionales para su ejercicio”,</w:t>
      </w:r>
      <w:r>
        <w:rPr>
          <w:sz w:val="24"/>
          <w:szCs w:val="24"/>
        </w:rPr>
        <w:t xml:space="preserve"> cuando Colombia ha proliferado la sobrerregulación y la </w:t>
      </w:r>
      <w:proofErr w:type="spellStart"/>
      <w:r>
        <w:rPr>
          <w:sz w:val="24"/>
          <w:szCs w:val="24"/>
        </w:rPr>
        <w:t>trámititis</w:t>
      </w:r>
      <w:proofErr w:type="spellEnd"/>
      <w:r>
        <w:rPr>
          <w:sz w:val="24"/>
          <w:szCs w:val="24"/>
        </w:rPr>
        <w:t xml:space="preserve">. </w:t>
      </w:r>
    </w:p>
    <w:p w14:paraId="000001A5" w14:textId="77777777" w:rsidR="00FA794D" w:rsidRDefault="00FA794D">
      <w:pPr>
        <w:jc w:val="both"/>
        <w:rPr>
          <w:sz w:val="24"/>
          <w:szCs w:val="24"/>
        </w:rPr>
      </w:pPr>
    </w:p>
    <w:p w14:paraId="000001A6" w14:textId="77777777" w:rsidR="00FA794D" w:rsidRDefault="009F509E">
      <w:pPr>
        <w:jc w:val="both"/>
        <w:rPr>
          <w:i/>
          <w:sz w:val="24"/>
          <w:szCs w:val="24"/>
        </w:rPr>
      </w:pPr>
      <w:r>
        <w:rPr>
          <w:sz w:val="24"/>
          <w:szCs w:val="24"/>
        </w:rPr>
        <w:lastRenderedPageBreak/>
        <w:t xml:space="preserve">Finalmente, el artículo 333 de la Constitución determinó que, </w:t>
      </w:r>
      <w:r>
        <w:rPr>
          <w:i/>
          <w:sz w:val="24"/>
          <w:szCs w:val="24"/>
        </w:rPr>
        <w:t>“La actividad económica y la iniciativa privada son libres, dentro de los límites del bien común. Para su ejercicio, nadie podrá exigir permisos previos ni requisitos, sin autorización de la ley. La libre competencia económica es un derecho de todos que supone responsabilidades. La empresa, como base del desarrollo, tiene una función social que implica obligaciones. El Estado fortalecerá las organizaciones solidarias y estimulará el desarrollo empresarial. El Estado, por mandato de la ley, impedirá que se obstruya o se restrinja la libertad económica y evitará o controlará cualquier abuso que personas o empresas hagan de su posición dominante en el mercado nacional. La ley delimitará el alcance de la libertad económica cuando así lo exijan el interés social, el ambiente y el patrimonio cultural de la Nación”.</w:t>
      </w:r>
      <w:r>
        <w:rPr>
          <w:sz w:val="24"/>
          <w:szCs w:val="24"/>
        </w:rPr>
        <w:t xml:space="preserve"> Esto, cuando las empresas son sometidas a un exceso de normas o dificultades en su iniciativa económica, producto de una hipertrofia normativa que no deja claras las reglas de juego y dificulta la toma de decisiones basadas en la experiencia. </w:t>
      </w:r>
    </w:p>
    <w:p w14:paraId="000001A7" w14:textId="77777777" w:rsidR="00FA794D" w:rsidRDefault="00FA794D">
      <w:pPr>
        <w:jc w:val="both"/>
        <w:rPr>
          <w:sz w:val="24"/>
          <w:szCs w:val="24"/>
        </w:rPr>
      </w:pPr>
    </w:p>
    <w:p w14:paraId="000001A8" w14:textId="77777777" w:rsidR="00FA794D" w:rsidRDefault="009F509E">
      <w:pPr>
        <w:jc w:val="both"/>
        <w:rPr>
          <w:sz w:val="24"/>
          <w:szCs w:val="24"/>
        </w:rPr>
      </w:pPr>
      <w:r>
        <w:rPr>
          <w:sz w:val="24"/>
          <w:szCs w:val="24"/>
        </w:rPr>
        <w:t xml:space="preserve">Con este Proyecto de Ley se busca entonces, primero el efectivo cumplimiento y respeto de los artículos constitucionales anteriormente citados, además pretende, que las personas puedan acceder a sus derechos de una forma eficiente, ágil y rápida, pues no podemos seguir permitiendo que los colombianos sigan encontrando dificultades en su forma de relacionarse con el Estado. </w:t>
      </w:r>
    </w:p>
    <w:p w14:paraId="000001A9" w14:textId="77777777" w:rsidR="00FA794D" w:rsidRDefault="00FA794D">
      <w:pPr>
        <w:jc w:val="both"/>
        <w:rPr>
          <w:sz w:val="24"/>
          <w:szCs w:val="24"/>
        </w:rPr>
      </w:pPr>
    </w:p>
    <w:p w14:paraId="000001AA" w14:textId="77777777" w:rsidR="00FA794D" w:rsidRDefault="009F509E">
      <w:pPr>
        <w:jc w:val="both"/>
        <w:rPr>
          <w:sz w:val="24"/>
          <w:szCs w:val="24"/>
        </w:rPr>
      </w:pPr>
      <w:r>
        <w:rPr>
          <w:sz w:val="24"/>
          <w:szCs w:val="24"/>
        </w:rPr>
        <w:t xml:space="preserve">El exceso de normas y un ordenamiento jurídico difuso bloquea el acceso a nuestros derechos, reduce las empresas y la inversión y fomenta la corrupción. Por ello este proyecto, es de suma importancia para avanzar en la modernización del Estado, pues el funcionamiento adecuado de los Estados modernos presupone un conjunto de instituciones y reglas de juego claras, estables, eficaces y coherentes. De estas condiciones depende en gran medida la estabilidad y legitimidad del sistema político y la competitividad de la economía, tal y como lo señala Molano, Moncada &amp; Barrera (2018), en su escrito para el Instituto de Ciencia Política sobre la materia. </w:t>
      </w:r>
    </w:p>
    <w:p w14:paraId="000001AB" w14:textId="77777777" w:rsidR="00FA794D" w:rsidRDefault="00FA794D">
      <w:pPr>
        <w:jc w:val="both"/>
        <w:rPr>
          <w:sz w:val="24"/>
          <w:szCs w:val="24"/>
        </w:rPr>
      </w:pPr>
    </w:p>
    <w:p w14:paraId="000001AC" w14:textId="77777777" w:rsidR="00FA794D" w:rsidRDefault="009F509E">
      <w:pPr>
        <w:numPr>
          <w:ilvl w:val="1"/>
          <w:numId w:val="4"/>
        </w:numPr>
        <w:pBdr>
          <w:top w:val="nil"/>
          <w:left w:val="nil"/>
          <w:bottom w:val="nil"/>
          <w:right w:val="nil"/>
          <w:between w:val="nil"/>
        </w:pBdr>
        <w:jc w:val="both"/>
        <w:rPr>
          <w:b/>
          <w:color w:val="000000"/>
          <w:sz w:val="24"/>
          <w:szCs w:val="24"/>
        </w:rPr>
      </w:pPr>
      <w:r>
        <w:rPr>
          <w:b/>
          <w:color w:val="000000"/>
          <w:sz w:val="24"/>
          <w:szCs w:val="24"/>
        </w:rPr>
        <w:t>Experiencias internacionales.</w:t>
      </w:r>
    </w:p>
    <w:p w14:paraId="000001AD" w14:textId="77777777" w:rsidR="00FA794D" w:rsidRDefault="00FA794D">
      <w:pPr>
        <w:pBdr>
          <w:top w:val="nil"/>
          <w:left w:val="nil"/>
          <w:bottom w:val="nil"/>
          <w:right w:val="nil"/>
          <w:between w:val="nil"/>
        </w:pBdr>
        <w:ind w:left="720"/>
        <w:jc w:val="both"/>
        <w:rPr>
          <w:b/>
          <w:color w:val="000000"/>
          <w:sz w:val="24"/>
          <w:szCs w:val="24"/>
        </w:rPr>
      </w:pPr>
    </w:p>
    <w:p w14:paraId="000001AE" w14:textId="77777777" w:rsidR="00FA794D" w:rsidRDefault="009F509E">
      <w:pPr>
        <w:jc w:val="both"/>
        <w:rPr>
          <w:sz w:val="24"/>
          <w:szCs w:val="24"/>
        </w:rPr>
      </w:pPr>
      <w:r>
        <w:rPr>
          <w:sz w:val="24"/>
          <w:szCs w:val="24"/>
        </w:rPr>
        <w:t>México ha logrado ser uno de los referentes de una política de mejora regulatoria para toda Latinoamérica, pues desde el año 2012 implementó la estrategia de “Tala Regulatoria”, con el fin de facilitar la vida a los ciudadanos y a las empresas, ahorrándoles tiempo y dinero al hacer trámites o solicitar servicios al gobierno, y ahorrar recursos públicos para invertir más en las prioridades del desarrollo del país, como es la educación, la seguridad, y el combate a la pobreza</w:t>
      </w:r>
      <w:r>
        <w:rPr>
          <w:sz w:val="24"/>
          <w:szCs w:val="24"/>
          <w:vertAlign w:val="superscript"/>
        </w:rPr>
        <w:footnoteReference w:id="3"/>
      </w:r>
      <w:r>
        <w:rPr>
          <w:sz w:val="24"/>
          <w:szCs w:val="24"/>
        </w:rPr>
        <w:t>.</w:t>
      </w:r>
    </w:p>
    <w:p w14:paraId="000001AF" w14:textId="77777777" w:rsidR="00FA794D" w:rsidRDefault="00FA794D">
      <w:pPr>
        <w:jc w:val="both"/>
        <w:rPr>
          <w:sz w:val="24"/>
          <w:szCs w:val="24"/>
        </w:rPr>
      </w:pPr>
    </w:p>
    <w:p w14:paraId="000001B0" w14:textId="77777777" w:rsidR="00FA794D" w:rsidRDefault="009F509E">
      <w:pPr>
        <w:jc w:val="both"/>
        <w:rPr>
          <w:sz w:val="24"/>
          <w:szCs w:val="24"/>
        </w:rPr>
      </w:pPr>
      <w:r>
        <w:rPr>
          <w:sz w:val="24"/>
          <w:szCs w:val="24"/>
        </w:rPr>
        <w:t xml:space="preserve">Este proceso de tala consta de dos herramientas, la tala administrativa y la tala sustantiva que elimina: </w:t>
      </w:r>
      <w:r>
        <w:rPr>
          <w:i/>
          <w:sz w:val="24"/>
          <w:szCs w:val="24"/>
        </w:rPr>
        <w:t xml:space="preserve">i) las normas duplicadas o que generan antinomias; ii) los procedimientos o trámites que se consideran ineficientes; iii) los trámites que generan costos injustificados para los ciudadanos </w:t>
      </w:r>
      <w:r>
        <w:rPr>
          <w:sz w:val="24"/>
          <w:szCs w:val="24"/>
        </w:rPr>
        <w:t xml:space="preserve">(Secretaría de la Función Pública del Gobierno Federal Mexicano, 2012). Su implementación se basó en la construcción de un inventario normativo de la nación mexicana y en la aplicación de la tala a distintos niveles del gobierno Mexicano. </w:t>
      </w:r>
    </w:p>
    <w:p w14:paraId="000001B1" w14:textId="77777777" w:rsidR="00FA794D" w:rsidRDefault="00FA794D">
      <w:pPr>
        <w:jc w:val="both"/>
        <w:rPr>
          <w:sz w:val="24"/>
          <w:szCs w:val="24"/>
        </w:rPr>
      </w:pPr>
    </w:p>
    <w:p w14:paraId="000001B2" w14:textId="77777777" w:rsidR="00FA794D" w:rsidRDefault="009F509E">
      <w:pPr>
        <w:jc w:val="both"/>
        <w:rPr>
          <w:sz w:val="24"/>
          <w:szCs w:val="24"/>
        </w:rPr>
      </w:pPr>
      <w:r>
        <w:rPr>
          <w:sz w:val="24"/>
          <w:szCs w:val="24"/>
        </w:rPr>
        <w:t>La tala administrativa implicó estandarizar procesos, eliminando procedimientos innecesarios y siendo reemplazados por manuales de aplicación, con el fin de ahorrar recursos. Por su parte, la tala sustancial, consiste en la derogación de normas y trámites innecesarios, bajo la cual se eliminaron 16.261 normas de 35.584 vigentes en su ordenamiento jurídico, por otro lado, al mes de febrero de 2012 en la administración federal ya se habían eliminado o compilado 2.491 trámites y servicios, y 6.043 normas internas sustantivas de operación, tal y como se describe en la página web de la Secretaría de la Función Pública del Gobierno Federal Mexicano (2012).</w:t>
      </w:r>
    </w:p>
    <w:p w14:paraId="000001B3" w14:textId="77777777" w:rsidR="00FA794D" w:rsidRDefault="00FA794D">
      <w:pPr>
        <w:jc w:val="both"/>
        <w:rPr>
          <w:sz w:val="24"/>
          <w:szCs w:val="24"/>
        </w:rPr>
      </w:pPr>
    </w:p>
    <w:p w14:paraId="000001B4" w14:textId="77777777" w:rsidR="00FA794D" w:rsidRDefault="009F509E">
      <w:pPr>
        <w:jc w:val="both"/>
        <w:rPr>
          <w:sz w:val="24"/>
          <w:szCs w:val="24"/>
        </w:rPr>
      </w:pPr>
      <w:r>
        <w:rPr>
          <w:sz w:val="24"/>
          <w:szCs w:val="24"/>
        </w:rPr>
        <w:t xml:space="preserve">Asimismo, de acuerdo a lo señalado por el ICP (2018) en especial por los autores Moncada &amp; Barrera, en Estados Unidos se ha implementado modelos de mejora regulatoria exitosos, consistentes en la implementación de procedimientos para revisar la regulación vigente, reducir la cantidad de trámites y la cooperación de regulatoria con sus socios comerciales, basados en principios mínimos para ejercer esta actividad. Entre ellos: </w:t>
      </w:r>
      <w:r>
        <w:rPr>
          <w:i/>
          <w:sz w:val="24"/>
          <w:szCs w:val="24"/>
        </w:rPr>
        <w:t>garantizar la mínima intervención del Estado en la economía y el de la exclusiva necesidad.</w:t>
      </w:r>
      <w:r>
        <w:rPr>
          <w:sz w:val="24"/>
          <w:szCs w:val="24"/>
        </w:rPr>
        <w:t xml:space="preserve"> Principios bajo los cuales los entes reguladores primero se preguntan si la regulación es necesaria o no, o si se pueden implementar otras medidas, (Moncada &amp; Barrera, 2018).  </w:t>
      </w:r>
    </w:p>
    <w:p w14:paraId="000001B5" w14:textId="77777777" w:rsidR="00FA794D" w:rsidRDefault="00FA794D">
      <w:pPr>
        <w:jc w:val="both"/>
        <w:rPr>
          <w:sz w:val="24"/>
          <w:szCs w:val="24"/>
        </w:rPr>
      </w:pPr>
    </w:p>
    <w:p w14:paraId="000001B6" w14:textId="77777777" w:rsidR="00FA794D" w:rsidRDefault="009F509E">
      <w:pPr>
        <w:jc w:val="both"/>
        <w:rPr>
          <w:sz w:val="24"/>
          <w:szCs w:val="24"/>
        </w:rPr>
      </w:pPr>
      <w:r>
        <w:rPr>
          <w:sz w:val="24"/>
          <w:szCs w:val="24"/>
        </w:rPr>
        <w:t xml:space="preserve">Sin dudas, estos dos ejemplos pueden guiar a Colombia en la implementación de su política regulatoria acorde con las necesidades del país. </w:t>
      </w:r>
    </w:p>
    <w:p w14:paraId="000001B7" w14:textId="77777777" w:rsidR="00FA794D" w:rsidRDefault="00FA794D">
      <w:pPr>
        <w:jc w:val="both"/>
        <w:rPr>
          <w:sz w:val="24"/>
          <w:szCs w:val="24"/>
        </w:rPr>
      </w:pPr>
    </w:p>
    <w:p w14:paraId="000001B8" w14:textId="77777777" w:rsidR="00FA794D" w:rsidRDefault="009F509E">
      <w:pPr>
        <w:numPr>
          <w:ilvl w:val="0"/>
          <w:numId w:val="4"/>
        </w:numPr>
        <w:pBdr>
          <w:top w:val="nil"/>
          <w:left w:val="nil"/>
          <w:bottom w:val="nil"/>
          <w:right w:val="nil"/>
          <w:between w:val="nil"/>
        </w:pBdr>
        <w:jc w:val="center"/>
        <w:rPr>
          <w:b/>
          <w:color w:val="000000"/>
          <w:sz w:val="24"/>
          <w:szCs w:val="24"/>
        </w:rPr>
      </w:pPr>
      <w:r>
        <w:rPr>
          <w:b/>
          <w:color w:val="000000"/>
          <w:sz w:val="24"/>
          <w:szCs w:val="24"/>
        </w:rPr>
        <w:t>CONFLICTO DE INTERÉS</w:t>
      </w:r>
    </w:p>
    <w:p w14:paraId="000001B9" w14:textId="77777777" w:rsidR="00FA794D" w:rsidRDefault="00FA794D">
      <w:pPr>
        <w:pBdr>
          <w:top w:val="nil"/>
          <w:left w:val="nil"/>
          <w:bottom w:val="nil"/>
          <w:right w:val="nil"/>
          <w:between w:val="nil"/>
        </w:pBdr>
        <w:spacing w:line="240" w:lineRule="auto"/>
        <w:jc w:val="both"/>
        <w:rPr>
          <w:color w:val="000000"/>
          <w:sz w:val="24"/>
          <w:szCs w:val="24"/>
        </w:rPr>
      </w:pPr>
    </w:p>
    <w:p w14:paraId="000001BA" w14:textId="77777777" w:rsidR="00FA794D" w:rsidRDefault="009F509E">
      <w:pPr>
        <w:pBdr>
          <w:top w:val="nil"/>
          <w:left w:val="nil"/>
          <w:bottom w:val="nil"/>
          <w:right w:val="nil"/>
          <w:between w:val="nil"/>
        </w:pBdr>
        <w:spacing w:line="240" w:lineRule="auto"/>
        <w:jc w:val="both"/>
        <w:rPr>
          <w:color w:val="000000"/>
          <w:sz w:val="24"/>
          <w:szCs w:val="24"/>
        </w:rPr>
      </w:pPr>
      <w:r>
        <w:rPr>
          <w:color w:val="000000"/>
          <w:sz w:val="24"/>
          <w:szCs w:val="24"/>
        </w:rPr>
        <w:t xml:space="preserve">Dando cumplimiento  a lo establecido en el artículo 3º de la Ley 2003 del 19 de noviembre de 2019, por la cual se modifica parcialmente la Ley 5º de 1992, se hacen las siguientes consideraciones: </w:t>
      </w:r>
    </w:p>
    <w:p w14:paraId="000001BB" w14:textId="77777777" w:rsidR="00FA794D" w:rsidRDefault="00FA794D">
      <w:pPr>
        <w:pBdr>
          <w:top w:val="nil"/>
          <w:left w:val="nil"/>
          <w:bottom w:val="nil"/>
          <w:right w:val="nil"/>
          <w:between w:val="nil"/>
        </w:pBdr>
        <w:spacing w:line="240" w:lineRule="auto"/>
        <w:jc w:val="both"/>
        <w:rPr>
          <w:color w:val="000000"/>
          <w:sz w:val="24"/>
          <w:szCs w:val="24"/>
        </w:rPr>
      </w:pPr>
    </w:p>
    <w:p w14:paraId="000001BC" w14:textId="77777777" w:rsidR="00FA794D" w:rsidRDefault="009F509E">
      <w:pPr>
        <w:pBdr>
          <w:top w:val="nil"/>
          <w:left w:val="nil"/>
          <w:bottom w:val="nil"/>
          <w:right w:val="nil"/>
          <w:between w:val="nil"/>
        </w:pBdr>
        <w:spacing w:line="240" w:lineRule="auto"/>
        <w:jc w:val="both"/>
        <w:rPr>
          <w:color w:val="000000"/>
          <w:sz w:val="24"/>
          <w:szCs w:val="24"/>
        </w:rPr>
      </w:pPr>
      <w:r>
        <w:rPr>
          <w:color w:val="000000"/>
          <w:sz w:val="24"/>
          <w:szCs w:val="24"/>
        </w:rPr>
        <w:t xml:space="preserve">Se estima que no existe conflicto de interés, puesto que no generaría beneficios particulares, actuales y directos a los congresistas, conforme a lo dispuesto en la ley,  dado que, el objeto del proyecto versa sobre la mejora de la calidad normativa </w:t>
      </w:r>
      <w:r>
        <w:rPr>
          <w:color w:val="000000"/>
          <w:sz w:val="24"/>
          <w:szCs w:val="24"/>
        </w:rPr>
        <w:lastRenderedPageBreak/>
        <w:t xml:space="preserve">del Estado en lo referente a la promulgación de Actos Administrativos de carácter general, siendo esta una de las facultades o funciones propias del poder ejecutivo. </w:t>
      </w:r>
    </w:p>
    <w:p w14:paraId="000001BD" w14:textId="77777777" w:rsidR="00FA794D" w:rsidRDefault="00FA794D">
      <w:pPr>
        <w:pBdr>
          <w:top w:val="nil"/>
          <w:left w:val="nil"/>
          <w:bottom w:val="nil"/>
          <w:right w:val="nil"/>
          <w:between w:val="nil"/>
        </w:pBdr>
        <w:spacing w:line="240" w:lineRule="auto"/>
        <w:jc w:val="both"/>
        <w:rPr>
          <w:color w:val="000000"/>
          <w:sz w:val="24"/>
          <w:szCs w:val="24"/>
        </w:rPr>
      </w:pPr>
    </w:p>
    <w:p w14:paraId="000001BE" w14:textId="77777777" w:rsidR="00FA794D" w:rsidRDefault="009F509E">
      <w:pPr>
        <w:pBdr>
          <w:top w:val="nil"/>
          <w:left w:val="nil"/>
          <w:bottom w:val="nil"/>
          <w:right w:val="nil"/>
          <w:between w:val="nil"/>
        </w:pBdr>
        <w:spacing w:line="240" w:lineRule="auto"/>
        <w:jc w:val="both"/>
        <w:rPr>
          <w:color w:val="000000"/>
          <w:sz w:val="24"/>
          <w:szCs w:val="24"/>
        </w:rPr>
      </w:pPr>
      <w:r>
        <w:rPr>
          <w:color w:val="000000"/>
          <w:sz w:val="24"/>
          <w:szCs w:val="24"/>
        </w:rPr>
        <w:t xml:space="preserve">Sobre este asunto ha señalado el Consejo de Estado (2019): </w:t>
      </w:r>
    </w:p>
    <w:p w14:paraId="000001BF" w14:textId="77777777" w:rsidR="00FA794D" w:rsidRDefault="00FA794D">
      <w:pPr>
        <w:pBdr>
          <w:top w:val="nil"/>
          <w:left w:val="nil"/>
          <w:bottom w:val="nil"/>
          <w:right w:val="nil"/>
          <w:between w:val="nil"/>
        </w:pBdr>
        <w:spacing w:line="240" w:lineRule="auto"/>
        <w:jc w:val="both"/>
        <w:rPr>
          <w:color w:val="000000"/>
          <w:sz w:val="24"/>
          <w:szCs w:val="24"/>
        </w:rPr>
      </w:pPr>
    </w:p>
    <w:p w14:paraId="000001C0" w14:textId="77777777" w:rsidR="00FA794D" w:rsidRDefault="009F509E">
      <w:pPr>
        <w:pBdr>
          <w:top w:val="nil"/>
          <w:left w:val="nil"/>
          <w:bottom w:val="nil"/>
          <w:right w:val="nil"/>
          <w:between w:val="nil"/>
        </w:pBdr>
        <w:spacing w:line="240" w:lineRule="auto"/>
        <w:ind w:left="284"/>
        <w:jc w:val="both"/>
        <w:rPr>
          <w:i/>
          <w:color w:val="000000"/>
          <w:sz w:val="24"/>
          <w:szCs w:val="24"/>
        </w:rPr>
      </w:pPr>
      <w:r>
        <w:rPr>
          <w:i/>
          <w:color w:val="000000"/>
          <w:sz w:val="24"/>
          <w:szCs w:val="24"/>
        </w:rPr>
        <w:t>“No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14:paraId="000001C1" w14:textId="77777777" w:rsidR="00FA794D" w:rsidRDefault="00FA794D">
      <w:pPr>
        <w:pBdr>
          <w:top w:val="nil"/>
          <w:left w:val="nil"/>
          <w:bottom w:val="nil"/>
          <w:right w:val="nil"/>
          <w:between w:val="nil"/>
        </w:pBdr>
        <w:spacing w:line="240" w:lineRule="auto"/>
        <w:jc w:val="both"/>
        <w:rPr>
          <w:color w:val="000000"/>
          <w:sz w:val="24"/>
          <w:szCs w:val="24"/>
        </w:rPr>
      </w:pPr>
    </w:p>
    <w:p w14:paraId="000001C2" w14:textId="77777777" w:rsidR="00FA794D" w:rsidRDefault="009F509E">
      <w:pPr>
        <w:pBdr>
          <w:top w:val="nil"/>
          <w:left w:val="nil"/>
          <w:bottom w:val="nil"/>
          <w:right w:val="nil"/>
          <w:between w:val="nil"/>
        </w:pBdr>
        <w:spacing w:line="240" w:lineRule="auto"/>
        <w:jc w:val="both"/>
        <w:rPr>
          <w:color w:val="000000"/>
          <w:sz w:val="24"/>
          <w:szCs w:val="24"/>
        </w:rPr>
      </w:pPr>
      <w:r>
        <w:rPr>
          <w:color w:val="000000"/>
          <w:sz w:val="24"/>
          <w:szCs w:val="24"/>
        </w:rPr>
        <w:t>De igual forma, es pertinente señalar lo que la Ley 5 de 1992 dispone sobre la materia en el artículo 286, modificado por el artículo </w:t>
      </w:r>
      <w:hyperlink r:id="rId8" w:anchor="1">
        <w:r>
          <w:rPr>
            <w:color w:val="000000"/>
            <w:sz w:val="24"/>
            <w:szCs w:val="24"/>
          </w:rPr>
          <w:t>1</w:t>
        </w:r>
      </w:hyperlink>
      <w:r>
        <w:rPr>
          <w:color w:val="000000"/>
          <w:sz w:val="24"/>
          <w:szCs w:val="24"/>
        </w:rPr>
        <w:t xml:space="preserve"> de la Ley 2003 de 2019: </w:t>
      </w:r>
    </w:p>
    <w:p w14:paraId="000001C3" w14:textId="77777777" w:rsidR="00FA794D" w:rsidRDefault="00FA794D">
      <w:pPr>
        <w:jc w:val="both"/>
        <w:rPr>
          <w:sz w:val="24"/>
          <w:szCs w:val="24"/>
        </w:rPr>
      </w:pPr>
    </w:p>
    <w:p w14:paraId="000001C4" w14:textId="77777777" w:rsidR="00FA794D" w:rsidRDefault="009F509E">
      <w:pPr>
        <w:ind w:left="426"/>
        <w:jc w:val="both"/>
        <w:rPr>
          <w:i/>
          <w:sz w:val="24"/>
          <w:szCs w:val="24"/>
        </w:rPr>
      </w:pPr>
      <w:r>
        <w:rPr>
          <w:i/>
          <w:sz w:val="24"/>
          <w:szCs w:val="24"/>
        </w:rPr>
        <w:t>“Se entiende como conflicto de interés una situación donde la discusión o votación de un proyecto de ley o acto legislativo o artículo, pueda resultar en un beneficio particular, actual y directo a favor del congresista. </w:t>
      </w:r>
    </w:p>
    <w:p w14:paraId="000001C5" w14:textId="77777777" w:rsidR="00FA794D" w:rsidRDefault="00FA794D">
      <w:pPr>
        <w:ind w:left="426"/>
        <w:jc w:val="both"/>
        <w:rPr>
          <w:i/>
          <w:sz w:val="24"/>
          <w:szCs w:val="24"/>
        </w:rPr>
      </w:pPr>
    </w:p>
    <w:p w14:paraId="000001C6" w14:textId="77777777" w:rsidR="00FA794D" w:rsidRDefault="009F509E">
      <w:pPr>
        <w:numPr>
          <w:ilvl w:val="0"/>
          <w:numId w:val="6"/>
        </w:numPr>
        <w:pBdr>
          <w:top w:val="nil"/>
          <w:left w:val="nil"/>
          <w:bottom w:val="nil"/>
          <w:right w:val="nil"/>
          <w:between w:val="nil"/>
        </w:pBdr>
        <w:spacing w:line="259" w:lineRule="auto"/>
        <w:ind w:left="426" w:hanging="360"/>
        <w:jc w:val="both"/>
        <w:rPr>
          <w:i/>
          <w:color w:val="000000"/>
          <w:sz w:val="24"/>
          <w:szCs w:val="24"/>
        </w:rPr>
      </w:pPr>
      <w:r>
        <w:rPr>
          <w:i/>
          <w:color w:val="000000"/>
          <w:sz w:val="24"/>
          <w:szCs w:val="24"/>
        </w:rPr>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000001C7" w14:textId="77777777" w:rsidR="00FA794D" w:rsidRDefault="009F509E">
      <w:pPr>
        <w:numPr>
          <w:ilvl w:val="0"/>
          <w:numId w:val="6"/>
        </w:numPr>
        <w:pBdr>
          <w:top w:val="nil"/>
          <w:left w:val="nil"/>
          <w:bottom w:val="nil"/>
          <w:right w:val="nil"/>
          <w:between w:val="nil"/>
        </w:pBdr>
        <w:spacing w:line="259" w:lineRule="auto"/>
        <w:ind w:left="426" w:hanging="360"/>
        <w:jc w:val="both"/>
        <w:rPr>
          <w:i/>
          <w:color w:val="000000"/>
          <w:sz w:val="24"/>
          <w:szCs w:val="24"/>
        </w:rPr>
      </w:pPr>
      <w:r>
        <w:rPr>
          <w:i/>
          <w:color w:val="000000"/>
          <w:sz w:val="24"/>
          <w:szCs w:val="24"/>
        </w:rPr>
        <w:t>Beneficio actual: aquel que efectivamente se configura en las circunstancias presentes y existentes al momento en el que el congresista participa de la decisión. </w:t>
      </w:r>
    </w:p>
    <w:p w14:paraId="000001C8" w14:textId="77777777" w:rsidR="00FA794D" w:rsidRDefault="009F509E">
      <w:pPr>
        <w:numPr>
          <w:ilvl w:val="0"/>
          <w:numId w:val="6"/>
        </w:numPr>
        <w:pBdr>
          <w:top w:val="nil"/>
          <w:left w:val="nil"/>
          <w:bottom w:val="nil"/>
          <w:right w:val="nil"/>
          <w:between w:val="nil"/>
        </w:pBdr>
        <w:spacing w:after="160" w:line="259" w:lineRule="auto"/>
        <w:ind w:left="426" w:hanging="360"/>
        <w:jc w:val="both"/>
        <w:rPr>
          <w:i/>
          <w:color w:val="000000"/>
          <w:sz w:val="24"/>
          <w:szCs w:val="24"/>
        </w:rPr>
      </w:pPr>
      <w:r>
        <w:rPr>
          <w:i/>
          <w:color w:val="000000"/>
          <w:sz w:val="24"/>
          <w:szCs w:val="24"/>
        </w:rPr>
        <w:t>Beneficio directo: aquel que se produzca de forma específica respecto del congresista, de su cónyuge, compañero o compañera permanente, o parientes dentro del segundo grado de consanguinidad, segundo de afinidad o primero civil.”</w:t>
      </w:r>
    </w:p>
    <w:p w14:paraId="000001C9" w14:textId="77777777" w:rsidR="00FA794D" w:rsidRDefault="009F509E">
      <w:pPr>
        <w:jc w:val="both"/>
        <w:rPr>
          <w:sz w:val="24"/>
          <w:szCs w:val="24"/>
        </w:rPr>
      </w:pPr>
      <w:r>
        <w:rPr>
          <w:sz w:val="24"/>
          <w:szCs w:val="24"/>
        </w:rPr>
        <w:t>Se recuerda que la descripción de los posibles conflictos de interés que se puedan presentar frente al trámite del presente Proyecto de Ley, conforme a lo dispuesto en el artículo 291 de la ley 5 de 1992 modificado por la ley 2003 de 2019, no exime del al Congresista de identificar causales adicionales.</w:t>
      </w:r>
    </w:p>
    <w:p w14:paraId="000001CB" w14:textId="0E19B8F9" w:rsidR="00FA794D" w:rsidRDefault="00FA794D">
      <w:pPr>
        <w:jc w:val="both"/>
        <w:rPr>
          <w:sz w:val="24"/>
          <w:szCs w:val="24"/>
        </w:rPr>
      </w:pPr>
    </w:p>
    <w:p w14:paraId="0BD9EA3F" w14:textId="41FC38CC" w:rsidR="00A41A39" w:rsidRDefault="00A41A39">
      <w:pPr>
        <w:jc w:val="both"/>
        <w:rPr>
          <w:sz w:val="24"/>
          <w:szCs w:val="24"/>
        </w:rPr>
      </w:pPr>
    </w:p>
    <w:p w14:paraId="041BAFA6" w14:textId="352E15FF" w:rsidR="00A41A39" w:rsidRDefault="00A41A39">
      <w:pPr>
        <w:jc w:val="both"/>
        <w:rPr>
          <w:sz w:val="24"/>
          <w:szCs w:val="24"/>
        </w:rPr>
      </w:pPr>
    </w:p>
    <w:p w14:paraId="440EB54C" w14:textId="034E0067" w:rsidR="00A41A39" w:rsidRDefault="00A41A39">
      <w:pPr>
        <w:jc w:val="both"/>
        <w:rPr>
          <w:sz w:val="24"/>
          <w:szCs w:val="24"/>
        </w:rPr>
      </w:pPr>
    </w:p>
    <w:p w14:paraId="62721016" w14:textId="77777777" w:rsidR="00A41A39" w:rsidRDefault="00A41A39">
      <w:pPr>
        <w:jc w:val="both"/>
        <w:rPr>
          <w:sz w:val="24"/>
          <w:szCs w:val="24"/>
        </w:rPr>
      </w:pPr>
    </w:p>
    <w:p w14:paraId="27E26F6D" w14:textId="3C185FA3" w:rsidR="00A41A39" w:rsidRPr="002D0B29" w:rsidRDefault="00A41A39" w:rsidP="00A41A39">
      <w:pPr>
        <w:pStyle w:val="Prrafodelista"/>
        <w:numPr>
          <w:ilvl w:val="0"/>
          <w:numId w:val="4"/>
        </w:numPr>
        <w:spacing w:after="160" w:line="259" w:lineRule="auto"/>
        <w:jc w:val="center"/>
        <w:rPr>
          <w:b/>
          <w:sz w:val="24"/>
          <w:szCs w:val="24"/>
          <w:lang w:val="es-ES_tradnl"/>
        </w:rPr>
      </w:pPr>
      <w:r w:rsidRPr="002D0B29">
        <w:rPr>
          <w:b/>
          <w:sz w:val="24"/>
          <w:szCs w:val="24"/>
          <w:lang w:val="es-ES_tradnl"/>
        </w:rPr>
        <w:lastRenderedPageBreak/>
        <w:t>PROPOSICIÓN</w:t>
      </w:r>
    </w:p>
    <w:p w14:paraId="34D97E3E" w14:textId="70D95E42" w:rsidR="00A41A39" w:rsidRPr="00A41A39" w:rsidRDefault="00A41A39" w:rsidP="00A41A39">
      <w:pPr>
        <w:jc w:val="both"/>
        <w:rPr>
          <w:b/>
          <w:i/>
          <w:color w:val="000000"/>
          <w:sz w:val="24"/>
          <w:szCs w:val="24"/>
        </w:rPr>
      </w:pPr>
      <w:r w:rsidRPr="00A41A39">
        <w:rPr>
          <w:sz w:val="24"/>
          <w:szCs w:val="24"/>
        </w:rPr>
        <w:t xml:space="preserve">Con fundamento en las anteriores consideraciones, de manera respetuosa solicito a la </w:t>
      </w:r>
      <w:r>
        <w:rPr>
          <w:sz w:val="24"/>
          <w:szCs w:val="24"/>
        </w:rPr>
        <w:t>Comisión Primera de la</w:t>
      </w:r>
      <w:r w:rsidRPr="00A41A39">
        <w:rPr>
          <w:sz w:val="24"/>
          <w:szCs w:val="24"/>
        </w:rPr>
        <w:t xml:space="preserve"> Cámara de Representantes, dar primer debate y aprobar Proyecto de Ley N° 008 de 2021 Cámara</w:t>
      </w:r>
      <w:r w:rsidRPr="00A41A39">
        <w:rPr>
          <w:b/>
          <w:i/>
          <w:sz w:val="24"/>
          <w:szCs w:val="24"/>
        </w:rPr>
        <w:t xml:space="preserve"> </w:t>
      </w:r>
      <w:r w:rsidRPr="00A41A39">
        <w:rPr>
          <w:b/>
          <w:i/>
          <w:color w:val="000000"/>
          <w:sz w:val="24"/>
          <w:szCs w:val="24"/>
        </w:rPr>
        <w:t xml:space="preserve">“Por medio de la cual se establecen principios y parámetros generales para la mejora de la calidad normativa en las entidades de la Rama Ejecutiva del nivel Nacional y Territorial” </w:t>
      </w:r>
      <w:r w:rsidRPr="00A41A39">
        <w:rPr>
          <w:iCs/>
          <w:sz w:val="24"/>
          <w:szCs w:val="24"/>
        </w:rPr>
        <w:t xml:space="preserve">conforme al pliego que se adjunta. </w:t>
      </w:r>
    </w:p>
    <w:p w14:paraId="16CCDB9B" w14:textId="77777777" w:rsidR="00A41A39" w:rsidRPr="002D0B29" w:rsidRDefault="00A41A39" w:rsidP="00A41A39">
      <w:pPr>
        <w:jc w:val="both"/>
      </w:pPr>
    </w:p>
    <w:p w14:paraId="4C117CEF" w14:textId="77777777" w:rsidR="00A41A39" w:rsidRPr="002D0B29" w:rsidRDefault="00A41A39" w:rsidP="00A41A39">
      <w:pPr>
        <w:jc w:val="both"/>
      </w:pPr>
    </w:p>
    <w:p w14:paraId="55F2BC6F" w14:textId="77777777" w:rsidR="00A41A39" w:rsidRPr="002D0B29" w:rsidRDefault="00A41A39" w:rsidP="00A41A39">
      <w:pPr>
        <w:jc w:val="both"/>
      </w:pPr>
      <w:r w:rsidRPr="002D0B29">
        <w:t xml:space="preserve">De los honorables congresistas, </w:t>
      </w:r>
    </w:p>
    <w:p w14:paraId="5C33BF78" w14:textId="77777777" w:rsidR="00A41A39" w:rsidRPr="002D0B29" w:rsidRDefault="00A41A39" w:rsidP="00A41A39">
      <w:pPr>
        <w:ind w:left="-349"/>
        <w:rPr>
          <w:b/>
        </w:rPr>
      </w:pPr>
    </w:p>
    <w:p w14:paraId="484553EE" w14:textId="77777777" w:rsidR="00A41A39" w:rsidRPr="002D0B29" w:rsidRDefault="00A41A39" w:rsidP="00A41A39">
      <w:pPr>
        <w:ind w:left="-349"/>
        <w:rPr>
          <w:b/>
        </w:rPr>
      </w:pPr>
    </w:p>
    <w:p w14:paraId="26B1BC89" w14:textId="77777777" w:rsidR="00A41A39" w:rsidRPr="002D0B29" w:rsidRDefault="00A41A39" w:rsidP="00A41A39">
      <w:pPr>
        <w:ind w:left="-349"/>
        <w:rPr>
          <w:b/>
        </w:rPr>
      </w:pPr>
    </w:p>
    <w:p w14:paraId="0B9A9CE7" w14:textId="77777777" w:rsidR="00A41A39" w:rsidRPr="002D0B29" w:rsidRDefault="00A41A39" w:rsidP="00A41A39">
      <w:pPr>
        <w:ind w:left="-349"/>
        <w:rPr>
          <w:b/>
        </w:rPr>
      </w:pPr>
    </w:p>
    <w:p w14:paraId="4582082F" w14:textId="77777777" w:rsidR="00A41A39" w:rsidRPr="002D0B29" w:rsidRDefault="00A41A39" w:rsidP="00A41A39">
      <w:pPr>
        <w:rPr>
          <w:b/>
        </w:rPr>
      </w:pPr>
    </w:p>
    <w:p w14:paraId="2880CABE" w14:textId="77777777" w:rsidR="00A41A39" w:rsidRPr="002D0B29" w:rsidRDefault="00A41A39" w:rsidP="00A41A39">
      <w:pPr>
        <w:ind w:left="-349"/>
        <w:rPr>
          <w:b/>
        </w:rPr>
      </w:pPr>
    </w:p>
    <w:p w14:paraId="6FEEA26D" w14:textId="77777777" w:rsidR="00A41A39" w:rsidRPr="002D0B29" w:rsidRDefault="00A41A39" w:rsidP="00A41A39">
      <w:pPr>
        <w:jc w:val="both"/>
        <w:rPr>
          <w:b/>
        </w:rPr>
      </w:pPr>
      <w:r w:rsidRPr="002D0B29">
        <w:rPr>
          <w:b/>
        </w:rPr>
        <w:t>___________________________</w:t>
      </w:r>
    </w:p>
    <w:p w14:paraId="30DA33C6" w14:textId="77777777" w:rsidR="00A41A39" w:rsidRPr="002D0B29" w:rsidRDefault="00A41A39" w:rsidP="00A41A39">
      <w:pPr>
        <w:jc w:val="both"/>
        <w:rPr>
          <w:b/>
        </w:rPr>
      </w:pPr>
      <w:r w:rsidRPr="002D0B29">
        <w:rPr>
          <w:b/>
        </w:rPr>
        <w:t>JUAN FERNANDO REYES KURI</w:t>
      </w:r>
    </w:p>
    <w:p w14:paraId="3E00F64A" w14:textId="77777777" w:rsidR="00A41A39" w:rsidRPr="002D0B29" w:rsidRDefault="00A41A39" w:rsidP="00A41A39">
      <w:pPr>
        <w:jc w:val="both"/>
      </w:pPr>
      <w:r w:rsidRPr="002D0B29">
        <w:t>Representante a la Cámara por el Valle del Cauca</w:t>
      </w:r>
    </w:p>
    <w:p w14:paraId="45F55A09" w14:textId="77777777" w:rsidR="00A41A39" w:rsidRPr="002D0B29" w:rsidRDefault="00A41A39" w:rsidP="00A41A39">
      <w:pPr>
        <w:jc w:val="both"/>
      </w:pPr>
      <w:r w:rsidRPr="002D0B29">
        <w:t>Partido Liberal</w:t>
      </w:r>
    </w:p>
    <w:p w14:paraId="2B598813" w14:textId="24C618F2" w:rsidR="008531D0" w:rsidRDefault="008531D0">
      <w:pPr>
        <w:jc w:val="both"/>
        <w:rPr>
          <w:sz w:val="24"/>
          <w:szCs w:val="24"/>
        </w:rPr>
      </w:pPr>
    </w:p>
    <w:p w14:paraId="5EB7BFCC" w14:textId="77777777" w:rsidR="008531D0" w:rsidRDefault="008531D0">
      <w:pPr>
        <w:jc w:val="both"/>
        <w:rPr>
          <w:sz w:val="24"/>
          <w:szCs w:val="24"/>
        </w:rPr>
      </w:pPr>
    </w:p>
    <w:p w14:paraId="000001CC" w14:textId="2793F736" w:rsidR="00FA794D" w:rsidRDefault="00FA794D">
      <w:pPr>
        <w:spacing w:line="240" w:lineRule="auto"/>
        <w:rPr>
          <w:sz w:val="24"/>
          <w:szCs w:val="24"/>
        </w:rPr>
      </w:pPr>
    </w:p>
    <w:p w14:paraId="727F93F4" w14:textId="235BE078" w:rsidR="00A41A39" w:rsidRDefault="00A41A39">
      <w:pPr>
        <w:spacing w:line="240" w:lineRule="auto"/>
        <w:rPr>
          <w:sz w:val="24"/>
          <w:szCs w:val="24"/>
        </w:rPr>
      </w:pPr>
    </w:p>
    <w:p w14:paraId="16BF1391" w14:textId="3B5E6F74" w:rsidR="00A41A39" w:rsidRDefault="00A41A39">
      <w:pPr>
        <w:spacing w:line="240" w:lineRule="auto"/>
        <w:rPr>
          <w:sz w:val="24"/>
          <w:szCs w:val="24"/>
        </w:rPr>
      </w:pPr>
    </w:p>
    <w:p w14:paraId="30E67D73" w14:textId="1567631F" w:rsidR="00A41A39" w:rsidRDefault="00A41A39">
      <w:pPr>
        <w:spacing w:line="240" w:lineRule="auto"/>
        <w:rPr>
          <w:sz w:val="24"/>
          <w:szCs w:val="24"/>
        </w:rPr>
      </w:pPr>
    </w:p>
    <w:p w14:paraId="3A525489" w14:textId="0381CF0F" w:rsidR="00A41A39" w:rsidRDefault="00A41A39">
      <w:pPr>
        <w:spacing w:line="240" w:lineRule="auto"/>
        <w:rPr>
          <w:sz w:val="24"/>
          <w:szCs w:val="24"/>
        </w:rPr>
      </w:pPr>
    </w:p>
    <w:p w14:paraId="25F12A46" w14:textId="2FEF7F45" w:rsidR="00A41A39" w:rsidRDefault="00A41A39">
      <w:pPr>
        <w:spacing w:line="240" w:lineRule="auto"/>
        <w:rPr>
          <w:sz w:val="24"/>
          <w:szCs w:val="24"/>
        </w:rPr>
      </w:pPr>
    </w:p>
    <w:p w14:paraId="11F24A9E" w14:textId="17254CFE" w:rsidR="00A41A39" w:rsidRDefault="00A41A39">
      <w:pPr>
        <w:spacing w:line="240" w:lineRule="auto"/>
        <w:rPr>
          <w:sz w:val="24"/>
          <w:szCs w:val="24"/>
        </w:rPr>
      </w:pPr>
    </w:p>
    <w:p w14:paraId="0D076B97" w14:textId="70B745FC" w:rsidR="00A41A39" w:rsidRDefault="00A41A39">
      <w:pPr>
        <w:spacing w:line="240" w:lineRule="auto"/>
        <w:rPr>
          <w:sz w:val="24"/>
          <w:szCs w:val="24"/>
        </w:rPr>
      </w:pPr>
    </w:p>
    <w:p w14:paraId="4204D559" w14:textId="4E799A76" w:rsidR="00A41A39" w:rsidRDefault="00A41A39">
      <w:pPr>
        <w:spacing w:line="240" w:lineRule="auto"/>
        <w:rPr>
          <w:sz w:val="24"/>
          <w:szCs w:val="24"/>
        </w:rPr>
      </w:pPr>
    </w:p>
    <w:p w14:paraId="2A27869F" w14:textId="49644EDD" w:rsidR="00A41A39" w:rsidRDefault="00A41A39">
      <w:pPr>
        <w:spacing w:line="240" w:lineRule="auto"/>
        <w:rPr>
          <w:sz w:val="24"/>
          <w:szCs w:val="24"/>
        </w:rPr>
      </w:pPr>
    </w:p>
    <w:p w14:paraId="28324A9B" w14:textId="2C64D960" w:rsidR="00A41A39" w:rsidRDefault="00A41A39">
      <w:pPr>
        <w:spacing w:line="240" w:lineRule="auto"/>
        <w:rPr>
          <w:sz w:val="24"/>
          <w:szCs w:val="24"/>
        </w:rPr>
      </w:pPr>
    </w:p>
    <w:p w14:paraId="33F41324" w14:textId="358F08B2" w:rsidR="00A41A39" w:rsidRDefault="00A41A39">
      <w:pPr>
        <w:spacing w:line="240" w:lineRule="auto"/>
        <w:rPr>
          <w:sz w:val="24"/>
          <w:szCs w:val="24"/>
        </w:rPr>
      </w:pPr>
    </w:p>
    <w:p w14:paraId="4B4D6C7B" w14:textId="74478006" w:rsidR="00A41A39" w:rsidRDefault="00A41A39">
      <w:pPr>
        <w:spacing w:line="240" w:lineRule="auto"/>
        <w:rPr>
          <w:sz w:val="24"/>
          <w:szCs w:val="24"/>
        </w:rPr>
      </w:pPr>
    </w:p>
    <w:p w14:paraId="7607621C" w14:textId="144BB6CC" w:rsidR="00A41A39" w:rsidRDefault="00A41A39">
      <w:pPr>
        <w:spacing w:line="240" w:lineRule="auto"/>
        <w:rPr>
          <w:sz w:val="24"/>
          <w:szCs w:val="24"/>
        </w:rPr>
      </w:pPr>
    </w:p>
    <w:p w14:paraId="37B075DE" w14:textId="07A6A39D" w:rsidR="00A41A39" w:rsidRDefault="00A41A39">
      <w:pPr>
        <w:spacing w:line="240" w:lineRule="auto"/>
        <w:rPr>
          <w:sz w:val="24"/>
          <w:szCs w:val="24"/>
        </w:rPr>
      </w:pPr>
    </w:p>
    <w:p w14:paraId="1EDF68F9" w14:textId="7BCACF00" w:rsidR="00A41A39" w:rsidRDefault="00A41A39">
      <w:pPr>
        <w:spacing w:line="240" w:lineRule="auto"/>
        <w:rPr>
          <w:sz w:val="24"/>
          <w:szCs w:val="24"/>
        </w:rPr>
      </w:pPr>
    </w:p>
    <w:p w14:paraId="2E743C32" w14:textId="3C36141E" w:rsidR="00A41A39" w:rsidRDefault="00A41A39">
      <w:pPr>
        <w:spacing w:line="240" w:lineRule="auto"/>
        <w:rPr>
          <w:sz w:val="24"/>
          <w:szCs w:val="24"/>
        </w:rPr>
      </w:pPr>
    </w:p>
    <w:p w14:paraId="01AEA775" w14:textId="245ADDD7" w:rsidR="00A41A39" w:rsidRDefault="00A41A39">
      <w:pPr>
        <w:spacing w:line="240" w:lineRule="auto"/>
        <w:rPr>
          <w:sz w:val="24"/>
          <w:szCs w:val="24"/>
        </w:rPr>
      </w:pPr>
    </w:p>
    <w:p w14:paraId="4CFD4CA3" w14:textId="77777777" w:rsidR="00A41A39" w:rsidRDefault="00A41A39">
      <w:pPr>
        <w:spacing w:line="240" w:lineRule="auto"/>
        <w:rPr>
          <w:sz w:val="24"/>
          <w:szCs w:val="24"/>
        </w:rPr>
      </w:pPr>
    </w:p>
    <w:p w14:paraId="1FFD7A05" w14:textId="3CDAF4D3" w:rsidR="008531D0" w:rsidRDefault="008531D0">
      <w:pPr>
        <w:rPr>
          <w:sz w:val="24"/>
          <w:szCs w:val="24"/>
        </w:rPr>
      </w:pPr>
    </w:p>
    <w:p w14:paraId="36EF245C" w14:textId="77777777" w:rsidR="00EF5706" w:rsidRDefault="00EF5706">
      <w:pPr>
        <w:rPr>
          <w:sz w:val="24"/>
          <w:szCs w:val="24"/>
        </w:rPr>
      </w:pPr>
    </w:p>
    <w:p w14:paraId="3A245095" w14:textId="77777777" w:rsidR="0036009C" w:rsidRDefault="0036009C">
      <w:pPr>
        <w:rPr>
          <w:sz w:val="24"/>
          <w:szCs w:val="24"/>
        </w:rPr>
      </w:pPr>
    </w:p>
    <w:p w14:paraId="26161ADB" w14:textId="7243B829" w:rsidR="0036009C" w:rsidRPr="00A41A39" w:rsidRDefault="00A41A39" w:rsidP="00A41A39">
      <w:pPr>
        <w:pStyle w:val="Prrafodelista"/>
        <w:numPr>
          <w:ilvl w:val="0"/>
          <w:numId w:val="4"/>
        </w:numPr>
        <w:pBdr>
          <w:top w:val="nil"/>
          <w:left w:val="nil"/>
          <w:bottom w:val="nil"/>
          <w:right w:val="nil"/>
          <w:between w:val="nil"/>
        </w:pBdr>
        <w:jc w:val="center"/>
        <w:rPr>
          <w:b/>
          <w:color w:val="000000"/>
          <w:sz w:val="24"/>
          <w:szCs w:val="24"/>
        </w:rPr>
      </w:pPr>
      <w:r>
        <w:rPr>
          <w:b/>
          <w:color w:val="000000"/>
          <w:sz w:val="24"/>
          <w:szCs w:val="24"/>
          <w:lang w:val="es-ES_tradnl"/>
        </w:rPr>
        <w:t xml:space="preserve">TEXTO PROPUESTO PARA PRIMER DEBATE </w:t>
      </w:r>
      <w:r w:rsidR="00E40CC2">
        <w:rPr>
          <w:b/>
          <w:color w:val="000000"/>
          <w:sz w:val="24"/>
          <w:szCs w:val="24"/>
          <w:lang w:val="es-ES_tradnl"/>
        </w:rPr>
        <w:t xml:space="preserve">DEL </w:t>
      </w:r>
      <w:r w:rsidR="0036009C" w:rsidRPr="00A41A39">
        <w:rPr>
          <w:b/>
          <w:color w:val="000000"/>
          <w:sz w:val="24"/>
          <w:szCs w:val="24"/>
        </w:rPr>
        <w:t xml:space="preserve">PROYECTO DE LEY N° </w:t>
      </w:r>
      <w:r w:rsidR="00EF5706">
        <w:rPr>
          <w:b/>
          <w:color w:val="000000"/>
          <w:sz w:val="24"/>
          <w:szCs w:val="24"/>
        </w:rPr>
        <w:t>008</w:t>
      </w:r>
      <w:r w:rsidR="00887B15">
        <w:rPr>
          <w:b/>
          <w:color w:val="000000"/>
          <w:sz w:val="24"/>
          <w:szCs w:val="24"/>
        </w:rPr>
        <w:t xml:space="preserve"> </w:t>
      </w:r>
      <w:r w:rsidR="0036009C" w:rsidRPr="00A41A39">
        <w:rPr>
          <w:b/>
          <w:color w:val="000000"/>
          <w:sz w:val="24"/>
          <w:szCs w:val="24"/>
        </w:rPr>
        <w:t xml:space="preserve">DE 2021 CÁMARA </w:t>
      </w:r>
      <w:r w:rsidR="00EF5706">
        <w:rPr>
          <w:b/>
          <w:color w:val="000000"/>
          <w:sz w:val="24"/>
          <w:szCs w:val="24"/>
        </w:rPr>
        <w:t>“</w:t>
      </w:r>
      <w:r w:rsidR="0036009C" w:rsidRPr="00A41A39">
        <w:rPr>
          <w:b/>
          <w:color w:val="000000"/>
          <w:sz w:val="24"/>
          <w:szCs w:val="24"/>
        </w:rPr>
        <w:t>Por medio de la cual se establecen principios y parámetros generales para la mejora de la calidad normativa en las entidades de la Rama Ejecutiva del nivel Nacional y Territorial”</w:t>
      </w:r>
      <w:r w:rsidR="00D12A64">
        <w:rPr>
          <w:b/>
          <w:color w:val="000000"/>
          <w:sz w:val="24"/>
          <w:szCs w:val="24"/>
        </w:rPr>
        <w:t>.</w:t>
      </w:r>
    </w:p>
    <w:p w14:paraId="3911063F" w14:textId="77777777" w:rsidR="0036009C" w:rsidRDefault="0036009C" w:rsidP="0036009C">
      <w:pPr>
        <w:spacing w:line="240" w:lineRule="auto"/>
        <w:jc w:val="both"/>
        <w:rPr>
          <w:b/>
          <w:sz w:val="24"/>
          <w:szCs w:val="24"/>
        </w:rPr>
      </w:pPr>
    </w:p>
    <w:p w14:paraId="5D296BB0" w14:textId="77777777" w:rsidR="0036009C" w:rsidRDefault="0036009C" w:rsidP="0036009C">
      <w:pPr>
        <w:pBdr>
          <w:top w:val="nil"/>
          <w:left w:val="nil"/>
          <w:bottom w:val="nil"/>
          <w:right w:val="nil"/>
          <w:between w:val="nil"/>
        </w:pBdr>
        <w:spacing w:line="240" w:lineRule="auto"/>
        <w:jc w:val="center"/>
        <w:rPr>
          <w:b/>
          <w:color w:val="000000"/>
          <w:sz w:val="24"/>
          <w:szCs w:val="24"/>
        </w:rPr>
      </w:pPr>
      <w:r>
        <w:rPr>
          <w:b/>
          <w:color w:val="000000"/>
          <w:sz w:val="24"/>
          <w:szCs w:val="24"/>
        </w:rPr>
        <w:t>EL CONGRESO DE LA REPÚBLICA,</w:t>
      </w:r>
    </w:p>
    <w:p w14:paraId="19151FBF" w14:textId="77777777" w:rsidR="0036009C" w:rsidRDefault="0036009C" w:rsidP="0036009C">
      <w:pPr>
        <w:pBdr>
          <w:top w:val="nil"/>
          <w:left w:val="nil"/>
          <w:bottom w:val="nil"/>
          <w:right w:val="nil"/>
          <w:between w:val="nil"/>
        </w:pBdr>
        <w:spacing w:line="240" w:lineRule="auto"/>
        <w:jc w:val="center"/>
        <w:rPr>
          <w:b/>
          <w:color w:val="000000"/>
          <w:sz w:val="24"/>
          <w:szCs w:val="24"/>
        </w:rPr>
      </w:pPr>
    </w:p>
    <w:p w14:paraId="5A6FAFF0" w14:textId="77777777" w:rsidR="0036009C" w:rsidRDefault="0036009C" w:rsidP="0036009C">
      <w:pPr>
        <w:pBdr>
          <w:top w:val="nil"/>
          <w:left w:val="nil"/>
          <w:bottom w:val="nil"/>
          <w:right w:val="nil"/>
          <w:between w:val="nil"/>
        </w:pBdr>
        <w:spacing w:line="240" w:lineRule="auto"/>
        <w:jc w:val="center"/>
        <w:rPr>
          <w:b/>
          <w:color w:val="000000"/>
          <w:sz w:val="24"/>
          <w:szCs w:val="24"/>
        </w:rPr>
      </w:pPr>
      <w:r>
        <w:rPr>
          <w:b/>
          <w:color w:val="000000"/>
          <w:sz w:val="24"/>
          <w:szCs w:val="24"/>
        </w:rPr>
        <w:t>DECRETA:</w:t>
      </w:r>
    </w:p>
    <w:p w14:paraId="09BD63F5" w14:textId="77777777" w:rsidR="0036009C" w:rsidRDefault="0036009C" w:rsidP="0036009C">
      <w:pPr>
        <w:pBdr>
          <w:top w:val="nil"/>
          <w:left w:val="nil"/>
          <w:bottom w:val="nil"/>
          <w:right w:val="nil"/>
          <w:between w:val="nil"/>
        </w:pBdr>
        <w:spacing w:line="240" w:lineRule="auto"/>
        <w:jc w:val="center"/>
        <w:rPr>
          <w:b/>
          <w:color w:val="000000"/>
          <w:sz w:val="24"/>
          <w:szCs w:val="24"/>
        </w:rPr>
      </w:pPr>
    </w:p>
    <w:p w14:paraId="41B05258" w14:textId="77777777" w:rsidR="0036009C" w:rsidRDefault="0036009C" w:rsidP="0036009C">
      <w:pPr>
        <w:ind w:left="360"/>
        <w:jc w:val="center"/>
        <w:rPr>
          <w:b/>
          <w:color w:val="000000"/>
          <w:sz w:val="24"/>
          <w:szCs w:val="24"/>
        </w:rPr>
      </w:pPr>
      <w:r>
        <w:rPr>
          <w:b/>
          <w:color w:val="000000"/>
          <w:sz w:val="24"/>
          <w:szCs w:val="24"/>
        </w:rPr>
        <w:t>CAPÍTULO I</w:t>
      </w:r>
    </w:p>
    <w:p w14:paraId="2453D77B" w14:textId="77777777" w:rsidR="0036009C" w:rsidRDefault="0036009C" w:rsidP="0036009C">
      <w:pPr>
        <w:ind w:left="360"/>
        <w:jc w:val="center"/>
        <w:rPr>
          <w:b/>
          <w:color w:val="000000"/>
          <w:sz w:val="24"/>
          <w:szCs w:val="24"/>
        </w:rPr>
      </w:pPr>
      <w:r>
        <w:rPr>
          <w:b/>
          <w:color w:val="000000"/>
          <w:sz w:val="24"/>
          <w:szCs w:val="24"/>
        </w:rPr>
        <w:t xml:space="preserve">OBJETO, DEFINICIONES Y </w:t>
      </w:r>
    </w:p>
    <w:p w14:paraId="3F7E5789" w14:textId="77777777" w:rsidR="0036009C" w:rsidRDefault="0036009C" w:rsidP="0036009C">
      <w:pPr>
        <w:ind w:left="360"/>
        <w:jc w:val="center"/>
        <w:rPr>
          <w:b/>
          <w:color w:val="000000"/>
          <w:sz w:val="24"/>
          <w:szCs w:val="24"/>
        </w:rPr>
      </w:pPr>
      <w:r>
        <w:rPr>
          <w:b/>
          <w:color w:val="000000"/>
          <w:sz w:val="24"/>
          <w:szCs w:val="24"/>
        </w:rPr>
        <w:t>PRINCIPIOS DE LA CALIDAD NORMATIVA.</w:t>
      </w:r>
    </w:p>
    <w:p w14:paraId="6CF0F20B" w14:textId="77777777" w:rsidR="0036009C" w:rsidRDefault="0036009C" w:rsidP="0036009C">
      <w:pPr>
        <w:ind w:left="360"/>
        <w:jc w:val="center"/>
        <w:rPr>
          <w:b/>
          <w:color w:val="000000"/>
          <w:sz w:val="24"/>
          <w:szCs w:val="24"/>
        </w:rPr>
      </w:pPr>
    </w:p>
    <w:p w14:paraId="72827093" w14:textId="77777777" w:rsidR="0036009C" w:rsidRDefault="0036009C" w:rsidP="0036009C">
      <w:pPr>
        <w:jc w:val="both"/>
        <w:rPr>
          <w:sz w:val="24"/>
          <w:szCs w:val="24"/>
        </w:rPr>
      </w:pPr>
      <w:r>
        <w:rPr>
          <w:b/>
          <w:sz w:val="24"/>
          <w:szCs w:val="24"/>
        </w:rPr>
        <w:t>ARTÍCULO 1º. OBJETO.</w:t>
      </w:r>
      <w:r>
        <w:rPr>
          <w:sz w:val="24"/>
          <w:szCs w:val="24"/>
        </w:rPr>
        <w:t xml:space="preserve"> Tiene como fin establecer principios y parámetros generales para la producción, modificación o derogación de actos administrativos de carácter general, con el fin de garantizar la mejora de la calidad normativa en las entidades de la Rama Ejecutiva del nivel nacional y territorial.</w:t>
      </w:r>
    </w:p>
    <w:p w14:paraId="1125BCDA" w14:textId="77777777" w:rsidR="0036009C" w:rsidRDefault="0036009C" w:rsidP="0036009C">
      <w:pPr>
        <w:ind w:left="360"/>
        <w:jc w:val="both"/>
        <w:rPr>
          <w:b/>
          <w:color w:val="000000"/>
          <w:sz w:val="24"/>
          <w:szCs w:val="24"/>
        </w:rPr>
      </w:pPr>
    </w:p>
    <w:p w14:paraId="6FCABE00" w14:textId="77777777" w:rsidR="0036009C" w:rsidRDefault="0036009C" w:rsidP="0036009C">
      <w:pPr>
        <w:pBdr>
          <w:top w:val="nil"/>
          <w:left w:val="nil"/>
          <w:bottom w:val="nil"/>
          <w:right w:val="nil"/>
          <w:between w:val="nil"/>
        </w:pBdr>
        <w:spacing w:before="120" w:line="240" w:lineRule="auto"/>
        <w:jc w:val="both"/>
        <w:rPr>
          <w:b/>
          <w:color w:val="000000"/>
          <w:sz w:val="24"/>
          <w:szCs w:val="24"/>
        </w:rPr>
      </w:pPr>
      <w:r>
        <w:rPr>
          <w:b/>
          <w:color w:val="000000"/>
          <w:sz w:val="24"/>
          <w:szCs w:val="24"/>
        </w:rPr>
        <w:t>ARTÍCULO 2º.</w:t>
      </w:r>
      <w:r>
        <w:rPr>
          <w:color w:val="000000"/>
          <w:sz w:val="24"/>
          <w:szCs w:val="24"/>
        </w:rPr>
        <w:t xml:space="preserve"> </w:t>
      </w:r>
      <w:r>
        <w:rPr>
          <w:b/>
          <w:color w:val="000000"/>
          <w:sz w:val="24"/>
          <w:szCs w:val="24"/>
        </w:rPr>
        <w:t>ÁMBITO DE APLICACIÓN.</w:t>
      </w:r>
      <w:r>
        <w:rPr>
          <w:color w:val="000000"/>
          <w:sz w:val="24"/>
          <w:szCs w:val="24"/>
        </w:rPr>
        <w:t xml:space="preserve"> Las disposiciones de la presente ley aplican para la producción, modificación o derogación de actos administrativos de carácter general por parte de los organismos y entidades que conforman la Rama Ejecutiva del Poder Público, del nivel nacional y territorial, y por los órganos autónomos e independientes del Estado, los cuales se entenderán como los sujetos obligados para efectos de la presente ley. </w:t>
      </w:r>
    </w:p>
    <w:p w14:paraId="4FE7F8CA" w14:textId="77777777" w:rsidR="0036009C" w:rsidRDefault="0036009C" w:rsidP="0036009C">
      <w:pPr>
        <w:pBdr>
          <w:top w:val="nil"/>
          <w:left w:val="nil"/>
          <w:bottom w:val="nil"/>
          <w:right w:val="nil"/>
          <w:between w:val="nil"/>
        </w:pBdr>
        <w:spacing w:before="120" w:line="240" w:lineRule="auto"/>
        <w:jc w:val="both"/>
        <w:rPr>
          <w:color w:val="000000"/>
          <w:sz w:val="24"/>
          <w:szCs w:val="24"/>
        </w:rPr>
      </w:pPr>
      <w:r>
        <w:rPr>
          <w:color w:val="000000"/>
          <w:sz w:val="24"/>
          <w:szCs w:val="24"/>
        </w:rPr>
        <w:t>Se excluye de la aplicación de la ley a los siguientes actos administrativos:</w:t>
      </w:r>
    </w:p>
    <w:p w14:paraId="114041B7" w14:textId="77777777" w:rsidR="0036009C" w:rsidRDefault="0036009C" w:rsidP="0036009C">
      <w:pPr>
        <w:numPr>
          <w:ilvl w:val="0"/>
          <w:numId w:val="2"/>
        </w:numPr>
        <w:pBdr>
          <w:top w:val="nil"/>
          <w:left w:val="nil"/>
          <w:bottom w:val="nil"/>
          <w:right w:val="nil"/>
          <w:between w:val="nil"/>
        </w:pBdr>
        <w:spacing w:before="120" w:line="240" w:lineRule="auto"/>
        <w:ind w:left="993" w:hanging="142"/>
        <w:jc w:val="both"/>
        <w:rPr>
          <w:color w:val="000000"/>
          <w:sz w:val="24"/>
          <w:szCs w:val="24"/>
        </w:rPr>
      </w:pPr>
      <w:r>
        <w:rPr>
          <w:color w:val="000000"/>
          <w:sz w:val="24"/>
          <w:szCs w:val="24"/>
        </w:rPr>
        <w:t>Los actos administrativos de carácter particular.</w:t>
      </w:r>
    </w:p>
    <w:p w14:paraId="6925C545" w14:textId="77777777" w:rsidR="0036009C" w:rsidRDefault="0036009C" w:rsidP="0036009C">
      <w:pPr>
        <w:numPr>
          <w:ilvl w:val="0"/>
          <w:numId w:val="2"/>
        </w:numPr>
        <w:pBdr>
          <w:top w:val="nil"/>
          <w:left w:val="nil"/>
          <w:bottom w:val="nil"/>
          <w:right w:val="nil"/>
          <w:between w:val="nil"/>
        </w:pBdr>
        <w:spacing w:before="120" w:line="240" w:lineRule="auto"/>
        <w:ind w:left="993" w:hanging="142"/>
        <w:jc w:val="both"/>
        <w:rPr>
          <w:color w:val="000000"/>
          <w:sz w:val="24"/>
          <w:szCs w:val="24"/>
        </w:rPr>
      </w:pPr>
      <w:r>
        <w:rPr>
          <w:color w:val="000000"/>
          <w:sz w:val="24"/>
          <w:szCs w:val="24"/>
        </w:rPr>
        <w:t xml:space="preserve">Actos administrativos que </w:t>
      </w:r>
      <w:r>
        <w:rPr>
          <w:sz w:val="24"/>
          <w:szCs w:val="24"/>
        </w:rPr>
        <w:t>expidan</w:t>
      </w:r>
      <w:r>
        <w:rPr>
          <w:color w:val="000000"/>
          <w:sz w:val="24"/>
          <w:szCs w:val="24"/>
        </w:rPr>
        <w:t xml:space="preserve"> o requieran la firma del Presidente.</w:t>
      </w:r>
    </w:p>
    <w:p w14:paraId="690DE652" w14:textId="77777777" w:rsidR="0036009C" w:rsidRDefault="0036009C" w:rsidP="0036009C">
      <w:pPr>
        <w:numPr>
          <w:ilvl w:val="0"/>
          <w:numId w:val="2"/>
        </w:numPr>
        <w:pBdr>
          <w:top w:val="nil"/>
          <w:left w:val="nil"/>
          <w:bottom w:val="nil"/>
          <w:right w:val="nil"/>
          <w:between w:val="nil"/>
        </w:pBdr>
        <w:spacing w:before="120" w:line="240" w:lineRule="auto"/>
        <w:ind w:left="993" w:hanging="142"/>
        <w:jc w:val="both"/>
        <w:rPr>
          <w:color w:val="000000"/>
          <w:sz w:val="24"/>
          <w:szCs w:val="24"/>
        </w:rPr>
      </w:pPr>
      <w:r>
        <w:rPr>
          <w:color w:val="000000"/>
          <w:sz w:val="24"/>
          <w:szCs w:val="24"/>
        </w:rPr>
        <w:t>Los promulgados en razón de la declaración de los Estados de excepción.</w:t>
      </w:r>
    </w:p>
    <w:p w14:paraId="5549B41A" w14:textId="77777777" w:rsidR="0036009C" w:rsidRDefault="0036009C" w:rsidP="0036009C">
      <w:pPr>
        <w:numPr>
          <w:ilvl w:val="0"/>
          <w:numId w:val="2"/>
        </w:numPr>
        <w:pBdr>
          <w:top w:val="nil"/>
          <w:left w:val="nil"/>
          <w:bottom w:val="nil"/>
          <w:right w:val="nil"/>
          <w:between w:val="nil"/>
        </w:pBdr>
        <w:spacing w:before="120" w:line="240" w:lineRule="auto"/>
        <w:ind w:left="993" w:hanging="142"/>
        <w:jc w:val="both"/>
        <w:rPr>
          <w:color w:val="000000"/>
          <w:sz w:val="24"/>
          <w:szCs w:val="24"/>
        </w:rPr>
      </w:pPr>
      <w:r>
        <w:rPr>
          <w:color w:val="000000"/>
          <w:sz w:val="24"/>
          <w:szCs w:val="24"/>
        </w:rPr>
        <w:t xml:space="preserve">Cuando se trate de procedimientos militares o de policía que por su naturaleza requieran decisiones de aplicación inmediata, para evitar o remediar perturbaciones de orden público en los aspectos de defensa nacional, seguridad, tranquilidad, salubridad, y circulación de personas y cosas. </w:t>
      </w:r>
    </w:p>
    <w:p w14:paraId="078F1AE5" w14:textId="77777777" w:rsidR="0036009C" w:rsidRDefault="0036009C" w:rsidP="0036009C">
      <w:pPr>
        <w:numPr>
          <w:ilvl w:val="0"/>
          <w:numId w:val="2"/>
        </w:numPr>
        <w:pBdr>
          <w:top w:val="nil"/>
          <w:left w:val="nil"/>
          <w:bottom w:val="nil"/>
          <w:right w:val="nil"/>
          <w:between w:val="nil"/>
        </w:pBdr>
        <w:spacing w:before="120" w:line="240" w:lineRule="auto"/>
        <w:ind w:left="993" w:hanging="142"/>
        <w:jc w:val="both"/>
        <w:rPr>
          <w:color w:val="000000"/>
          <w:sz w:val="24"/>
          <w:szCs w:val="24"/>
        </w:rPr>
      </w:pPr>
      <w:r>
        <w:rPr>
          <w:color w:val="000000"/>
          <w:sz w:val="24"/>
          <w:szCs w:val="24"/>
        </w:rPr>
        <w:t>Actos administrativos que se expidan en desarrollo de la Ley 4 de 1992.</w:t>
      </w:r>
    </w:p>
    <w:p w14:paraId="180787AE" w14:textId="77777777" w:rsidR="0036009C" w:rsidRDefault="0036009C" w:rsidP="0036009C">
      <w:pPr>
        <w:numPr>
          <w:ilvl w:val="0"/>
          <w:numId w:val="2"/>
        </w:numPr>
        <w:pBdr>
          <w:top w:val="nil"/>
          <w:left w:val="nil"/>
          <w:bottom w:val="nil"/>
          <w:right w:val="nil"/>
          <w:between w:val="nil"/>
        </w:pBdr>
        <w:spacing w:before="120" w:line="240" w:lineRule="auto"/>
        <w:ind w:left="993" w:hanging="142"/>
        <w:jc w:val="both"/>
        <w:rPr>
          <w:color w:val="000000"/>
          <w:sz w:val="24"/>
          <w:szCs w:val="24"/>
        </w:rPr>
      </w:pPr>
      <w:r>
        <w:rPr>
          <w:color w:val="000000"/>
          <w:sz w:val="24"/>
          <w:szCs w:val="24"/>
        </w:rPr>
        <w:t>Actos administrativos de carácter presupuestal.</w:t>
      </w:r>
    </w:p>
    <w:p w14:paraId="73ECD26F" w14:textId="77777777" w:rsidR="0036009C" w:rsidRDefault="0036009C" w:rsidP="0036009C">
      <w:pPr>
        <w:numPr>
          <w:ilvl w:val="0"/>
          <w:numId w:val="2"/>
        </w:numPr>
        <w:pBdr>
          <w:top w:val="nil"/>
          <w:left w:val="nil"/>
          <w:bottom w:val="nil"/>
          <w:right w:val="nil"/>
          <w:between w:val="nil"/>
        </w:pBdr>
        <w:spacing w:before="120" w:line="240" w:lineRule="auto"/>
        <w:ind w:left="993" w:hanging="142"/>
        <w:jc w:val="both"/>
        <w:rPr>
          <w:color w:val="000000"/>
          <w:sz w:val="24"/>
          <w:szCs w:val="24"/>
        </w:rPr>
      </w:pPr>
      <w:r>
        <w:rPr>
          <w:color w:val="000000"/>
          <w:sz w:val="24"/>
          <w:szCs w:val="24"/>
        </w:rPr>
        <w:t>Las normas que conceden reconocimientos o distinciones, que corrigen yerros y aquellos que no generen un impacto económico, social o ambiental.</w:t>
      </w:r>
    </w:p>
    <w:p w14:paraId="5F51DD51" w14:textId="77777777" w:rsidR="0036009C" w:rsidRDefault="0036009C" w:rsidP="0036009C">
      <w:pPr>
        <w:numPr>
          <w:ilvl w:val="0"/>
          <w:numId w:val="2"/>
        </w:numPr>
        <w:pBdr>
          <w:top w:val="nil"/>
          <w:left w:val="nil"/>
          <w:bottom w:val="nil"/>
          <w:right w:val="nil"/>
          <w:between w:val="nil"/>
        </w:pBdr>
        <w:spacing w:before="120" w:line="240" w:lineRule="auto"/>
        <w:ind w:left="993" w:hanging="142"/>
        <w:jc w:val="both"/>
        <w:rPr>
          <w:color w:val="000000"/>
          <w:sz w:val="24"/>
          <w:szCs w:val="24"/>
          <w:highlight w:val="white"/>
        </w:rPr>
      </w:pPr>
      <w:r>
        <w:rPr>
          <w:color w:val="000000"/>
          <w:sz w:val="24"/>
          <w:szCs w:val="24"/>
        </w:rPr>
        <w:lastRenderedPageBreak/>
        <w:t>Actos administrativos promulgados en el marco de los procedimientos especiales de defensa comercial a cargo del Estado.</w:t>
      </w:r>
    </w:p>
    <w:p w14:paraId="62A442F7" w14:textId="77777777" w:rsidR="0036009C" w:rsidRDefault="0036009C" w:rsidP="0036009C">
      <w:pPr>
        <w:numPr>
          <w:ilvl w:val="0"/>
          <w:numId w:val="2"/>
        </w:numPr>
        <w:pBdr>
          <w:top w:val="nil"/>
          <w:left w:val="nil"/>
          <w:bottom w:val="nil"/>
          <w:right w:val="nil"/>
          <w:between w:val="nil"/>
        </w:pBdr>
        <w:spacing w:before="120" w:line="240" w:lineRule="auto"/>
        <w:ind w:left="993" w:hanging="142"/>
        <w:jc w:val="both"/>
        <w:rPr>
          <w:color w:val="000000"/>
          <w:sz w:val="24"/>
          <w:szCs w:val="24"/>
          <w:highlight w:val="white"/>
        </w:rPr>
      </w:pPr>
      <w:r>
        <w:rPr>
          <w:color w:val="000000"/>
          <w:sz w:val="24"/>
          <w:szCs w:val="24"/>
        </w:rPr>
        <w:t>Los demás casos expresamente señalados en la ley.</w:t>
      </w:r>
    </w:p>
    <w:p w14:paraId="52A9F611" w14:textId="77777777" w:rsidR="0036009C" w:rsidRDefault="0036009C" w:rsidP="0036009C">
      <w:pPr>
        <w:ind w:left="360"/>
        <w:jc w:val="both"/>
        <w:rPr>
          <w:b/>
          <w:color w:val="000000"/>
          <w:sz w:val="24"/>
          <w:szCs w:val="24"/>
        </w:rPr>
      </w:pPr>
    </w:p>
    <w:p w14:paraId="5D51B913" w14:textId="77777777" w:rsidR="0036009C" w:rsidRDefault="0036009C" w:rsidP="0036009C">
      <w:pPr>
        <w:jc w:val="both"/>
        <w:rPr>
          <w:color w:val="000000"/>
          <w:sz w:val="24"/>
          <w:szCs w:val="24"/>
        </w:rPr>
      </w:pPr>
      <w:r>
        <w:rPr>
          <w:b/>
          <w:color w:val="000000"/>
          <w:sz w:val="24"/>
          <w:szCs w:val="24"/>
        </w:rPr>
        <w:t>ARTÍCULO 3º. DEFINICIONES.</w:t>
      </w:r>
      <w:r>
        <w:rPr>
          <w:color w:val="000000"/>
          <w:sz w:val="24"/>
          <w:szCs w:val="24"/>
        </w:rPr>
        <w:t xml:space="preserve"> Para efectos de la presente ley se tendrán en cuenta las siguientes definiciones: </w:t>
      </w:r>
    </w:p>
    <w:p w14:paraId="2335F202" w14:textId="77777777" w:rsidR="0036009C" w:rsidRDefault="0036009C" w:rsidP="0036009C">
      <w:pPr>
        <w:jc w:val="both"/>
        <w:rPr>
          <w:color w:val="000000"/>
          <w:sz w:val="24"/>
          <w:szCs w:val="24"/>
        </w:rPr>
      </w:pPr>
    </w:p>
    <w:p w14:paraId="679203FA" w14:textId="77777777" w:rsidR="0036009C" w:rsidRDefault="0036009C" w:rsidP="0036009C">
      <w:pPr>
        <w:numPr>
          <w:ilvl w:val="0"/>
          <w:numId w:val="3"/>
        </w:numPr>
        <w:spacing w:after="160" w:line="259" w:lineRule="auto"/>
        <w:ind w:left="993" w:hanging="283"/>
        <w:jc w:val="both"/>
        <w:rPr>
          <w:color w:val="000000"/>
          <w:sz w:val="24"/>
          <w:szCs w:val="24"/>
        </w:rPr>
      </w:pPr>
      <w:r>
        <w:rPr>
          <w:color w:val="000000"/>
          <w:sz w:val="24"/>
          <w:szCs w:val="24"/>
        </w:rPr>
        <w:t xml:space="preserve">AGENDA NORMATIVA: Herramienta mediante la cual la administración pública planea la modificación, derogación o promulgación de aquellos actos administrativos de carácter general que previsiblemente serán necesarios para cumplir con sus funciones constitucionales y legales.  Asimismo, se constituye como una herramienta que busca materializar el principio de transparencia y publicidad frente a los ciudadanos. </w:t>
      </w:r>
    </w:p>
    <w:p w14:paraId="67AF7213" w14:textId="77777777" w:rsidR="0036009C" w:rsidRDefault="0036009C" w:rsidP="0036009C">
      <w:pPr>
        <w:numPr>
          <w:ilvl w:val="0"/>
          <w:numId w:val="3"/>
        </w:numPr>
        <w:spacing w:after="160" w:line="259" w:lineRule="auto"/>
        <w:ind w:left="993" w:hanging="283"/>
        <w:jc w:val="both"/>
        <w:rPr>
          <w:color w:val="000000"/>
          <w:sz w:val="24"/>
          <w:szCs w:val="24"/>
        </w:rPr>
      </w:pPr>
      <w:r>
        <w:rPr>
          <w:color w:val="000000"/>
          <w:sz w:val="24"/>
          <w:szCs w:val="24"/>
        </w:rPr>
        <w:t xml:space="preserve">ANÁLISIS DE IMPACTO NORMATIVO (AIN): Herramienta que le permite a la administración pública evaluar los potenciales impactos y efectos que tendría la decisión de intervenir mediante la promulgación de un acto administrativo de carácter general para atender una problemática específica. </w:t>
      </w:r>
    </w:p>
    <w:p w14:paraId="50B81E17" w14:textId="77777777" w:rsidR="0036009C" w:rsidRDefault="0036009C" w:rsidP="0036009C">
      <w:pPr>
        <w:numPr>
          <w:ilvl w:val="0"/>
          <w:numId w:val="3"/>
        </w:numPr>
        <w:spacing w:after="160" w:line="259" w:lineRule="auto"/>
        <w:ind w:left="993" w:hanging="283"/>
        <w:jc w:val="both"/>
        <w:rPr>
          <w:color w:val="000000"/>
          <w:sz w:val="24"/>
          <w:szCs w:val="24"/>
        </w:rPr>
      </w:pPr>
      <w:r>
        <w:rPr>
          <w:color w:val="000000"/>
          <w:sz w:val="24"/>
          <w:szCs w:val="24"/>
        </w:rPr>
        <w:t>CALIDAD NORMATIVA: Es la aplicación de buenas prácticas en el proceso de expedición de normas de obligatorio cumplimiento en el orden nacional y territorial, con el fin de que revistan los parámetros mínimos de calidad técnica y jurídica.</w:t>
      </w:r>
    </w:p>
    <w:p w14:paraId="4267345E" w14:textId="77777777" w:rsidR="0036009C" w:rsidRDefault="0036009C" w:rsidP="0036009C">
      <w:pPr>
        <w:numPr>
          <w:ilvl w:val="0"/>
          <w:numId w:val="3"/>
        </w:numPr>
        <w:ind w:left="993" w:hanging="283"/>
        <w:jc w:val="both"/>
        <w:rPr>
          <w:color w:val="000000"/>
          <w:sz w:val="24"/>
          <w:szCs w:val="24"/>
        </w:rPr>
      </w:pPr>
      <w:r>
        <w:rPr>
          <w:sz w:val="24"/>
          <w:szCs w:val="24"/>
        </w:rPr>
        <w:t>EVALUACION EX POST: Herramienta metodológica que le permite a la administración pública examinar la eficacia, efectividad, impacto, resultados y fallas que resulten de la decisión de intervenir mediante la promulgación de un acto administrativo de carácter general para la atención de una problemática específica.</w:t>
      </w:r>
    </w:p>
    <w:p w14:paraId="0C50D617" w14:textId="77777777" w:rsidR="0036009C" w:rsidRDefault="0036009C" w:rsidP="0036009C">
      <w:pPr>
        <w:pBdr>
          <w:top w:val="nil"/>
          <w:left w:val="nil"/>
          <w:bottom w:val="nil"/>
          <w:right w:val="nil"/>
          <w:between w:val="nil"/>
        </w:pBdr>
        <w:ind w:left="720"/>
        <w:rPr>
          <w:b/>
          <w:color w:val="000000"/>
          <w:sz w:val="24"/>
          <w:szCs w:val="24"/>
        </w:rPr>
      </w:pPr>
    </w:p>
    <w:p w14:paraId="1431DEF7" w14:textId="77777777" w:rsidR="0036009C" w:rsidRDefault="0036009C" w:rsidP="0036009C">
      <w:pPr>
        <w:jc w:val="both"/>
        <w:rPr>
          <w:color w:val="000000"/>
          <w:sz w:val="24"/>
          <w:szCs w:val="24"/>
        </w:rPr>
      </w:pPr>
      <w:r>
        <w:rPr>
          <w:b/>
          <w:color w:val="000000"/>
          <w:sz w:val="24"/>
          <w:szCs w:val="24"/>
        </w:rPr>
        <w:t>ARTÍCULO 4º. PRINCIPIOS DE LA CALIDAD NORMATIVA</w:t>
      </w:r>
      <w:r>
        <w:rPr>
          <w:color w:val="000000"/>
          <w:sz w:val="24"/>
          <w:szCs w:val="24"/>
        </w:rPr>
        <w:t>. El ciclo de producción normativa estará regido por los principios de eficacia, eficiencia, pertinencia, legalidad, idoneidad, celeridad, coherencia, competitividad, consistencia, coordinación, necesidad, participación, proporcionalidad, publicidad, razonabilidad, seguridad jurídica y transparencia.</w:t>
      </w:r>
    </w:p>
    <w:p w14:paraId="58435C75" w14:textId="77777777" w:rsidR="0036009C" w:rsidRDefault="0036009C" w:rsidP="0036009C">
      <w:pPr>
        <w:spacing w:line="240" w:lineRule="auto"/>
        <w:jc w:val="both"/>
        <w:rPr>
          <w:sz w:val="24"/>
          <w:szCs w:val="24"/>
        </w:rPr>
      </w:pPr>
    </w:p>
    <w:p w14:paraId="2B3ECD38" w14:textId="77777777" w:rsidR="0036009C" w:rsidRDefault="0036009C" w:rsidP="0036009C">
      <w:pPr>
        <w:ind w:left="360"/>
        <w:jc w:val="center"/>
        <w:rPr>
          <w:b/>
          <w:color w:val="000000"/>
          <w:sz w:val="24"/>
          <w:szCs w:val="24"/>
        </w:rPr>
      </w:pPr>
      <w:r>
        <w:rPr>
          <w:b/>
          <w:color w:val="000000"/>
          <w:sz w:val="24"/>
          <w:szCs w:val="24"/>
        </w:rPr>
        <w:t>CAPÍTULO II</w:t>
      </w:r>
    </w:p>
    <w:p w14:paraId="2353B995" w14:textId="77777777" w:rsidR="0036009C" w:rsidRDefault="0036009C" w:rsidP="0036009C">
      <w:pPr>
        <w:ind w:left="360"/>
        <w:jc w:val="center"/>
        <w:rPr>
          <w:b/>
          <w:color w:val="000000"/>
          <w:sz w:val="24"/>
          <w:szCs w:val="24"/>
        </w:rPr>
      </w:pPr>
      <w:r>
        <w:rPr>
          <w:b/>
          <w:color w:val="000000"/>
          <w:sz w:val="24"/>
          <w:szCs w:val="24"/>
        </w:rPr>
        <w:t>DEL COMITÉ PARA LA MEJORA NORMATIVA</w:t>
      </w:r>
    </w:p>
    <w:p w14:paraId="5E03539B" w14:textId="77777777" w:rsidR="0036009C" w:rsidRDefault="0036009C" w:rsidP="0036009C">
      <w:pPr>
        <w:ind w:left="360"/>
        <w:jc w:val="center"/>
        <w:rPr>
          <w:b/>
          <w:color w:val="000000"/>
          <w:sz w:val="24"/>
          <w:szCs w:val="24"/>
        </w:rPr>
      </w:pPr>
    </w:p>
    <w:p w14:paraId="40AB5047" w14:textId="77777777" w:rsidR="0036009C" w:rsidRDefault="0036009C" w:rsidP="0036009C">
      <w:pPr>
        <w:jc w:val="both"/>
        <w:rPr>
          <w:color w:val="000000"/>
          <w:sz w:val="24"/>
          <w:szCs w:val="24"/>
        </w:rPr>
      </w:pPr>
      <w:r>
        <w:rPr>
          <w:b/>
          <w:color w:val="000000"/>
          <w:sz w:val="24"/>
          <w:szCs w:val="24"/>
        </w:rPr>
        <w:t>ARTÍCULO 5º. DEL COMITÉ PARA LA MEJORA NORMATIVA.</w:t>
      </w:r>
      <w:r>
        <w:rPr>
          <w:color w:val="000000"/>
          <w:sz w:val="24"/>
          <w:szCs w:val="24"/>
        </w:rPr>
        <w:t xml:space="preserve"> El Comité para la Mejora Normativa estará conformado por los siguientes integrantes con voz y voto:</w:t>
      </w:r>
    </w:p>
    <w:p w14:paraId="07338E03" w14:textId="77777777" w:rsidR="0036009C" w:rsidRDefault="0036009C" w:rsidP="0036009C">
      <w:pPr>
        <w:jc w:val="both"/>
        <w:rPr>
          <w:color w:val="000000"/>
          <w:sz w:val="24"/>
          <w:szCs w:val="24"/>
        </w:rPr>
      </w:pPr>
      <w:r>
        <w:rPr>
          <w:color w:val="000000"/>
          <w:sz w:val="24"/>
          <w:szCs w:val="24"/>
        </w:rPr>
        <w:t xml:space="preserve"> </w:t>
      </w:r>
    </w:p>
    <w:p w14:paraId="5FDBB0E0" w14:textId="77777777" w:rsidR="0036009C" w:rsidRDefault="0036009C" w:rsidP="0036009C">
      <w:pPr>
        <w:numPr>
          <w:ilvl w:val="0"/>
          <w:numId w:val="5"/>
        </w:numPr>
        <w:spacing w:line="240" w:lineRule="auto"/>
        <w:ind w:left="993" w:hanging="142"/>
        <w:jc w:val="both"/>
        <w:rPr>
          <w:color w:val="000000"/>
          <w:sz w:val="24"/>
          <w:szCs w:val="24"/>
        </w:rPr>
      </w:pPr>
      <w:r>
        <w:rPr>
          <w:color w:val="000000"/>
          <w:sz w:val="24"/>
          <w:szCs w:val="24"/>
        </w:rPr>
        <w:lastRenderedPageBreak/>
        <w:t xml:space="preserve">El o la Secretaria Jurídica de Presidencia o un delegado. </w:t>
      </w:r>
    </w:p>
    <w:p w14:paraId="0A1D6C87" w14:textId="77777777" w:rsidR="0036009C" w:rsidRDefault="0036009C" w:rsidP="0036009C">
      <w:pPr>
        <w:numPr>
          <w:ilvl w:val="0"/>
          <w:numId w:val="5"/>
        </w:numPr>
        <w:spacing w:line="240" w:lineRule="auto"/>
        <w:ind w:left="993" w:hanging="142"/>
        <w:jc w:val="both"/>
        <w:rPr>
          <w:color w:val="000000"/>
          <w:sz w:val="24"/>
          <w:szCs w:val="24"/>
        </w:rPr>
      </w:pPr>
      <w:r>
        <w:rPr>
          <w:color w:val="000000"/>
          <w:sz w:val="24"/>
          <w:szCs w:val="24"/>
        </w:rPr>
        <w:t xml:space="preserve">Un delegado del Ministerio de Hacienda y Crédito Público. </w:t>
      </w:r>
    </w:p>
    <w:p w14:paraId="25D920C8" w14:textId="77777777" w:rsidR="0036009C" w:rsidRDefault="0036009C" w:rsidP="0036009C">
      <w:pPr>
        <w:numPr>
          <w:ilvl w:val="0"/>
          <w:numId w:val="5"/>
        </w:numPr>
        <w:spacing w:line="240" w:lineRule="auto"/>
        <w:ind w:left="993" w:hanging="142"/>
        <w:jc w:val="both"/>
        <w:rPr>
          <w:color w:val="000000"/>
          <w:sz w:val="24"/>
          <w:szCs w:val="24"/>
        </w:rPr>
      </w:pPr>
      <w:r>
        <w:rPr>
          <w:color w:val="000000"/>
          <w:sz w:val="24"/>
          <w:szCs w:val="24"/>
        </w:rPr>
        <w:t xml:space="preserve">Un delegado del Ministerio de Justicia y del Derecho. </w:t>
      </w:r>
    </w:p>
    <w:p w14:paraId="15CB52CE" w14:textId="77777777" w:rsidR="0036009C" w:rsidRDefault="0036009C" w:rsidP="0036009C">
      <w:pPr>
        <w:numPr>
          <w:ilvl w:val="0"/>
          <w:numId w:val="5"/>
        </w:numPr>
        <w:spacing w:line="240" w:lineRule="auto"/>
        <w:ind w:left="993" w:hanging="142"/>
        <w:jc w:val="both"/>
        <w:rPr>
          <w:color w:val="000000"/>
          <w:sz w:val="24"/>
          <w:szCs w:val="24"/>
        </w:rPr>
      </w:pPr>
      <w:r>
        <w:rPr>
          <w:color w:val="000000"/>
          <w:sz w:val="24"/>
          <w:szCs w:val="24"/>
        </w:rPr>
        <w:t>Un delegado del Ministerio de Comercio, Industria y Turismo.</w:t>
      </w:r>
    </w:p>
    <w:p w14:paraId="34345A84" w14:textId="77777777" w:rsidR="0036009C" w:rsidRDefault="0036009C" w:rsidP="0036009C">
      <w:pPr>
        <w:numPr>
          <w:ilvl w:val="0"/>
          <w:numId w:val="5"/>
        </w:numPr>
        <w:spacing w:line="240" w:lineRule="auto"/>
        <w:ind w:left="993" w:hanging="142"/>
        <w:jc w:val="both"/>
        <w:rPr>
          <w:color w:val="000000"/>
          <w:sz w:val="24"/>
          <w:szCs w:val="24"/>
        </w:rPr>
      </w:pPr>
      <w:r>
        <w:rPr>
          <w:color w:val="000000"/>
          <w:sz w:val="24"/>
          <w:szCs w:val="24"/>
        </w:rPr>
        <w:t xml:space="preserve">Un delegado del Departamento Administrativo de la Función Pública. </w:t>
      </w:r>
    </w:p>
    <w:p w14:paraId="57813DD6" w14:textId="77777777" w:rsidR="0036009C" w:rsidRDefault="0036009C" w:rsidP="0036009C">
      <w:pPr>
        <w:numPr>
          <w:ilvl w:val="0"/>
          <w:numId w:val="5"/>
        </w:numPr>
        <w:spacing w:line="240" w:lineRule="auto"/>
        <w:ind w:left="993" w:hanging="142"/>
        <w:jc w:val="both"/>
        <w:rPr>
          <w:color w:val="000000"/>
          <w:sz w:val="24"/>
          <w:szCs w:val="24"/>
        </w:rPr>
      </w:pPr>
      <w:r>
        <w:rPr>
          <w:color w:val="000000"/>
          <w:sz w:val="24"/>
          <w:szCs w:val="24"/>
        </w:rPr>
        <w:t xml:space="preserve">Un delegado del Departamento Nacional de Planeación. </w:t>
      </w:r>
    </w:p>
    <w:p w14:paraId="142E2A50" w14:textId="77777777" w:rsidR="0036009C" w:rsidRDefault="0036009C" w:rsidP="0036009C">
      <w:pPr>
        <w:numPr>
          <w:ilvl w:val="0"/>
          <w:numId w:val="5"/>
        </w:numPr>
        <w:spacing w:line="240" w:lineRule="auto"/>
        <w:ind w:left="993" w:hanging="142"/>
        <w:jc w:val="both"/>
        <w:rPr>
          <w:color w:val="000000"/>
          <w:sz w:val="24"/>
          <w:szCs w:val="24"/>
        </w:rPr>
      </w:pPr>
      <w:r>
        <w:rPr>
          <w:color w:val="000000"/>
          <w:sz w:val="24"/>
          <w:szCs w:val="24"/>
        </w:rPr>
        <w:t xml:space="preserve">Un delegado de la Agencia </w:t>
      </w:r>
      <w:r>
        <w:rPr>
          <w:sz w:val="24"/>
          <w:szCs w:val="24"/>
        </w:rPr>
        <w:t>Nacional</w:t>
      </w:r>
      <w:r>
        <w:rPr>
          <w:color w:val="000000"/>
          <w:sz w:val="24"/>
          <w:szCs w:val="24"/>
        </w:rPr>
        <w:t xml:space="preserve"> de Defensa Jurídica del Estado. </w:t>
      </w:r>
    </w:p>
    <w:p w14:paraId="4A1A044C" w14:textId="77777777" w:rsidR="0036009C" w:rsidRDefault="0036009C" w:rsidP="0036009C">
      <w:pPr>
        <w:numPr>
          <w:ilvl w:val="0"/>
          <w:numId w:val="5"/>
        </w:numPr>
        <w:spacing w:line="240" w:lineRule="auto"/>
        <w:ind w:left="993" w:hanging="142"/>
        <w:jc w:val="both"/>
        <w:rPr>
          <w:color w:val="000000"/>
          <w:sz w:val="24"/>
          <w:szCs w:val="24"/>
        </w:rPr>
      </w:pPr>
      <w:r>
        <w:rPr>
          <w:color w:val="000000"/>
          <w:sz w:val="24"/>
          <w:szCs w:val="24"/>
        </w:rPr>
        <w:t>Un delegado de la Imprenta Nacional.</w:t>
      </w:r>
    </w:p>
    <w:p w14:paraId="6323AB27" w14:textId="77777777" w:rsidR="0036009C" w:rsidRDefault="0036009C" w:rsidP="0036009C">
      <w:pPr>
        <w:jc w:val="both"/>
        <w:rPr>
          <w:color w:val="000000"/>
          <w:sz w:val="24"/>
          <w:szCs w:val="24"/>
        </w:rPr>
      </w:pPr>
    </w:p>
    <w:p w14:paraId="6A69E54F" w14:textId="77777777" w:rsidR="0036009C" w:rsidRDefault="0036009C" w:rsidP="0036009C">
      <w:pPr>
        <w:jc w:val="both"/>
        <w:rPr>
          <w:color w:val="000000"/>
          <w:sz w:val="24"/>
          <w:szCs w:val="24"/>
        </w:rPr>
      </w:pPr>
      <w:r>
        <w:rPr>
          <w:color w:val="000000"/>
          <w:sz w:val="24"/>
          <w:szCs w:val="24"/>
        </w:rPr>
        <w:t>Adicionalmente, asistirán como invitados, con voz, pero sin voto, los delegados de las siguientes entidades:</w:t>
      </w:r>
    </w:p>
    <w:p w14:paraId="7B8F0859" w14:textId="77777777" w:rsidR="0036009C" w:rsidRDefault="0036009C" w:rsidP="0036009C">
      <w:pPr>
        <w:jc w:val="both"/>
        <w:rPr>
          <w:color w:val="000000"/>
          <w:sz w:val="24"/>
          <w:szCs w:val="24"/>
        </w:rPr>
      </w:pPr>
    </w:p>
    <w:p w14:paraId="394039D1" w14:textId="77777777" w:rsidR="0036009C" w:rsidRDefault="0036009C" w:rsidP="0036009C">
      <w:pPr>
        <w:numPr>
          <w:ilvl w:val="3"/>
          <w:numId w:val="7"/>
        </w:numPr>
        <w:pBdr>
          <w:top w:val="nil"/>
          <w:left w:val="nil"/>
          <w:bottom w:val="nil"/>
          <w:right w:val="nil"/>
          <w:between w:val="nil"/>
        </w:pBdr>
        <w:spacing w:line="240" w:lineRule="auto"/>
        <w:ind w:left="993"/>
        <w:jc w:val="both"/>
        <w:rPr>
          <w:color w:val="000000"/>
          <w:sz w:val="24"/>
          <w:szCs w:val="24"/>
        </w:rPr>
      </w:pPr>
      <w:r>
        <w:rPr>
          <w:color w:val="000000"/>
          <w:sz w:val="24"/>
          <w:szCs w:val="24"/>
        </w:rPr>
        <w:t xml:space="preserve">Ministerio de las Tecnologías de la información y las Comunicaciones-TIC. </w:t>
      </w:r>
    </w:p>
    <w:p w14:paraId="6FF6C796" w14:textId="77777777" w:rsidR="0036009C" w:rsidRDefault="0036009C" w:rsidP="0036009C">
      <w:pPr>
        <w:jc w:val="both"/>
        <w:rPr>
          <w:color w:val="000000"/>
          <w:sz w:val="24"/>
          <w:szCs w:val="24"/>
        </w:rPr>
      </w:pPr>
    </w:p>
    <w:p w14:paraId="6953BC54" w14:textId="77777777" w:rsidR="0036009C" w:rsidRDefault="0036009C" w:rsidP="0036009C">
      <w:pPr>
        <w:jc w:val="both"/>
        <w:rPr>
          <w:color w:val="000000"/>
          <w:sz w:val="24"/>
          <w:szCs w:val="24"/>
        </w:rPr>
      </w:pPr>
      <w:r>
        <w:rPr>
          <w:color w:val="000000"/>
          <w:sz w:val="24"/>
          <w:szCs w:val="24"/>
        </w:rPr>
        <w:t>El Comité es una instancia de carácter técnico para la coordinación y orientación de la Política de Mejora Normativa, sin perjuicio de las funciones específicas de producción normativa propias de las entidades del orden nacional de la Rama Ejecutiva.</w:t>
      </w:r>
    </w:p>
    <w:p w14:paraId="4C6CBFA7" w14:textId="77777777" w:rsidR="0036009C" w:rsidRDefault="0036009C" w:rsidP="0036009C">
      <w:pPr>
        <w:jc w:val="both"/>
        <w:rPr>
          <w:color w:val="000000"/>
          <w:sz w:val="24"/>
          <w:szCs w:val="24"/>
        </w:rPr>
      </w:pPr>
    </w:p>
    <w:p w14:paraId="03013B0B" w14:textId="77777777" w:rsidR="0036009C" w:rsidRDefault="0036009C" w:rsidP="0036009C">
      <w:pPr>
        <w:jc w:val="both"/>
        <w:rPr>
          <w:color w:val="000000"/>
          <w:sz w:val="24"/>
          <w:szCs w:val="24"/>
        </w:rPr>
      </w:pPr>
      <w:r>
        <w:rPr>
          <w:color w:val="000000"/>
          <w:sz w:val="24"/>
          <w:szCs w:val="24"/>
        </w:rPr>
        <w:t>El Comité para la Mejora Normativa hará parte del Sistema Nacional de Competitividad e innovación- SNCI y apoyará técnicamente al Consejo para la Gestión y el Desempeño Institucional, en lo referente a la política de mejora regulatoria, conforme a la normatividad vigente.</w:t>
      </w:r>
    </w:p>
    <w:p w14:paraId="6142D283" w14:textId="77777777" w:rsidR="0036009C" w:rsidRDefault="0036009C" w:rsidP="0036009C">
      <w:pPr>
        <w:jc w:val="both"/>
        <w:rPr>
          <w:color w:val="000000"/>
          <w:sz w:val="24"/>
          <w:szCs w:val="24"/>
        </w:rPr>
      </w:pPr>
    </w:p>
    <w:p w14:paraId="5B92CA4D" w14:textId="77777777" w:rsidR="0036009C" w:rsidRDefault="0036009C" w:rsidP="0036009C">
      <w:pPr>
        <w:jc w:val="both"/>
        <w:rPr>
          <w:color w:val="000000"/>
          <w:sz w:val="24"/>
          <w:szCs w:val="24"/>
        </w:rPr>
      </w:pPr>
      <w:r>
        <w:rPr>
          <w:color w:val="000000"/>
          <w:sz w:val="24"/>
          <w:szCs w:val="24"/>
        </w:rPr>
        <w:t xml:space="preserve">Este comité  sesionará de forma ordinaria por lo menos seis (6) veces al año y de forma extraordinaria cuando, por la naturaleza de los temas a tratar así lo solicite alguno de sus integrantes. </w:t>
      </w:r>
    </w:p>
    <w:p w14:paraId="2967CD3B" w14:textId="77777777" w:rsidR="0036009C" w:rsidRDefault="0036009C" w:rsidP="0036009C">
      <w:pPr>
        <w:jc w:val="both"/>
        <w:rPr>
          <w:color w:val="000000"/>
          <w:sz w:val="24"/>
          <w:szCs w:val="24"/>
        </w:rPr>
      </w:pPr>
    </w:p>
    <w:p w14:paraId="0E39216F" w14:textId="77777777" w:rsidR="0036009C" w:rsidRDefault="0036009C" w:rsidP="0036009C">
      <w:pPr>
        <w:jc w:val="both"/>
        <w:rPr>
          <w:color w:val="000000"/>
          <w:sz w:val="24"/>
          <w:szCs w:val="24"/>
        </w:rPr>
      </w:pPr>
      <w:r>
        <w:rPr>
          <w:color w:val="000000"/>
          <w:sz w:val="24"/>
          <w:szCs w:val="24"/>
        </w:rPr>
        <w:t>El Gobierno Nacional reglamentará las funciones del Comité para la Mejora Normativa.</w:t>
      </w:r>
    </w:p>
    <w:p w14:paraId="40C4605D" w14:textId="77777777" w:rsidR="0036009C" w:rsidRDefault="0036009C" w:rsidP="0036009C">
      <w:pPr>
        <w:ind w:left="75"/>
        <w:jc w:val="both"/>
        <w:rPr>
          <w:color w:val="000000"/>
          <w:sz w:val="24"/>
          <w:szCs w:val="24"/>
        </w:rPr>
      </w:pPr>
    </w:p>
    <w:p w14:paraId="48B19CBC" w14:textId="77777777" w:rsidR="0036009C" w:rsidRDefault="0036009C" w:rsidP="0036009C">
      <w:pPr>
        <w:jc w:val="both"/>
        <w:rPr>
          <w:color w:val="000000"/>
          <w:sz w:val="24"/>
          <w:szCs w:val="24"/>
        </w:rPr>
      </w:pPr>
      <w:r>
        <w:rPr>
          <w:b/>
          <w:color w:val="000000"/>
          <w:sz w:val="24"/>
          <w:szCs w:val="24"/>
        </w:rPr>
        <w:t>PARÁGRAFO PRIMERO.</w:t>
      </w:r>
      <w:r>
        <w:rPr>
          <w:color w:val="000000"/>
          <w:sz w:val="24"/>
          <w:szCs w:val="24"/>
        </w:rPr>
        <w:t xml:space="preserve"> Los delegados del Comité para la Mejora Normativa deberán pertenecer a los niveles directivos o asesor que tengan a su cargo funciones relacionadas con la mejora normativa en la respectiva entidad. </w:t>
      </w:r>
    </w:p>
    <w:p w14:paraId="60D6C70A" w14:textId="77777777" w:rsidR="0036009C" w:rsidRDefault="0036009C" w:rsidP="0036009C">
      <w:pPr>
        <w:ind w:left="75"/>
        <w:jc w:val="both"/>
        <w:rPr>
          <w:color w:val="000000"/>
          <w:sz w:val="24"/>
          <w:szCs w:val="24"/>
        </w:rPr>
      </w:pPr>
    </w:p>
    <w:p w14:paraId="2A9EB64E" w14:textId="77777777" w:rsidR="0036009C" w:rsidRDefault="0036009C" w:rsidP="0036009C">
      <w:pPr>
        <w:jc w:val="both"/>
        <w:rPr>
          <w:b/>
          <w:color w:val="000000"/>
          <w:sz w:val="24"/>
          <w:szCs w:val="24"/>
        </w:rPr>
      </w:pPr>
      <w:r>
        <w:rPr>
          <w:b/>
          <w:color w:val="000000"/>
          <w:sz w:val="24"/>
          <w:szCs w:val="24"/>
        </w:rPr>
        <w:t xml:space="preserve">PARÁGRAFO SEGUNDO. </w:t>
      </w:r>
      <w:r>
        <w:rPr>
          <w:color w:val="000000"/>
          <w:sz w:val="24"/>
          <w:szCs w:val="24"/>
        </w:rPr>
        <w:t>La secretaría técnica del Comité para la Mejora Normativa estará ejercida por el Departamento Nacional de Planeación.</w:t>
      </w:r>
      <w:r>
        <w:rPr>
          <w:b/>
          <w:color w:val="000000"/>
          <w:sz w:val="24"/>
          <w:szCs w:val="24"/>
        </w:rPr>
        <w:t xml:space="preserve"> </w:t>
      </w:r>
    </w:p>
    <w:p w14:paraId="25C4A8DA" w14:textId="77777777" w:rsidR="0036009C" w:rsidRDefault="0036009C" w:rsidP="0036009C">
      <w:pPr>
        <w:ind w:left="75"/>
        <w:jc w:val="both"/>
        <w:rPr>
          <w:color w:val="000000"/>
          <w:sz w:val="24"/>
          <w:szCs w:val="24"/>
        </w:rPr>
      </w:pPr>
    </w:p>
    <w:p w14:paraId="68728A38" w14:textId="58DE1143" w:rsidR="0036009C" w:rsidRDefault="0036009C" w:rsidP="00E40CC2">
      <w:pPr>
        <w:jc w:val="both"/>
        <w:rPr>
          <w:b/>
          <w:color w:val="000000"/>
          <w:sz w:val="24"/>
          <w:szCs w:val="24"/>
        </w:rPr>
      </w:pPr>
      <w:r>
        <w:rPr>
          <w:b/>
          <w:color w:val="000000"/>
          <w:sz w:val="24"/>
          <w:szCs w:val="24"/>
        </w:rPr>
        <w:t>PARÁGRAFO TERCERO.</w:t>
      </w:r>
      <w:r>
        <w:rPr>
          <w:color w:val="000000"/>
          <w:sz w:val="24"/>
          <w:szCs w:val="24"/>
        </w:rPr>
        <w:t xml:space="preserve"> El Comité </w:t>
      </w:r>
      <w:r>
        <w:rPr>
          <w:sz w:val="24"/>
          <w:szCs w:val="24"/>
        </w:rPr>
        <w:t>podrá</w:t>
      </w:r>
      <w:r>
        <w:rPr>
          <w:color w:val="000000"/>
          <w:sz w:val="24"/>
          <w:szCs w:val="24"/>
        </w:rPr>
        <w:t xml:space="preserve"> invitar a sus sesiones a los funcionarios públicos, representantes del sector privado, académicos y demás personas que considere necesario. </w:t>
      </w:r>
    </w:p>
    <w:p w14:paraId="5A491CB7" w14:textId="41DF8F78" w:rsidR="00E40CC2" w:rsidRDefault="00E40CC2" w:rsidP="00E40CC2">
      <w:pPr>
        <w:jc w:val="both"/>
        <w:rPr>
          <w:b/>
          <w:color w:val="000000"/>
          <w:sz w:val="24"/>
          <w:szCs w:val="24"/>
        </w:rPr>
      </w:pPr>
    </w:p>
    <w:p w14:paraId="388FB327" w14:textId="77777777" w:rsidR="00E40CC2" w:rsidRPr="00E40CC2" w:rsidRDefault="00E40CC2" w:rsidP="00E40CC2">
      <w:pPr>
        <w:jc w:val="both"/>
        <w:rPr>
          <w:b/>
          <w:color w:val="000000"/>
          <w:sz w:val="24"/>
          <w:szCs w:val="24"/>
        </w:rPr>
      </w:pPr>
    </w:p>
    <w:p w14:paraId="0D2D7E4F" w14:textId="77777777" w:rsidR="0036009C" w:rsidRDefault="0036009C" w:rsidP="0036009C">
      <w:pPr>
        <w:ind w:left="360"/>
        <w:jc w:val="center"/>
        <w:rPr>
          <w:b/>
          <w:color w:val="000000"/>
          <w:sz w:val="24"/>
          <w:szCs w:val="24"/>
        </w:rPr>
      </w:pPr>
      <w:r>
        <w:rPr>
          <w:b/>
          <w:color w:val="000000"/>
          <w:sz w:val="24"/>
          <w:szCs w:val="24"/>
        </w:rPr>
        <w:t>CAPÍTULO III</w:t>
      </w:r>
    </w:p>
    <w:p w14:paraId="255348C2" w14:textId="77777777" w:rsidR="0036009C" w:rsidRDefault="0036009C" w:rsidP="0036009C">
      <w:pPr>
        <w:ind w:left="360"/>
        <w:jc w:val="center"/>
        <w:rPr>
          <w:b/>
          <w:color w:val="000000"/>
          <w:sz w:val="24"/>
          <w:szCs w:val="24"/>
        </w:rPr>
      </w:pPr>
      <w:r>
        <w:rPr>
          <w:b/>
          <w:color w:val="000000"/>
          <w:sz w:val="24"/>
          <w:szCs w:val="24"/>
        </w:rPr>
        <w:t xml:space="preserve">DEL CICLO DE MEJORA DE LA </w:t>
      </w:r>
    </w:p>
    <w:p w14:paraId="071B0CD4" w14:textId="77777777" w:rsidR="0036009C" w:rsidRDefault="0036009C" w:rsidP="0036009C">
      <w:pPr>
        <w:ind w:left="360"/>
        <w:jc w:val="center"/>
        <w:rPr>
          <w:b/>
          <w:color w:val="000000"/>
          <w:sz w:val="24"/>
          <w:szCs w:val="24"/>
        </w:rPr>
      </w:pPr>
      <w:r>
        <w:rPr>
          <w:b/>
          <w:color w:val="000000"/>
          <w:sz w:val="24"/>
          <w:szCs w:val="24"/>
        </w:rPr>
        <w:t>CALIDAD NORMATIVA</w:t>
      </w:r>
    </w:p>
    <w:p w14:paraId="33C7C608" w14:textId="77777777" w:rsidR="0036009C" w:rsidRDefault="0036009C" w:rsidP="0036009C">
      <w:pPr>
        <w:ind w:left="360"/>
        <w:jc w:val="center"/>
        <w:rPr>
          <w:b/>
          <w:color w:val="000000"/>
          <w:sz w:val="24"/>
          <w:szCs w:val="24"/>
        </w:rPr>
      </w:pPr>
    </w:p>
    <w:p w14:paraId="1204F069" w14:textId="77777777" w:rsidR="0036009C" w:rsidRDefault="0036009C" w:rsidP="0036009C">
      <w:pPr>
        <w:jc w:val="both"/>
        <w:rPr>
          <w:color w:val="000000"/>
          <w:sz w:val="24"/>
          <w:szCs w:val="24"/>
        </w:rPr>
      </w:pPr>
      <w:r>
        <w:rPr>
          <w:b/>
          <w:color w:val="000000"/>
          <w:sz w:val="24"/>
          <w:szCs w:val="24"/>
        </w:rPr>
        <w:t>ARTÍCULO 6º. DEL INVENTARIO NORMATIVO.</w:t>
      </w:r>
      <w:r>
        <w:rPr>
          <w:color w:val="000000"/>
          <w:sz w:val="24"/>
          <w:szCs w:val="24"/>
        </w:rPr>
        <w:t xml:space="preserve"> </w:t>
      </w:r>
      <w:r>
        <w:rPr>
          <w:sz w:val="24"/>
          <w:szCs w:val="24"/>
        </w:rPr>
        <w:t xml:space="preserve">Los sujetos obligados </w:t>
      </w:r>
      <w:r>
        <w:rPr>
          <w:color w:val="000000"/>
          <w:sz w:val="24"/>
          <w:szCs w:val="24"/>
        </w:rPr>
        <w:t>deberán contar con su respectivo inventario normativo. Este deberá ser publicado en el Sistema Único de Información Normativa (SUIN) o el que haga sus veces y divulgado en la respectiva página web de cada entidad. Lo anterior sin perjuicio de lo establecido en las leyes especiales vigentes sobre la materia o relacionadas.</w:t>
      </w:r>
    </w:p>
    <w:p w14:paraId="628794E7" w14:textId="77777777" w:rsidR="0036009C" w:rsidRDefault="0036009C" w:rsidP="0036009C">
      <w:pPr>
        <w:jc w:val="both"/>
        <w:rPr>
          <w:color w:val="000000"/>
          <w:sz w:val="24"/>
          <w:szCs w:val="24"/>
        </w:rPr>
      </w:pPr>
    </w:p>
    <w:p w14:paraId="06685AEE" w14:textId="77777777" w:rsidR="0036009C" w:rsidRDefault="0036009C" w:rsidP="0036009C">
      <w:pPr>
        <w:jc w:val="both"/>
        <w:rPr>
          <w:color w:val="000000"/>
          <w:sz w:val="24"/>
          <w:szCs w:val="24"/>
        </w:rPr>
      </w:pPr>
      <w:r>
        <w:rPr>
          <w:b/>
          <w:color w:val="000000"/>
          <w:sz w:val="24"/>
          <w:szCs w:val="24"/>
        </w:rPr>
        <w:t xml:space="preserve">PARÁGRAFO. </w:t>
      </w:r>
      <w:r>
        <w:rPr>
          <w:color w:val="000000"/>
          <w:sz w:val="24"/>
          <w:szCs w:val="24"/>
        </w:rPr>
        <w:t>La publicación en el Sistema Único de Información Normativa (SUIN) por parte de las entidades de la Rama Ejecutiva del nivel territorial se hará de manera progresiva, conforme a las capacidades y desarrollos de este sistema de información.</w:t>
      </w:r>
    </w:p>
    <w:p w14:paraId="6C751D59" w14:textId="77777777" w:rsidR="0036009C" w:rsidRDefault="0036009C" w:rsidP="0036009C">
      <w:pPr>
        <w:ind w:left="360"/>
        <w:rPr>
          <w:sz w:val="24"/>
          <w:szCs w:val="24"/>
        </w:rPr>
      </w:pPr>
    </w:p>
    <w:p w14:paraId="63F3C4B5" w14:textId="77777777" w:rsidR="0036009C" w:rsidRDefault="0036009C" w:rsidP="0036009C">
      <w:pPr>
        <w:jc w:val="both"/>
        <w:rPr>
          <w:sz w:val="24"/>
          <w:szCs w:val="24"/>
        </w:rPr>
      </w:pPr>
      <w:r>
        <w:rPr>
          <w:b/>
          <w:sz w:val="24"/>
          <w:szCs w:val="24"/>
        </w:rPr>
        <w:t>ARTÍCULO 7. DE LA AGENDA NORMATIVA.</w:t>
      </w:r>
      <w:r>
        <w:rPr>
          <w:sz w:val="24"/>
          <w:szCs w:val="24"/>
        </w:rPr>
        <w:t xml:space="preserve"> Los sujetos obligados, deberán publicar a más tardar el 31 de octubre en el Sistema Único de Consulta Pública (SUCOP) o el que haga sus veces y en la respectiva página web de cada entidad, el proyecto de agenda normativa futura con el fin de socializar los proyectos de actos administrativos de carácter general que previsiblemente se van a modificar, derogar o promulgar a futuro, así como el listado de actos administrativos de carácter general que serán objeto de Análisis de Impacto Normativo y  Evaluación Normativa ex-post. </w:t>
      </w:r>
    </w:p>
    <w:p w14:paraId="19CE4AD1" w14:textId="77777777" w:rsidR="0036009C" w:rsidRDefault="0036009C" w:rsidP="0036009C">
      <w:pPr>
        <w:jc w:val="both"/>
        <w:rPr>
          <w:sz w:val="24"/>
          <w:szCs w:val="24"/>
        </w:rPr>
      </w:pPr>
    </w:p>
    <w:p w14:paraId="1A18FF75" w14:textId="77777777" w:rsidR="0036009C" w:rsidRDefault="0036009C" w:rsidP="0036009C">
      <w:pPr>
        <w:jc w:val="both"/>
        <w:rPr>
          <w:sz w:val="24"/>
          <w:szCs w:val="24"/>
        </w:rPr>
      </w:pPr>
      <w:r>
        <w:rPr>
          <w:sz w:val="24"/>
          <w:szCs w:val="24"/>
        </w:rPr>
        <w:t xml:space="preserve">Los ciudadanos y las partes interesadas podrán realizar comentarios al proyecto de agenda normativa que serán analizados y resueltos por la entidad correspondiente. </w:t>
      </w:r>
    </w:p>
    <w:p w14:paraId="4C0CE293" w14:textId="77777777" w:rsidR="0036009C" w:rsidRDefault="0036009C" w:rsidP="0036009C">
      <w:pPr>
        <w:jc w:val="both"/>
        <w:rPr>
          <w:sz w:val="24"/>
          <w:szCs w:val="24"/>
        </w:rPr>
      </w:pPr>
    </w:p>
    <w:p w14:paraId="255D0EA6" w14:textId="77777777" w:rsidR="0036009C" w:rsidRDefault="0036009C" w:rsidP="0036009C">
      <w:pPr>
        <w:jc w:val="both"/>
        <w:rPr>
          <w:sz w:val="24"/>
          <w:szCs w:val="24"/>
        </w:rPr>
      </w:pPr>
      <w:r>
        <w:rPr>
          <w:sz w:val="24"/>
          <w:szCs w:val="24"/>
        </w:rPr>
        <w:t xml:space="preserve">Los sujetos obligados, publicarán la agenda normativa definitiva a más tardar el 31 de diciembre de cada año. </w:t>
      </w:r>
    </w:p>
    <w:p w14:paraId="7E07C9B2" w14:textId="77777777" w:rsidR="0036009C" w:rsidRDefault="0036009C" w:rsidP="0036009C">
      <w:pPr>
        <w:ind w:left="75"/>
        <w:jc w:val="both"/>
        <w:rPr>
          <w:sz w:val="24"/>
          <w:szCs w:val="24"/>
        </w:rPr>
      </w:pPr>
    </w:p>
    <w:p w14:paraId="0BD1B83D" w14:textId="77777777" w:rsidR="0036009C" w:rsidRDefault="0036009C" w:rsidP="0036009C">
      <w:pPr>
        <w:jc w:val="both"/>
        <w:rPr>
          <w:sz w:val="24"/>
          <w:szCs w:val="24"/>
        </w:rPr>
      </w:pPr>
      <w:r>
        <w:rPr>
          <w:sz w:val="24"/>
          <w:szCs w:val="24"/>
        </w:rPr>
        <w:t xml:space="preserve">La agenda normativa definitiva podrá modificarse, siempre que los cambios que se realicen se encuentren debidamente justificados. Estas modificaciones serán de obligatoria publicación para el conocimiento de las partes interesadas. </w:t>
      </w:r>
    </w:p>
    <w:p w14:paraId="0795B855" w14:textId="77777777" w:rsidR="0036009C" w:rsidRDefault="0036009C" w:rsidP="0036009C">
      <w:pPr>
        <w:rPr>
          <w:b/>
          <w:sz w:val="24"/>
          <w:szCs w:val="24"/>
        </w:rPr>
      </w:pPr>
    </w:p>
    <w:p w14:paraId="15CD42E3" w14:textId="77777777" w:rsidR="0036009C" w:rsidRDefault="0036009C" w:rsidP="0036009C">
      <w:pPr>
        <w:jc w:val="both"/>
        <w:rPr>
          <w:color w:val="000000"/>
          <w:sz w:val="24"/>
          <w:szCs w:val="24"/>
        </w:rPr>
      </w:pPr>
      <w:r>
        <w:rPr>
          <w:b/>
          <w:color w:val="000000"/>
          <w:sz w:val="24"/>
          <w:szCs w:val="24"/>
        </w:rPr>
        <w:t>ARTÍCULO 8º. ANÁLISIS DE IMPACTO NORMATIVO (AIN).</w:t>
      </w:r>
      <w:r>
        <w:rPr>
          <w:color w:val="000000"/>
          <w:sz w:val="24"/>
          <w:szCs w:val="24"/>
        </w:rPr>
        <w:t xml:space="preserve"> El Análisis de Impacto Normativo (AIN) deberá realizarse previo a la promulgación de un acto administrativo de carácter general que genere un impacto económico, social o ambiental. </w:t>
      </w:r>
    </w:p>
    <w:p w14:paraId="7E8BC62B" w14:textId="77777777" w:rsidR="0036009C" w:rsidRDefault="0036009C" w:rsidP="0036009C">
      <w:pPr>
        <w:jc w:val="both"/>
        <w:rPr>
          <w:color w:val="000000"/>
          <w:sz w:val="24"/>
          <w:szCs w:val="24"/>
        </w:rPr>
      </w:pPr>
    </w:p>
    <w:p w14:paraId="533E594E" w14:textId="77777777" w:rsidR="0036009C" w:rsidRDefault="0036009C" w:rsidP="0036009C">
      <w:pPr>
        <w:jc w:val="both"/>
        <w:rPr>
          <w:color w:val="000000"/>
          <w:sz w:val="24"/>
          <w:szCs w:val="24"/>
        </w:rPr>
      </w:pPr>
      <w:r>
        <w:rPr>
          <w:color w:val="000000"/>
          <w:sz w:val="24"/>
          <w:szCs w:val="24"/>
        </w:rPr>
        <w:t xml:space="preserve">El informe y anexos que se obtengan de la realización del Análisis de Impacto Normativo (AIN) se publicará junto con el proyecto de acto administrativo de carácter general en el Sistema Único de Consulta Pública (SUCOP), o el que haga sus veces, según lo dispuesto en el artículo 9 de la presente ley. </w:t>
      </w:r>
    </w:p>
    <w:p w14:paraId="19F4DE94" w14:textId="77777777" w:rsidR="0036009C" w:rsidRDefault="0036009C" w:rsidP="0036009C">
      <w:pPr>
        <w:jc w:val="both"/>
        <w:rPr>
          <w:color w:val="000000"/>
          <w:sz w:val="24"/>
          <w:szCs w:val="24"/>
        </w:rPr>
      </w:pPr>
    </w:p>
    <w:p w14:paraId="620B940D" w14:textId="77777777" w:rsidR="0036009C" w:rsidRDefault="0036009C" w:rsidP="0036009C">
      <w:pPr>
        <w:jc w:val="both"/>
        <w:rPr>
          <w:color w:val="000000"/>
          <w:sz w:val="24"/>
          <w:szCs w:val="24"/>
        </w:rPr>
      </w:pPr>
      <w:r>
        <w:rPr>
          <w:b/>
          <w:color w:val="000000"/>
          <w:sz w:val="24"/>
          <w:szCs w:val="24"/>
        </w:rPr>
        <w:t xml:space="preserve">PARÁGRAFO PRIMERO. </w:t>
      </w:r>
      <w:r>
        <w:rPr>
          <w:color w:val="000000"/>
          <w:sz w:val="24"/>
          <w:szCs w:val="24"/>
        </w:rPr>
        <w:t>Para llevar a cabo cualquier derogatoria de actos administrativos de carácter general, en el marco de lo señalado en la presente ley, se deberá contar con un análisis de impacto a las comunidades étnicas del país, con el fin de determinar si se requiere o no adelantar proceso de consulta previa con dichas comunidades.</w:t>
      </w:r>
    </w:p>
    <w:p w14:paraId="713BB114" w14:textId="77777777" w:rsidR="0036009C" w:rsidRDefault="0036009C" w:rsidP="0036009C">
      <w:pPr>
        <w:jc w:val="both"/>
        <w:rPr>
          <w:color w:val="000000"/>
          <w:sz w:val="24"/>
          <w:szCs w:val="24"/>
        </w:rPr>
      </w:pPr>
    </w:p>
    <w:p w14:paraId="1A053DDC" w14:textId="77777777" w:rsidR="0036009C" w:rsidRDefault="0036009C" w:rsidP="0036009C">
      <w:pPr>
        <w:jc w:val="both"/>
        <w:rPr>
          <w:b/>
          <w:color w:val="000000"/>
          <w:sz w:val="24"/>
          <w:szCs w:val="24"/>
        </w:rPr>
      </w:pPr>
      <w:r>
        <w:rPr>
          <w:b/>
          <w:color w:val="000000"/>
          <w:sz w:val="24"/>
          <w:szCs w:val="24"/>
        </w:rPr>
        <w:t xml:space="preserve">PARÁGRAFO SEGUNDO. </w:t>
      </w:r>
      <w:r>
        <w:rPr>
          <w:color w:val="000000"/>
          <w:sz w:val="24"/>
          <w:szCs w:val="24"/>
        </w:rPr>
        <w:t xml:space="preserve">Se exceptúa de lo dispuesto en este parágrafo a las Comisiones de Regulación. </w:t>
      </w:r>
    </w:p>
    <w:p w14:paraId="5622E27C" w14:textId="77777777" w:rsidR="0036009C" w:rsidRDefault="0036009C" w:rsidP="0036009C">
      <w:pPr>
        <w:jc w:val="both"/>
        <w:rPr>
          <w:color w:val="C00000"/>
          <w:sz w:val="24"/>
          <w:szCs w:val="24"/>
        </w:rPr>
      </w:pPr>
    </w:p>
    <w:p w14:paraId="1357866B" w14:textId="77777777" w:rsidR="0036009C" w:rsidRDefault="0036009C" w:rsidP="0036009C">
      <w:pPr>
        <w:jc w:val="both"/>
        <w:rPr>
          <w:color w:val="000000"/>
          <w:sz w:val="24"/>
          <w:szCs w:val="24"/>
        </w:rPr>
      </w:pPr>
      <w:r>
        <w:rPr>
          <w:b/>
          <w:color w:val="000000"/>
          <w:sz w:val="24"/>
          <w:szCs w:val="24"/>
        </w:rPr>
        <w:t>PARÁGRAFO TERCERO.</w:t>
      </w:r>
      <w:r>
        <w:rPr>
          <w:color w:val="000000"/>
          <w:sz w:val="24"/>
          <w:szCs w:val="24"/>
        </w:rPr>
        <w:t xml:space="preserve"> El Gobierno Nacional reglamentará, en un término de doce (12) meses a partir de la entrada en vigencia de la presente ley, las condiciones de implementación, metodología y plazos para el cumplimiento de lo dispuesto en este artículo. </w:t>
      </w:r>
    </w:p>
    <w:p w14:paraId="1FCC6268" w14:textId="77777777" w:rsidR="0036009C" w:rsidRDefault="0036009C" w:rsidP="0036009C">
      <w:pPr>
        <w:ind w:left="75"/>
        <w:rPr>
          <w:color w:val="000000"/>
          <w:sz w:val="24"/>
          <w:szCs w:val="24"/>
        </w:rPr>
      </w:pPr>
    </w:p>
    <w:p w14:paraId="7EE7F7B5" w14:textId="77777777" w:rsidR="0036009C" w:rsidRDefault="0036009C" w:rsidP="0036009C">
      <w:pPr>
        <w:jc w:val="both"/>
        <w:rPr>
          <w:color w:val="000000"/>
          <w:sz w:val="24"/>
          <w:szCs w:val="24"/>
        </w:rPr>
      </w:pPr>
      <w:r>
        <w:rPr>
          <w:b/>
          <w:color w:val="000000"/>
          <w:sz w:val="24"/>
          <w:szCs w:val="24"/>
        </w:rPr>
        <w:t>ARTÍCULO 9º. CONSULTA Y PARTICIPACIÓN PÚBLICA.</w:t>
      </w:r>
      <w:r>
        <w:rPr>
          <w:color w:val="000000"/>
          <w:sz w:val="24"/>
          <w:szCs w:val="24"/>
        </w:rPr>
        <w:t xml:space="preserve"> Los proyectos de actos administrativos de carácter general, que se profieran por parte de los sujetos obligados deberán ser publicados en el Sistema Único de Consulta Pública (SUCOP). </w:t>
      </w:r>
    </w:p>
    <w:p w14:paraId="2416E958" w14:textId="77777777" w:rsidR="0036009C" w:rsidRDefault="0036009C" w:rsidP="0036009C">
      <w:pPr>
        <w:ind w:left="75"/>
        <w:jc w:val="both"/>
        <w:rPr>
          <w:color w:val="000000"/>
          <w:sz w:val="24"/>
          <w:szCs w:val="24"/>
        </w:rPr>
      </w:pPr>
    </w:p>
    <w:p w14:paraId="1E02A1EC" w14:textId="77777777" w:rsidR="0036009C" w:rsidRDefault="0036009C" w:rsidP="0036009C">
      <w:pPr>
        <w:jc w:val="both"/>
        <w:rPr>
          <w:color w:val="000000"/>
          <w:sz w:val="24"/>
          <w:szCs w:val="24"/>
        </w:rPr>
      </w:pPr>
      <w:r>
        <w:rPr>
          <w:color w:val="000000"/>
          <w:sz w:val="24"/>
          <w:szCs w:val="24"/>
        </w:rPr>
        <w:t xml:space="preserve">El tiempo mínimo de permanencia en consulta pública será de diez (10) días para la primera publicación en la que se deberá publicar el proyecto de acto administrativo, junto con la memoria justificativa, el estudio de Análisis de Impacto Normativo (AIN) y los demás estudios técnicos que lo sustentan, según el caso, con el fin de someterlos a consulta pública por parte de la ciudadanía y las partes interesadas. </w:t>
      </w:r>
    </w:p>
    <w:p w14:paraId="660AA31D" w14:textId="77777777" w:rsidR="0036009C" w:rsidRDefault="0036009C" w:rsidP="0036009C">
      <w:pPr>
        <w:ind w:left="75"/>
        <w:jc w:val="both"/>
        <w:rPr>
          <w:color w:val="000000"/>
          <w:sz w:val="24"/>
          <w:szCs w:val="24"/>
        </w:rPr>
      </w:pPr>
    </w:p>
    <w:p w14:paraId="41207B35" w14:textId="77777777" w:rsidR="0036009C" w:rsidRDefault="0036009C" w:rsidP="0036009C">
      <w:pPr>
        <w:jc w:val="both"/>
        <w:rPr>
          <w:color w:val="000000"/>
          <w:sz w:val="24"/>
          <w:szCs w:val="24"/>
        </w:rPr>
      </w:pPr>
      <w:r>
        <w:rPr>
          <w:color w:val="000000"/>
          <w:sz w:val="24"/>
          <w:szCs w:val="24"/>
        </w:rPr>
        <w:t xml:space="preserve">La respuesta a los comentarios a los que hace referencia este artículo deberá realizarse mediante una única audiencia pública convocada previamente por la respectiva entidad, dentro de los quince (15) días siguientes al cierre del periodo de comentarios. </w:t>
      </w:r>
    </w:p>
    <w:p w14:paraId="16237AC5" w14:textId="77777777" w:rsidR="0036009C" w:rsidRDefault="0036009C" w:rsidP="0036009C">
      <w:pPr>
        <w:ind w:left="75"/>
        <w:jc w:val="both"/>
        <w:rPr>
          <w:color w:val="000000"/>
          <w:sz w:val="24"/>
          <w:szCs w:val="24"/>
        </w:rPr>
      </w:pPr>
    </w:p>
    <w:p w14:paraId="6A299B39" w14:textId="77777777" w:rsidR="0036009C" w:rsidRDefault="0036009C" w:rsidP="0036009C">
      <w:pPr>
        <w:jc w:val="both"/>
        <w:rPr>
          <w:color w:val="000000"/>
          <w:sz w:val="24"/>
          <w:szCs w:val="24"/>
        </w:rPr>
      </w:pPr>
      <w:r>
        <w:rPr>
          <w:color w:val="000000"/>
          <w:sz w:val="24"/>
          <w:szCs w:val="24"/>
        </w:rPr>
        <w:t xml:space="preserve">Una vez resueltos los comentarios de la ciudadanía, la entidad deberá, dentro de los veinte (20) días siguientes, anunciar si expedirá o no el acto administrativo de carácter general y en qué tiempo. En caso de que la entidad tomase la decisión de </w:t>
      </w:r>
      <w:r>
        <w:rPr>
          <w:color w:val="000000"/>
          <w:sz w:val="24"/>
          <w:szCs w:val="24"/>
        </w:rPr>
        <w:lastRenderedPageBreak/>
        <w:t xml:space="preserve">no promulgar el acto administrativo de carácter general, el proceso de consulta pública deberá declararse desierto. </w:t>
      </w:r>
    </w:p>
    <w:p w14:paraId="5934DABB" w14:textId="77777777" w:rsidR="0036009C" w:rsidRDefault="0036009C" w:rsidP="0036009C">
      <w:pPr>
        <w:jc w:val="both"/>
        <w:rPr>
          <w:color w:val="000000"/>
          <w:sz w:val="24"/>
          <w:szCs w:val="24"/>
        </w:rPr>
      </w:pPr>
    </w:p>
    <w:p w14:paraId="5BB82FE4" w14:textId="77777777" w:rsidR="0036009C" w:rsidRDefault="0036009C" w:rsidP="0036009C">
      <w:pPr>
        <w:jc w:val="both"/>
        <w:rPr>
          <w:color w:val="000000"/>
          <w:sz w:val="24"/>
          <w:szCs w:val="24"/>
        </w:rPr>
      </w:pPr>
      <w:r>
        <w:rPr>
          <w:color w:val="000000"/>
          <w:sz w:val="24"/>
          <w:szCs w:val="24"/>
        </w:rPr>
        <w:t xml:space="preserve">Los días aquí dispuestos se entenderán calendario. </w:t>
      </w:r>
    </w:p>
    <w:p w14:paraId="4412369D" w14:textId="77777777" w:rsidR="0036009C" w:rsidRDefault="0036009C" w:rsidP="0036009C">
      <w:pPr>
        <w:ind w:left="75"/>
        <w:jc w:val="both"/>
        <w:rPr>
          <w:color w:val="000000"/>
          <w:sz w:val="24"/>
          <w:szCs w:val="24"/>
        </w:rPr>
      </w:pPr>
    </w:p>
    <w:p w14:paraId="09C5F763" w14:textId="77777777" w:rsidR="0036009C" w:rsidRDefault="0036009C" w:rsidP="0036009C">
      <w:pPr>
        <w:jc w:val="both"/>
        <w:rPr>
          <w:color w:val="000000"/>
          <w:sz w:val="24"/>
          <w:szCs w:val="24"/>
        </w:rPr>
      </w:pPr>
      <w:r>
        <w:rPr>
          <w:b/>
          <w:color w:val="000000"/>
          <w:sz w:val="24"/>
          <w:szCs w:val="24"/>
        </w:rPr>
        <w:t>PARÁGRAFO.</w:t>
      </w:r>
      <w:r>
        <w:rPr>
          <w:color w:val="000000"/>
          <w:sz w:val="24"/>
          <w:szCs w:val="24"/>
        </w:rPr>
        <w:t xml:space="preserve"> Los sujetos obligados que profieran proyectos de actos administrativos de carácter general, deberán divulgar su contenido y convocatoria a las audiencias públicas, por los canales que consideren adecuados, con el fin de que la ciudadanía y partes interesadas puedan participar en su expedición garantizando su transparencia y publicidad.</w:t>
      </w:r>
    </w:p>
    <w:p w14:paraId="0AB035FC" w14:textId="77777777" w:rsidR="0036009C" w:rsidRDefault="0036009C" w:rsidP="0036009C">
      <w:pPr>
        <w:ind w:left="75"/>
        <w:jc w:val="both"/>
        <w:rPr>
          <w:color w:val="000000"/>
          <w:sz w:val="24"/>
          <w:szCs w:val="24"/>
        </w:rPr>
      </w:pPr>
    </w:p>
    <w:p w14:paraId="2513ADAF" w14:textId="77777777" w:rsidR="0036009C" w:rsidRDefault="0036009C" w:rsidP="0036009C">
      <w:pPr>
        <w:jc w:val="both"/>
        <w:rPr>
          <w:sz w:val="24"/>
          <w:szCs w:val="24"/>
        </w:rPr>
      </w:pPr>
      <w:r>
        <w:rPr>
          <w:b/>
          <w:sz w:val="24"/>
          <w:szCs w:val="24"/>
        </w:rPr>
        <w:t>ARTÍCULO 10º. DEPURACIÓN DEL INVENTARIO NORMATIVO.</w:t>
      </w:r>
      <w:r>
        <w:rPr>
          <w:sz w:val="24"/>
          <w:szCs w:val="24"/>
        </w:rPr>
        <w:t xml:space="preserve"> Los sujetos obligados  de acuerdo a lo dispuesto en la agenda normativa de cada entidad o sector administrativo al que pertenezcan, deberán por cada acto administrativo de carácter general que se pretenda promulgar, derogar o modificar, determinar de forma expresa las normas que se van a derogar o que resulten contradictorias entre sí, con el fin de evitar dudas sobre la vigencia y aplicabilidad de otras disposiciones normativas preexistentes del ordenamiento jurídico.</w:t>
      </w:r>
    </w:p>
    <w:p w14:paraId="7EFAE1B2" w14:textId="77777777" w:rsidR="0036009C" w:rsidRDefault="0036009C" w:rsidP="0036009C">
      <w:pPr>
        <w:ind w:left="75"/>
        <w:jc w:val="both"/>
        <w:rPr>
          <w:color w:val="000000"/>
          <w:sz w:val="24"/>
          <w:szCs w:val="24"/>
        </w:rPr>
      </w:pPr>
    </w:p>
    <w:p w14:paraId="79B162AC" w14:textId="77777777" w:rsidR="0036009C" w:rsidRDefault="0036009C" w:rsidP="0036009C">
      <w:pPr>
        <w:jc w:val="both"/>
        <w:rPr>
          <w:strike/>
          <w:sz w:val="24"/>
          <w:szCs w:val="24"/>
        </w:rPr>
      </w:pPr>
      <w:r>
        <w:rPr>
          <w:b/>
          <w:sz w:val="24"/>
          <w:szCs w:val="24"/>
        </w:rPr>
        <w:t>ARTÍCULO 11º.  EVALUACIÓN NORMATIVA EXPOST.</w:t>
      </w:r>
      <w:r>
        <w:rPr>
          <w:sz w:val="24"/>
          <w:szCs w:val="24"/>
        </w:rPr>
        <w:t xml:space="preserve"> Se deberá realizar la Evaluación Normativa ex-post de los actos administrativos de carácter general que hubiesen sido sometidos al Análisis de Impacto Normativo (AIN) cada cinco (5) años, contados a partir de su fecha de su promulgación con el fin de evaluar su impacto y resultados obtenidos. </w:t>
      </w:r>
    </w:p>
    <w:p w14:paraId="252347D0" w14:textId="77777777" w:rsidR="0036009C" w:rsidRDefault="0036009C" w:rsidP="0036009C">
      <w:pPr>
        <w:jc w:val="both"/>
        <w:rPr>
          <w:sz w:val="24"/>
          <w:szCs w:val="24"/>
        </w:rPr>
      </w:pPr>
    </w:p>
    <w:p w14:paraId="5586BC9F" w14:textId="77777777" w:rsidR="0036009C" w:rsidRDefault="0036009C" w:rsidP="0036009C">
      <w:pPr>
        <w:jc w:val="both"/>
        <w:rPr>
          <w:sz w:val="24"/>
          <w:szCs w:val="24"/>
        </w:rPr>
      </w:pPr>
      <w:r>
        <w:rPr>
          <w:sz w:val="24"/>
          <w:szCs w:val="24"/>
        </w:rPr>
        <w:t xml:space="preserve">Esto sin perjuicio de que el ejecutivo pueda decidir adelantar dicha evaluación sobre cualquier acto administrativo de carácter general en cualquier tiempo. </w:t>
      </w:r>
    </w:p>
    <w:p w14:paraId="2CFEF33C" w14:textId="77777777" w:rsidR="0036009C" w:rsidRDefault="0036009C" w:rsidP="0036009C">
      <w:pPr>
        <w:ind w:left="75"/>
        <w:jc w:val="both"/>
        <w:rPr>
          <w:sz w:val="24"/>
          <w:szCs w:val="24"/>
        </w:rPr>
      </w:pPr>
    </w:p>
    <w:p w14:paraId="4BC6059C" w14:textId="77777777" w:rsidR="0036009C" w:rsidRDefault="0036009C" w:rsidP="0036009C">
      <w:pPr>
        <w:jc w:val="both"/>
        <w:rPr>
          <w:sz w:val="24"/>
          <w:szCs w:val="24"/>
        </w:rPr>
      </w:pPr>
      <w:r>
        <w:rPr>
          <w:sz w:val="24"/>
          <w:szCs w:val="24"/>
        </w:rPr>
        <w:t xml:space="preserve">Teniendo en cuenta los resultados de la Evaluación Normativa ex-post los sujetos obligados podrán implementar modificaciones al acto administrativo de carácter general objeto de evaluación, con el fin de garantizar el máximo beneficio social. </w:t>
      </w:r>
    </w:p>
    <w:p w14:paraId="06D21016" w14:textId="77777777" w:rsidR="0036009C" w:rsidRDefault="0036009C" w:rsidP="0036009C">
      <w:pPr>
        <w:ind w:left="75"/>
        <w:jc w:val="both"/>
        <w:rPr>
          <w:sz w:val="24"/>
          <w:szCs w:val="24"/>
        </w:rPr>
      </w:pPr>
    </w:p>
    <w:p w14:paraId="43BFCA5F" w14:textId="77777777" w:rsidR="0036009C" w:rsidRDefault="0036009C" w:rsidP="0036009C">
      <w:pPr>
        <w:jc w:val="both"/>
        <w:rPr>
          <w:sz w:val="24"/>
          <w:szCs w:val="24"/>
        </w:rPr>
      </w:pPr>
      <w:r>
        <w:rPr>
          <w:b/>
          <w:sz w:val="24"/>
          <w:szCs w:val="24"/>
        </w:rPr>
        <w:t>PARÁGRAFO PRIMERO.</w:t>
      </w:r>
      <w:r>
        <w:rPr>
          <w:sz w:val="24"/>
          <w:szCs w:val="24"/>
        </w:rPr>
        <w:t xml:space="preserve"> En caso de que la normatividad a evaluar requiera un término distinto, la entidad emisora deberá justificar las razones técnicas por las cuales no podrán adoptar lo dispuesto en este artículo. </w:t>
      </w:r>
    </w:p>
    <w:p w14:paraId="2FC38910" w14:textId="77777777" w:rsidR="0036009C" w:rsidRDefault="0036009C" w:rsidP="0036009C">
      <w:pPr>
        <w:ind w:left="75"/>
        <w:jc w:val="both"/>
        <w:rPr>
          <w:sz w:val="24"/>
          <w:szCs w:val="24"/>
        </w:rPr>
      </w:pPr>
    </w:p>
    <w:p w14:paraId="7B6DE986" w14:textId="77777777" w:rsidR="0036009C" w:rsidRDefault="0036009C" w:rsidP="0036009C">
      <w:pPr>
        <w:ind w:left="75"/>
        <w:jc w:val="both"/>
        <w:rPr>
          <w:b/>
          <w:color w:val="000000"/>
          <w:sz w:val="24"/>
          <w:szCs w:val="24"/>
        </w:rPr>
      </w:pPr>
      <w:r>
        <w:rPr>
          <w:b/>
          <w:sz w:val="24"/>
          <w:szCs w:val="24"/>
        </w:rPr>
        <w:t xml:space="preserve">PARÁGRAFO SEGUNDO. </w:t>
      </w:r>
      <w:r>
        <w:rPr>
          <w:color w:val="000000"/>
          <w:sz w:val="24"/>
          <w:szCs w:val="24"/>
        </w:rPr>
        <w:t>El Gobierno Nacional reglamentará, en un término de doce (12) meses a partir de la entrada en vigencia de la presente ley, las condiciones de implementación, metodología y plazos para el cumplimiento de lo dispuesto en este artículo.</w:t>
      </w:r>
    </w:p>
    <w:p w14:paraId="42A4BB28" w14:textId="77777777" w:rsidR="0036009C" w:rsidRDefault="0036009C" w:rsidP="0036009C">
      <w:pPr>
        <w:ind w:left="75"/>
        <w:jc w:val="both"/>
        <w:rPr>
          <w:color w:val="000000"/>
          <w:sz w:val="24"/>
          <w:szCs w:val="24"/>
        </w:rPr>
      </w:pPr>
    </w:p>
    <w:p w14:paraId="44ACC293" w14:textId="77777777" w:rsidR="0036009C" w:rsidRDefault="0036009C" w:rsidP="0036009C">
      <w:pPr>
        <w:jc w:val="both"/>
        <w:rPr>
          <w:color w:val="000000"/>
          <w:sz w:val="24"/>
          <w:szCs w:val="24"/>
        </w:rPr>
      </w:pPr>
      <w:r>
        <w:rPr>
          <w:b/>
          <w:color w:val="000000"/>
          <w:sz w:val="24"/>
          <w:szCs w:val="24"/>
        </w:rPr>
        <w:t>ARTÍCULO 12º. INFORME PARA DEPURACIÓN DEL INVENTARIO NORMATIVO.</w:t>
      </w:r>
      <w:r>
        <w:rPr>
          <w:color w:val="000000"/>
          <w:sz w:val="24"/>
          <w:szCs w:val="24"/>
        </w:rPr>
        <w:t xml:space="preserve"> El Gobierno Nacional, a partir de la entrada en vigencia de la presente ley, cada dos (2) años deberá presentar un informe al Congreso de la República al inicio de la legislatura correspondiente, donde se identifiquen las disposiciones de rango legal que deben ser derogadas del inventario normativo o que han sido derogadas tácitamente. </w:t>
      </w:r>
    </w:p>
    <w:p w14:paraId="32B16176" w14:textId="77777777" w:rsidR="0036009C" w:rsidRDefault="0036009C" w:rsidP="0036009C">
      <w:pPr>
        <w:jc w:val="both"/>
        <w:rPr>
          <w:color w:val="000000"/>
          <w:sz w:val="24"/>
          <w:szCs w:val="24"/>
        </w:rPr>
      </w:pPr>
    </w:p>
    <w:p w14:paraId="59F4C076" w14:textId="77777777" w:rsidR="0036009C" w:rsidRDefault="0036009C" w:rsidP="0036009C">
      <w:pPr>
        <w:ind w:left="75"/>
        <w:jc w:val="both"/>
        <w:rPr>
          <w:color w:val="000000"/>
          <w:sz w:val="24"/>
          <w:szCs w:val="24"/>
        </w:rPr>
      </w:pPr>
      <w:r>
        <w:rPr>
          <w:color w:val="000000"/>
          <w:sz w:val="24"/>
          <w:szCs w:val="24"/>
        </w:rPr>
        <w:t>La depuración de cada una de las normas propuestas, deberá estar debidamente justificada.</w:t>
      </w:r>
    </w:p>
    <w:p w14:paraId="1D884B7B" w14:textId="77777777" w:rsidR="0036009C" w:rsidRDefault="0036009C" w:rsidP="0036009C">
      <w:pPr>
        <w:ind w:left="75"/>
        <w:jc w:val="both"/>
        <w:rPr>
          <w:color w:val="000000"/>
          <w:sz w:val="24"/>
          <w:szCs w:val="24"/>
        </w:rPr>
      </w:pPr>
    </w:p>
    <w:p w14:paraId="10C474A5" w14:textId="77777777" w:rsidR="0036009C" w:rsidRDefault="0036009C" w:rsidP="0036009C">
      <w:pPr>
        <w:jc w:val="both"/>
        <w:rPr>
          <w:color w:val="000000"/>
          <w:sz w:val="24"/>
          <w:szCs w:val="24"/>
        </w:rPr>
      </w:pPr>
      <w:r>
        <w:rPr>
          <w:b/>
          <w:color w:val="000000"/>
          <w:sz w:val="24"/>
          <w:szCs w:val="24"/>
        </w:rPr>
        <w:t xml:space="preserve">ARTÍCULO 13º. ACTUALIZACIÓN DEL SUIN. </w:t>
      </w:r>
      <w:r>
        <w:rPr>
          <w:color w:val="000000"/>
          <w:sz w:val="24"/>
          <w:szCs w:val="24"/>
        </w:rPr>
        <w:t xml:space="preserve">El Ministerio de Justicia y del Derecho adecuará el Sistema Único de Información Normativa (SUIN) o el que haga sus veces con el fin de que los sujetos obligados divulguen a través de este sistema de información los actos administrativos de carácter general que hayan sido promulgados o derogados. </w:t>
      </w:r>
    </w:p>
    <w:p w14:paraId="5BBB91F1" w14:textId="77777777" w:rsidR="0036009C" w:rsidRDefault="0036009C" w:rsidP="0036009C">
      <w:pPr>
        <w:ind w:left="75"/>
        <w:jc w:val="both"/>
        <w:rPr>
          <w:color w:val="000000"/>
          <w:sz w:val="24"/>
          <w:szCs w:val="24"/>
        </w:rPr>
      </w:pPr>
    </w:p>
    <w:p w14:paraId="45DAA6A3" w14:textId="77777777" w:rsidR="0036009C" w:rsidRDefault="0036009C" w:rsidP="0036009C">
      <w:pPr>
        <w:jc w:val="both"/>
        <w:rPr>
          <w:color w:val="000000"/>
          <w:sz w:val="24"/>
          <w:szCs w:val="24"/>
        </w:rPr>
      </w:pPr>
      <w:r>
        <w:rPr>
          <w:color w:val="000000"/>
          <w:sz w:val="24"/>
          <w:szCs w:val="24"/>
        </w:rPr>
        <w:t xml:space="preserve">De igual manera, </w:t>
      </w:r>
      <w:r>
        <w:rPr>
          <w:sz w:val="24"/>
          <w:szCs w:val="24"/>
        </w:rPr>
        <w:t>el Ministerio</w:t>
      </w:r>
      <w:r>
        <w:rPr>
          <w:color w:val="000000"/>
          <w:sz w:val="24"/>
          <w:szCs w:val="24"/>
        </w:rPr>
        <w:t xml:space="preserve"> de Justicia y del Derecho actualizará en el Sistema Único de Información Normativa (SUIN) o el que haga sus veces, la información de las leyes que hayan sido promulgadas, modificadas o derogadas. </w:t>
      </w:r>
    </w:p>
    <w:p w14:paraId="70379E1E" w14:textId="77777777" w:rsidR="0036009C" w:rsidRDefault="0036009C" w:rsidP="0036009C">
      <w:pPr>
        <w:ind w:left="75"/>
        <w:jc w:val="both"/>
        <w:rPr>
          <w:color w:val="000000"/>
          <w:sz w:val="24"/>
          <w:szCs w:val="24"/>
        </w:rPr>
      </w:pPr>
    </w:p>
    <w:p w14:paraId="20B9DC1D" w14:textId="77777777" w:rsidR="0036009C" w:rsidRDefault="0036009C" w:rsidP="0036009C">
      <w:pPr>
        <w:ind w:left="75"/>
        <w:jc w:val="both"/>
        <w:rPr>
          <w:color w:val="000000"/>
          <w:sz w:val="24"/>
          <w:szCs w:val="24"/>
        </w:rPr>
      </w:pPr>
      <w:r>
        <w:rPr>
          <w:color w:val="000000"/>
          <w:sz w:val="24"/>
          <w:szCs w:val="24"/>
        </w:rPr>
        <w:t xml:space="preserve">Para el cumplimiento de este fin, la Imprenta Nacional de Colombia y las demás entidades públicas competentes, remitirán sin costo la información que requiera el Ministerio de Justicia y del Derecho. </w:t>
      </w:r>
    </w:p>
    <w:p w14:paraId="153DF7B7" w14:textId="77777777" w:rsidR="0036009C" w:rsidRDefault="0036009C" w:rsidP="0036009C">
      <w:pPr>
        <w:ind w:left="75"/>
        <w:jc w:val="both"/>
        <w:rPr>
          <w:color w:val="000000"/>
          <w:sz w:val="24"/>
          <w:szCs w:val="24"/>
        </w:rPr>
      </w:pPr>
    </w:p>
    <w:p w14:paraId="0554DD48" w14:textId="77777777" w:rsidR="0036009C" w:rsidRDefault="0036009C" w:rsidP="0036009C">
      <w:pPr>
        <w:jc w:val="both"/>
        <w:rPr>
          <w:color w:val="000000"/>
          <w:sz w:val="24"/>
          <w:szCs w:val="24"/>
        </w:rPr>
      </w:pPr>
      <w:r>
        <w:rPr>
          <w:b/>
          <w:color w:val="000000"/>
          <w:sz w:val="24"/>
          <w:szCs w:val="24"/>
        </w:rPr>
        <w:t>ARTÍCULO 14º. INTEROPERABILIDAD DE LOS SISTEMAS DE INFORMACIÓN.</w:t>
      </w:r>
      <w:r>
        <w:rPr>
          <w:color w:val="000000"/>
          <w:sz w:val="24"/>
          <w:szCs w:val="24"/>
        </w:rPr>
        <w:t xml:space="preserve"> Los sistemas de información que </w:t>
      </w:r>
      <w:r>
        <w:rPr>
          <w:sz w:val="24"/>
          <w:szCs w:val="24"/>
        </w:rPr>
        <w:t>sean utilizados</w:t>
      </w:r>
      <w:r>
        <w:rPr>
          <w:color w:val="000000"/>
          <w:sz w:val="24"/>
          <w:szCs w:val="24"/>
        </w:rPr>
        <w:t xml:space="preserve"> por la administración pública y se encuentren relacionados con el ciclo de producción normativa del Estado deben ser interoperables. </w:t>
      </w:r>
    </w:p>
    <w:p w14:paraId="23B9D6AB" w14:textId="77777777" w:rsidR="0036009C" w:rsidRDefault="0036009C" w:rsidP="0036009C">
      <w:pPr>
        <w:jc w:val="both"/>
        <w:rPr>
          <w:color w:val="000000"/>
          <w:sz w:val="24"/>
          <w:szCs w:val="24"/>
        </w:rPr>
      </w:pPr>
    </w:p>
    <w:p w14:paraId="2B6D2AD9" w14:textId="77777777" w:rsidR="0036009C" w:rsidRDefault="0036009C" w:rsidP="0036009C">
      <w:pPr>
        <w:jc w:val="both"/>
        <w:rPr>
          <w:color w:val="000000"/>
          <w:sz w:val="24"/>
          <w:szCs w:val="24"/>
        </w:rPr>
      </w:pPr>
      <w:r>
        <w:rPr>
          <w:color w:val="000000"/>
          <w:sz w:val="24"/>
          <w:szCs w:val="24"/>
        </w:rPr>
        <w:t>Las autoridades deberán integrar dichos sistemas de información al servicio ciudadano de interoperabilidad, siguiendo los lineamientos, plazos y condiciones que para tal efecto expida el Ministerio de las Tecnologías y las Comunicaciones.</w:t>
      </w:r>
    </w:p>
    <w:p w14:paraId="1611A0AD" w14:textId="77777777" w:rsidR="0036009C" w:rsidRDefault="0036009C" w:rsidP="0036009C">
      <w:pPr>
        <w:jc w:val="both"/>
        <w:rPr>
          <w:color w:val="000000"/>
          <w:sz w:val="24"/>
          <w:szCs w:val="24"/>
        </w:rPr>
      </w:pPr>
    </w:p>
    <w:p w14:paraId="3D4DB828" w14:textId="77777777" w:rsidR="0036009C" w:rsidRDefault="0036009C" w:rsidP="0036009C">
      <w:pPr>
        <w:jc w:val="both"/>
        <w:rPr>
          <w:color w:val="000000"/>
          <w:sz w:val="24"/>
          <w:szCs w:val="24"/>
        </w:rPr>
      </w:pPr>
      <w:r>
        <w:rPr>
          <w:color w:val="000000"/>
          <w:sz w:val="24"/>
          <w:szCs w:val="24"/>
        </w:rPr>
        <w:t>El Ministerio de las Tecnologías y las Comunicaciones  tendrá un plazo de seis (6) meses para reglamentar lo dispuesto en este artículo.</w:t>
      </w:r>
    </w:p>
    <w:p w14:paraId="699EAFEB" w14:textId="77777777" w:rsidR="0036009C" w:rsidRDefault="0036009C" w:rsidP="0036009C">
      <w:pPr>
        <w:jc w:val="both"/>
        <w:rPr>
          <w:color w:val="000000"/>
          <w:sz w:val="24"/>
          <w:szCs w:val="24"/>
        </w:rPr>
      </w:pPr>
    </w:p>
    <w:p w14:paraId="07CFBEF7" w14:textId="77777777" w:rsidR="0036009C" w:rsidRDefault="0036009C" w:rsidP="0036009C">
      <w:pPr>
        <w:ind w:left="75"/>
        <w:jc w:val="both"/>
        <w:rPr>
          <w:sz w:val="24"/>
          <w:szCs w:val="24"/>
        </w:rPr>
      </w:pPr>
      <w:r>
        <w:rPr>
          <w:b/>
          <w:sz w:val="24"/>
          <w:szCs w:val="24"/>
        </w:rPr>
        <w:t>ARTÍCULO 15º. IMPLEMENTACIÓN NACIONAL Y TERRITORIAL.</w:t>
      </w:r>
      <w:r>
        <w:rPr>
          <w:sz w:val="24"/>
          <w:szCs w:val="24"/>
        </w:rPr>
        <w:t xml:space="preserve"> Los sujetos obligados tendrán un plazo máximo de doce (12) meses para dar cumplimiento a lo dispuesto en la presente ley. Para el caso del cumplimiento de lo dispuesto en </w:t>
      </w:r>
      <w:r>
        <w:rPr>
          <w:sz w:val="24"/>
          <w:szCs w:val="24"/>
        </w:rPr>
        <w:lastRenderedPageBreak/>
        <w:t xml:space="preserve">los artículos 8 y 12, las entidades territoriales, contarán con los siguientes plazos máximos: </w:t>
      </w:r>
    </w:p>
    <w:p w14:paraId="47DDAF1F" w14:textId="77777777" w:rsidR="0036009C" w:rsidRDefault="0036009C" w:rsidP="0036009C">
      <w:pPr>
        <w:ind w:left="75"/>
        <w:jc w:val="both"/>
        <w:rPr>
          <w:sz w:val="24"/>
          <w:szCs w:val="24"/>
        </w:rPr>
      </w:pPr>
    </w:p>
    <w:p w14:paraId="1E94043E" w14:textId="77777777" w:rsidR="0036009C" w:rsidRDefault="0036009C" w:rsidP="0036009C">
      <w:pPr>
        <w:numPr>
          <w:ilvl w:val="0"/>
          <w:numId w:val="8"/>
        </w:numPr>
        <w:pBdr>
          <w:top w:val="nil"/>
          <w:left w:val="nil"/>
          <w:bottom w:val="nil"/>
          <w:right w:val="nil"/>
          <w:between w:val="nil"/>
        </w:pBdr>
        <w:jc w:val="both"/>
        <w:rPr>
          <w:color w:val="000000"/>
          <w:sz w:val="24"/>
          <w:szCs w:val="24"/>
        </w:rPr>
      </w:pPr>
      <w:r>
        <w:rPr>
          <w:b/>
          <w:color w:val="000000"/>
          <w:sz w:val="24"/>
          <w:szCs w:val="24"/>
        </w:rPr>
        <w:t>Categoría Especial:</w:t>
      </w:r>
      <w:r>
        <w:rPr>
          <w:color w:val="000000"/>
          <w:sz w:val="24"/>
          <w:szCs w:val="24"/>
        </w:rPr>
        <w:t xml:space="preserve"> Doce (12) meses a partir de la entrada en vigencia de esta ley. </w:t>
      </w:r>
    </w:p>
    <w:p w14:paraId="2F73790B" w14:textId="77777777" w:rsidR="0036009C" w:rsidRDefault="0036009C" w:rsidP="0036009C">
      <w:pPr>
        <w:numPr>
          <w:ilvl w:val="0"/>
          <w:numId w:val="8"/>
        </w:numPr>
        <w:pBdr>
          <w:top w:val="nil"/>
          <w:left w:val="nil"/>
          <w:bottom w:val="nil"/>
          <w:right w:val="nil"/>
          <w:between w:val="nil"/>
        </w:pBdr>
        <w:jc w:val="both"/>
        <w:rPr>
          <w:color w:val="000000"/>
          <w:sz w:val="24"/>
          <w:szCs w:val="24"/>
        </w:rPr>
      </w:pPr>
      <w:r>
        <w:rPr>
          <w:b/>
          <w:color w:val="000000"/>
          <w:sz w:val="24"/>
          <w:szCs w:val="24"/>
        </w:rPr>
        <w:t>Primera Categoría:</w:t>
      </w:r>
      <w:r>
        <w:rPr>
          <w:color w:val="000000"/>
          <w:sz w:val="24"/>
          <w:szCs w:val="24"/>
        </w:rPr>
        <w:t xml:space="preserve"> Treinta (30) meses a partir de la entrada en vigencia de esta ley. </w:t>
      </w:r>
    </w:p>
    <w:p w14:paraId="7BF76F83" w14:textId="77777777" w:rsidR="0036009C" w:rsidRDefault="0036009C" w:rsidP="0036009C">
      <w:pPr>
        <w:numPr>
          <w:ilvl w:val="0"/>
          <w:numId w:val="8"/>
        </w:numPr>
        <w:pBdr>
          <w:top w:val="nil"/>
          <w:left w:val="nil"/>
          <w:bottom w:val="nil"/>
          <w:right w:val="nil"/>
          <w:between w:val="nil"/>
        </w:pBdr>
        <w:jc w:val="both"/>
        <w:rPr>
          <w:color w:val="000000"/>
          <w:sz w:val="24"/>
          <w:szCs w:val="24"/>
        </w:rPr>
      </w:pPr>
      <w:r>
        <w:rPr>
          <w:b/>
          <w:color w:val="000000"/>
          <w:sz w:val="24"/>
          <w:szCs w:val="24"/>
        </w:rPr>
        <w:t>Segunda y Tercera Categoría:</w:t>
      </w:r>
      <w:r>
        <w:rPr>
          <w:color w:val="000000"/>
          <w:sz w:val="24"/>
          <w:szCs w:val="24"/>
        </w:rPr>
        <w:t xml:space="preserve"> Treinta y seis (36) meses a partir de la entrada en vigencia de esta ley. </w:t>
      </w:r>
    </w:p>
    <w:p w14:paraId="5E7DF098" w14:textId="77777777" w:rsidR="0036009C" w:rsidRDefault="0036009C" w:rsidP="0036009C">
      <w:pPr>
        <w:numPr>
          <w:ilvl w:val="0"/>
          <w:numId w:val="8"/>
        </w:numPr>
        <w:pBdr>
          <w:top w:val="nil"/>
          <w:left w:val="nil"/>
          <w:bottom w:val="nil"/>
          <w:right w:val="nil"/>
          <w:between w:val="nil"/>
        </w:pBdr>
        <w:jc w:val="both"/>
        <w:rPr>
          <w:color w:val="000000"/>
          <w:sz w:val="24"/>
          <w:szCs w:val="24"/>
        </w:rPr>
      </w:pPr>
      <w:r>
        <w:rPr>
          <w:b/>
          <w:color w:val="000000"/>
          <w:sz w:val="24"/>
          <w:szCs w:val="24"/>
        </w:rPr>
        <w:t>Cuarta, Quinta y Sexta Categoría:</w:t>
      </w:r>
      <w:r>
        <w:rPr>
          <w:color w:val="000000"/>
          <w:sz w:val="24"/>
          <w:szCs w:val="24"/>
        </w:rPr>
        <w:t xml:space="preserve"> Cuarenta y ocho (48) meses a partir de la entrada en vigencia de esta ley. </w:t>
      </w:r>
    </w:p>
    <w:p w14:paraId="2083E8BD" w14:textId="77777777" w:rsidR="0036009C" w:rsidRDefault="0036009C" w:rsidP="0036009C">
      <w:pPr>
        <w:ind w:left="75"/>
        <w:jc w:val="both"/>
        <w:rPr>
          <w:sz w:val="24"/>
          <w:szCs w:val="24"/>
        </w:rPr>
      </w:pPr>
    </w:p>
    <w:p w14:paraId="7F845540" w14:textId="77777777" w:rsidR="0036009C" w:rsidRDefault="0036009C" w:rsidP="0036009C">
      <w:pPr>
        <w:ind w:left="75"/>
        <w:jc w:val="both"/>
        <w:rPr>
          <w:sz w:val="24"/>
          <w:szCs w:val="24"/>
        </w:rPr>
      </w:pPr>
      <w:r>
        <w:rPr>
          <w:sz w:val="24"/>
          <w:szCs w:val="24"/>
        </w:rPr>
        <w:t xml:space="preserve">En los plazos aquí dispuestos, los sujetos obligados deberán hacer los ajustes institucionales, normativos, administrativos y financieros con cargo a su presupuesto que sean necesarios. </w:t>
      </w:r>
    </w:p>
    <w:p w14:paraId="12C77A1B" w14:textId="77777777" w:rsidR="0036009C" w:rsidRDefault="0036009C" w:rsidP="0036009C">
      <w:pPr>
        <w:ind w:left="75"/>
        <w:jc w:val="both"/>
        <w:rPr>
          <w:sz w:val="24"/>
          <w:szCs w:val="24"/>
        </w:rPr>
      </w:pPr>
    </w:p>
    <w:p w14:paraId="09A4090C" w14:textId="77777777" w:rsidR="0036009C" w:rsidRDefault="0036009C" w:rsidP="0036009C">
      <w:pPr>
        <w:jc w:val="both"/>
        <w:rPr>
          <w:color w:val="000000"/>
          <w:sz w:val="24"/>
          <w:szCs w:val="24"/>
        </w:rPr>
      </w:pPr>
      <w:r>
        <w:rPr>
          <w:b/>
          <w:sz w:val="24"/>
          <w:szCs w:val="24"/>
        </w:rPr>
        <w:t>PARÁGRAFO.</w:t>
      </w:r>
      <w:r>
        <w:rPr>
          <w:sz w:val="24"/>
          <w:szCs w:val="24"/>
        </w:rPr>
        <w:t xml:space="preserve"> Para el caso de las Asambleas Departamentales y Concejos Municipales, no aplica lo dispuesto en la presente ley, en lo referido a la promulgación de acuerdos y ordenanzas. </w:t>
      </w:r>
    </w:p>
    <w:p w14:paraId="74FBBD6A" w14:textId="77777777" w:rsidR="0036009C" w:rsidRDefault="0036009C" w:rsidP="0036009C">
      <w:pPr>
        <w:ind w:left="75"/>
        <w:rPr>
          <w:b/>
          <w:color w:val="000000"/>
          <w:sz w:val="24"/>
          <w:szCs w:val="24"/>
        </w:rPr>
      </w:pPr>
    </w:p>
    <w:p w14:paraId="789E8437" w14:textId="77777777" w:rsidR="0036009C" w:rsidRDefault="0036009C" w:rsidP="0036009C">
      <w:pPr>
        <w:ind w:left="75"/>
        <w:jc w:val="both"/>
        <w:rPr>
          <w:sz w:val="24"/>
          <w:szCs w:val="24"/>
        </w:rPr>
      </w:pPr>
      <w:r>
        <w:rPr>
          <w:b/>
          <w:sz w:val="24"/>
          <w:szCs w:val="24"/>
        </w:rPr>
        <w:t>ARTÍCULO 16º. VIGENCIA.</w:t>
      </w:r>
      <w:r>
        <w:rPr>
          <w:sz w:val="24"/>
          <w:szCs w:val="24"/>
        </w:rPr>
        <w:t xml:space="preserve"> La presente ley rige a partir del momento de su promulgación y deroga las disposiciones que le sean contrarias.</w:t>
      </w:r>
    </w:p>
    <w:p w14:paraId="744323CB" w14:textId="77777777" w:rsidR="0036009C" w:rsidRDefault="0036009C" w:rsidP="0036009C">
      <w:pPr>
        <w:jc w:val="center"/>
        <w:rPr>
          <w:b/>
          <w:sz w:val="24"/>
          <w:szCs w:val="24"/>
        </w:rPr>
      </w:pPr>
    </w:p>
    <w:p w14:paraId="4EC11FA7" w14:textId="77777777" w:rsidR="0036009C" w:rsidRDefault="0036009C" w:rsidP="0036009C">
      <w:pPr>
        <w:jc w:val="center"/>
        <w:rPr>
          <w:b/>
          <w:sz w:val="24"/>
          <w:szCs w:val="24"/>
        </w:rPr>
      </w:pPr>
    </w:p>
    <w:p w14:paraId="61E81BB6" w14:textId="77777777" w:rsidR="0036009C" w:rsidRDefault="0036009C" w:rsidP="0036009C">
      <w:pPr>
        <w:rPr>
          <w:sz w:val="24"/>
          <w:szCs w:val="24"/>
        </w:rPr>
      </w:pPr>
      <w:r>
        <w:rPr>
          <w:sz w:val="24"/>
          <w:szCs w:val="24"/>
        </w:rPr>
        <w:t xml:space="preserve">De los honorables congresistas, </w:t>
      </w:r>
    </w:p>
    <w:p w14:paraId="207C115A" w14:textId="77777777" w:rsidR="0036009C" w:rsidRDefault="0036009C" w:rsidP="0036009C">
      <w:pPr>
        <w:rPr>
          <w:sz w:val="24"/>
          <w:szCs w:val="24"/>
        </w:rPr>
      </w:pPr>
    </w:p>
    <w:p w14:paraId="52B26350" w14:textId="77777777" w:rsidR="0036009C" w:rsidRDefault="0036009C" w:rsidP="0036009C">
      <w:pPr>
        <w:rPr>
          <w:sz w:val="24"/>
          <w:szCs w:val="24"/>
        </w:rPr>
      </w:pPr>
    </w:p>
    <w:p w14:paraId="2098E80E" w14:textId="77777777" w:rsidR="0036009C" w:rsidRDefault="0036009C" w:rsidP="0036009C">
      <w:pPr>
        <w:rPr>
          <w:sz w:val="24"/>
          <w:szCs w:val="24"/>
        </w:rPr>
      </w:pPr>
    </w:p>
    <w:p w14:paraId="250B1B75" w14:textId="77777777" w:rsidR="0036009C" w:rsidRDefault="0036009C" w:rsidP="0036009C">
      <w:pPr>
        <w:rPr>
          <w:sz w:val="24"/>
          <w:szCs w:val="24"/>
        </w:rPr>
      </w:pPr>
    </w:p>
    <w:p w14:paraId="36291E16" w14:textId="77777777" w:rsidR="0036009C" w:rsidRDefault="0036009C" w:rsidP="0036009C">
      <w:pPr>
        <w:jc w:val="both"/>
        <w:rPr>
          <w:b/>
          <w:sz w:val="24"/>
          <w:szCs w:val="24"/>
        </w:rPr>
      </w:pPr>
      <w:r>
        <w:rPr>
          <w:b/>
          <w:sz w:val="24"/>
          <w:szCs w:val="24"/>
        </w:rPr>
        <w:t>___________________________</w:t>
      </w:r>
    </w:p>
    <w:p w14:paraId="62740FE0" w14:textId="77777777" w:rsidR="0036009C" w:rsidRDefault="0036009C" w:rsidP="0036009C">
      <w:pPr>
        <w:jc w:val="both"/>
        <w:rPr>
          <w:b/>
          <w:sz w:val="24"/>
          <w:szCs w:val="24"/>
        </w:rPr>
      </w:pPr>
      <w:r>
        <w:rPr>
          <w:b/>
          <w:sz w:val="24"/>
          <w:szCs w:val="24"/>
        </w:rPr>
        <w:t>JUAN FERNANDO REYES KURI</w:t>
      </w:r>
    </w:p>
    <w:p w14:paraId="1991F512" w14:textId="77777777" w:rsidR="0036009C" w:rsidRDefault="0036009C" w:rsidP="0036009C">
      <w:pPr>
        <w:jc w:val="both"/>
        <w:rPr>
          <w:sz w:val="24"/>
          <w:szCs w:val="24"/>
        </w:rPr>
      </w:pPr>
      <w:r>
        <w:rPr>
          <w:sz w:val="24"/>
          <w:szCs w:val="24"/>
        </w:rPr>
        <w:t>Representante a la Cámara por el Valle del Cauca</w:t>
      </w:r>
    </w:p>
    <w:p w14:paraId="0F736E36" w14:textId="77777777" w:rsidR="0036009C" w:rsidRDefault="0036009C" w:rsidP="0036009C">
      <w:pPr>
        <w:jc w:val="both"/>
        <w:rPr>
          <w:sz w:val="24"/>
          <w:szCs w:val="24"/>
        </w:rPr>
      </w:pPr>
      <w:r>
        <w:rPr>
          <w:sz w:val="24"/>
          <w:szCs w:val="24"/>
        </w:rPr>
        <w:t>Partido Liberal</w:t>
      </w:r>
    </w:p>
    <w:p w14:paraId="5A57C9B5" w14:textId="77777777" w:rsidR="0036009C" w:rsidRDefault="0036009C" w:rsidP="0036009C">
      <w:pPr>
        <w:jc w:val="both"/>
        <w:rPr>
          <w:sz w:val="24"/>
          <w:szCs w:val="24"/>
        </w:rPr>
      </w:pPr>
    </w:p>
    <w:p w14:paraId="74E21884" w14:textId="77777777" w:rsidR="0036009C" w:rsidRDefault="0036009C" w:rsidP="0036009C">
      <w:pPr>
        <w:jc w:val="both"/>
        <w:rPr>
          <w:sz w:val="24"/>
          <w:szCs w:val="24"/>
        </w:rPr>
      </w:pPr>
    </w:p>
    <w:p w14:paraId="20D37225" w14:textId="77777777" w:rsidR="0036009C" w:rsidRDefault="0036009C" w:rsidP="0036009C">
      <w:pPr>
        <w:jc w:val="both"/>
        <w:rPr>
          <w:sz w:val="24"/>
          <w:szCs w:val="24"/>
        </w:rPr>
      </w:pPr>
    </w:p>
    <w:p w14:paraId="51D04C14" w14:textId="77777777" w:rsidR="0036009C" w:rsidRDefault="0036009C">
      <w:pPr>
        <w:rPr>
          <w:sz w:val="24"/>
          <w:szCs w:val="24"/>
        </w:rPr>
      </w:pPr>
    </w:p>
    <w:p w14:paraId="265D1610" w14:textId="5C243808" w:rsidR="00A41A39" w:rsidRDefault="00A41A39">
      <w:pPr>
        <w:jc w:val="both"/>
        <w:rPr>
          <w:sz w:val="24"/>
          <w:szCs w:val="24"/>
        </w:rPr>
      </w:pPr>
    </w:p>
    <w:p w14:paraId="74866B09" w14:textId="77777777" w:rsidR="00A41A39" w:rsidRDefault="00A41A39">
      <w:pPr>
        <w:jc w:val="both"/>
        <w:rPr>
          <w:sz w:val="24"/>
          <w:szCs w:val="24"/>
        </w:rPr>
      </w:pPr>
    </w:p>
    <w:p w14:paraId="0000021C" w14:textId="77777777" w:rsidR="00FA794D" w:rsidRDefault="00FA794D">
      <w:pPr>
        <w:jc w:val="both"/>
        <w:rPr>
          <w:sz w:val="24"/>
          <w:szCs w:val="24"/>
        </w:rPr>
      </w:pPr>
    </w:p>
    <w:p w14:paraId="0000021D" w14:textId="77777777" w:rsidR="00FA794D" w:rsidRDefault="00FA794D">
      <w:pPr>
        <w:jc w:val="both"/>
        <w:rPr>
          <w:sz w:val="24"/>
          <w:szCs w:val="24"/>
        </w:rPr>
      </w:pPr>
    </w:p>
    <w:p w14:paraId="0000021E" w14:textId="77777777" w:rsidR="00FA794D" w:rsidRDefault="009F509E">
      <w:pPr>
        <w:numPr>
          <w:ilvl w:val="0"/>
          <w:numId w:val="4"/>
        </w:numPr>
        <w:pBdr>
          <w:top w:val="nil"/>
          <w:left w:val="nil"/>
          <w:bottom w:val="nil"/>
          <w:right w:val="nil"/>
          <w:between w:val="nil"/>
        </w:pBdr>
        <w:ind w:left="284"/>
        <w:jc w:val="center"/>
        <w:rPr>
          <w:b/>
          <w:color w:val="000000"/>
          <w:sz w:val="24"/>
          <w:szCs w:val="24"/>
        </w:rPr>
      </w:pPr>
      <w:r>
        <w:rPr>
          <w:b/>
          <w:color w:val="000000"/>
          <w:sz w:val="24"/>
          <w:szCs w:val="24"/>
        </w:rPr>
        <w:t>REFERENCIAS</w:t>
      </w:r>
    </w:p>
    <w:p w14:paraId="0000021F" w14:textId="77777777" w:rsidR="00FA794D" w:rsidRDefault="00FA794D">
      <w:pPr>
        <w:pBdr>
          <w:top w:val="nil"/>
          <w:left w:val="nil"/>
          <w:bottom w:val="nil"/>
          <w:right w:val="nil"/>
          <w:between w:val="nil"/>
        </w:pBdr>
        <w:ind w:left="284"/>
        <w:rPr>
          <w:b/>
          <w:color w:val="000000"/>
          <w:sz w:val="24"/>
          <w:szCs w:val="24"/>
        </w:rPr>
      </w:pPr>
    </w:p>
    <w:p w14:paraId="00000220" w14:textId="77777777" w:rsidR="00FA794D" w:rsidRDefault="009F509E">
      <w:pPr>
        <w:pBdr>
          <w:top w:val="nil"/>
          <w:left w:val="nil"/>
          <w:bottom w:val="nil"/>
          <w:right w:val="nil"/>
          <w:between w:val="nil"/>
        </w:pBdr>
        <w:ind w:left="720" w:hanging="720"/>
        <w:jc w:val="both"/>
        <w:rPr>
          <w:color w:val="000000"/>
          <w:sz w:val="24"/>
          <w:szCs w:val="24"/>
        </w:rPr>
      </w:pPr>
      <w:r>
        <w:rPr>
          <w:color w:val="000000"/>
          <w:sz w:val="24"/>
          <w:szCs w:val="24"/>
        </w:rPr>
        <w:t xml:space="preserve">CONPES 3816. (2014). </w:t>
      </w:r>
      <w:r>
        <w:rPr>
          <w:i/>
          <w:color w:val="000000"/>
          <w:sz w:val="24"/>
          <w:szCs w:val="24"/>
        </w:rPr>
        <w:t>Mejora normativa: análisis de impacto.</w:t>
      </w:r>
      <w:r>
        <w:rPr>
          <w:color w:val="000000"/>
          <w:sz w:val="24"/>
          <w:szCs w:val="24"/>
        </w:rPr>
        <w:t xml:space="preserve"> Bogotá: Consejo Nacional de Política Económica y Social República de Colombia Departamento Nacional de Planeación.</w:t>
      </w:r>
    </w:p>
    <w:p w14:paraId="00000221" w14:textId="77777777" w:rsidR="00FA794D" w:rsidRDefault="009F509E">
      <w:pPr>
        <w:pBdr>
          <w:top w:val="nil"/>
          <w:left w:val="nil"/>
          <w:bottom w:val="nil"/>
          <w:right w:val="nil"/>
          <w:between w:val="nil"/>
        </w:pBdr>
        <w:ind w:left="720" w:hanging="720"/>
        <w:jc w:val="both"/>
        <w:rPr>
          <w:color w:val="000000"/>
          <w:sz w:val="24"/>
          <w:szCs w:val="24"/>
        </w:rPr>
      </w:pPr>
      <w:r>
        <w:rPr>
          <w:color w:val="000000"/>
          <w:sz w:val="24"/>
          <w:szCs w:val="24"/>
        </w:rPr>
        <w:t xml:space="preserve">Banco Mundial. (2021). </w:t>
      </w:r>
      <w:proofErr w:type="spellStart"/>
      <w:r>
        <w:rPr>
          <w:i/>
          <w:color w:val="000000"/>
          <w:sz w:val="24"/>
          <w:szCs w:val="24"/>
        </w:rPr>
        <w:t>Doing</w:t>
      </w:r>
      <w:proofErr w:type="spellEnd"/>
      <w:r>
        <w:rPr>
          <w:i/>
          <w:color w:val="000000"/>
          <w:sz w:val="24"/>
          <w:szCs w:val="24"/>
        </w:rPr>
        <w:t xml:space="preserve"> </w:t>
      </w:r>
      <w:proofErr w:type="spellStart"/>
      <w:r>
        <w:rPr>
          <w:i/>
          <w:color w:val="000000"/>
          <w:sz w:val="24"/>
          <w:szCs w:val="24"/>
        </w:rPr>
        <w:t>Busines</w:t>
      </w:r>
      <w:proofErr w:type="spellEnd"/>
      <w:r>
        <w:rPr>
          <w:color w:val="000000"/>
          <w:sz w:val="24"/>
          <w:szCs w:val="24"/>
        </w:rPr>
        <w:t>. Obtenido de https://espanol.doingbusiness.org/es/data/exploreeconomies/colombia</w:t>
      </w:r>
    </w:p>
    <w:p w14:paraId="00000222" w14:textId="77777777" w:rsidR="00FA794D" w:rsidRDefault="009F509E">
      <w:pPr>
        <w:pBdr>
          <w:top w:val="nil"/>
          <w:left w:val="nil"/>
          <w:bottom w:val="nil"/>
          <w:right w:val="nil"/>
          <w:between w:val="nil"/>
        </w:pBdr>
        <w:ind w:left="720" w:hanging="720"/>
        <w:jc w:val="both"/>
        <w:rPr>
          <w:color w:val="000000"/>
          <w:sz w:val="24"/>
          <w:szCs w:val="24"/>
        </w:rPr>
      </w:pPr>
      <w:r>
        <w:rPr>
          <w:color w:val="000000"/>
          <w:sz w:val="24"/>
          <w:szCs w:val="24"/>
        </w:rPr>
        <w:t xml:space="preserve">Secretaría de la Función Pública del Gobierno Federal Mexicano. (13 de junio de 2012). </w:t>
      </w:r>
      <w:r>
        <w:rPr>
          <w:i/>
          <w:color w:val="000000"/>
          <w:sz w:val="24"/>
          <w:szCs w:val="24"/>
        </w:rPr>
        <w:t>Tala Regulatoria</w:t>
      </w:r>
      <w:r>
        <w:rPr>
          <w:color w:val="000000"/>
          <w:sz w:val="24"/>
          <w:szCs w:val="24"/>
        </w:rPr>
        <w:t>. Obtenido de Secretaría de la Función Pública del Gobierno Federal Mexicano: http://2006-2012.funcionpublica.gob.mx/index.php/unidades-administrativas/ssfp/mejor-gobierno/tala.html</w:t>
      </w:r>
    </w:p>
    <w:p w14:paraId="00000223" w14:textId="77777777" w:rsidR="00FA794D" w:rsidRDefault="009F509E">
      <w:pPr>
        <w:pBdr>
          <w:top w:val="nil"/>
          <w:left w:val="nil"/>
          <w:bottom w:val="nil"/>
          <w:right w:val="nil"/>
          <w:between w:val="nil"/>
        </w:pBdr>
        <w:ind w:left="720" w:hanging="720"/>
        <w:jc w:val="both"/>
        <w:rPr>
          <w:color w:val="000000"/>
          <w:sz w:val="24"/>
          <w:szCs w:val="24"/>
        </w:rPr>
      </w:pPr>
      <w:r>
        <w:rPr>
          <w:color w:val="000000"/>
          <w:sz w:val="24"/>
          <w:szCs w:val="24"/>
        </w:rPr>
        <w:t xml:space="preserve">Molano, Moncada &amp; Barrera. (2018). Calidad institucional para el crecimiento económico y el progreso social. En I. d. (ICP), </w:t>
      </w:r>
      <w:r>
        <w:rPr>
          <w:i/>
          <w:color w:val="000000"/>
          <w:sz w:val="24"/>
          <w:szCs w:val="24"/>
        </w:rPr>
        <w:t>Calidad normativa y regulatoria</w:t>
      </w:r>
      <w:r>
        <w:rPr>
          <w:color w:val="000000"/>
          <w:sz w:val="24"/>
          <w:szCs w:val="24"/>
        </w:rPr>
        <w:t xml:space="preserve"> (pág. 35 y </w:t>
      </w:r>
      <w:proofErr w:type="spellStart"/>
      <w:r>
        <w:rPr>
          <w:color w:val="000000"/>
          <w:sz w:val="24"/>
          <w:szCs w:val="24"/>
        </w:rPr>
        <w:t>ss</w:t>
      </w:r>
      <w:proofErr w:type="spellEnd"/>
      <w:r>
        <w:rPr>
          <w:color w:val="000000"/>
          <w:sz w:val="24"/>
          <w:szCs w:val="24"/>
        </w:rPr>
        <w:t>). Bogotá: (ICP), Instituto de Ciencia Política Hernán Echavarría Olózaga.</w:t>
      </w:r>
    </w:p>
    <w:p w14:paraId="00000224" w14:textId="77777777" w:rsidR="00FA794D" w:rsidRDefault="009F509E">
      <w:pPr>
        <w:pBdr>
          <w:top w:val="nil"/>
          <w:left w:val="nil"/>
          <w:bottom w:val="nil"/>
          <w:right w:val="nil"/>
          <w:between w:val="nil"/>
        </w:pBdr>
        <w:ind w:left="720" w:hanging="720"/>
        <w:jc w:val="both"/>
        <w:rPr>
          <w:color w:val="000000"/>
          <w:sz w:val="24"/>
          <w:szCs w:val="24"/>
        </w:rPr>
      </w:pPr>
      <w:r>
        <w:rPr>
          <w:color w:val="000000"/>
          <w:sz w:val="24"/>
          <w:szCs w:val="24"/>
        </w:rPr>
        <w:t xml:space="preserve">Departamento Nacional de Planeación (2020). </w:t>
      </w:r>
      <w:r>
        <w:rPr>
          <w:i/>
          <w:color w:val="000000"/>
          <w:sz w:val="24"/>
          <w:szCs w:val="24"/>
        </w:rPr>
        <w:t>Portal Web DNP Observatorio de Mejora Normativa</w:t>
      </w:r>
      <w:r>
        <w:rPr>
          <w:color w:val="000000"/>
          <w:sz w:val="24"/>
          <w:szCs w:val="24"/>
        </w:rPr>
        <w:t>. Obtenido de Colombia estrena visualizador de producción normativa: https://www.dnp.gov.co/Paginas/Colombia-estrena-visualizador-de-produccion-normativa.aspx</w:t>
      </w:r>
    </w:p>
    <w:p w14:paraId="00000225" w14:textId="77777777" w:rsidR="00FA794D" w:rsidRDefault="009F509E">
      <w:pPr>
        <w:pBdr>
          <w:top w:val="nil"/>
          <w:left w:val="nil"/>
          <w:bottom w:val="nil"/>
          <w:right w:val="nil"/>
          <w:between w:val="nil"/>
        </w:pBdr>
        <w:ind w:left="720" w:hanging="720"/>
        <w:jc w:val="both"/>
        <w:rPr>
          <w:color w:val="000000"/>
          <w:sz w:val="24"/>
          <w:szCs w:val="24"/>
        </w:rPr>
      </w:pPr>
      <w:r>
        <w:rPr>
          <w:color w:val="000000"/>
          <w:sz w:val="24"/>
          <w:szCs w:val="24"/>
        </w:rPr>
        <w:t xml:space="preserve">Consejo Privado de Competitividad . (2018). </w:t>
      </w:r>
      <w:r>
        <w:rPr>
          <w:i/>
          <w:color w:val="000000"/>
          <w:sz w:val="24"/>
          <w:szCs w:val="24"/>
        </w:rPr>
        <w:t>Informe Nacional de Competitividad (INC).</w:t>
      </w:r>
      <w:r>
        <w:rPr>
          <w:color w:val="000000"/>
          <w:sz w:val="24"/>
          <w:szCs w:val="24"/>
        </w:rPr>
        <w:t xml:space="preserve"> Bogotá: </w:t>
      </w:r>
      <w:proofErr w:type="spellStart"/>
      <w:r>
        <w:rPr>
          <w:color w:val="000000"/>
          <w:sz w:val="24"/>
          <w:szCs w:val="24"/>
        </w:rPr>
        <w:t>Zetta</w:t>
      </w:r>
      <w:proofErr w:type="spellEnd"/>
      <w:r>
        <w:rPr>
          <w:color w:val="000000"/>
          <w:sz w:val="24"/>
          <w:szCs w:val="24"/>
        </w:rPr>
        <w:t xml:space="preserve"> Comunicadores.</w:t>
      </w:r>
    </w:p>
    <w:p w14:paraId="00000226" w14:textId="77777777" w:rsidR="00FA794D" w:rsidRDefault="009F509E">
      <w:pPr>
        <w:pBdr>
          <w:top w:val="nil"/>
          <w:left w:val="nil"/>
          <w:bottom w:val="nil"/>
          <w:right w:val="nil"/>
          <w:between w:val="nil"/>
        </w:pBdr>
        <w:ind w:left="720" w:hanging="720"/>
        <w:jc w:val="both"/>
        <w:rPr>
          <w:color w:val="000000"/>
          <w:sz w:val="24"/>
          <w:szCs w:val="24"/>
        </w:rPr>
      </w:pPr>
      <w:r>
        <w:rPr>
          <w:color w:val="000000"/>
          <w:sz w:val="24"/>
          <w:szCs w:val="24"/>
        </w:rPr>
        <w:t xml:space="preserve">Consejo Privado de Competitividad . (2019). </w:t>
      </w:r>
      <w:r>
        <w:rPr>
          <w:i/>
          <w:color w:val="000000"/>
          <w:sz w:val="24"/>
          <w:szCs w:val="24"/>
        </w:rPr>
        <w:t>Informe Nacional de Competitividad (INC).</w:t>
      </w:r>
      <w:r>
        <w:rPr>
          <w:color w:val="000000"/>
          <w:sz w:val="24"/>
          <w:szCs w:val="24"/>
        </w:rPr>
        <w:t xml:space="preserve"> Bogotá.</w:t>
      </w:r>
    </w:p>
    <w:p w14:paraId="00000227" w14:textId="77777777" w:rsidR="00FA794D" w:rsidRDefault="009F509E">
      <w:pPr>
        <w:pBdr>
          <w:top w:val="nil"/>
          <w:left w:val="nil"/>
          <w:bottom w:val="nil"/>
          <w:right w:val="nil"/>
          <w:between w:val="nil"/>
        </w:pBdr>
        <w:ind w:left="720" w:hanging="720"/>
        <w:jc w:val="both"/>
        <w:rPr>
          <w:color w:val="000000"/>
          <w:sz w:val="24"/>
          <w:szCs w:val="24"/>
        </w:rPr>
      </w:pPr>
      <w:r>
        <w:rPr>
          <w:sz w:val="24"/>
          <w:szCs w:val="24"/>
        </w:rPr>
        <w:t>Consejo de Estado (2019). Sentencia 02830, Sala Plena Contenciosa Administrativa. M.P.: Carlos Enrique Moreno rubio. Bogotá.</w:t>
      </w:r>
    </w:p>
    <w:sectPr w:rsidR="00FA794D">
      <w:headerReference w:type="default" r:id="rId9"/>
      <w:footerReference w:type="default" r:id="rId10"/>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B0A85" w14:textId="77777777" w:rsidR="003355FF" w:rsidRDefault="003355FF">
      <w:pPr>
        <w:spacing w:line="240" w:lineRule="auto"/>
      </w:pPr>
      <w:r>
        <w:separator/>
      </w:r>
    </w:p>
  </w:endnote>
  <w:endnote w:type="continuationSeparator" w:id="0">
    <w:p w14:paraId="1DEA3DB8" w14:textId="77777777" w:rsidR="003355FF" w:rsidRDefault="003355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 w:name="Noto Sans Symbols">
    <w:altName w:val="Times New Roman"/>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altName w:val="﷽﷽﷽﷽﷽﷽﷽﷽렀ȓ怀"/>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2E" w14:textId="2787672A" w:rsidR="00FA794D" w:rsidRDefault="009F509E">
    <w:pPr>
      <w:pBdr>
        <w:top w:val="nil"/>
        <w:left w:val="nil"/>
        <w:bottom w:val="nil"/>
        <w:right w:val="nil"/>
        <w:between w:val="nil"/>
      </w:pBdr>
      <w:tabs>
        <w:tab w:val="left" w:pos="3502"/>
        <w:tab w:val="center" w:pos="4419"/>
        <w:tab w:val="right" w:pos="8838"/>
      </w:tabs>
      <w:rPr>
        <w:color w:val="000000"/>
      </w:rPr>
    </w:pPr>
    <w:r>
      <w:tab/>
    </w:r>
    <w:r>
      <w:tab/>
    </w:r>
    <w:r>
      <w:tab/>
      <w:t xml:space="preserve">Página </w:t>
    </w:r>
    <w:r>
      <w:rPr>
        <w:b/>
      </w:rPr>
      <w:fldChar w:fldCharType="begin"/>
    </w:r>
    <w:r>
      <w:rPr>
        <w:b/>
      </w:rPr>
      <w:instrText>PAGE</w:instrText>
    </w:r>
    <w:r>
      <w:rPr>
        <w:b/>
      </w:rPr>
      <w:fldChar w:fldCharType="separate"/>
    </w:r>
    <w:r w:rsidR="00EA7824">
      <w:rPr>
        <w:b/>
        <w:noProof/>
      </w:rPr>
      <w:t>1</w:t>
    </w:r>
    <w:r>
      <w:rPr>
        <w:b/>
      </w:rPr>
      <w:fldChar w:fldCharType="end"/>
    </w:r>
    <w:r>
      <w:t xml:space="preserve"> de </w:t>
    </w:r>
    <w:r>
      <w:rPr>
        <w:b/>
      </w:rPr>
      <w:fldChar w:fldCharType="begin"/>
    </w:r>
    <w:r>
      <w:rPr>
        <w:b/>
      </w:rPr>
      <w:instrText>NUMPAGES</w:instrText>
    </w:r>
    <w:r>
      <w:rPr>
        <w:b/>
      </w:rPr>
      <w:fldChar w:fldCharType="separate"/>
    </w:r>
    <w:r w:rsidR="00EA7824">
      <w:rPr>
        <w:b/>
        <w:noProof/>
      </w:rPr>
      <w:t>15</w:t>
    </w:r>
    <w:r>
      <w:rPr>
        <w:b/>
      </w:rPr>
      <w:fldChar w:fldCharType="end"/>
    </w:r>
    <w:r>
      <w:t xml:space="preserve"> </w:t>
    </w:r>
    <w:r>
      <w:rPr>
        <w:noProof/>
        <w:lang w:val="es-CO"/>
      </w:rPr>
      <w:drawing>
        <wp:anchor distT="0" distB="0" distL="114300" distR="114300" simplePos="0" relativeHeight="251659264" behindDoc="0" locked="0" layoutInCell="1" hidden="0" allowOverlap="1" wp14:anchorId="5B0C7547" wp14:editId="07FBF891">
          <wp:simplePos x="0" y="0"/>
          <wp:positionH relativeFrom="column">
            <wp:posOffset>1797628</wp:posOffset>
          </wp:positionH>
          <wp:positionV relativeFrom="paragraph">
            <wp:posOffset>-166254</wp:posOffset>
          </wp:positionV>
          <wp:extent cx="1697355" cy="685165"/>
          <wp:effectExtent l="0" t="0" r="0" b="0"/>
          <wp:wrapNone/>
          <wp:docPr id="92"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1"/>
                  <a:srcRect l="13793" t="25769" r="14491" b="26518"/>
                  <a:stretch>
                    <a:fillRect/>
                  </a:stretch>
                </pic:blipFill>
                <pic:spPr>
                  <a:xfrm>
                    <a:off x="0" y="0"/>
                    <a:ext cx="1697355" cy="68516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B1A30" w14:textId="77777777" w:rsidR="003355FF" w:rsidRDefault="003355FF">
      <w:pPr>
        <w:spacing w:line="240" w:lineRule="auto"/>
      </w:pPr>
      <w:r>
        <w:separator/>
      </w:r>
    </w:p>
  </w:footnote>
  <w:footnote w:type="continuationSeparator" w:id="0">
    <w:p w14:paraId="7B5A1B9E" w14:textId="77777777" w:rsidR="003355FF" w:rsidRDefault="003355FF">
      <w:pPr>
        <w:spacing w:line="240" w:lineRule="auto"/>
      </w:pPr>
      <w:r>
        <w:continuationSeparator/>
      </w:r>
    </w:p>
  </w:footnote>
  <w:footnote w:id="1">
    <w:p w14:paraId="00000228" w14:textId="77777777" w:rsidR="00FA794D" w:rsidRDefault="009F509E">
      <w:pPr>
        <w:pBdr>
          <w:top w:val="nil"/>
          <w:left w:val="nil"/>
          <w:bottom w:val="nil"/>
          <w:right w:val="nil"/>
          <w:between w:val="nil"/>
        </w:pBdr>
        <w:spacing w:line="240" w:lineRule="auto"/>
        <w:rPr>
          <w:color w:val="000000"/>
          <w:sz w:val="20"/>
          <w:szCs w:val="20"/>
        </w:rPr>
      </w:pPr>
      <w:r>
        <w:rPr>
          <w:vertAlign w:val="superscript"/>
        </w:rPr>
        <w:footnoteRef/>
      </w:r>
      <w:r>
        <w:rPr>
          <w:color w:val="000000"/>
          <w:sz w:val="20"/>
          <w:szCs w:val="20"/>
        </w:rPr>
        <w:t xml:space="preserve"> El sentido de este problema público fue abordado por primera vez en el CONPES 3816 de 2014.</w:t>
      </w:r>
    </w:p>
  </w:footnote>
  <w:footnote w:id="2">
    <w:p w14:paraId="00000229" w14:textId="77777777" w:rsidR="00FA794D" w:rsidRDefault="009F509E">
      <w:pPr>
        <w:pBdr>
          <w:top w:val="nil"/>
          <w:left w:val="nil"/>
          <w:bottom w:val="nil"/>
          <w:right w:val="nil"/>
          <w:between w:val="nil"/>
        </w:pBdr>
        <w:spacing w:line="240" w:lineRule="auto"/>
        <w:rPr>
          <w:color w:val="000000"/>
          <w:sz w:val="20"/>
          <w:szCs w:val="20"/>
        </w:rPr>
      </w:pPr>
      <w:r>
        <w:rPr>
          <w:vertAlign w:val="superscript"/>
        </w:rPr>
        <w:footnoteRef/>
      </w:r>
      <w:r>
        <w:rPr>
          <w:color w:val="000000"/>
          <w:sz w:val="20"/>
          <w:szCs w:val="20"/>
        </w:rPr>
        <w:t xml:space="preserve"> https://www.dnp.gov.co/Paginas/Colombia-estrena-visualizador-de-produccion-normativa.aspx</w:t>
      </w:r>
    </w:p>
  </w:footnote>
  <w:footnote w:id="3">
    <w:p w14:paraId="0000022A" w14:textId="77777777" w:rsidR="00FA794D" w:rsidRDefault="009F509E">
      <w:pPr>
        <w:pBdr>
          <w:top w:val="nil"/>
          <w:left w:val="nil"/>
          <w:bottom w:val="nil"/>
          <w:right w:val="nil"/>
          <w:between w:val="nil"/>
        </w:pBdr>
        <w:spacing w:line="240" w:lineRule="auto"/>
        <w:rPr>
          <w:color w:val="000000"/>
          <w:sz w:val="20"/>
          <w:szCs w:val="20"/>
        </w:rPr>
      </w:pPr>
      <w:r>
        <w:rPr>
          <w:vertAlign w:val="superscript"/>
        </w:rPr>
        <w:footnoteRef/>
      </w:r>
      <w:r>
        <w:rPr>
          <w:color w:val="000000"/>
          <w:sz w:val="20"/>
          <w:szCs w:val="20"/>
        </w:rPr>
        <w:t xml:space="preserve"> Experiencia internacional también referenciada por Moncada &amp; Barrera (2018), en su escrito para el Instituto de Ciencia Política sobre la materia.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2B" w14:textId="77777777" w:rsidR="00FA794D" w:rsidRDefault="009F509E">
    <w:pPr>
      <w:pBdr>
        <w:top w:val="nil"/>
        <w:left w:val="nil"/>
        <w:bottom w:val="nil"/>
        <w:right w:val="nil"/>
        <w:between w:val="nil"/>
      </w:pBdr>
      <w:tabs>
        <w:tab w:val="center" w:pos="4419"/>
        <w:tab w:val="right" w:pos="8838"/>
      </w:tabs>
      <w:jc w:val="center"/>
      <w:rPr>
        <w:color w:val="000000"/>
      </w:rPr>
    </w:pPr>
    <w:r>
      <w:rPr>
        <w:noProof/>
        <w:lang w:val="es-CO"/>
      </w:rPr>
      <w:drawing>
        <wp:anchor distT="0" distB="0" distL="114300" distR="114300" simplePos="0" relativeHeight="251658240" behindDoc="0" locked="0" layoutInCell="1" hidden="0" allowOverlap="1" wp14:anchorId="7394CEFE" wp14:editId="2ED5CC54">
          <wp:simplePos x="0" y="0"/>
          <wp:positionH relativeFrom="column">
            <wp:posOffset>1631372</wp:posOffset>
          </wp:positionH>
          <wp:positionV relativeFrom="paragraph">
            <wp:posOffset>-322463</wp:posOffset>
          </wp:positionV>
          <wp:extent cx="2045335" cy="733425"/>
          <wp:effectExtent l="0" t="0" r="0" b="0"/>
          <wp:wrapSquare wrapText="bothSides" distT="0" distB="0" distL="114300" distR="114300"/>
          <wp:docPr id="97" name="image18.png" descr="Imagen"/>
          <wp:cNvGraphicFramePr/>
          <a:graphic xmlns:a="http://schemas.openxmlformats.org/drawingml/2006/main">
            <a:graphicData uri="http://schemas.openxmlformats.org/drawingml/2006/picture">
              <pic:pic xmlns:pic="http://schemas.openxmlformats.org/drawingml/2006/picture">
                <pic:nvPicPr>
                  <pic:cNvPr id="0" name="image18.png" descr="Imagen"/>
                  <pic:cNvPicPr preferRelativeResize="0"/>
                </pic:nvPicPr>
                <pic:blipFill>
                  <a:blip r:embed="rId1"/>
                  <a:srcRect/>
                  <a:stretch>
                    <a:fillRect/>
                  </a:stretch>
                </pic:blipFill>
                <pic:spPr>
                  <a:xfrm>
                    <a:off x="0" y="0"/>
                    <a:ext cx="2045335" cy="733425"/>
                  </a:xfrm>
                  <a:prstGeom prst="rect">
                    <a:avLst/>
                  </a:prstGeom>
                  <a:ln/>
                </pic:spPr>
              </pic:pic>
            </a:graphicData>
          </a:graphic>
        </wp:anchor>
      </w:drawing>
    </w:r>
  </w:p>
  <w:p w14:paraId="0000022C" w14:textId="77777777" w:rsidR="00FA794D" w:rsidRDefault="00FA794D">
    <w:pPr>
      <w:pBdr>
        <w:top w:val="nil"/>
        <w:left w:val="nil"/>
        <w:bottom w:val="nil"/>
        <w:right w:val="nil"/>
        <w:between w:val="nil"/>
      </w:pBdr>
      <w:tabs>
        <w:tab w:val="center" w:pos="4419"/>
        <w:tab w:val="right" w:pos="8838"/>
      </w:tabs>
      <w:jc w:val="center"/>
      <w:rPr>
        <w:color w:val="000000"/>
      </w:rPr>
    </w:pPr>
  </w:p>
  <w:p w14:paraId="0000022D" w14:textId="77777777" w:rsidR="00FA794D" w:rsidRDefault="00FA794D">
    <w:pPr>
      <w:pBdr>
        <w:top w:val="nil"/>
        <w:left w:val="nil"/>
        <w:bottom w:val="nil"/>
        <w:right w:val="nil"/>
        <w:between w:val="nil"/>
      </w:pBdr>
      <w:tabs>
        <w:tab w:val="center" w:pos="4419"/>
        <w:tab w:val="right" w:pos="8838"/>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51422"/>
    <w:multiLevelType w:val="multilevel"/>
    <w:tmpl w:val="2C52AE22"/>
    <w:lvl w:ilvl="0">
      <w:start w:val="1"/>
      <w:numFmt w:val="decimal"/>
      <w:lvlText w:val="%1."/>
      <w:lvlJc w:val="left"/>
      <w:pPr>
        <w:ind w:left="-349" w:firstLine="207"/>
      </w:pPr>
      <w:rPr>
        <w:b/>
        <w:sz w:val="24"/>
        <w:szCs w:val="24"/>
      </w:rPr>
    </w:lvl>
    <w:lvl w:ilvl="1">
      <w:start w:val="1"/>
      <w:numFmt w:val="decimal"/>
      <w:lvlText w:val="%1.%2."/>
      <w:lvlJc w:val="left"/>
      <w:pPr>
        <w:ind w:left="360" w:hanging="360"/>
      </w:pPr>
      <w:rPr>
        <w:b/>
        <w:sz w:val="24"/>
        <w:szCs w:val="24"/>
      </w:rPr>
    </w:lvl>
    <w:lvl w:ilvl="2">
      <w:start w:val="1"/>
      <w:numFmt w:val="decimal"/>
      <w:lvlText w:val="%1.%2.%3."/>
      <w:lvlJc w:val="left"/>
      <w:pPr>
        <w:ind w:left="1429" w:hanging="720"/>
      </w:pPr>
    </w:lvl>
    <w:lvl w:ilvl="3">
      <w:start w:val="1"/>
      <w:numFmt w:val="decimal"/>
      <w:lvlText w:val="%1.%2.%3.%4."/>
      <w:lvlJc w:val="left"/>
      <w:pPr>
        <w:ind w:left="2138" w:hanging="720"/>
      </w:pPr>
    </w:lvl>
    <w:lvl w:ilvl="4">
      <w:start w:val="1"/>
      <w:numFmt w:val="decimal"/>
      <w:lvlText w:val="%1.%2.%3.%4.%5."/>
      <w:lvlJc w:val="left"/>
      <w:pPr>
        <w:ind w:left="3207" w:hanging="1080"/>
      </w:pPr>
    </w:lvl>
    <w:lvl w:ilvl="5">
      <w:start w:val="1"/>
      <w:numFmt w:val="decimal"/>
      <w:lvlText w:val="%1.%2.%3.%4.%5.%6."/>
      <w:lvlJc w:val="left"/>
      <w:pPr>
        <w:ind w:left="3916" w:hanging="1080"/>
      </w:pPr>
    </w:lvl>
    <w:lvl w:ilvl="6">
      <w:start w:val="1"/>
      <w:numFmt w:val="decimal"/>
      <w:lvlText w:val="%1.%2.%3.%4.%5.%6.%7."/>
      <w:lvlJc w:val="left"/>
      <w:pPr>
        <w:ind w:left="4985" w:hanging="1440"/>
      </w:pPr>
    </w:lvl>
    <w:lvl w:ilvl="7">
      <w:start w:val="1"/>
      <w:numFmt w:val="decimal"/>
      <w:lvlText w:val="%1.%2.%3.%4.%5.%6.%7.%8."/>
      <w:lvlJc w:val="left"/>
      <w:pPr>
        <w:ind w:left="5694" w:hanging="1440"/>
      </w:pPr>
    </w:lvl>
    <w:lvl w:ilvl="8">
      <w:start w:val="1"/>
      <w:numFmt w:val="decimal"/>
      <w:lvlText w:val="%1.%2.%3.%4.%5.%6.%7.%8.%9."/>
      <w:lvlJc w:val="left"/>
      <w:pPr>
        <w:ind w:left="6763" w:hanging="1800"/>
      </w:pPr>
    </w:lvl>
  </w:abstractNum>
  <w:abstractNum w:abstractNumId="1" w15:restartNumberingAfterBreak="0">
    <w:nsid w:val="0BFC0244"/>
    <w:multiLevelType w:val="multilevel"/>
    <w:tmpl w:val="1F00A988"/>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upperRoman"/>
      <w:lvlText w:val="%4."/>
      <w:lvlJc w:val="righ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0262CF1"/>
    <w:multiLevelType w:val="multilevel"/>
    <w:tmpl w:val="C6DEED9E"/>
    <w:lvl w:ilvl="0">
      <w:start w:val="1"/>
      <w:numFmt w:val="upperRoman"/>
      <w:lvlText w:val="%1."/>
      <w:lvlJc w:val="right"/>
      <w:pPr>
        <w:ind w:left="2880" w:hanging="360"/>
      </w:pPr>
      <w:rPr>
        <w:b/>
        <w:u w:val="none"/>
      </w:rPr>
    </w:lvl>
    <w:lvl w:ilvl="1">
      <w:start w:val="1"/>
      <w:numFmt w:val="lowerLetter"/>
      <w:lvlText w:val="%2)"/>
      <w:lvlJc w:val="left"/>
      <w:pPr>
        <w:ind w:left="1600" w:hanging="52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7C45E43"/>
    <w:multiLevelType w:val="multilevel"/>
    <w:tmpl w:val="1212A7E4"/>
    <w:lvl w:ilvl="0">
      <w:start w:val="1"/>
      <w:numFmt w:val="upperRoman"/>
      <w:lvlText w:val="%1."/>
      <w:lvlJc w:val="right"/>
      <w:pPr>
        <w:ind w:left="288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0753C7B"/>
    <w:multiLevelType w:val="multilevel"/>
    <w:tmpl w:val="E67E1B6A"/>
    <w:lvl w:ilvl="0">
      <w:start w:val="1"/>
      <w:numFmt w:val="upperRoman"/>
      <w:lvlText w:val="%1."/>
      <w:lvlJc w:val="right"/>
      <w:pPr>
        <w:ind w:left="720" w:hanging="360"/>
      </w:pPr>
      <w:rPr>
        <w:b/>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287214A"/>
    <w:multiLevelType w:val="multilevel"/>
    <w:tmpl w:val="9314FEC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bullet"/>
      <w:lvlText w:val="-"/>
      <w:lvlJc w:val="left"/>
      <w:pPr>
        <w:ind w:left="2340" w:hanging="360"/>
      </w:pPr>
      <w:rPr>
        <w:rFonts w:ascii="Calibri" w:eastAsia="Calibri" w:hAnsi="Calibri" w:cs="Calibr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4E3184A"/>
    <w:multiLevelType w:val="multilevel"/>
    <w:tmpl w:val="2C52AE22"/>
    <w:lvl w:ilvl="0">
      <w:start w:val="1"/>
      <w:numFmt w:val="decimal"/>
      <w:lvlText w:val="%1."/>
      <w:lvlJc w:val="left"/>
      <w:pPr>
        <w:ind w:left="-349" w:firstLine="207"/>
      </w:pPr>
      <w:rPr>
        <w:b/>
        <w:sz w:val="24"/>
        <w:szCs w:val="24"/>
      </w:rPr>
    </w:lvl>
    <w:lvl w:ilvl="1">
      <w:start w:val="1"/>
      <w:numFmt w:val="decimal"/>
      <w:lvlText w:val="%1.%2."/>
      <w:lvlJc w:val="left"/>
      <w:pPr>
        <w:ind w:left="360" w:hanging="360"/>
      </w:pPr>
      <w:rPr>
        <w:b/>
        <w:sz w:val="24"/>
        <w:szCs w:val="24"/>
      </w:rPr>
    </w:lvl>
    <w:lvl w:ilvl="2">
      <w:start w:val="1"/>
      <w:numFmt w:val="decimal"/>
      <w:lvlText w:val="%1.%2.%3."/>
      <w:lvlJc w:val="left"/>
      <w:pPr>
        <w:ind w:left="1429" w:hanging="720"/>
      </w:pPr>
    </w:lvl>
    <w:lvl w:ilvl="3">
      <w:start w:val="1"/>
      <w:numFmt w:val="decimal"/>
      <w:lvlText w:val="%1.%2.%3.%4."/>
      <w:lvlJc w:val="left"/>
      <w:pPr>
        <w:ind w:left="2138" w:hanging="720"/>
      </w:pPr>
    </w:lvl>
    <w:lvl w:ilvl="4">
      <w:start w:val="1"/>
      <w:numFmt w:val="decimal"/>
      <w:lvlText w:val="%1.%2.%3.%4.%5."/>
      <w:lvlJc w:val="left"/>
      <w:pPr>
        <w:ind w:left="3207" w:hanging="1080"/>
      </w:pPr>
    </w:lvl>
    <w:lvl w:ilvl="5">
      <w:start w:val="1"/>
      <w:numFmt w:val="decimal"/>
      <w:lvlText w:val="%1.%2.%3.%4.%5.%6."/>
      <w:lvlJc w:val="left"/>
      <w:pPr>
        <w:ind w:left="3916" w:hanging="1080"/>
      </w:pPr>
    </w:lvl>
    <w:lvl w:ilvl="6">
      <w:start w:val="1"/>
      <w:numFmt w:val="decimal"/>
      <w:lvlText w:val="%1.%2.%3.%4.%5.%6.%7."/>
      <w:lvlJc w:val="left"/>
      <w:pPr>
        <w:ind w:left="4985" w:hanging="1440"/>
      </w:pPr>
    </w:lvl>
    <w:lvl w:ilvl="7">
      <w:start w:val="1"/>
      <w:numFmt w:val="decimal"/>
      <w:lvlText w:val="%1.%2.%3.%4.%5.%6.%7.%8."/>
      <w:lvlJc w:val="left"/>
      <w:pPr>
        <w:ind w:left="5694" w:hanging="1440"/>
      </w:pPr>
    </w:lvl>
    <w:lvl w:ilvl="8">
      <w:start w:val="1"/>
      <w:numFmt w:val="decimal"/>
      <w:lvlText w:val="%1.%2.%3.%4.%5.%6.%7.%8.%9."/>
      <w:lvlJc w:val="left"/>
      <w:pPr>
        <w:ind w:left="6763" w:hanging="1800"/>
      </w:pPr>
    </w:lvl>
  </w:abstractNum>
  <w:abstractNum w:abstractNumId="7" w15:restartNumberingAfterBreak="0">
    <w:nsid w:val="3E272D67"/>
    <w:multiLevelType w:val="multilevel"/>
    <w:tmpl w:val="EA101114"/>
    <w:lvl w:ilvl="0">
      <w:start w:val="1"/>
      <w:numFmt w:val="lowerLetter"/>
      <w:lvlText w:val="%1)"/>
      <w:lvlJc w:val="left"/>
      <w:pPr>
        <w:ind w:left="644" w:hanging="359"/>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 w15:restartNumberingAfterBreak="0">
    <w:nsid w:val="50B86FA8"/>
    <w:multiLevelType w:val="multilevel"/>
    <w:tmpl w:val="7C44A900"/>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upperRoman"/>
      <w:lvlText w:val="%4."/>
      <w:lvlJc w:val="righ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33802DC"/>
    <w:multiLevelType w:val="multilevel"/>
    <w:tmpl w:val="C7EC5D36"/>
    <w:lvl w:ilvl="0">
      <w:start w:val="1"/>
      <w:numFmt w:val="decimal"/>
      <w:lvlText w:val="%1."/>
      <w:lvlJc w:val="left"/>
      <w:pPr>
        <w:ind w:left="360" w:hanging="360"/>
      </w:pPr>
      <w:rPr>
        <w:b/>
      </w:r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0" w15:restartNumberingAfterBreak="0">
    <w:nsid w:val="7B705C63"/>
    <w:multiLevelType w:val="multilevel"/>
    <w:tmpl w:val="299CA6E4"/>
    <w:lvl w:ilvl="0">
      <w:start w:val="4"/>
      <w:numFmt w:val="decimal"/>
      <w:lvlText w:val="%1."/>
      <w:lvlJc w:val="left"/>
      <w:pPr>
        <w:ind w:left="400" w:hanging="40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7EF3149F"/>
    <w:multiLevelType w:val="multilevel"/>
    <w:tmpl w:val="9F6EBEE8"/>
    <w:lvl w:ilvl="0">
      <w:start w:val="1"/>
      <w:numFmt w:val="bullet"/>
      <w:lvlText w:val="●"/>
      <w:lvlJc w:val="left"/>
      <w:pPr>
        <w:ind w:left="795" w:hanging="360"/>
      </w:pPr>
      <w:rPr>
        <w:rFonts w:ascii="Noto Sans Symbols" w:eastAsia="Noto Sans Symbols" w:hAnsi="Noto Sans Symbols" w:cs="Noto Sans Symbols"/>
      </w:rPr>
    </w:lvl>
    <w:lvl w:ilvl="1">
      <w:start w:val="1"/>
      <w:numFmt w:val="bullet"/>
      <w:lvlText w:val="o"/>
      <w:lvlJc w:val="left"/>
      <w:pPr>
        <w:ind w:left="1515" w:hanging="360"/>
      </w:pPr>
      <w:rPr>
        <w:rFonts w:ascii="Courier New" w:eastAsia="Courier New" w:hAnsi="Courier New" w:cs="Courier New"/>
      </w:rPr>
    </w:lvl>
    <w:lvl w:ilvl="2">
      <w:start w:val="1"/>
      <w:numFmt w:val="bullet"/>
      <w:lvlText w:val="▪"/>
      <w:lvlJc w:val="left"/>
      <w:pPr>
        <w:ind w:left="2235" w:hanging="360"/>
      </w:pPr>
      <w:rPr>
        <w:rFonts w:ascii="Noto Sans Symbols" w:eastAsia="Noto Sans Symbols" w:hAnsi="Noto Sans Symbols" w:cs="Noto Sans Symbols"/>
      </w:rPr>
    </w:lvl>
    <w:lvl w:ilvl="3">
      <w:start w:val="1"/>
      <w:numFmt w:val="bullet"/>
      <w:lvlText w:val="●"/>
      <w:lvlJc w:val="left"/>
      <w:pPr>
        <w:ind w:left="2955" w:hanging="360"/>
      </w:pPr>
      <w:rPr>
        <w:rFonts w:ascii="Noto Sans Symbols" w:eastAsia="Noto Sans Symbols" w:hAnsi="Noto Sans Symbols" w:cs="Noto Sans Symbols"/>
      </w:rPr>
    </w:lvl>
    <w:lvl w:ilvl="4">
      <w:start w:val="1"/>
      <w:numFmt w:val="bullet"/>
      <w:lvlText w:val="o"/>
      <w:lvlJc w:val="left"/>
      <w:pPr>
        <w:ind w:left="3675" w:hanging="360"/>
      </w:pPr>
      <w:rPr>
        <w:rFonts w:ascii="Courier New" w:eastAsia="Courier New" w:hAnsi="Courier New" w:cs="Courier New"/>
      </w:rPr>
    </w:lvl>
    <w:lvl w:ilvl="5">
      <w:start w:val="1"/>
      <w:numFmt w:val="bullet"/>
      <w:lvlText w:val="▪"/>
      <w:lvlJc w:val="left"/>
      <w:pPr>
        <w:ind w:left="4395" w:hanging="360"/>
      </w:pPr>
      <w:rPr>
        <w:rFonts w:ascii="Noto Sans Symbols" w:eastAsia="Noto Sans Symbols" w:hAnsi="Noto Sans Symbols" w:cs="Noto Sans Symbols"/>
      </w:rPr>
    </w:lvl>
    <w:lvl w:ilvl="6">
      <w:start w:val="1"/>
      <w:numFmt w:val="bullet"/>
      <w:lvlText w:val="●"/>
      <w:lvlJc w:val="left"/>
      <w:pPr>
        <w:ind w:left="5115" w:hanging="360"/>
      </w:pPr>
      <w:rPr>
        <w:rFonts w:ascii="Noto Sans Symbols" w:eastAsia="Noto Sans Symbols" w:hAnsi="Noto Sans Symbols" w:cs="Noto Sans Symbols"/>
      </w:rPr>
    </w:lvl>
    <w:lvl w:ilvl="7">
      <w:start w:val="1"/>
      <w:numFmt w:val="bullet"/>
      <w:lvlText w:val="o"/>
      <w:lvlJc w:val="left"/>
      <w:pPr>
        <w:ind w:left="5835" w:hanging="360"/>
      </w:pPr>
      <w:rPr>
        <w:rFonts w:ascii="Courier New" w:eastAsia="Courier New" w:hAnsi="Courier New" w:cs="Courier New"/>
      </w:rPr>
    </w:lvl>
    <w:lvl w:ilvl="8">
      <w:start w:val="1"/>
      <w:numFmt w:val="bullet"/>
      <w:lvlText w:val="▪"/>
      <w:lvlJc w:val="left"/>
      <w:pPr>
        <w:ind w:left="6555" w:hanging="360"/>
      </w:pPr>
      <w:rPr>
        <w:rFonts w:ascii="Noto Sans Symbols" w:eastAsia="Noto Sans Symbols" w:hAnsi="Noto Sans Symbols" w:cs="Noto Sans Symbols"/>
      </w:rPr>
    </w:lvl>
  </w:abstractNum>
  <w:num w:numId="1">
    <w:abstractNumId w:val="1"/>
  </w:num>
  <w:num w:numId="2">
    <w:abstractNumId w:val="3"/>
  </w:num>
  <w:num w:numId="3">
    <w:abstractNumId w:val="4"/>
  </w:num>
  <w:num w:numId="4">
    <w:abstractNumId w:val="10"/>
  </w:num>
  <w:num w:numId="5">
    <w:abstractNumId w:val="2"/>
  </w:num>
  <w:num w:numId="6">
    <w:abstractNumId w:val="7"/>
  </w:num>
  <w:num w:numId="7">
    <w:abstractNumId w:val="8"/>
  </w:num>
  <w:num w:numId="8">
    <w:abstractNumId w:val="11"/>
  </w:num>
  <w:num w:numId="9">
    <w:abstractNumId w:val="5"/>
  </w:num>
  <w:num w:numId="10">
    <w:abstractNumId w:val="9"/>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94D"/>
    <w:rsid w:val="002B711D"/>
    <w:rsid w:val="003355FF"/>
    <w:rsid w:val="0036009C"/>
    <w:rsid w:val="00560D82"/>
    <w:rsid w:val="005706F4"/>
    <w:rsid w:val="005E2FF3"/>
    <w:rsid w:val="008531D0"/>
    <w:rsid w:val="00887B15"/>
    <w:rsid w:val="00933EC9"/>
    <w:rsid w:val="009E42C8"/>
    <w:rsid w:val="009F509E"/>
    <w:rsid w:val="00A41A39"/>
    <w:rsid w:val="00D12A64"/>
    <w:rsid w:val="00DC2215"/>
    <w:rsid w:val="00DD1C66"/>
    <w:rsid w:val="00E40CC2"/>
    <w:rsid w:val="00EA7824"/>
    <w:rsid w:val="00EF5706"/>
    <w:rsid w:val="00FA794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01848"/>
  <w15:docId w15:val="{79CA8266-2A06-4DC2-8AB3-E45DD8B1B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ES_tradnl" w:eastAsia="es-CO"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pPr>
      <w:keepNext/>
      <w:keepLines/>
      <w:spacing w:before="480"/>
      <w:outlineLvl w:val="0"/>
    </w:pPr>
    <w:rPr>
      <w:rFonts w:ascii="Calibri" w:eastAsia="Calibri" w:hAnsi="Calibri" w:cs="Calibri"/>
      <w:b/>
      <w:color w:val="2F5496"/>
      <w:sz w:val="28"/>
      <w:szCs w:val="2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4D1002"/>
    <w:rPr>
      <w:rFonts w:ascii="Calibri" w:eastAsia="Calibri" w:hAnsi="Calibri" w:cs="Calibri"/>
      <w:b/>
      <w:color w:val="2F5496"/>
      <w:sz w:val="28"/>
      <w:szCs w:val="28"/>
    </w:rPr>
  </w:style>
  <w:style w:type="table" w:customStyle="1" w:styleId="TableNormal1">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A33FB7"/>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33FB7"/>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E069B8"/>
    <w:rPr>
      <w:b/>
      <w:bCs/>
    </w:rPr>
  </w:style>
  <w:style w:type="character" w:customStyle="1" w:styleId="AsuntodelcomentarioCar">
    <w:name w:val="Asunto del comentario Car"/>
    <w:basedOn w:val="TextocomentarioCar"/>
    <w:link w:val="Asuntodelcomentario"/>
    <w:uiPriority w:val="99"/>
    <w:semiHidden/>
    <w:rsid w:val="00E069B8"/>
    <w:rPr>
      <w:b/>
      <w:bCs/>
      <w:sz w:val="20"/>
      <w:szCs w:val="20"/>
    </w:rPr>
  </w:style>
  <w:style w:type="paragraph" w:styleId="Revisin">
    <w:name w:val="Revision"/>
    <w:hidden/>
    <w:uiPriority w:val="99"/>
    <w:semiHidden/>
    <w:rsid w:val="00E069B8"/>
    <w:pPr>
      <w:spacing w:line="240" w:lineRule="auto"/>
    </w:pPr>
  </w:style>
  <w:style w:type="paragraph" w:customStyle="1" w:styleId="Default">
    <w:name w:val="Default"/>
    <w:rsid w:val="007A2395"/>
    <w:pPr>
      <w:autoSpaceDE w:val="0"/>
      <w:autoSpaceDN w:val="0"/>
      <w:adjustRightInd w:val="0"/>
      <w:spacing w:line="240" w:lineRule="auto"/>
    </w:pPr>
    <w:rPr>
      <w:rFonts w:ascii="Calibri" w:hAnsi="Calibri" w:cs="Calibri"/>
      <w:color w:val="000000"/>
      <w:sz w:val="24"/>
      <w:szCs w:val="24"/>
      <w:lang w:val="es-CO"/>
    </w:rPr>
  </w:style>
  <w:style w:type="paragraph" w:styleId="Encabezado">
    <w:name w:val="header"/>
    <w:basedOn w:val="Normal"/>
    <w:link w:val="EncabezadoCar"/>
    <w:unhideWhenUsed/>
    <w:rsid w:val="004D1002"/>
    <w:pPr>
      <w:tabs>
        <w:tab w:val="center" w:pos="4419"/>
        <w:tab w:val="right" w:pos="8838"/>
      </w:tabs>
    </w:pPr>
    <w:rPr>
      <w:lang w:val="es"/>
    </w:rPr>
  </w:style>
  <w:style w:type="character" w:customStyle="1" w:styleId="EncabezadoCar">
    <w:name w:val="Encabezado Car"/>
    <w:basedOn w:val="Fuentedeprrafopredeter"/>
    <w:link w:val="Encabezado"/>
    <w:rsid w:val="004D1002"/>
    <w:rPr>
      <w:lang w:val="es" w:eastAsia="es-ES_tradnl"/>
    </w:rPr>
  </w:style>
  <w:style w:type="paragraph" w:styleId="Piedepgina">
    <w:name w:val="footer"/>
    <w:basedOn w:val="Normal"/>
    <w:link w:val="PiedepginaCar"/>
    <w:uiPriority w:val="99"/>
    <w:unhideWhenUsed/>
    <w:rsid w:val="004D1002"/>
    <w:pPr>
      <w:tabs>
        <w:tab w:val="center" w:pos="4419"/>
        <w:tab w:val="right" w:pos="8838"/>
      </w:tabs>
    </w:pPr>
    <w:rPr>
      <w:lang w:val="es"/>
    </w:rPr>
  </w:style>
  <w:style w:type="character" w:customStyle="1" w:styleId="PiedepginaCar">
    <w:name w:val="Pie de página Car"/>
    <w:basedOn w:val="Fuentedeprrafopredeter"/>
    <w:link w:val="Piedepgina"/>
    <w:uiPriority w:val="99"/>
    <w:rsid w:val="004D1002"/>
    <w:rPr>
      <w:lang w:val="es" w:eastAsia="es-ES_tradnl"/>
    </w:rPr>
  </w:style>
  <w:style w:type="paragraph" w:styleId="Prrafodelista">
    <w:name w:val="List Paragraph"/>
    <w:aliases w:val="titulo 3,Bullet,Párrafo de lista1,Lista vistosa - Énfasis 11,HOJA,Bolita,Párrafo de lista4,BOLADEF,Párrafo de lista2,Párrafo de lista3,Párrafo de lista21,BOLA,Nivel 1 OS,Colorful List Accent 1,Colorful List - Accent 11,Ha"/>
    <w:basedOn w:val="Normal"/>
    <w:link w:val="PrrafodelistaCar"/>
    <w:uiPriority w:val="34"/>
    <w:qFormat/>
    <w:rsid w:val="004D1002"/>
    <w:pPr>
      <w:ind w:left="720"/>
      <w:contextualSpacing/>
    </w:pPr>
    <w:rPr>
      <w:lang w:val="es"/>
    </w:rPr>
  </w:style>
  <w:style w:type="table" w:customStyle="1" w:styleId="Tablanormal21">
    <w:name w:val="Tabla normal 21"/>
    <w:basedOn w:val="Tablanormal"/>
    <w:uiPriority w:val="42"/>
    <w:rsid w:val="004D1002"/>
    <w:pPr>
      <w:spacing w:line="240" w:lineRule="auto"/>
    </w:pPr>
    <w:rPr>
      <w:rFonts w:asciiTheme="minorHAnsi" w:eastAsiaTheme="minorHAnsi" w:hAnsiTheme="minorHAnsi" w:cstheme="minorBidi"/>
      <w:sz w:val="24"/>
      <w:szCs w:val="24"/>
      <w:lang w:val="es-CO"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unhideWhenUsed/>
    <w:rsid w:val="004D1002"/>
    <w:pPr>
      <w:spacing w:before="100" w:beforeAutospacing="1" w:after="100" w:afterAutospacing="1" w:line="240" w:lineRule="auto"/>
    </w:pPr>
    <w:rPr>
      <w:rFonts w:ascii="Times New Roman" w:eastAsia="Times New Roman" w:hAnsi="Times New Roman" w:cs="Times New Roman"/>
      <w:sz w:val="24"/>
      <w:szCs w:val="24"/>
      <w:lang w:val="es-CO"/>
    </w:rPr>
  </w:style>
  <w:style w:type="paragraph" w:customStyle="1" w:styleId="Normal1">
    <w:name w:val="Normal1"/>
    <w:rsid w:val="004D1002"/>
    <w:pPr>
      <w:spacing w:after="200" w:line="288" w:lineRule="auto"/>
    </w:pPr>
    <w:rPr>
      <w:rFonts w:asciiTheme="minorHAnsi" w:eastAsiaTheme="minorEastAsia" w:hAnsiTheme="minorHAnsi" w:cstheme="minorBidi"/>
      <w:lang w:val="es" w:eastAsia="es-ES"/>
    </w:rPr>
  </w:style>
  <w:style w:type="paragraph" w:styleId="Textonotaalfinal">
    <w:name w:val="endnote text"/>
    <w:basedOn w:val="Normal"/>
    <w:link w:val="TextonotaalfinalCar"/>
    <w:uiPriority w:val="99"/>
    <w:semiHidden/>
    <w:unhideWhenUsed/>
    <w:rsid w:val="004D1002"/>
    <w:pPr>
      <w:spacing w:line="240" w:lineRule="auto"/>
    </w:pPr>
    <w:rPr>
      <w:sz w:val="20"/>
      <w:szCs w:val="20"/>
      <w:lang w:val="es"/>
    </w:rPr>
  </w:style>
  <w:style w:type="character" w:customStyle="1" w:styleId="TextonotaalfinalCar">
    <w:name w:val="Texto nota al final Car"/>
    <w:basedOn w:val="Fuentedeprrafopredeter"/>
    <w:link w:val="Textonotaalfinal"/>
    <w:uiPriority w:val="99"/>
    <w:semiHidden/>
    <w:rsid w:val="004D1002"/>
    <w:rPr>
      <w:sz w:val="20"/>
      <w:szCs w:val="20"/>
      <w:lang w:val="es" w:eastAsia="es-ES_tradnl"/>
    </w:rPr>
  </w:style>
  <w:style w:type="paragraph" w:styleId="Textonotapie">
    <w:name w:val="footnote text"/>
    <w:basedOn w:val="Normal"/>
    <w:link w:val="TextonotapieCar"/>
    <w:uiPriority w:val="99"/>
    <w:semiHidden/>
    <w:unhideWhenUsed/>
    <w:rsid w:val="004D1002"/>
    <w:pPr>
      <w:spacing w:line="240" w:lineRule="auto"/>
    </w:pPr>
    <w:rPr>
      <w:sz w:val="20"/>
      <w:szCs w:val="20"/>
      <w:lang w:val="es"/>
    </w:rPr>
  </w:style>
  <w:style w:type="character" w:customStyle="1" w:styleId="TextonotapieCar">
    <w:name w:val="Texto nota pie Car"/>
    <w:basedOn w:val="Fuentedeprrafopredeter"/>
    <w:link w:val="Textonotapie"/>
    <w:uiPriority w:val="99"/>
    <w:semiHidden/>
    <w:rsid w:val="004D1002"/>
    <w:rPr>
      <w:sz w:val="20"/>
      <w:szCs w:val="20"/>
      <w:lang w:val="es" w:eastAsia="es-ES_tradnl"/>
    </w:rPr>
  </w:style>
  <w:style w:type="character" w:styleId="Refdenotaalpie">
    <w:name w:val="footnote reference"/>
    <w:basedOn w:val="Fuentedeprrafopredeter"/>
    <w:uiPriority w:val="99"/>
    <w:semiHidden/>
    <w:unhideWhenUsed/>
    <w:rsid w:val="004D1002"/>
    <w:rPr>
      <w:vertAlign w:val="superscript"/>
    </w:rPr>
  </w:style>
  <w:style w:type="paragraph" w:styleId="Bibliografa">
    <w:name w:val="Bibliography"/>
    <w:basedOn w:val="Normal"/>
    <w:next w:val="Normal"/>
    <w:uiPriority w:val="37"/>
    <w:unhideWhenUsed/>
    <w:rsid w:val="004D1002"/>
    <w:rPr>
      <w:lang w:val="es"/>
    </w:rPr>
  </w:style>
  <w:style w:type="character" w:customStyle="1" w:styleId="apple-converted-space">
    <w:name w:val="apple-converted-space"/>
    <w:basedOn w:val="Fuentedeprrafopredeter"/>
    <w:rsid w:val="004D1002"/>
  </w:style>
  <w:style w:type="character" w:styleId="Textoennegrita">
    <w:name w:val="Strong"/>
    <w:basedOn w:val="Fuentedeprrafopredeter"/>
    <w:uiPriority w:val="22"/>
    <w:qFormat/>
    <w:rsid w:val="004D1002"/>
    <w:rPr>
      <w:b/>
      <w:bCs/>
    </w:rPr>
  </w:style>
  <w:style w:type="character" w:styleId="Hipervnculo">
    <w:name w:val="Hyperlink"/>
    <w:basedOn w:val="Fuentedeprrafopredeter"/>
    <w:uiPriority w:val="99"/>
    <w:semiHidden/>
    <w:unhideWhenUsed/>
    <w:rsid w:val="004D1002"/>
    <w:rPr>
      <w:color w:val="0000FF"/>
      <w:u w:val="single"/>
    </w:rPr>
  </w:style>
  <w:style w:type="table" w:customStyle="1" w:styleId="Tablanormal11">
    <w:name w:val="Tabla normal 11"/>
    <w:basedOn w:val="Tablanormal"/>
    <w:uiPriority w:val="41"/>
    <w:rsid w:val="004D1002"/>
    <w:pPr>
      <w:spacing w:line="240" w:lineRule="auto"/>
    </w:pPr>
    <w:rPr>
      <w:rFonts w:asciiTheme="minorHAnsi" w:eastAsiaTheme="minorHAnsi" w:hAnsiTheme="minorHAnsi" w:cstheme="minorBidi"/>
      <w:sz w:val="24"/>
      <w:szCs w:val="24"/>
      <w:lang w:val="es-CO"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
    <w:name w:val="Table Grid"/>
    <w:basedOn w:val="Tablanormal"/>
    <w:uiPriority w:val="39"/>
    <w:rsid w:val="00D175C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lara1">
    <w:name w:val="Tabla con cuadrícula clara1"/>
    <w:basedOn w:val="Tablanormal"/>
    <w:uiPriority w:val="40"/>
    <w:rsid w:val="006273FE"/>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concuadrcula1clara1">
    <w:name w:val="Tabla con cuadrícula 1 clara1"/>
    <w:basedOn w:val="Tablanormal"/>
    <w:uiPriority w:val="46"/>
    <w:rsid w:val="006273FE"/>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PrrafodelistaCar">
    <w:name w:val="Párrafo de lista Car"/>
    <w:aliases w:val="titulo 3 Car,Bullet Car,Párrafo de lista1 Car,Lista vistosa - Énfasis 11 Car,HOJA Car,Bolita Car,Párrafo de lista4 Car,BOLADEF Car,Párrafo de lista2 Car,Párrafo de lista3 Car,Párrafo de lista21 Car,BOLA Car,Nivel 1 OS Car,Ha Car"/>
    <w:link w:val="Prrafodelista"/>
    <w:uiPriority w:val="34"/>
    <w:locked/>
    <w:rsid w:val="00F62A54"/>
    <w:rPr>
      <w:lang w:val="es" w:eastAsia="es-ES_tradnl"/>
    </w:rPr>
  </w:style>
  <w:style w:type="paragraph" w:styleId="Textoindependiente">
    <w:name w:val="Body Text"/>
    <w:basedOn w:val="Normal"/>
    <w:link w:val="TextoindependienteCar"/>
    <w:uiPriority w:val="99"/>
    <w:unhideWhenUsed/>
    <w:rsid w:val="00F62A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rsid w:val="00F62A54"/>
    <w:rPr>
      <w:rFonts w:ascii="Times New Roman" w:eastAsia="Times New Roman" w:hAnsi="Times New Roman" w:cs="Times New Roman"/>
      <w:sz w:val="24"/>
      <w:szCs w:val="24"/>
    </w:rPr>
  </w:style>
  <w:style w:type="table" w:customStyle="1" w:styleId="a0">
    <w:basedOn w:val="TableNormal1"/>
    <w:pPr>
      <w:spacing w:line="240" w:lineRule="auto"/>
    </w:pPr>
    <w:rPr>
      <w:rFonts w:ascii="Cambria" w:eastAsia="Cambria" w:hAnsi="Cambria" w:cs="Cambria"/>
      <w:sz w:val="24"/>
      <w:szCs w:val="24"/>
    </w:rPr>
    <w:tblPr>
      <w:tblStyleRowBandSize w:val="1"/>
      <w:tblStyleColBandSize w:val="1"/>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1">
    <w:basedOn w:val="TableNormal1"/>
    <w:pPr>
      <w:spacing w:line="240" w:lineRule="auto"/>
    </w:pPr>
    <w:rPr>
      <w:rFonts w:ascii="Cambria" w:eastAsia="Cambria" w:hAnsi="Cambria" w:cs="Cambria"/>
      <w:sz w:val="24"/>
      <w:szCs w:val="24"/>
    </w:rPr>
    <w:tblPr>
      <w:tblStyleRowBandSize w:val="1"/>
      <w:tblStyleColBandSize w:val="1"/>
      <w:tblCellMar>
        <w:left w:w="108" w:type="dxa"/>
        <w:right w:w="108" w:type="dxa"/>
      </w:tblCellMar>
    </w:tblPr>
  </w:style>
  <w:style w:type="table" w:customStyle="1" w:styleId="a2">
    <w:basedOn w:val="TableNormal1"/>
    <w:pPr>
      <w:spacing w:line="240" w:lineRule="auto"/>
    </w:pPr>
    <w:rPr>
      <w:rFonts w:ascii="Cambria" w:eastAsia="Cambria" w:hAnsi="Cambria" w:cs="Cambria"/>
      <w:sz w:val="24"/>
      <w:szCs w:val="24"/>
    </w:rPr>
    <w:tblPr>
      <w:tblStyleRowBandSize w:val="1"/>
      <w:tblStyleColBandSize w:val="1"/>
      <w:tblCellMar>
        <w:left w:w="108" w:type="dxa"/>
        <w:right w:w="108" w:type="dxa"/>
      </w:tblCellMar>
    </w:tblPr>
  </w:style>
  <w:style w:type="table" w:customStyle="1" w:styleId="Tablaconcuadrcula1clara-nfasis61">
    <w:name w:val="Tabla con cuadrícula 1 clara - Énfasis 61"/>
    <w:basedOn w:val="Tablanormal"/>
    <w:uiPriority w:val="46"/>
    <w:rsid w:val="005D1E1B"/>
    <w:pPr>
      <w:spacing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Tablaconcuadrcula2-nfasis21">
    <w:name w:val="Tabla con cuadrícula 2 - Énfasis 21"/>
    <w:basedOn w:val="Tablanormal"/>
    <w:uiPriority w:val="47"/>
    <w:rsid w:val="005D1E1B"/>
    <w:pPr>
      <w:spacing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aconcuadrcula1clara-nfasis41">
    <w:name w:val="Tabla con cuadrícula 1 clara - Énfasis 41"/>
    <w:basedOn w:val="Tablanormal"/>
    <w:uiPriority w:val="46"/>
    <w:rsid w:val="005D1E1B"/>
    <w:pPr>
      <w:spacing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paragraph" w:customStyle="1" w:styleId="Prrafos">
    <w:name w:val="Párrafos"/>
    <w:basedOn w:val="Normal"/>
    <w:link w:val="PrrafosCar"/>
    <w:qFormat/>
    <w:rsid w:val="00266720"/>
    <w:pPr>
      <w:spacing w:line="240" w:lineRule="auto"/>
      <w:jc w:val="both"/>
    </w:pPr>
    <w:rPr>
      <w:rFonts w:ascii="Times New Roman" w:eastAsia="Arial Unicode MS" w:hAnsi="Times New Roman" w:cs="Times New Roman"/>
      <w:spacing w:val="-2"/>
      <w:szCs w:val="24"/>
      <w:u w:color="000000"/>
      <w:lang w:val="es-ES"/>
    </w:rPr>
  </w:style>
  <w:style w:type="character" w:customStyle="1" w:styleId="PrrafosCar">
    <w:name w:val="Párrafos Car"/>
    <w:basedOn w:val="Fuentedeprrafopredeter"/>
    <w:link w:val="Prrafos"/>
    <w:rsid w:val="00266720"/>
    <w:rPr>
      <w:rFonts w:ascii="Times New Roman" w:eastAsia="Arial Unicode MS" w:hAnsi="Times New Roman" w:cs="Times New Roman"/>
      <w:spacing w:val="-2"/>
      <w:szCs w:val="24"/>
      <w:u w:color="000000"/>
      <w:lang w:val="es-ES" w:eastAsia="es-CO"/>
    </w:rPr>
  </w:style>
  <w:style w:type="table" w:customStyle="1" w:styleId="a3">
    <w:basedOn w:val="TableNormal0"/>
    <w:tblPr>
      <w:tblStyleRowBandSize w:val="1"/>
      <w:tblStyleColBandSize w:val="1"/>
      <w:tblCellMar>
        <w:top w:w="100" w:type="dxa"/>
        <w:left w:w="100" w:type="dxa"/>
        <w:bottom w:w="100" w:type="dxa"/>
        <w:right w:w="100" w:type="dxa"/>
      </w:tblCellMar>
    </w:tblPr>
  </w:style>
  <w:style w:type="table" w:customStyle="1" w:styleId="a4">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65110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ley_2003_2019.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1STvDDTW4I0Y8j+YXZrLeMgFjA==">AMUW2mXoxV7VGQyTOQieIb43Iy5woNcq+R+aP99JacrwUbKE31x5MC29zVgThnMSelimqG/cE9vnbVPzt7l7ICWwW5EXOew2oWP1TsoaRzFK14SEHyEDiz0=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17</Pages>
  <Words>5006</Words>
  <Characters>27537</Characters>
  <Application>Microsoft Office Word</Application>
  <DocSecurity>0</DocSecurity>
  <Lines>229</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German mesias</cp:lastModifiedBy>
  <cp:revision>12</cp:revision>
  <dcterms:created xsi:type="dcterms:W3CDTF">2021-08-18T04:02:00Z</dcterms:created>
  <dcterms:modified xsi:type="dcterms:W3CDTF">2021-08-18T15:01:00Z</dcterms:modified>
</cp:coreProperties>
</file>