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3E506" w14:textId="7B83CD44" w:rsidR="00BE3162" w:rsidRPr="005143F9" w:rsidRDefault="00C00C6D" w:rsidP="00725466">
      <w:pPr>
        <w:spacing w:before="100" w:beforeAutospacing="1" w:after="120" w:line="276" w:lineRule="auto"/>
        <w:jc w:val="center"/>
        <w:rPr>
          <w:rFonts w:ascii="Garamond" w:eastAsia="Century Gothic" w:hAnsi="Garamond" w:cs="Century Gothic"/>
        </w:rPr>
      </w:pPr>
      <w:r w:rsidRPr="005143F9">
        <w:rPr>
          <w:rFonts w:ascii="Garamond" w:eastAsia="Century Gothic" w:hAnsi="Garamond" w:cs="Century Gothic"/>
          <w:b/>
        </w:rPr>
        <w:t>INFORME DE PONENCIA PARA PRIMER DEBATE DEL PROYECTO DE LEY N</w:t>
      </w:r>
      <w:r w:rsidR="00CF17FA" w:rsidRPr="005143F9">
        <w:rPr>
          <w:rFonts w:ascii="Garamond" w:eastAsia="Century Gothic" w:hAnsi="Garamond" w:cs="Century Gothic"/>
          <w:b/>
        </w:rPr>
        <w:t>Ú</w:t>
      </w:r>
      <w:r w:rsidRPr="005143F9">
        <w:rPr>
          <w:rFonts w:ascii="Garamond" w:eastAsia="Century Gothic" w:hAnsi="Garamond" w:cs="Century Gothic"/>
          <w:b/>
        </w:rPr>
        <w:t xml:space="preserve">MERO </w:t>
      </w:r>
      <w:r w:rsidR="00E02208" w:rsidRPr="005143F9">
        <w:rPr>
          <w:rFonts w:ascii="Garamond" w:eastAsia="Century Gothic" w:hAnsi="Garamond" w:cs="Century Gothic"/>
          <w:b/>
        </w:rPr>
        <w:t>047</w:t>
      </w:r>
      <w:r w:rsidRPr="005143F9">
        <w:rPr>
          <w:rFonts w:ascii="Garamond" w:eastAsia="Century Gothic" w:hAnsi="Garamond" w:cs="Century Gothic"/>
          <w:b/>
        </w:rPr>
        <w:t xml:space="preserve"> DE </w:t>
      </w:r>
      <w:r w:rsidR="00E02208" w:rsidRPr="005143F9">
        <w:rPr>
          <w:rFonts w:ascii="Garamond" w:eastAsia="Century Gothic" w:hAnsi="Garamond" w:cs="Century Gothic"/>
          <w:b/>
        </w:rPr>
        <w:t>2021</w:t>
      </w:r>
      <w:r w:rsidRPr="005143F9">
        <w:rPr>
          <w:rFonts w:ascii="Garamond" w:eastAsia="Century Gothic" w:hAnsi="Garamond" w:cs="Century Gothic"/>
          <w:b/>
        </w:rPr>
        <w:t xml:space="preserve"> CÁMARA</w:t>
      </w:r>
    </w:p>
    <w:p w14:paraId="0A66A03E" w14:textId="77777777" w:rsidR="00DA2A92" w:rsidRPr="005143F9" w:rsidRDefault="00DA2A92" w:rsidP="00725466">
      <w:pPr>
        <w:spacing w:before="100" w:beforeAutospacing="1" w:after="120" w:line="276" w:lineRule="auto"/>
        <w:jc w:val="center"/>
        <w:rPr>
          <w:rFonts w:ascii="Garamond" w:eastAsia="Century Gothic" w:hAnsi="Garamond" w:cs="Century Gothic"/>
        </w:rPr>
      </w:pPr>
    </w:p>
    <w:p w14:paraId="04D5D620" w14:textId="5EF46A64" w:rsidR="00BE3162" w:rsidRPr="005143F9" w:rsidRDefault="00C00C6D" w:rsidP="00725466">
      <w:pPr>
        <w:spacing w:before="100" w:beforeAutospacing="1" w:after="120" w:line="276" w:lineRule="auto"/>
        <w:contextualSpacing/>
        <w:rPr>
          <w:rFonts w:ascii="Garamond" w:eastAsia="Century Gothic" w:hAnsi="Garamond" w:cs="Century Gothic"/>
        </w:rPr>
      </w:pPr>
      <w:bookmarkStart w:id="0" w:name="_heading=h.gjdgxs" w:colFirst="0" w:colLast="0"/>
      <w:bookmarkEnd w:id="0"/>
      <w:r w:rsidRPr="005143F9">
        <w:rPr>
          <w:rFonts w:ascii="Garamond" w:eastAsia="Century Gothic" w:hAnsi="Garamond" w:cs="Century Gothic"/>
        </w:rPr>
        <w:t xml:space="preserve">Bogotá, D. C., </w:t>
      </w:r>
      <w:r w:rsidR="00C51026" w:rsidRPr="005143F9">
        <w:rPr>
          <w:rFonts w:ascii="Garamond" w:eastAsia="Century Gothic" w:hAnsi="Garamond" w:cs="Century Gothic"/>
        </w:rPr>
        <w:t xml:space="preserve">agosto </w:t>
      </w:r>
      <w:r w:rsidR="00E02208" w:rsidRPr="005143F9">
        <w:rPr>
          <w:rFonts w:ascii="Garamond" w:eastAsia="Century Gothic" w:hAnsi="Garamond" w:cs="Century Gothic"/>
        </w:rPr>
        <w:t>25</w:t>
      </w:r>
      <w:r w:rsidRPr="005143F9">
        <w:rPr>
          <w:rFonts w:ascii="Garamond" w:eastAsia="Century Gothic" w:hAnsi="Garamond" w:cs="Century Gothic"/>
        </w:rPr>
        <w:t xml:space="preserve"> de </w:t>
      </w:r>
      <w:r w:rsidR="00E02208" w:rsidRPr="005143F9">
        <w:rPr>
          <w:rFonts w:ascii="Garamond" w:eastAsia="Century Gothic" w:hAnsi="Garamond" w:cs="Century Gothic"/>
        </w:rPr>
        <w:t>2021</w:t>
      </w:r>
    </w:p>
    <w:p w14:paraId="1A84386C" w14:textId="77777777" w:rsidR="00BE3162" w:rsidRPr="005143F9" w:rsidRDefault="00C00C6D" w:rsidP="00725466">
      <w:pPr>
        <w:spacing w:before="100" w:beforeAutospacing="1" w:after="120" w:line="276" w:lineRule="auto"/>
        <w:contextualSpacing/>
        <w:rPr>
          <w:rFonts w:ascii="Garamond" w:eastAsia="Century Gothic" w:hAnsi="Garamond" w:cs="Century Gothic"/>
        </w:rPr>
      </w:pPr>
      <w:r w:rsidRPr="005143F9">
        <w:rPr>
          <w:rFonts w:ascii="Garamond" w:eastAsia="Century Gothic" w:hAnsi="Garamond" w:cs="Century Gothic"/>
        </w:rPr>
        <w:t>Presidente</w:t>
      </w:r>
    </w:p>
    <w:p w14:paraId="5D753833" w14:textId="128F2155" w:rsidR="00BE3162" w:rsidRPr="005143F9" w:rsidRDefault="009D0364" w:rsidP="00725466">
      <w:pPr>
        <w:spacing w:before="100" w:beforeAutospacing="1" w:after="120" w:line="276" w:lineRule="auto"/>
        <w:contextualSpacing/>
        <w:rPr>
          <w:rFonts w:ascii="Garamond" w:eastAsia="Century Gothic" w:hAnsi="Garamond" w:cs="Century Gothic"/>
          <w:b/>
        </w:rPr>
      </w:pPr>
      <w:r w:rsidRPr="005143F9">
        <w:rPr>
          <w:rFonts w:ascii="Garamond" w:eastAsia="Century Gothic" w:hAnsi="Garamond" w:cs="Century Gothic"/>
          <w:b/>
        </w:rPr>
        <w:t xml:space="preserve">JULIO CÉSAR TRIANA QUINTERO </w:t>
      </w:r>
    </w:p>
    <w:p w14:paraId="74F9DE1E" w14:textId="77777777" w:rsidR="00BE3162" w:rsidRPr="005143F9" w:rsidRDefault="00725082" w:rsidP="00725466">
      <w:pPr>
        <w:spacing w:before="100" w:beforeAutospacing="1" w:after="120" w:line="276" w:lineRule="auto"/>
        <w:contextualSpacing/>
        <w:rPr>
          <w:rFonts w:ascii="Garamond" w:eastAsia="Century Gothic" w:hAnsi="Garamond" w:cs="Century Gothic"/>
        </w:rPr>
      </w:pPr>
      <w:r w:rsidRPr="005143F9">
        <w:rPr>
          <w:rFonts w:ascii="Garamond" w:eastAsia="Century Gothic" w:hAnsi="Garamond" w:cs="Century Gothic"/>
        </w:rPr>
        <w:t>Comisión</w:t>
      </w:r>
      <w:r w:rsidR="00C00C6D" w:rsidRPr="005143F9">
        <w:rPr>
          <w:rFonts w:ascii="Garamond" w:eastAsia="Century Gothic" w:hAnsi="Garamond" w:cs="Century Gothic"/>
        </w:rPr>
        <w:t xml:space="preserve"> Primera Constitucional Permanente </w:t>
      </w:r>
    </w:p>
    <w:p w14:paraId="30CB2879" w14:textId="77777777" w:rsidR="00BE3162" w:rsidRPr="005143F9" w:rsidRDefault="00C00C6D" w:rsidP="00725466">
      <w:pPr>
        <w:spacing w:before="100" w:beforeAutospacing="1" w:after="120" w:line="276" w:lineRule="auto"/>
        <w:contextualSpacing/>
        <w:rPr>
          <w:rFonts w:ascii="Garamond" w:eastAsia="Century Gothic" w:hAnsi="Garamond" w:cs="Century Gothic"/>
        </w:rPr>
      </w:pPr>
      <w:r w:rsidRPr="005143F9">
        <w:rPr>
          <w:rFonts w:ascii="Garamond" w:eastAsia="Century Gothic" w:hAnsi="Garamond" w:cs="Century Gothic"/>
        </w:rPr>
        <w:t>Cámara de Representantes</w:t>
      </w:r>
    </w:p>
    <w:p w14:paraId="7CDC824B" w14:textId="77777777" w:rsidR="00BE3162" w:rsidRPr="005143F9" w:rsidRDefault="00BE3162" w:rsidP="00725466">
      <w:pPr>
        <w:spacing w:before="100" w:beforeAutospacing="1" w:after="120" w:line="276" w:lineRule="auto"/>
        <w:jc w:val="both"/>
        <w:rPr>
          <w:rFonts w:ascii="Garamond" w:eastAsia="Century Gothic" w:hAnsi="Garamond" w:cs="Century Gothic"/>
          <w:b/>
        </w:rPr>
      </w:pPr>
    </w:p>
    <w:p w14:paraId="73FAAEBE" w14:textId="159D5114" w:rsidR="005E096A" w:rsidRPr="005143F9" w:rsidRDefault="009D0364" w:rsidP="00405B37">
      <w:pPr>
        <w:pBdr>
          <w:top w:val="nil"/>
          <w:left w:val="nil"/>
          <w:bottom w:val="nil"/>
          <w:right w:val="nil"/>
          <w:between w:val="nil"/>
        </w:pBdr>
        <w:spacing w:after="200" w:line="276" w:lineRule="auto"/>
        <w:ind w:left="1440"/>
        <w:jc w:val="both"/>
        <w:rPr>
          <w:rFonts w:ascii="Garamond" w:eastAsia="Times" w:hAnsi="Garamond" w:cs="Times"/>
          <w:i/>
          <w:color w:val="000000"/>
        </w:rPr>
      </w:pPr>
      <w:r w:rsidRPr="005143F9">
        <w:rPr>
          <w:rFonts w:ascii="Garamond" w:eastAsia="Century Gothic" w:hAnsi="Garamond" w:cs="Century Gothic"/>
          <w:b/>
        </w:rPr>
        <w:t>REFERENCIA</w:t>
      </w:r>
      <w:r w:rsidR="00C00C6D" w:rsidRPr="005143F9">
        <w:rPr>
          <w:rFonts w:ascii="Garamond" w:eastAsia="Century Gothic" w:hAnsi="Garamond" w:cs="Century Gothic"/>
          <w:b/>
        </w:rPr>
        <w:t xml:space="preserve">: Informe de ponencia </w:t>
      </w:r>
      <w:r w:rsidR="005E096A" w:rsidRPr="005143F9">
        <w:rPr>
          <w:rFonts w:ascii="Garamond" w:eastAsia="Century Gothic" w:hAnsi="Garamond" w:cs="Century Gothic"/>
          <w:b/>
        </w:rPr>
        <w:t xml:space="preserve">positiva </w:t>
      </w:r>
      <w:r w:rsidR="00C00C6D" w:rsidRPr="005143F9">
        <w:rPr>
          <w:rFonts w:ascii="Garamond" w:eastAsia="Century Gothic" w:hAnsi="Garamond" w:cs="Century Gothic"/>
          <w:b/>
        </w:rPr>
        <w:t xml:space="preserve">para primer debate del Proyecto de Ley </w:t>
      </w:r>
      <w:r w:rsidR="00C51026" w:rsidRPr="005143F9">
        <w:rPr>
          <w:rFonts w:ascii="Garamond" w:eastAsia="Century Gothic" w:hAnsi="Garamond" w:cs="Century Gothic"/>
          <w:b/>
        </w:rPr>
        <w:t xml:space="preserve">No. </w:t>
      </w:r>
      <w:r w:rsidRPr="005143F9">
        <w:rPr>
          <w:rFonts w:ascii="Garamond" w:eastAsia="Century Gothic" w:hAnsi="Garamond" w:cs="Century Gothic"/>
          <w:b/>
        </w:rPr>
        <w:t>047</w:t>
      </w:r>
      <w:r w:rsidR="00C51026" w:rsidRPr="005143F9">
        <w:rPr>
          <w:rFonts w:ascii="Garamond" w:eastAsia="Century Gothic" w:hAnsi="Garamond" w:cs="Century Gothic"/>
          <w:b/>
        </w:rPr>
        <w:t xml:space="preserve"> del </w:t>
      </w:r>
      <w:r w:rsidRPr="005143F9">
        <w:rPr>
          <w:rFonts w:ascii="Garamond" w:eastAsia="Century Gothic" w:hAnsi="Garamond" w:cs="Century Gothic"/>
          <w:b/>
        </w:rPr>
        <w:t>2021</w:t>
      </w:r>
      <w:r w:rsidR="00C51026" w:rsidRPr="005143F9">
        <w:rPr>
          <w:rFonts w:ascii="Garamond" w:eastAsia="Century Gothic" w:hAnsi="Garamond" w:cs="Century Gothic"/>
          <w:b/>
        </w:rPr>
        <w:t xml:space="preserve"> Cámara </w:t>
      </w:r>
      <w:r w:rsidRPr="005143F9">
        <w:rPr>
          <w:rFonts w:ascii="Garamond" w:eastAsia="Times" w:hAnsi="Garamond" w:cs="Times"/>
          <w:i/>
          <w:color w:val="000000"/>
        </w:rPr>
        <w:t>“Por medio del cual se modifica el artículo 347 de la ley 599 de 2000”</w:t>
      </w:r>
    </w:p>
    <w:p w14:paraId="5FF95E61" w14:textId="0F1356EE" w:rsidR="00BE3162" w:rsidRPr="005143F9" w:rsidRDefault="00725082" w:rsidP="00725466">
      <w:pPr>
        <w:spacing w:before="100" w:beforeAutospacing="1" w:after="120" w:line="276" w:lineRule="auto"/>
        <w:rPr>
          <w:rFonts w:ascii="Garamond" w:eastAsia="Century Gothic" w:hAnsi="Garamond" w:cs="Century Gothic"/>
        </w:rPr>
      </w:pPr>
      <w:r w:rsidRPr="005143F9">
        <w:rPr>
          <w:rFonts w:ascii="Garamond" w:eastAsia="Century Gothic" w:hAnsi="Garamond" w:cs="Century Gothic"/>
        </w:rPr>
        <w:t>Honorable señor</w:t>
      </w:r>
      <w:r w:rsidR="00C00C6D" w:rsidRPr="005143F9">
        <w:rPr>
          <w:rFonts w:ascii="Garamond" w:eastAsia="Century Gothic" w:hAnsi="Garamond" w:cs="Century Gothic"/>
        </w:rPr>
        <w:t xml:space="preserve"> Presidente</w:t>
      </w:r>
      <w:r w:rsidRPr="005143F9">
        <w:rPr>
          <w:rFonts w:ascii="Garamond" w:eastAsia="Century Gothic" w:hAnsi="Garamond" w:cs="Century Gothic"/>
        </w:rPr>
        <w:t>,</w:t>
      </w:r>
    </w:p>
    <w:p w14:paraId="7CA6AA44" w14:textId="1D7DE9EA" w:rsidR="00BE3162" w:rsidRDefault="00C00C6D" w:rsidP="00725466">
      <w:pPr>
        <w:spacing w:before="100" w:beforeAutospacing="1" w:after="120" w:line="276" w:lineRule="auto"/>
        <w:jc w:val="both"/>
        <w:rPr>
          <w:rFonts w:ascii="Garamond" w:eastAsia="Century Gothic" w:hAnsi="Garamond" w:cs="Century Gothic"/>
          <w:i/>
        </w:rPr>
      </w:pPr>
      <w:r w:rsidRPr="005143F9">
        <w:rPr>
          <w:rFonts w:ascii="Garamond" w:eastAsia="Century Gothic" w:hAnsi="Garamond" w:cs="Century Gothic"/>
        </w:rPr>
        <w:t xml:space="preserve">En cumplimiento de la designación hecha por la Mesa Directiva de la Comisión Primera Constitucional de la Cámara de Representantes y de acuerdo con las disposiciones contenidas en la Ley 5a de 1992, me permito rendir informe de ponencia para primer debate del Proyecto de </w:t>
      </w:r>
      <w:r w:rsidR="00D146B9" w:rsidRPr="005143F9">
        <w:rPr>
          <w:rFonts w:ascii="Garamond" w:eastAsia="Century Gothic" w:hAnsi="Garamond" w:cs="Century Gothic"/>
        </w:rPr>
        <w:t>L</w:t>
      </w:r>
      <w:r w:rsidRPr="005143F9">
        <w:rPr>
          <w:rFonts w:ascii="Garamond" w:eastAsia="Century Gothic" w:hAnsi="Garamond" w:cs="Century Gothic"/>
        </w:rPr>
        <w:t xml:space="preserve">ey número </w:t>
      </w:r>
      <w:r w:rsidR="009D0364" w:rsidRPr="005143F9">
        <w:rPr>
          <w:rFonts w:ascii="Garamond" w:eastAsia="Century Gothic" w:hAnsi="Garamond" w:cs="Century Gothic"/>
        </w:rPr>
        <w:t>047</w:t>
      </w:r>
      <w:r w:rsidRPr="005143F9">
        <w:rPr>
          <w:rFonts w:ascii="Garamond" w:eastAsia="Century Gothic" w:hAnsi="Garamond" w:cs="Century Gothic"/>
        </w:rPr>
        <w:t xml:space="preserve"> de </w:t>
      </w:r>
      <w:r w:rsidR="009D0364" w:rsidRPr="005143F9">
        <w:rPr>
          <w:rFonts w:ascii="Garamond" w:eastAsia="Century Gothic" w:hAnsi="Garamond" w:cs="Century Gothic"/>
        </w:rPr>
        <w:t>2021</w:t>
      </w:r>
      <w:r w:rsidRPr="005143F9">
        <w:rPr>
          <w:rFonts w:ascii="Garamond" w:eastAsia="Century Gothic" w:hAnsi="Garamond" w:cs="Century Gothic"/>
        </w:rPr>
        <w:t xml:space="preserve"> Cámara, </w:t>
      </w:r>
      <w:r w:rsidR="009D0364" w:rsidRPr="005143F9">
        <w:rPr>
          <w:rFonts w:ascii="Garamond" w:eastAsia="Century Gothic" w:hAnsi="Garamond" w:cs="Century Gothic"/>
          <w:i/>
        </w:rPr>
        <w:t>“Por medio del cual se modifica el artículo 347 de la ley 599 de 2000”</w:t>
      </w:r>
    </w:p>
    <w:p w14:paraId="028379F9" w14:textId="77777777" w:rsidR="00B352B9" w:rsidRPr="005143F9" w:rsidRDefault="00B352B9" w:rsidP="00725466">
      <w:pPr>
        <w:spacing w:before="100" w:beforeAutospacing="1" w:after="120" w:line="276" w:lineRule="auto"/>
        <w:jc w:val="both"/>
        <w:rPr>
          <w:rFonts w:ascii="Garamond" w:eastAsia="Century Gothic" w:hAnsi="Garamond" w:cs="Century Gothic"/>
          <w:i/>
        </w:rPr>
      </w:pPr>
    </w:p>
    <w:p w14:paraId="20DEFCA6" w14:textId="77777777" w:rsidR="00BE3162" w:rsidRPr="005143F9" w:rsidRDefault="00C00C6D" w:rsidP="00725466">
      <w:pPr>
        <w:pBdr>
          <w:top w:val="nil"/>
          <w:left w:val="nil"/>
          <w:bottom w:val="nil"/>
          <w:right w:val="nil"/>
          <w:between w:val="nil"/>
        </w:pBdr>
        <w:spacing w:before="100" w:beforeAutospacing="1" w:after="120" w:line="276" w:lineRule="auto"/>
        <w:jc w:val="both"/>
        <w:rPr>
          <w:rFonts w:ascii="Garamond" w:eastAsia="Century Gothic" w:hAnsi="Garamond" w:cs="Century Gothic"/>
          <w:color w:val="000000"/>
        </w:rPr>
      </w:pPr>
      <w:r w:rsidRPr="005143F9">
        <w:rPr>
          <w:rFonts w:ascii="Garamond" w:eastAsia="Century Gothic" w:hAnsi="Garamond" w:cs="Century Gothic"/>
          <w:color w:val="000000"/>
        </w:rPr>
        <w:t>De</w:t>
      </w:r>
      <w:r w:rsidR="00725082" w:rsidRPr="005143F9">
        <w:rPr>
          <w:rFonts w:ascii="Garamond" w:eastAsia="Century Gothic" w:hAnsi="Garamond" w:cs="Century Gothic"/>
          <w:color w:val="000000"/>
        </w:rPr>
        <w:t xml:space="preserve">l </w:t>
      </w:r>
      <w:r w:rsidRPr="005143F9">
        <w:rPr>
          <w:rFonts w:ascii="Garamond" w:eastAsia="Century Gothic" w:hAnsi="Garamond" w:cs="Century Gothic"/>
          <w:color w:val="000000"/>
        </w:rPr>
        <w:t>Honorable Representante</w:t>
      </w:r>
      <w:r w:rsidR="00725082" w:rsidRPr="005143F9">
        <w:rPr>
          <w:rFonts w:ascii="Garamond" w:eastAsia="Century Gothic" w:hAnsi="Garamond" w:cs="Century Gothic"/>
          <w:color w:val="000000"/>
        </w:rPr>
        <w:t>,</w:t>
      </w:r>
    </w:p>
    <w:tbl>
      <w:tblPr>
        <w:tblStyle w:val="a"/>
        <w:tblW w:w="885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28"/>
        <w:gridCol w:w="4424"/>
      </w:tblGrid>
      <w:tr w:rsidR="00BE3162" w:rsidRPr="005143F9" w14:paraId="7D8F5C0C" w14:textId="77777777">
        <w:trPr>
          <w:trHeight w:val="2180"/>
        </w:trPr>
        <w:tc>
          <w:tcPr>
            <w:tcW w:w="4428" w:type="dxa"/>
          </w:tcPr>
          <w:p w14:paraId="258F2F38" w14:textId="77777777" w:rsidR="00BE3162" w:rsidRPr="005143F9" w:rsidRDefault="00BE3162" w:rsidP="00725466">
            <w:pPr>
              <w:spacing w:before="100" w:beforeAutospacing="1" w:after="120" w:line="276" w:lineRule="auto"/>
              <w:jc w:val="both"/>
              <w:rPr>
                <w:rFonts w:ascii="Garamond" w:eastAsia="Century Gothic" w:hAnsi="Garamond" w:cs="Century Gothic"/>
                <w:b/>
              </w:rPr>
            </w:pPr>
          </w:p>
          <w:p w14:paraId="011332B1" w14:textId="4F3C27D5" w:rsidR="00C51026" w:rsidRPr="005143F9" w:rsidRDefault="00C51026" w:rsidP="00725466">
            <w:pPr>
              <w:spacing w:before="100" w:beforeAutospacing="1" w:after="120" w:line="276" w:lineRule="auto"/>
              <w:jc w:val="both"/>
              <w:rPr>
                <w:rFonts w:ascii="Garamond" w:eastAsia="Century Gothic" w:hAnsi="Garamond" w:cs="Century Gothic"/>
                <w:b/>
              </w:rPr>
            </w:pPr>
          </w:p>
          <w:p w14:paraId="1C0DA448" w14:textId="08EAEF45" w:rsidR="00B6172E" w:rsidRPr="005143F9" w:rsidRDefault="00B6172E" w:rsidP="00725466">
            <w:pPr>
              <w:spacing w:before="100" w:beforeAutospacing="1" w:after="120" w:line="276" w:lineRule="auto"/>
              <w:jc w:val="both"/>
              <w:rPr>
                <w:rFonts w:ascii="Garamond" w:eastAsia="Century Gothic" w:hAnsi="Garamond" w:cs="Century Gothic"/>
                <w:b/>
              </w:rPr>
            </w:pPr>
          </w:p>
          <w:p w14:paraId="52641275" w14:textId="77777777" w:rsidR="00BE3162" w:rsidRPr="005143F9" w:rsidRDefault="00C00C6D" w:rsidP="00725466">
            <w:pPr>
              <w:spacing w:before="100" w:beforeAutospacing="1" w:after="120" w:line="276" w:lineRule="auto"/>
              <w:contextualSpacing/>
              <w:jc w:val="both"/>
              <w:rPr>
                <w:rFonts w:ascii="Garamond" w:eastAsia="Century Gothic" w:hAnsi="Garamond" w:cs="Century Gothic"/>
                <w:b/>
              </w:rPr>
            </w:pPr>
            <w:r w:rsidRPr="005143F9">
              <w:rPr>
                <w:rFonts w:ascii="Garamond" w:eastAsia="Century Gothic" w:hAnsi="Garamond" w:cs="Century Gothic"/>
                <w:b/>
              </w:rPr>
              <w:t>JUAN MANUEL DAZA IGUARÁN</w:t>
            </w:r>
          </w:p>
          <w:p w14:paraId="6424E419" w14:textId="77777777" w:rsidR="00BE3162" w:rsidRPr="005143F9" w:rsidRDefault="00C00C6D" w:rsidP="00725466">
            <w:pPr>
              <w:spacing w:before="100" w:beforeAutospacing="1" w:after="120" w:line="276" w:lineRule="auto"/>
              <w:contextualSpacing/>
              <w:jc w:val="both"/>
              <w:rPr>
                <w:rFonts w:ascii="Garamond" w:eastAsia="Century Gothic" w:hAnsi="Garamond" w:cs="Century Gothic"/>
              </w:rPr>
            </w:pPr>
            <w:r w:rsidRPr="005143F9">
              <w:rPr>
                <w:rFonts w:ascii="Garamond" w:eastAsia="Century Gothic" w:hAnsi="Garamond" w:cs="Century Gothic"/>
              </w:rPr>
              <w:t>Representante a la Cámara</w:t>
            </w:r>
          </w:p>
          <w:p w14:paraId="764F8BDD" w14:textId="77777777" w:rsidR="00BE3162" w:rsidRPr="005143F9" w:rsidRDefault="00C00C6D" w:rsidP="00725466">
            <w:pPr>
              <w:spacing w:before="100" w:beforeAutospacing="1" w:after="120" w:line="276" w:lineRule="auto"/>
              <w:contextualSpacing/>
              <w:jc w:val="both"/>
              <w:rPr>
                <w:rFonts w:ascii="Garamond" w:eastAsia="Century Gothic" w:hAnsi="Garamond" w:cs="Century Gothic"/>
              </w:rPr>
            </w:pPr>
            <w:r w:rsidRPr="005143F9">
              <w:rPr>
                <w:rFonts w:ascii="Garamond" w:eastAsia="Century Gothic" w:hAnsi="Garamond" w:cs="Century Gothic"/>
              </w:rPr>
              <w:t>Partido Centro Democrático</w:t>
            </w:r>
          </w:p>
        </w:tc>
        <w:tc>
          <w:tcPr>
            <w:tcW w:w="4424" w:type="dxa"/>
          </w:tcPr>
          <w:p w14:paraId="64B595FE" w14:textId="77777777" w:rsidR="00BE3162" w:rsidRPr="005143F9" w:rsidRDefault="00BE3162" w:rsidP="00725466">
            <w:pPr>
              <w:spacing w:before="100" w:beforeAutospacing="1" w:after="120" w:line="276" w:lineRule="auto"/>
              <w:ind w:left="182" w:hanging="182"/>
              <w:jc w:val="both"/>
              <w:rPr>
                <w:rFonts w:ascii="Garamond" w:eastAsia="Century Gothic" w:hAnsi="Garamond" w:cs="Century Gothic"/>
                <w:b/>
              </w:rPr>
            </w:pPr>
          </w:p>
          <w:p w14:paraId="25482317" w14:textId="77777777" w:rsidR="00BE3162" w:rsidRPr="005143F9" w:rsidRDefault="00BE3162" w:rsidP="00725466">
            <w:pPr>
              <w:spacing w:before="100" w:beforeAutospacing="1" w:after="120" w:line="276" w:lineRule="auto"/>
              <w:ind w:left="182" w:hanging="182"/>
              <w:jc w:val="both"/>
              <w:rPr>
                <w:rFonts w:ascii="Garamond" w:eastAsia="Century Gothic" w:hAnsi="Garamond" w:cs="Century Gothic"/>
                <w:b/>
              </w:rPr>
            </w:pPr>
          </w:p>
          <w:p w14:paraId="5B76FFD2" w14:textId="77777777" w:rsidR="00BE3162" w:rsidRPr="005143F9" w:rsidRDefault="00BE3162" w:rsidP="00725466">
            <w:pPr>
              <w:spacing w:before="100" w:beforeAutospacing="1" w:after="120" w:line="276" w:lineRule="auto"/>
              <w:jc w:val="both"/>
              <w:rPr>
                <w:rFonts w:ascii="Garamond" w:eastAsia="Century Gothic" w:hAnsi="Garamond" w:cs="Century Gothic"/>
                <w:b/>
              </w:rPr>
            </w:pPr>
          </w:p>
          <w:p w14:paraId="7F410CA7" w14:textId="77777777" w:rsidR="00BE3162" w:rsidRPr="005143F9" w:rsidRDefault="00BE3162" w:rsidP="00725466">
            <w:pPr>
              <w:spacing w:before="100" w:beforeAutospacing="1" w:after="120" w:line="276" w:lineRule="auto"/>
              <w:ind w:left="182" w:hanging="182"/>
              <w:jc w:val="both"/>
              <w:rPr>
                <w:rFonts w:ascii="Garamond" w:eastAsia="Century Gothic" w:hAnsi="Garamond" w:cs="Century Gothic"/>
                <w:b/>
              </w:rPr>
            </w:pPr>
          </w:p>
        </w:tc>
      </w:tr>
    </w:tbl>
    <w:p w14:paraId="23F02EA0" w14:textId="77777777" w:rsidR="00B352B9" w:rsidRDefault="00B352B9" w:rsidP="00405B37">
      <w:pPr>
        <w:spacing w:before="240" w:after="240" w:line="276" w:lineRule="auto"/>
        <w:jc w:val="center"/>
        <w:rPr>
          <w:rFonts w:ascii="Garamond" w:eastAsia="Times" w:hAnsi="Garamond" w:cs="Times"/>
          <w:b/>
          <w:u w:val="single"/>
        </w:rPr>
      </w:pPr>
    </w:p>
    <w:p w14:paraId="6F373711" w14:textId="37E9EB2F" w:rsidR="0002683F" w:rsidRPr="005143F9" w:rsidRDefault="0002683F" w:rsidP="00405B37">
      <w:pPr>
        <w:spacing w:before="240" w:after="240" w:line="276" w:lineRule="auto"/>
        <w:jc w:val="center"/>
        <w:rPr>
          <w:rFonts w:ascii="Garamond" w:eastAsia="Times" w:hAnsi="Garamond" w:cs="Times"/>
          <w:b/>
          <w:u w:val="single"/>
        </w:rPr>
      </w:pPr>
      <w:r w:rsidRPr="005143F9">
        <w:rPr>
          <w:rFonts w:ascii="Garamond" w:eastAsia="Times" w:hAnsi="Garamond" w:cs="Times"/>
          <w:b/>
          <w:u w:val="single"/>
        </w:rPr>
        <w:lastRenderedPageBreak/>
        <w:t>EXPOSICIÓN DE MOTIVOS</w:t>
      </w:r>
    </w:p>
    <w:p w14:paraId="0EEFAB1D" w14:textId="2278773A" w:rsidR="0002683F" w:rsidRPr="005143F9" w:rsidRDefault="0002683F" w:rsidP="002C510C">
      <w:pPr>
        <w:spacing w:before="240" w:after="240" w:line="276" w:lineRule="auto"/>
        <w:jc w:val="both"/>
        <w:rPr>
          <w:rFonts w:ascii="Garamond" w:eastAsia="Times" w:hAnsi="Garamond" w:cs="Times"/>
          <w:b/>
        </w:rPr>
      </w:pPr>
      <w:r w:rsidRPr="005143F9">
        <w:rPr>
          <w:rFonts w:ascii="Garamond" w:eastAsia="Times" w:hAnsi="Garamond" w:cs="Times"/>
          <w:b/>
        </w:rPr>
        <w:t xml:space="preserve">INTRODUCCIÓN </w:t>
      </w:r>
    </w:p>
    <w:p w14:paraId="376A6FA9" w14:textId="16B8AB3A"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El presente proyecto de ley se centra en la situación que está viviendo hoy en día todo el personal médico en nuestro país, a causa de la pandemia del COVID-19, en el entendido de que esta población ha sido víctima de amenazas por el hecho de no poder contener el virus, o peor aún, por estar tratando pacientes que lo padecen, razones por las cuales las demás personas consideran que son un foco de contagio en todos los entornos.</w:t>
      </w:r>
    </w:p>
    <w:p w14:paraId="09689802" w14:textId="389C6D43"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Es por lo anterior que, con esta iniciativa, se busca crear un agravante en la pena poniéndolos en igualdad de condiciones con personas que hacen parte de organizaciones sindicales y periodistas, ya que al ser profesiones que buscan dignificar la salud y proteger la vida de las personas, en distintos grados, poseen un nivel de riesgo, el cual se traslada del entorno laboral al personal, siendo estos los primeros responsables con lo que pueda ocurrir con sus pacientes.</w:t>
      </w:r>
    </w:p>
    <w:p w14:paraId="6097EF63" w14:textId="2AD4A5D0" w:rsidR="0002683F" w:rsidRPr="005143F9" w:rsidRDefault="0002683F" w:rsidP="00123069">
      <w:pPr>
        <w:pStyle w:val="Prrafodelista"/>
        <w:numPr>
          <w:ilvl w:val="0"/>
          <w:numId w:val="12"/>
        </w:numPr>
        <w:spacing w:before="240" w:after="240" w:line="276" w:lineRule="auto"/>
        <w:jc w:val="both"/>
        <w:rPr>
          <w:rFonts w:ascii="Garamond" w:eastAsia="Times" w:hAnsi="Garamond" w:cs="Times"/>
          <w:b/>
          <w:bCs/>
        </w:rPr>
      </w:pPr>
      <w:r w:rsidRPr="005143F9">
        <w:rPr>
          <w:rFonts w:ascii="Garamond" w:eastAsia="Times" w:hAnsi="Garamond" w:cs="Times"/>
          <w:b/>
          <w:bCs/>
        </w:rPr>
        <w:t>TRÁMITE LEGISLATIVO</w:t>
      </w:r>
    </w:p>
    <w:p w14:paraId="67B6EA88" w14:textId="0C227B14" w:rsidR="00864B74" w:rsidRPr="005143F9" w:rsidRDefault="00864B74" w:rsidP="00864B74">
      <w:pPr>
        <w:spacing w:before="240" w:after="240" w:line="276" w:lineRule="auto"/>
        <w:jc w:val="both"/>
        <w:rPr>
          <w:rFonts w:ascii="Garamond" w:eastAsia="Century Gothic" w:hAnsi="Garamond" w:cs="Century Gothic"/>
        </w:rPr>
      </w:pPr>
      <w:r w:rsidRPr="005143F9">
        <w:rPr>
          <w:rFonts w:ascii="Garamond" w:eastAsia="Century Gothic" w:hAnsi="Garamond" w:cs="Century Gothic"/>
        </w:rPr>
        <w:t>Durante la Legislatura 2020-2021, la iniciativa legislativa en cuestión fue radicada previamente ante la Secretaría General de la Cámara de Representantes con el título “Por medio del cual se modifica el artículo 347 de la Ley 599 de 2000”, con el proyecto de Ley número 259 de 2020 Cámara a los veintitrés (23) días del mes de julio del año dos mil veinte (2020) y fue publicado en la Gaceta No. 698 de 2020 por autoría de la Honorable Representante María Margarita Restrepo.</w:t>
      </w:r>
    </w:p>
    <w:p w14:paraId="6F505CCA" w14:textId="081E18AC" w:rsidR="00864B74" w:rsidRPr="005143F9" w:rsidRDefault="00864B74" w:rsidP="00864B74">
      <w:pPr>
        <w:spacing w:before="240" w:after="240" w:line="276" w:lineRule="auto"/>
        <w:jc w:val="both"/>
        <w:rPr>
          <w:rFonts w:ascii="Garamond" w:eastAsia="Century Gothic" w:hAnsi="Garamond" w:cs="Century Gothic"/>
        </w:rPr>
      </w:pPr>
      <w:r w:rsidRPr="005143F9">
        <w:rPr>
          <w:rFonts w:ascii="Garamond" w:eastAsia="Century Gothic" w:hAnsi="Garamond" w:cs="Century Gothic"/>
        </w:rPr>
        <w:t>El presente Proyecto de Ley tenía por objeto castigar con penas ejemplarizantes a todos los responsables del delito de amenaza contra profesionales de la salud por el cumplimiento de sus labores; y crear conciencia en los colombianos para que se solidaricen con los profesionales de la salud que exponen cada segundo su vida y la de sus familias para garantizar el bienestar general de la sociedad y mejorar la calidad de vida de cada una de las personas que acuden ante ellos por algún padecimiento.</w:t>
      </w:r>
    </w:p>
    <w:p w14:paraId="7904951C" w14:textId="17654A35" w:rsidR="00864B74" w:rsidRPr="005143F9" w:rsidRDefault="00864B74" w:rsidP="00864B74">
      <w:pPr>
        <w:spacing w:before="240" w:after="240" w:line="276" w:lineRule="auto"/>
        <w:jc w:val="both"/>
        <w:rPr>
          <w:rFonts w:ascii="Garamond" w:eastAsia="Century Gothic" w:hAnsi="Garamond" w:cs="Century Gothic"/>
        </w:rPr>
      </w:pPr>
      <w:r w:rsidRPr="005143F9">
        <w:rPr>
          <w:rFonts w:ascii="Garamond" w:eastAsia="Century Gothic" w:hAnsi="Garamond" w:cs="Century Gothic"/>
        </w:rPr>
        <w:t>Sin embargo, referente al trámite legislativo, no cumplió con la discusión y aprobación para primer debate en la Comisión Primera del Senado de la República, por lo cual el proyecto fue archivado conforme al artículo 190 de la Ley 5ta de 1992 y el artículo 162 de la Constitución Política de Colombia.</w:t>
      </w:r>
    </w:p>
    <w:p w14:paraId="3FD94A62" w14:textId="77777777" w:rsidR="00864B74" w:rsidRPr="005143F9" w:rsidRDefault="00864B74" w:rsidP="00864B74">
      <w:pPr>
        <w:spacing w:before="240" w:after="240" w:line="276" w:lineRule="auto"/>
        <w:jc w:val="both"/>
        <w:rPr>
          <w:rFonts w:ascii="Garamond" w:eastAsia="Century Gothic" w:hAnsi="Garamond" w:cs="Century Gothic"/>
        </w:rPr>
      </w:pPr>
      <w:r w:rsidRPr="005143F9">
        <w:rPr>
          <w:rFonts w:ascii="Garamond" w:eastAsia="Century Gothic" w:hAnsi="Garamond" w:cs="Century Gothic"/>
        </w:rPr>
        <w:t xml:space="preserve">De conformidad con lo anterior, la iniciativa fue revisada por parte de los autores, consensuada con grupos de interés y modifica conforme a las consideraciones pertinentes. Por esta razón, se </w:t>
      </w:r>
      <w:r w:rsidRPr="005143F9">
        <w:rPr>
          <w:rFonts w:ascii="Garamond" w:eastAsia="Century Gothic" w:hAnsi="Garamond" w:cs="Century Gothic"/>
        </w:rPr>
        <w:lastRenderedPageBreak/>
        <w:t>pone a consideración del Honorable Congreso de la República este proyecto de ley como nueva iniciativa legislativa, ajustado con las modificaciones pertinentes y con el apoyo de congresistas de distintos partidos.</w:t>
      </w:r>
    </w:p>
    <w:p w14:paraId="5DAB0B4B" w14:textId="51174EEF" w:rsidR="00864B74" w:rsidRPr="005143F9" w:rsidRDefault="00864B74" w:rsidP="00123069">
      <w:pPr>
        <w:pStyle w:val="Prrafodelista"/>
        <w:numPr>
          <w:ilvl w:val="0"/>
          <w:numId w:val="12"/>
        </w:numPr>
        <w:spacing w:before="240" w:after="240" w:line="276" w:lineRule="auto"/>
        <w:jc w:val="both"/>
        <w:rPr>
          <w:rFonts w:ascii="Garamond" w:eastAsia="Times" w:hAnsi="Garamond" w:cs="Times"/>
        </w:rPr>
      </w:pPr>
      <w:r w:rsidRPr="005143F9">
        <w:rPr>
          <w:rFonts w:ascii="Garamond" w:eastAsia="Times" w:hAnsi="Garamond" w:cs="Times"/>
          <w:b/>
        </w:rPr>
        <w:t>OBJETO DEL PROYECTO DE LEY</w:t>
      </w:r>
    </w:p>
    <w:p w14:paraId="063BF67A" w14:textId="4252A4C7" w:rsidR="00864B74" w:rsidRPr="005143F9" w:rsidRDefault="00864B74" w:rsidP="00864B74">
      <w:pPr>
        <w:spacing w:before="240" w:after="240" w:line="276" w:lineRule="auto"/>
        <w:jc w:val="both"/>
        <w:rPr>
          <w:rFonts w:ascii="Garamond" w:eastAsia="Times" w:hAnsi="Garamond" w:cs="Times"/>
        </w:rPr>
      </w:pPr>
      <w:r w:rsidRPr="005143F9">
        <w:rPr>
          <w:rFonts w:ascii="Garamond" w:eastAsia="Times" w:hAnsi="Garamond" w:cs="Times"/>
        </w:rPr>
        <w:t xml:space="preserve">El Proyecto de Ley 047 de 2021 Cámara “Por medio del cual se modifica el artículo 347 de la Ley 599 de 2000” tiene por objeto penalizar de manera ejemplar a todos los responsables del delito de amenaza contra </w:t>
      </w:r>
      <w:r w:rsidR="00DA5E9F" w:rsidRPr="005143F9">
        <w:rPr>
          <w:rFonts w:ascii="Garamond" w:eastAsia="Times" w:hAnsi="Garamond" w:cs="Times"/>
        </w:rPr>
        <w:t>los profesionales de la salud</w:t>
      </w:r>
      <w:r w:rsidRPr="005143F9">
        <w:rPr>
          <w:rFonts w:ascii="Garamond" w:eastAsia="Times" w:hAnsi="Garamond" w:cs="Times"/>
        </w:rPr>
        <w:t xml:space="preserve"> por el cumplimiento de sus labores; y </w:t>
      </w:r>
      <w:r w:rsidR="00DA5E9F" w:rsidRPr="005143F9">
        <w:rPr>
          <w:rFonts w:ascii="Garamond" w:eastAsia="Times" w:hAnsi="Garamond" w:cs="Times"/>
        </w:rPr>
        <w:t>de conformidad</w:t>
      </w:r>
      <w:r w:rsidRPr="005143F9">
        <w:rPr>
          <w:rFonts w:ascii="Garamond" w:eastAsia="Times" w:hAnsi="Garamond" w:cs="Times"/>
        </w:rPr>
        <w:t xml:space="preserve">, crear conciencia </w:t>
      </w:r>
      <w:r w:rsidR="00DA5E9F" w:rsidRPr="005143F9">
        <w:rPr>
          <w:rFonts w:ascii="Garamond" w:eastAsia="Times" w:hAnsi="Garamond" w:cs="Times"/>
        </w:rPr>
        <w:t>en la ciudadanía colombiana</w:t>
      </w:r>
      <w:r w:rsidRPr="005143F9">
        <w:rPr>
          <w:rFonts w:ascii="Garamond" w:eastAsia="Times" w:hAnsi="Garamond" w:cs="Times"/>
        </w:rPr>
        <w:t xml:space="preserve"> para que se solidaricen con </w:t>
      </w:r>
      <w:r w:rsidR="00DA5E9F" w:rsidRPr="005143F9">
        <w:rPr>
          <w:rFonts w:ascii="Garamond" w:eastAsia="Times" w:hAnsi="Garamond" w:cs="Times"/>
        </w:rPr>
        <w:t xml:space="preserve">el personal en salud </w:t>
      </w:r>
      <w:r w:rsidRPr="005143F9">
        <w:rPr>
          <w:rFonts w:ascii="Garamond" w:eastAsia="Times" w:hAnsi="Garamond" w:cs="Times"/>
        </w:rPr>
        <w:t xml:space="preserve">que exponen </w:t>
      </w:r>
      <w:r w:rsidR="00DA5E9F" w:rsidRPr="005143F9">
        <w:rPr>
          <w:rFonts w:ascii="Garamond" w:eastAsia="Times" w:hAnsi="Garamond" w:cs="Times"/>
        </w:rPr>
        <w:t>constantemente</w:t>
      </w:r>
      <w:r w:rsidRPr="005143F9">
        <w:rPr>
          <w:rFonts w:ascii="Garamond" w:eastAsia="Times" w:hAnsi="Garamond" w:cs="Times"/>
        </w:rPr>
        <w:t xml:space="preserve"> su vida y la de sus </w:t>
      </w:r>
      <w:r w:rsidR="00DA5E9F" w:rsidRPr="005143F9">
        <w:rPr>
          <w:rFonts w:ascii="Garamond" w:eastAsia="Times" w:hAnsi="Garamond" w:cs="Times"/>
        </w:rPr>
        <w:t>familiares</w:t>
      </w:r>
      <w:r w:rsidRPr="005143F9">
        <w:rPr>
          <w:rFonts w:ascii="Garamond" w:eastAsia="Times" w:hAnsi="Garamond" w:cs="Times"/>
        </w:rPr>
        <w:t xml:space="preserve"> para garantizar el bienestar general de la sociedad y mejorar la calidad de vida de cada una de las personas que acuden an</w:t>
      </w:r>
      <w:r w:rsidR="00DA5E9F" w:rsidRPr="005143F9">
        <w:rPr>
          <w:rFonts w:ascii="Garamond" w:eastAsia="Times" w:hAnsi="Garamond" w:cs="Times"/>
        </w:rPr>
        <w:t>te ellos.</w:t>
      </w:r>
    </w:p>
    <w:p w14:paraId="408BDAAC" w14:textId="23DC836F" w:rsidR="0002683F" w:rsidRPr="005143F9" w:rsidRDefault="0002683F" w:rsidP="00123069">
      <w:pPr>
        <w:pStyle w:val="Prrafodelista"/>
        <w:numPr>
          <w:ilvl w:val="0"/>
          <w:numId w:val="12"/>
        </w:numPr>
        <w:spacing w:before="240" w:after="240" w:line="276" w:lineRule="auto"/>
        <w:jc w:val="both"/>
        <w:rPr>
          <w:rFonts w:ascii="Garamond" w:eastAsia="Times" w:hAnsi="Garamond" w:cs="Times"/>
        </w:rPr>
      </w:pPr>
      <w:r w:rsidRPr="005143F9">
        <w:rPr>
          <w:rFonts w:ascii="Garamond" w:eastAsia="Times" w:hAnsi="Garamond" w:cs="Times"/>
          <w:b/>
        </w:rPr>
        <w:t>MARCO CONSTITUCIONAL Y LEGAL</w:t>
      </w:r>
    </w:p>
    <w:p w14:paraId="459F02F9" w14:textId="488ECD85"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De conformidad con la Constitución Política de Colombia en su artículo 22, la paz es un derecho y un deber de obligatorio cumplimiento; según la UNESCO, la paz es un concepto amplio y positivo que engloba el derecho a ser educado en y para la paz; el derecho a la seguridad humana y a vivir en un entorno seguro y sano</w:t>
      </w:r>
      <w:r w:rsidRPr="005143F9">
        <w:rPr>
          <w:rFonts w:ascii="Garamond" w:eastAsia="Times" w:hAnsi="Garamond" w:cs="Times"/>
          <w:vertAlign w:val="superscript"/>
        </w:rPr>
        <w:footnoteReference w:id="1"/>
      </w:r>
      <w:r w:rsidRPr="005143F9">
        <w:rPr>
          <w:rFonts w:ascii="Garamond" w:eastAsia="Times" w:hAnsi="Garamond" w:cs="Times"/>
        </w:rPr>
        <w:t>.</w:t>
      </w:r>
    </w:p>
    <w:p w14:paraId="782AD4DC" w14:textId="70C5B41C" w:rsidR="001D3B72"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 xml:space="preserve">En el caso de las amenazas, el derecho a la paz de cada persona se ve violentado en el sentido de que la víctima vive un momento de zozobra e inseguridad que lo afecta en todos sus entornos. Pero esta conducta afecta otros bienes jurídicos protegidos, dependiendo cada caso en particular, y en el caso de los profesionales de la salud, debido a la naturaleza de su profesión, son más propensos a recibirlas, al igual que los periodistas o los trabajadores sindicalizados  </w:t>
      </w:r>
    </w:p>
    <w:p w14:paraId="0A5F8DE0" w14:textId="56289EE0" w:rsidR="0002683F" w:rsidRPr="005143F9" w:rsidRDefault="0002683F" w:rsidP="002C510C">
      <w:pPr>
        <w:pStyle w:val="Prrafodelista"/>
        <w:numPr>
          <w:ilvl w:val="0"/>
          <w:numId w:val="13"/>
        </w:numPr>
        <w:spacing w:before="240" w:after="240" w:line="276" w:lineRule="auto"/>
        <w:jc w:val="both"/>
        <w:rPr>
          <w:rFonts w:ascii="Garamond" w:eastAsia="Times" w:hAnsi="Garamond" w:cs="Times"/>
          <w:b/>
          <w:u w:val="single"/>
        </w:rPr>
      </w:pPr>
      <w:r w:rsidRPr="005143F9">
        <w:rPr>
          <w:rFonts w:ascii="Garamond" w:eastAsia="Times" w:hAnsi="Garamond" w:cs="Times"/>
          <w:b/>
          <w:u w:val="single"/>
        </w:rPr>
        <w:t>Constitución Política de Colombia.</w:t>
      </w:r>
    </w:p>
    <w:p w14:paraId="3E7D4B7C" w14:textId="6BBBDF95" w:rsidR="0002683F" w:rsidRPr="005143F9" w:rsidRDefault="0002683F" w:rsidP="00123069">
      <w:pPr>
        <w:spacing w:before="240" w:after="240" w:line="276" w:lineRule="auto"/>
        <w:jc w:val="both"/>
        <w:rPr>
          <w:rFonts w:ascii="Garamond" w:eastAsia="Times" w:hAnsi="Garamond" w:cs="Times"/>
          <w:color w:val="000000"/>
        </w:rPr>
      </w:pPr>
      <w:bookmarkStart w:id="1" w:name="gjdgxs" w:colFirst="0" w:colLast="0"/>
      <w:bookmarkEnd w:id="1"/>
      <w:r w:rsidRPr="005143F9">
        <w:rPr>
          <w:rFonts w:ascii="Garamond" w:eastAsia="Times" w:hAnsi="Garamond" w:cs="Times"/>
          <w:b/>
          <w:color w:val="000000"/>
        </w:rPr>
        <w:t>PREÁMBULO</w:t>
      </w:r>
      <w:r w:rsidRPr="005143F9">
        <w:rPr>
          <w:rFonts w:ascii="Garamond" w:eastAsia="Times" w:hAnsi="Garamond" w:cs="Times"/>
          <w:color w:val="000000"/>
        </w:rPr>
        <w:t>: 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p>
    <w:p w14:paraId="4B3B62F3" w14:textId="66BD7E5A" w:rsidR="0002683F" w:rsidRPr="005143F9" w:rsidRDefault="0002683F" w:rsidP="00123069">
      <w:pPr>
        <w:spacing w:before="240" w:after="240" w:line="276" w:lineRule="auto"/>
        <w:jc w:val="both"/>
        <w:rPr>
          <w:rFonts w:ascii="Garamond" w:eastAsia="Times" w:hAnsi="Garamond" w:cs="Times"/>
          <w:color w:val="000000"/>
        </w:rPr>
      </w:pPr>
      <w:r w:rsidRPr="005143F9">
        <w:rPr>
          <w:rFonts w:ascii="Garamond" w:eastAsia="Times" w:hAnsi="Garamond" w:cs="Times"/>
          <w:b/>
          <w:color w:val="000000"/>
        </w:rPr>
        <w:lastRenderedPageBreak/>
        <w:t>ARTÍCULO 1.</w:t>
      </w:r>
      <w:r w:rsidRPr="005143F9">
        <w:rPr>
          <w:rFonts w:ascii="Garamond" w:eastAsia="Times" w:hAnsi="Garamond" w:cs="Times"/>
          <w:color w:val="000000"/>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2D88929A" w14:textId="3211D256" w:rsidR="0002683F" w:rsidRPr="005143F9" w:rsidRDefault="0002683F" w:rsidP="00123069">
      <w:pPr>
        <w:spacing w:before="240" w:after="240" w:line="276" w:lineRule="auto"/>
        <w:jc w:val="both"/>
        <w:rPr>
          <w:rFonts w:ascii="Garamond" w:eastAsia="Times" w:hAnsi="Garamond" w:cs="Times"/>
          <w:color w:val="000000"/>
        </w:rPr>
      </w:pPr>
      <w:r w:rsidRPr="005143F9">
        <w:rPr>
          <w:rFonts w:ascii="Garamond" w:eastAsia="Times" w:hAnsi="Garamond" w:cs="Times"/>
          <w:b/>
          <w:color w:val="000000"/>
        </w:rPr>
        <w:t>ARTÍCULO 11.</w:t>
      </w:r>
      <w:r w:rsidRPr="005143F9">
        <w:rPr>
          <w:rFonts w:ascii="Garamond" w:eastAsia="Times" w:hAnsi="Garamond" w:cs="Times"/>
          <w:color w:val="000000"/>
        </w:rPr>
        <w:t xml:space="preserve"> El derecho a la vida es inviolable. No habrá pena de muerte.</w:t>
      </w:r>
    </w:p>
    <w:p w14:paraId="0AC9C4A8" w14:textId="3E997D62" w:rsidR="0002683F" w:rsidRPr="005143F9" w:rsidRDefault="0002683F" w:rsidP="00123069">
      <w:pPr>
        <w:spacing w:before="240" w:after="240" w:line="276" w:lineRule="auto"/>
        <w:jc w:val="both"/>
        <w:rPr>
          <w:rFonts w:ascii="Garamond" w:eastAsia="Times" w:hAnsi="Garamond" w:cs="Times"/>
          <w:color w:val="000000"/>
        </w:rPr>
      </w:pPr>
      <w:r w:rsidRPr="005143F9">
        <w:rPr>
          <w:rFonts w:ascii="Garamond" w:eastAsia="Times" w:hAnsi="Garamond" w:cs="Times"/>
          <w:b/>
          <w:color w:val="000000"/>
        </w:rPr>
        <w:t xml:space="preserve">ARTÍCULO 22. </w:t>
      </w:r>
      <w:r w:rsidRPr="005143F9">
        <w:rPr>
          <w:rFonts w:ascii="Garamond" w:eastAsia="Times" w:hAnsi="Garamond" w:cs="Times"/>
          <w:color w:val="000000"/>
        </w:rPr>
        <w:t>La paz es un derecho y un deber de obligatorio cumplimiento.</w:t>
      </w:r>
    </w:p>
    <w:p w14:paraId="7968D0B1" w14:textId="42B302DE" w:rsidR="0002683F" w:rsidRPr="005143F9" w:rsidRDefault="0002683F" w:rsidP="00123069">
      <w:pPr>
        <w:spacing w:before="240" w:after="240" w:line="276" w:lineRule="auto"/>
        <w:jc w:val="both"/>
        <w:rPr>
          <w:rFonts w:ascii="Garamond" w:eastAsia="Times" w:hAnsi="Garamond" w:cs="Times"/>
          <w:color w:val="000000"/>
        </w:rPr>
      </w:pPr>
      <w:bookmarkStart w:id="2" w:name="30j0zll" w:colFirst="0" w:colLast="0"/>
      <w:bookmarkEnd w:id="2"/>
      <w:r w:rsidRPr="005143F9">
        <w:rPr>
          <w:rFonts w:ascii="Garamond" w:eastAsia="Times" w:hAnsi="Garamond" w:cs="Times"/>
          <w:b/>
          <w:color w:val="000000"/>
        </w:rPr>
        <w:t>ARTÍCULO 25. </w:t>
      </w:r>
      <w:r w:rsidRPr="005143F9">
        <w:rPr>
          <w:rFonts w:ascii="Garamond" w:eastAsia="Times" w:hAnsi="Garamond" w:cs="Times"/>
          <w:color w:val="000000"/>
        </w:rPr>
        <w:t>El trabajo es un derecho y una obligación social y goza, en todas sus modalidades, de la especial protección del Estado. Toda persona tiene derecho a un trabajo en condiciones dignas y justas.</w:t>
      </w:r>
    </w:p>
    <w:p w14:paraId="3C23FA0F" w14:textId="3728CD18" w:rsidR="0002683F" w:rsidRPr="005143F9" w:rsidRDefault="0002683F" w:rsidP="00123069">
      <w:pPr>
        <w:spacing w:before="240" w:after="240" w:line="276" w:lineRule="auto"/>
        <w:jc w:val="both"/>
        <w:rPr>
          <w:rFonts w:ascii="Garamond" w:eastAsia="Times" w:hAnsi="Garamond" w:cs="Times"/>
          <w:color w:val="000000"/>
        </w:rPr>
      </w:pPr>
      <w:bookmarkStart w:id="3" w:name="1fob9te" w:colFirst="0" w:colLast="0"/>
      <w:bookmarkEnd w:id="3"/>
      <w:r w:rsidRPr="005143F9">
        <w:rPr>
          <w:rFonts w:ascii="Garamond" w:eastAsia="Times" w:hAnsi="Garamond" w:cs="Times"/>
          <w:b/>
          <w:color w:val="000000"/>
        </w:rPr>
        <w:t>ARTÍCULO 26. </w:t>
      </w:r>
      <w:r w:rsidRPr="005143F9">
        <w:rPr>
          <w:rFonts w:ascii="Garamond" w:eastAsia="Times" w:hAnsi="Garamond" w:cs="Times"/>
          <w:color w:val="000000"/>
        </w:rPr>
        <w:t>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w:t>
      </w:r>
    </w:p>
    <w:p w14:paraId="4B3CF64D" w14:textId="62A78230" w:rsidR="0002683F" w:rsidRPr="005143F9" w:rsidRDefault="002C510C" w:rsidP="002C510C">
      <w:pPr>
        <w:pStyle w:val="Prrafodelista"/>
        <w:numPr>
          <w:ilvl w:val="0"/>
          <w:numId w:val="13"/>
        </w:numPr>
        <w:pBdr>
          <w:top w:val="nil"/>
          <w:left w:val="nil"/>
          <w:bottom w:val="nil"/>
          <w:right w:val="nil"/>
          <w:between w:val="nil"/>
        </w:pBdr>
        <w:shd w:val="clear" w:color="auto" w:fill="FFFFFF"/>
        <w:spacing w:before="240" w:after="240" w:line="276" w:lineRule="auto"/>
        <w:jc w:val="both"/>
        <w:rPr>
          <w:rFonts w:ascii="Garamond" w:eastAsia="Times" w:hAnsi="Garamond" w:cs="Times"/>
          <w:b/>
          <w:color w:val="000000"/>
          <w:u w:val="single"/>
        </w:rPr>
      </w:pPr>
      <w:r w:rsidRPr="005143F9">
        <w:rPr>
          <w:rFonts w:ascii="Garamond" w:eastAsia="Times" w:hAnsi="Garamond" w:cs="Times"/>
          <w:b/>
          <w:color w:val="000000"/>
          <w:u w:val="single"/>
        </w:rPr>
        <w:t>Legislación Colombiana</w:t>
      </w:r>
    </w:p>
    <w:p w14:paraId="3303B9E7" w14:textId="094161FB" w:rsidR="0002683F" w:rsidRPr="005143F9" w:rsidRDefault="0002683F" w:rsidP="00123069">
      <w:pPr>
        <w:spacing w:before="240" w:after="240" w:line="276" w:lineRule="auto"/>
        <w:jc w:val="both"/>
        <w:rPr>
          <w:rFonts w:ascii="Garamond" w:eastAsia="Times" w:hAnsi="Garamond" w:cs="Times"/>
          <w:b/>
          <w:i/>
        </w:rPr>
      </w:pPr>
      <w:r w:rsidRPr="005143F9">
        <w:rPr>
          <w:rFonts w:ascii="Garamond" w:eastAsia="Times" w:hAnsi="Garamond" w:cs="Times"/>
          <w:b/>
        </w:rPr>
        <w:t>LEY ESTATUTARIA No. 1751 del 2015</w:t>
      </w:r>
      <w:r w:rsidR="005143F9">
        <w:rPr>
          <w:rFonts w:ascii="Garamond" w:eastAsia="Times" w:hAnsi="Garamond" w:cs="Times"/>
          <w:b/>
        </w:rPr>
        <w:t xml:space="preserve"> </w:t>
      </w:r>
      <w:r w:rsidR="005143F9">
        <w:rPr>
          <w:rFonts w:ascii="Garamond" w:eastAsia="Times" w:hAnsi="Garamond" w:cs="Times"/>
          <w:b/>
          <w:i/>
        </w:rPr>
        <w:t>“Por medio de la cual se regula el derecho fundamental a la salud y se dictan otras disposiciones”</w:t>
      </w:r>
    </w:p>
    <w:p w14:paraId="30FFB1DA" w14:textId="77777777" w:rsidR="0002683F" w:rsidRPr="005143F9" w:rsidRDefault="0002683F" w:rsidP="002C510C">
      <w:pPr>
        <w:pBdr>
          <w:top w:val="nil"/>
          <w:left w:val="nil"/>
          <w:bottom w:val="nil"/>
          <w:right w:val="nil"/>
          <w:between w:val="nil"/>
        </w:pBdr>
        <w:spacing w:before="240" w:after="240" w:line="276" w:lineRule="auto"/>
        <w:ind w:left="720"/>
        <w:jc w:val="both"/>
        <w:rPr>
          <w:rFonts w:ascii="Garamond" w:eastAsia="Times" w:hAnsi="Garamond" w:cs="Times"/>
          <w:b/>
          <w:i/>
          <w:color w:val="111111"/>
        </w:rPr>
      </w:pPr>
      <w:r w:rsidRPr="005143F9">
        <w:rPr>
          <w:rFonts w:ascii="Garamond" w:eastAsia="Times" w:hAnsi="Garamond" w:cs="Times"/>
          <w:b/>
          <w:color w:val="000000"/>
        </w:rPr>
        <w:t xml:space="preserve">ARTÍCULO 10. </w:t>
      </w:r>
      <w:r w:rsidRPr="005143F9">
        <w:rPr>
          <w:rFonts w:ascii="Garamond" w:eastAsia="Times" w:hAnsi="Garamond" w:cs="Times"/>
          <w:b/>
          <w:color w:val="111111"/>
        </w:rPr>
        <w:t>DERECHOS Y DEBERES DE LAS PERSONAS, RELACIONADOS CON LA PRESTACIÓN DEL SELVICIO DE SALUD.</w:t>
      </w:r>
      <w:r w:rsidRPr="005143F9">
        <w:rPr>
          <w:rFonts w:ascii="Garamond" w:eastAsia="Times" w:hAnsi="Garamond" w:cs="Times"/>
          <w:b/>
          <w:i/>
          <w:color w:val="111111"/>
        </w:rPr>
        <w:t xml:space="preserve"> </w:t>
      </w:r>
    </w:p>
    <w:p w14:paraId="5C56D75A" w14:textId="77777777" w:rsidR="0002683F" w:rsidRPr="005143F9" w:rsidRDefault="0002683F" w:rsidP="002C510C">
      <w:pPr>
        <w:pBdr>
          <w:top w:val="nil"/>
          <w:left w:val="nil"/>
          <w:bottom w:val="nil"/>
          <w:right w:val="nil"/>
          <w:between w:val="nil"/>
        </w:pBdr>
        <w:spacing w:before="240" w:after="240" w:line="276" w:lineRule="auto"/>
        <w:ind w:left="720"/>
        <w:jc w:val="both"/>
        <w:rPr>
          <w:rFonts w:ascii="Garamond" w:eastAsia="Times" w:hAnsi="Garamond" w:cs="Times"/>
          <w:b/>
          <w:i/>
          <w:color w:val="111111"/>
        </w:rPr>
      </w:pPr>
      <w:r w:rsidRPr="005143F9">
        <w:rPr>
          <w:rFonts w:ascii="Garamond" w:eastAsia="Times" w:hAnsi="Garamond" w:cs="Times"/>
          <w:b/>
          <w:i/>
          <w:color w:val="111111"/>
        </w:rPr>
        <w:t>[…]</w:t>
      </w:r>
    </w:p>
    <w:p w14:paraId="0A908BC3" w14:textId="77777777" w:rsidR="0002683F" w:rsidRPr="005143F9" w:rsidRDefault="0002683F" w:rsidP="002C510C">
      <w:pPr>
        <w:pBdr>
          <w:top w:val="nil"/>
          <w:left w:val="nil"/>
          <w:bottom w:val="nil"/>
          <w:right w:val="nil"/>
          <w:between w:val="nil"/>
        </w:pBdr>
        <w:spacing w:before="240" w:after="240" w:line="276" w:lineRule="auto"/>
        <w:ind w:left="720"/>
        <w:jc w:val="both"/>
        <w:rPr>
          <w:rFonts w:ascii="Garamond" w:eastAsia="Times" w:hAnsi="Garamond" w:cs="Times"/>
          <w:color w:val="000000"/>
        </w:rPr>
      </w:pPr>
      <w:r w:rsidRPr="005143F9">
        <w:rPr>
          <w:rFonts w:ascii="Garamond" w:eastAsia="Times" w:hAnsi="Garamond" w:cs="Times"/>
          <w:color w:val="000000"/>
        </w:rPr>
        <w:t>Son deberes de las personas relacionados con el servicio de salud, los siguientes:</w:t>
      </w:r>
    </w:p>
    <w:p w14:paraId="664E792D" w14:textId="77777777" w:rsidR="0002683F" w:rsidRPr="005143F9" w:rsidRDefault="0002683F" w:rsidP="002C510C">
      <w:pPr>
        <w:pBdr>
          <w:top w:val="nil"/>
          <w:left w:val="nil"/>
          <w:bottom w:val="nil"/>
          <w:right w:val="nil"/>
          <w:between w:val="nil"/>
        </w:pBdr>
        <w:spacing w:before="240" w:after="240" w:line="276" w:lineRule="auto"/>
        <w:ind w:left="720"/>
        <w:jc w:val="both"/>
        <w:rPr>
          <w:rFonts w:ascii="Garamond" w:eastAsia="Times" w:hAnsi="Garamond" w:cs="Times"/>
          <w:b/>
          <w:i/>
          <w:color w:val="111111"/>
        </w:rPr>
      </w:pPr>
      <w:r w:rsidRPr="005143F9">
        <w:rPr>
          <w:rFonts w:ascii="Garamond" w:eastAsia="Times" w:hAnsi="Garamond" w:cs="Times"/>
          <w:b/>
          <w:i/>
          <w:color w:val="111111"/>
        </w:rPr>
        <w:t>[…]</w:t>
      </w:r>
    </w:p>
    <w:p w14:paraId="3B7591D8" w14:textId="2C58881E" w:rsidR="0002683F" w:rsidRPr="005143F9" w:rsidRDefault="0002683F" w:rsidP="002C510C">
      <w:pPr>
        <w:pBdr>
          <w:top w:val="nil"/>
          <w:left w:val="nil"/>
          <w:bottom w:val="nil"/>
          <w:right w:val="nil"/>
          <w:between w:val="nil"/>
        </w:pBdr>
        <w:spacing w:before="240" w:after="240" w:line="276" w:lineRule="auto"/>
        <w:ind w:left="720"/>
        <w:jc w:val="both"/>
        <w:rPr>
          <w:rFonts w:ascii="Garamond" w:eastAsia="Times" w:hAnsi="Garamond" w:cs="Times"/>
          <w:color w:val="000000"/>
          <w:u w:val="single"/>
        </w:rPr>
      </w:pPr>
      <w:r w:rsidRPr="005143F9">
        <w:rPr>
          <w:rFonts w:ascii="Garamond" w:eastAsia="Times" w:hAnsi="Garamond" w:cs="Times"/>
          <w:b/>
          <w:color w:val="000000"/>
          <w:u w:val="single"/>
        </w:rPr>
        <w:t xml:space="preserve">d) </w:t>
      </w:r>
      <w:r w:rsidRPr="005143F9">
        <w:rPr>
          <w:rFonts w:ascii="Garamond" w:eastAsia="Times" w:hAnsi="Garamond" w:cs="Times"/>
          <w:color w:val="000000"/>
          <w:u w:val="single"/>
        </w:rPr>
        <w:t xml:space="preserve">Respetar al personal responsable de la </w:t>
      </w:r>
      <w:r w:rsidR="00C64EEA" w:rsidRPr="005143F9">
        <w:rPr>
          <w:rFonts w:ascii="Garamond" w:eastAsia="Times" w:hAnsi="Garamond" w:cs="Times"/>
          <w:color w:val="000000"/>
          <w:u w:val="single"/>
        </w:rPr>
        <w:t>prestación</w:t>
      </w:r>
      <w:r w:rsidRPr="005143F9">
        <w:rPr>
          <w:rFonts w:ascii="Garamond" w:eastAsia="Times" w:hAnsi="Garamond" w:cs="Times"/>
          <w:color w:val="000000"/>
          <w:u w:val="single"/>
        </w:rPr>
        <w:t xml:space="preserve"> y </w:t>
      </w:r>
      <w:r w:rsidR="00C64EEA" w:rsidRPr="005143F9">
        <w:rPr>
          <w:rFonts w:ascii="Garamond" w:eastAsia="Times" w:hAnsi="Garamond" w:cs="Times"/>
          <w:color w:val="000000"/>
          <w:u w:val="single"/>
        </w:rPr>
        <w:t>administración</w:t>
      </w:r>
      <w:r w:rsidRPr="005143F9">
        <w:rPr>
          <w:rFonts w:ascii="Garamond" w:eastAsia="Times" w:hAnsi="Garamond" w:cs="Times"/>
          <w:color w:val="000000"/>
          <w:u w:val="single"/>
        </w:rPr>
        <w:t xml:space="preserve"> de los I servicios salud.</w:t>
      </w:r>
    </w:p>
    <w:p w14:paraId="3B3E0A3B" w14:textId="3290899C" w:rsidR="005143F9" w:rsidRPr="005143F9" w:rsidRDefault="005143F9" w:rsidP="005143F9">
      <w:pPr>
        <w:pBdr>
          <w:top w:val="nil"/>
          <w:left w:val="nil"/>
          <w:bottom w:val="nil"/>
          <w:right w:val="nil"/>
          <w:between w:val="nil"/>
        </w:pBdr>
        <w:spacing w:before="240" w:after="240" w:line="276" w:lineRule="auto"/>
        <w:ind w:left="720"/>
        <w:jc w:val="both"/>
        <w:rPr>
          <w:rFonts w:ascii="Garamond" w:eastAsia="Times" w:hAnsi="Garamond" w:cs="Times"/>
          <w:color w:val="000000"/>
          <w:u w:val="single"/>
        </w:rPr>
      </w:pPr>
      <w:r w:rsidRPr="005143F9">
        <w:rPr>
          <w:rFonts w:ascii="Garamond" w:eastAsia="Times" w:hAnsi="Garamond" w:cs="Times"/>
          <w:b/>
          <w:color w:val="000000"/>
          <w:u w:val="single"/>
        </w:rPr>
        <w:t xml:space="preserve">Parágrafo 1°. </w:t>
      </w:r>
      <w:r w:rsidRPr="005143F9">
        <w:rPr>
          <w:rFonts w:ascii="Garamond" w:eastAsia="Times" w:hAnsi="Garamond" w:cs="Times"/>
          <w:color w:val="000000"/>
          <w:u w:val="single"/>
        </w:rPr>
        <w:t xml:space="preserve">Los efectos del incumplimiento de estos deberes solo podrán ser determinados por el legislador. </w:t>
      </w:r>
      <w:r w:rsidRPr="005143F9">
        <w:rPr>
          <w:rFonts w:ascii="Garamond" w:eastAsia="Times" w:hAnsi="Garamond" w:cs="Times"/>
          <w:color w:val="000000"/>
        </w:rPr>
        <w:t>En ningún caso su incumplimiento podrá ser invocado para impedir o restringir el acceso oportuno a servicios de salud requeridos.</w:t>
      </w:r>
      <w:r>
        <w:rPr>
          <w:rFonts w:ascii="Garamond" w:eastAsia="Times" w:hAnsi="Garamond" w:cs="Times"/>
          <w:color w:val="000000"/>
        </w:rPr>
        <w:t xml:space="preserve"> (Subrayado fuera del texto original).</w:t>
      </w:r>
    </w:p>
    <w:p w14:paraId="6C2A9B59" w14:textId="2F08F9EB" w:rsidR="002C510C" w:rsidRPr="005143F9" w:rsidRDefault="002C510C" w:rsidP="002C510C">
      <w:pPr>
        <w:pStyle w:val="Prrafodelista"/>
        <w:numPr>
          <w:ilvl w:val="0"/>
          <w:numId w:val="12"/>
        </w:numPr>
        <w:spacing w:before="240" w:after="240" w:line="276" w:lineRule="auto"/>
        <w:jc w:val="both"/>
        <w:rPr>
          <w:rFonts w:ascii="Garamond" w:eastAsia="Times" w:hAnsi="Garamond" w:cs="Times"/>
        </w:rPr>
      </w:pPr>
      <w:r w:rsidRPr="005143F9">
        <w:rPr>
          <w:rFonts w:ascii="Garamond" w:eastAsia="Times" w:hAnsi="Garamond" w:cs="Times"/>
          <w:b/>
        </w:rPr>
        <w:lastRenderedPageBreak/>
        <w:t>CONSIDERACIONES GENERALES</w:t>
      </w:r>
    </w:p>
    <w:p w14:paraId="2659D023" w14:textId="77777777" w:rsidR="0002683F" w:rsidRPr="005143F9" w:rsidRDefault="0002683F" w:rsidP="00123069">
      <w:pPr>
        <w:numPr>
          <w:ilvl w:val="0"/>
          <w:numId w:val="9"/>
        </w:numPr>
        <w:pBdr>
          <w:top w:val="nil"/>
          <w:left w:val="nil"/>
          <w:bottom w:val="nil"/>
          <w:right w:val="nil"/>
          <w:between w:val="nil"/>
        </w:pBdr>
        <w:spacing w:before="240" w:after="240" w:line="276" w:lineRule="auto"/>
        <w:jc w:val="both"/>
        <w:rPr>
          <w:rFonts w:ascii="Garamond" w:eastAsia="Times" w:hAnsi="Garamond" w:cs="Times"/>
          <w:b/>
          <w:color w:val="000000"/>
        </w:rPr>
      </w:pPr>
      <w:r w:rsidRPr="005143F9">
        <w:rPr>
          <w:rFonts w:ascii="Garamond" w:eastAsia="Times" w:hAnsi="Garamond" w:cs="Times"/>
          <w:b/>
          <w:color w:val="000000"/>
        </w:rPr>
        <w:t>Contexto Nacional.</w:t>
      </w:r>
    </w:p>
    <w:p w14:paraId="3A0030C7" w14:textId="790E404A"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 xml:space="preserve">Es evidente que la llegada de la pandemia por el Covid-19 ha representado un reto para el País, donde el Gobierno ha tenido que volcar su atención a la ejecución de medidas que atiendan la situación de salud pública vigente y el sector hospitalario junto con su infraestructura se han visto en la obligación de reinventarse con el fin de proteger la vida de los Colombianos,  pero quienes libran esta batalla directamente son los profesionales de la salud los cuales se han visto en la obligación de atender esta emergencia con recursos que resultan en muchos casos insuficientes. Estos profesionales cobran especial protagonismo dentro de este panorama pues sin su intervención la lucha contra este virus no estaría librándose. </w:t>
      </w:r>
    </w:p>
    <w:p w14:paraId="4BFDDE0B" w14:textId="1FEDACEB"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 xml:space="preserve">Debe también tenerse en cuenta que el personal de salud ejerce su labor manteniendo una exposición importante al virus y arriesgando su salud junto con la de sus familias, existiendo muchos casos en donde estos han ingresado a las cifras alarmantes de fallecidos en Colombia victimas del Covid-19. </w:t>
      </w:r>
    </w:p>
    <w:p w14:paraId="4D7EEBB1" w14:textId="1445DBD6"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En los primeros cinco meses del año 2020, según informe de la Policía Nacional, se presentaron un total de 12.692</w:t>
      </w:r>
      <w:r w:rsidRPr="005143F9">
        <w:rPr>
          <w:rFonts w:ascii="Garamond" w:eastAsia="Times" w:hAnsi="Garamond" w:cs="Times"/>
          <w:vertAlign w:val="superscript"/>
        </w:rPr>
        <w:footnoteReference w:id="2"/>
      </w:r>
      <w:r w:rsidRPr="005143F9">
        <w:rPr>
          <w:rFonts w:ascii="Garamond" w:eastAsia="Times" w:hAnsi="Garamond" w:cs="Times"/>
        </w:rPr>
        <w:t xml:space="preserve"> denuncias por amenazas en todo el país, en la cuales se han visto inmersos 73 profesionales de la salud (47 médicos y 26 enfermeros)</w:t>
      </w:r>
      <w:r w:rsidRPr="005143F9">
        <w:rPr>
          <w:rFonts w:ascii="Garamond" w:eastAsia="Times" w:hAnsi="Garamond" w:cs="Times"/>
          <w:vertAlign w:val="superscript"/>
        </w:rPr>
        <w:footnoteReference w:id="3"/>
      </w:r>
      <w:r w:rsidRPr="005143F9">
        <w:rPr>
          <w:rFonts w:ascii="Garamond" w:eastAsia="Times" w:hAnsi="Garamond" w:cs="Times"/>
        </w:rPr>
        <w:t xml:space="preserve"> a causa de su profesión. Esto, debido a la difícil situación que se vive en el mundo entero por la pandemia del COVID-19, y que en Colombia ya ha dejado un saldo de 4.639.466 contagiados y 116.307 muertes</w:t>
      </w:r>
      <w:r w:rsidRPr="005143F9">
        <w:rPr>
          <w:rFonts w:ascii="Garamond" w:eastAsia="Times" w:hAnsi="Garamond" w:cs="Times"/>
          <w:vertAlign w:val="superscript"/>
        </w:rPr>
        <w:footnoteReference w:id="4"/>
      </w:r>
      <w:r w:rsidRPr="005143F9">
        <w:rPr>
          <w:rFonts w:ascii="Garamond" w:eastAsia="Times" w:hAnsi="Garamond" w:cs="Times"/>
        </w:rPr>
        <w:t>.</w:t>
      </w:r>
    </w:p>
    <w:p w14:paraId="33A2C448" w14:textId="572C3E6E"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 xml:space="preserve">Debido a lo anterior, se han presentado una serie de renuncias por parte de estos trabajadores, los cuales temen por sus vidas y las de sus familias; sin tener en cuenta el sinnúmero de casos de discriminación que están sufriendo por el solo hecho de atender a los pacientes del virus, por ejemplo, no ha sido pocos los casos registrados en los cuales, en unidades residenciales, vecinos gritan improperios al personal de la salud. </w:t>
      </w:r>
    </w:p>
    <w:p w14:paraId="676118F6" w14:textId="39A5E43A"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 xml:space="preserve">En ese sentido, debe abordarse la interrogante de si verdaderamente es posible garantizar una atención en salud completa y oportuna a quien lo requiera, no solo en el marco de la pandemia sino bajo la existencia de cualquier otro tipo de enfermedad, cuando no se les garantiza a los </w:t>
      </w:r>
      <w:r w:rsidRPr="005143F9">
        <w:rPr>
          <w:rFonts w:ascii="Garamond" w:eastAsia="Times" w:hAnsi="Garamond" w:cs="Times"/>
        </w:rPr>
        <w:lastRenderedPageBreak/>
        <w:t xml:space="preserve">médicos, profesionales de enfermería y demás personal hospitalario una protección y garantía a su integridad brindándoles como mínimo un ambiente de seguridad en el ejercicio de su labor. </w:t>
      </w:r>
    </w:p>
    <w:p w14:paraId="2186BBCE" w14:textId="07AABE9F" w:rsidR="0002683F" w:rsidRPr="005143F9" w:rsidRDefault="0002683F" w:rsidP="00123069">
      <w:pPr>
        <w:numPr>
          <w:ilvl w:val="0"/>
          <w:numId w:val="9"/>
        </w:numPr>
        <w:pBdr>
          <w:top w:val="nil"/>
          <w:left w:val="nil"/>
          <w:bottom w:val="nil"/>
          <w:right w:val="nil"/>
          <w:between w:val="nil"/>
        </w:pBdr>
        <w:spacing w:before="240" w:after="240" w:line="276" w:lineRule="auto"/>
        <w:jc w:val="both"/>
        <w:rPr>
          <w:rFonts w:ascii="Garamond" w:eastAsia="Times" w:hAnsi="Garamond" w:cs="Times"/>
          <w:b/>
          <w:color w:val="000000"/>
        </w:rPr>
      </w:pPr>
      <w:r w:rsidRPr="005143F9">
        <w:rPr>
          <w:rFonts w:ascii="Garamond" w:eastAsia="Times" w:hAnsi="Garamond" w:cs="Times"/>
          <w:b/>
          <w:color w:val="000000"/>
        </w:rPr>
        <w:t>Justificación del aumento de la pena.</w:t>
      </w:r>
    </w:p>
    <w:p w14:paraId="431A1898" w14:textId="25B9CD48"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Si bien es cierto que el delito de amenaza ya está tipificado en la Ley, no podemos dejar a un lado que en el segundo inciso de la norma se establecen dos circunstancias de agravación cuando la conducta se presente en trabajadores miembros de asociaciones sindicales, periodistas y/o sus familiares, ya que, debido al riesgo de su profesión, tienden más a sufrir de este flagelo.</w:t>
      </w:r>
    </w:p>
    <w:p w14:paraId="1C9FA02D" w14:textId="2796BCA3" w:rsidR="0002683F" w:rsidRPr="005143F9" w:rsidRDefault="0002683F" w:rsidP="00123069">
      <w:pPr>
        <w:spacing w:before="240" w:after="240" w:line="276" w:lineRule="auto"/>
        <w:jc w:val="both"/>
        <w:rPr>
          <w:rFonts w:ascii="Garamond" w:hAnsi="Garamond"/>
          <w:color w:val="000000"/>
        </w:rPr>
      </w:pPr>
      <w:r w:rsidRPr="005143F9">
        <w:rPr>
          <w:rFonts w:ascii="Garamond" w:hAnsi="Garamond"/>
          <w:color w:val="000000"/>
          <w:highlight w:val="white"/>
        </w:rPr>
        <w:t>Ahora bien, la salud como derecho fundamental autónomo integra la obligación del Estado de asegurar la prestación eficiente y universal de un servicio público de salud que permita a todas las personas preservar, recuperar o mejorar su salud física y mental para garantizar el desarrollo pleno y digno del proyecto de vida de cada persona</w:t>
      </w:r>
      <w:r w:rsidRPr="005143F9">
        <w:rPr>
          <w:rFonts w:ascii="Garamond" w:hAnsi="Garamond"/>
          <w:color w:val="000000"/>
          <w:highlight w:val="white"/>
          <w:vertAlign w:val="superscript"/>
        </w:rPr>
        <w:footnoteReference w:id="5"/>
      </w:r>
      <w:r w:rsidRPr="005143F9">
        <w:rPr>
          <w:rFonts w:ascii="Garamond" w:hAnsi="Garamond"/>
          <w:color w:val="000000"/>
          <w:highlight w:val="white"/>
        </w:rPr>
        <w:t>.</w:t>
      </w:r>
    </w:p>
    <w:p w14:paraId="06BC1A39" w14:textId="1B0D87F1"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Es ahí donde se fundamenta esta iniciativa, debido a que la función que desempeñan los trabajadores del sector salud también lleva consigo un riesgo de carácter social que recae directamente en sus manos por tener inmersa la responsabilidad de proteger el derecho fundamental a la salud de cada persona, garantía para llevar una vida digna y poder gozar de otros derechos fundamentales.</w:t>
      </w:r>
    </w:p>
    <w:p w14:paraId="2A3D7197" w14:textId="2EA0E423" w:rsidR="0002683F"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Todo procedimiento médico tiene riesgos. El problema actual es que se tiende a trasladar dicho riesgo al médico, sin una razón suficiente. Anteriormente el enfermo era consciente de su estado y asumía las consecuencias del tratamiento, sin inculpar al médico por el fracaso. Era una posición responsable que se basaba en el principio de la buena fe recíproca: el paciente era sincero con el médico y le descubría su cuerpo y alma; iba a él en busca de ayuda y confiaba en que el médico, a su vez, haría lo que estuviera a su alcance para obtener la recuperación de la salud. Si no se lograba, no había reclamo. Ambos sabían que se había intentado y hecho todo lo posible</w:t>
      </w:r>
      <w:r w:rsidRPr="005143F9">
        <w:rPr>
          <w:rFonts w:ascii="Garamond" w:eastAsia="Times" w:hAnsi="Garamond" w:cs="Times"/>
          <w:vertAlign w:val="superscript"/>
        </w:rPr>
        <w:footnoteReference w:id="6"/>
      </w:r>
      <w:r w:rsidRPr="005143F9">
        <w:rPr>
          <w:rFonts w:ascii="Garamond" w:eastAsia="Times" w:hAnsi="Garamond" w:cs="Times"/>
        </w:rPr>
        <w:t>.</w:t>
      </w:r>
    </w:p>
    <w:p w14:paraId="331ED1D0" w14:textId="20959924" w:rsidR="0086280E" w:rsidRPr="005143F9" w:rsidRDefault="0002683F" w:rsidP="00123069">
      <w:pPr>
        <w:spacing w:before="240" w:after="240" w:line="276" w:lineRule="auto"/>
        <w:jc w:val="both"/>
        <w:rPr>
          <w:rFonts w:ascii="Garamond" w:eastAsia="Times" w:hAnsi="Garamond" w:cs="Times"/>
        </w:rPr>
      </w:pPr>
      <w:r w:rsidRPr="005143F9">
        <w:rPr>
          <w:rFonts w:ascii="Garamond" w:eastAsia="Times" w:hAnsi="Garamond" w:cs="Times"/>
        </w:rPr>
        <w:t xml:space="preserve">Por lo anterior, se estima conveniente un grado mayor de protección a este gremio que, por la naturaleza de su función, tiene una mayor presión social frente a otras profesiones, ya que en la mayoría de los casos que conocen está en juego la vida de las personas, y por la dificultad de estos, poseen una obligación de medios y no de resultado. Además, gracias a la Emergencia </w:t>
      </w:r>
      <w:r w:rsidRPr="005143F9">
        <w:rPr>
          <w:rFonts w:ascii="Garamond" w:eastAsia="Times" w:hAnsi="Garamond" w:cs="Times"/>
        </w:rPr>
        <w:lastRenderedPageBreak/>
        <w:t>Sanitaria decretada por el Gobierno Nacional, este riesgo se intensifica por el gran número de personas que está falleciendo en los centros de salud por una enfermedad que hasta el momento no tiene tratamiento ni cura; y si a esta situación se le suma la falta de insumos médicos que presenta el sistema, el número de decesos tiende a aumentar cada día; siendo estos profesionales los primeros en ser condenados anticipadamente y por ende en recibir injustificadamente el rechazo social, aspecto que está desencadenando una serie de intimidaciones hacia ellos y su núcleo familiar.</w:t>
      </w:r>
    </w:p>
    <w:p w14:paraId="4E76FC1D" w14:textId="00C20A24" w:rsidR="0002683F" w:rsidRPr="005143F9" w:rsidRDefault="005143F9" w:rsidP="002C510C">
      <w:pPr>
        <w:pStyle w:val="Prrafodelista"/>
        <w:numPr>
          <w:ilvl w:val="0"/>
          <w:numId w:val="9"/>
        </w:numPr>
        <w:spacing w:before="240" w:after="240" w:line="276" w:lineRule="auto"/>
        <w:jc w:val="both"/>
        <w:rPr>
          <w:rFonts w:ascii="Garamond" w:eastAsia="Times" w:hAnsi="Garamond" w:cs="Times"/>
          <w:b/>
          <w:bCs/>
        </w:rPr>
      </w:pPr>
      <w:r>
        <w:rPr>
          <w:rFonts w:ascii="Garamond" w:eastAsia="Times" w:hAnsi="Garamond" w:cs="Times"/>
          <w:b/>
          <w:bCs/>
        </w:rPr>
        <w:t>Fundamentos Jurídicos de la Competencia del Congreso para r</w:t>
      </w:r>
      <w:r w:rsidR="002C510C" w:rsidRPr="005143F9">
        <w:rPr>
          <w:rFonts w:ascii="Garamond" w:eastAsia="Times" w:hAnsi="Garamond" w:cs="Times"/>
          <w:b/>
          <w:bCs/>
        </w:rPr>
        <w:t xml:space="preserve">egular la materia. </w:t>
      </w:r>
    </w:p>
    <w:p w14:paraId="10E52E68" w14:textId="07508BA0" w:rsidR="0002683F" w:rsidRPr="005143F9" w:rsidRDefault="0002683F" w:rsidP="005143F9">
      <w:pPr>
        <w:pStyle w:val="Default"/>
        <w:numPr>
          <w:ilvl w:val="0"/>
          <w:numId w:val="17"/>
        </w:numPr>
        <w:spacing w:before="240" w:after="240" w:line="276" w:lineRule="auto"/>
        <w:rPr>
          <w:rFonts w:ascii="Garamond" w:hAnsi="Garamond" w:cs="Times New Roman"/>
        </w:rPr>
      </w:pPr>
      <w:r w:rsidRPr="005143F9">
        <w:rPr>
          <w:rFonts w:ascii="Garamond" w:hAnsi="Garamond" w:cs="Times New Roman"/>
          <w:b/>
          <w:bCs/>
        </w:rPr>
        <w:t xml:space="preserve">Legal: </w:t>
      </w:r>
    </w:p>
    <w:p w14:paraId="71FD42EB" w14:textId="2E25356E" w:rsidR="0002683F" w:rsidRPr="005143F9" w:rsidRDefault="005143F9" w:rsidP="00123069">
      <w:pPr>
        <w:pStyle w:val="Default"/>
        <w:spacing w:before="240" w:after="240" w:line="276" w:lineRule="auto"/>
        <w:ind w:left="360"/>
        <w:rPr>
          <w:rFonts w:ascii="Garamond" w:hAnsi="Garamond" w:cs="Times New Roman"/>
          <w:b/>
          <w:bCs/>
        </w:rPr>
      </w:pPr>
      <w:r>
        <w:rPr>
          <w:rFonts w:ascii="Garamond" w:hAnsi="Garamond" w:cs="Times New Roman"/>
          <w:b/>
          <w:bCs/>
        </w:rPr>
        <w:t xml:space="preserve">Ley 3ra de 1992 </w:t>
      </w:r>
      <w:r w:rsidRPr="005143F9">
        <w:rPr>
          <w:rFonts w:ascii="Garamond" w:hAnsi="Garamond" w:cs="Times New Roman"/>
          <w:b/>
          <w:bCs/>
          <w:i/>
        </w:rPr>
        <w:t>“P</w:t>
      </w:r>
      <w:r w:rsidR="0002683F" w:rsidRPr="005143F9">
        <w:rPr>
          <w:rFonts w:ascii="Garamond" w:hAnsi="Garamond" w:cs="Times New Roman"/>
          <w:b/>
          <w:bCs/>
          <w:i/>
        </w:rPr>
        <w:t>or la cual se expiden normas sobre las comisiones del Congreso de Colombia y se dictan otras disposiciones”.</w:t>
      </w:r>
      <w:r w:rsidR="0002683F" w:rsidRPr="005143F9">
        <w:rPr>
          <w:rFonts w:ascii="Garamond" w:hAnsi="Garamond" w:cs="Times New Roman"/>
          <w:b/>
          <w:bCs/>
        </w:rPr>
        <w:t xml:space="preserve"> </w:t>
      </w:r>
    </w:p>
    <w:p w14:paraId="5B0D6A07" w14:textId="68052B30" w:rsidR="0002683F" w:rsidRPr="005143F9" w:rsidRDefault="0002683F" w:rsidP="005143F9">
      <w:pPr>
        <w:pStyle w:val="Default"/>
        <w:spacing w:before="240" w:after="240" w:line="276" w:lineRule="auto"/>
        <w:ind w:left="720"/>
        <w:jc w:val="both"/>
        <w:rPr>
          <w:rFonts w:ascii="Garamond" w:hAnsi="Garamond" w:cs="Times New Roman"/>
          <w:iCs/>
        </w:rPr>
      </w:pPr>
      <w:r w:rsidRPr="005143F9">
        <w:rPr>
          <w:rFonts w:ascii="Garamond" w:hAnsi="Garamond" w:cs="Times New Roman"/>
          <w:iCs/>
        </w:rPr>
        <w:t>“…</w:t>
      </w:r>
      <w:r w:rsidRPr="005143F9">
        <w:rPr>
          <w:rFonts w:ascii="Garamond" w:hAnsi="Garamond" w:cs="Times New Roman"/>
          <w:b/>
          <w:iCs/>
        </w:rPr>
        <w:t>ARTÍCULO 2º</w:t>
      </w:r>
      <w:r w:rsidR="005143F9" w:rsidRPr="005143F9">
        <w:rPr>
          <w:rFonts w:ascii="Garamond" w:hAnsi="Garamond" w:cs="Times New Roman"/>
          <w:iCs/>
        </w:rPr>
        <w:t xml:space="preserve">. </w:t>
      </w:r>
      <w:r w:rsidRPr="005143F9">
        <w:rPr>
          <w:rFonts w:ascii="Garamond" w:hAnsi="Garamond" w:cs="Times New Roman"/>
          <w:iCs/>
        </w:rPr>
        <w:t xml:space="preserve">Tanto en el Senado como en la Cámara de Representantes funcionarán Comisiones Constitucionales Permanentes, encargadas de dar primer debate a los proyectos de acto legislativo o de ley referente a los asuntos de su competencia. </w:t>
      </w:r>
    </w:p>
    <w:p w14:paraId="7C580F47" w14:textId="3E7A204B" w:rsidR="0002683F" w:rsidRPr="005143F9" w:rsidRDefault="0002683F" w:rsidP="005143F9">
      <w:pPr>
        <w:pStyle w:val="Default"/>
        <w:spacing w:before="240" w:after="240" w:line="276" w:lineRule="auto"/>
        <w:ind w:left="720"/>
        <w:jc w:val="both"/>
        <w:rPr>
          <w:rFonts w:ascii="Garamond" w:hAnsi="Garamond" w:cs="Times New Roman"/>
          <w:iCs/>
        </w:rPr>
      </w:pPr>
      <w:r w:rsidRPr="005143F9">
        <w:rPr>
          <w:rFonts w:ascii="Garamond" w:hAnsi="Garamond" w:cs="Times New Roman"/>
          <w:iCs/>
        </w:rPr>
        <w:t xml:space="preserve">Las Comisiones Constitucionales Permanentes en cada una de las Cámaras serán siete (7) a saber: </w:t>
      </w:r>
    </w:p>
    <w:p w14:paraId="46B9CE6C" w14:textId="1FA642AE" w:rsidR="0002683F" w:rsidRPr="005143F9" w:rsidRDefault="0002683F" w:rsidP="005143F9">
      <w:pPr>
        <w:pStyle w:val="Default"/>
        <w:spacing w:before="240" w:after="240" w:line="276" w:lineRule="auto"/>
        <w:ind w:left="720"/>
        <w:jc w:val="both"/>
        <w:rPr>
          <w:rFonts w:ascii="Garamond" w:hAnsi="Garamond" w:cs="Times New Roman"/>
          <w:b/>
          <w:iCs/>
        </w:rPr>
      </w:pPr>
      <w:r w:rsidRPr="005143F9">
        <w:rPr>
          <w:rFonts w:ascii="Garamond" w:hAnsi="Garamond" w:cs="Times New Roman"/>
          <w:b/>
          <w:iCs/>
        </w:rPr>
        <w:t xml:space="preserve">Comisión Primera. </w:t>
      </w:r>
    </w:p>
    <w:p w14:paraId="2A9C6FBA" w14:textId="014D43FB" w:rsidR="0002683F" w:rsidRPr="005143F9" w:rsidRDefault="0002683F" w:rsidP="005143F9">
      <w:pPr>
        <w:pStyle w:val="Default"/>
        <w:spacing w:before="240" w:after="240" w:line="276" w:lineRule="auto"/>
        <w:ind w:left="720"/>
        <w:jc w:val="both"/>
        <w:rPr>
          <w:rFonts w:ascii="Garamond" w:hAnsi="Garamond" w:cs="Times New Roman"/>
          <w:iCs/>
        </w:rPr>
      </w:pPr>
      <w:r w:rsidRPr="005143F9">
        <w:rPr>
          <w:rFonts w:ascii="Garamond" w:hAnsi="Garamond" w:cs="Times New Roman"/>
          <w:iCs/>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sidRPr="005143F9">
        <w:rPr>
          <w:rFonts w:ascii="Garamond" w:hAnsi="Garamond" w:cs="Times New Roman"/>
          <w:iCs/>
          <w:u w:val="single"/>
        </w:rPr>
        <w:t>de los derechos, las garantías y los deberes</w:t>
      </w:r>
      <w:r w:rsidRPr="005143F9">
        <w:rPr>
          <w:rFonts w:ascii="Garamond" w:hAnsi="Garamond" w:cs="Times New Roman"/>
          <w:iCs/>
        </w:rPr>
        <w:t>; rama legislativa; estrategias y políticas para la paz; propiedad intelectual; variación de la residencia de los altos poderes nacionales; asuntos étnicos.” (Subrayado por fuera del texto).</w:t>
      </w:r>
    </w:p>
    <w:p w14:paraId="61D45D1C" w14:textId="08F38F71" w:rsidR="0002683F" w:rsidRPr="005143F9" w:rsidRDefault="0002683F" w:rsidP="002C510C">
      <w:pPr>
        <w:pStyle w:val="Prrafodelista"/>
        <w:numPr>
          <w:ilvl w:val="0"/>
          <w:numId w:val="12"/>
        </w:numPr>
        <w:spacing w:before="240" w:after="240" w:line="276" w:lineRule="auto"/>
        <w:jc w:val="both"/>
        <w:rPr>
          <w:rFonts w:ascii="Garamond" w:eastAsia="Times" w:hAnsi="Garamond" w:cs="Times"/>
          <w:b/>
        </w:rPr>
      </w:pPr>
      <w:r w:rsidRPr="005143F9">
        <w:rPr>
          <w:rFonts w:ascii="Garamond" w:eastAsia="Times" w:hAnsi="Garamond" w:cs="Times"/>
          <w:b/>
        </w:rPr>
        <w:t xml:space="preserve">CONSIDERACIONES </w:t>
      </w:r>
      <w:r w:rsidR="002C510C" w:rsidRPr="005143F9">
        <w:rPr>
          <w:rFonts w:ascii="Garamond" w:eastAsia="Times" w:hAnsi="Garamond" w:cs="Times"/>
          <w:b/>
        </w:rPr>
        <w:t>DEL PONENTE</w:t>
      </w:r>
    </w:p>
    <w:p w14:paraId="1A614365" w14:textId="0638D389" w:rsidR="00123069" w:rsidRDefault="005143F9" w:rsidP="00123069">
      <w:pPr>
        <w:widowControl w:val="0"/>
        <w:spacing w:before="240" w:after="240" w:line="276" w:lineRule="auto"/>
        <w:jc w:val="both"/>
        <w:rPr>
          <w:rFonts w:ascii="Garamond" w:eastAsia="Times" w:hAnsi="Garamond" w:cs="Times"/>
          <w:color w:val="000000"/>
        </w:rPr>
      </w:pPr>
      <w:r>
        <w:rPr>
          <w:rFonts w:ascii="Garamond" w:eastAsia="Times" w:hAnsi="Garamond" w:cs="Times"/>
          <w:color w:val="000000"/>
        </w:rPr>
        <w:t xml:space="preserve">El Título XII de la Ley 599 de 2000, relativo a los delitos contra la seguridad pública, Capítulo I, regula entre otras disposiciones la conducta punible relacionada con las </w:t>
      </w:r>
      <w:r>
        <w:rPr>
          <w:rFonts w:ascii="Garamond" w:eastAsia="Times" w:hAnsi="Garamond" w:cs="Times"/>
          <w:color w:val="000000"/>
          <w:u w:val="single"/>
        </w:rPr>
        <w:t>amenazas;</w:t>
      </w:r>
      <w:r>
        <w:rPr>
          <w:rFonts w:ascii="Garamond" w:eastAsia="Times" w:hAnsi="Garamond" w:cs="Times"/>
          <w:color w:val="000000"/>
        </w:rPr>
        <w:t xml:space="preserve"> </w:t>
      </w:r>
      <w:r w:rsidR="008A2F2F">
        <w:rPr>
          <w:rFonts w:ascii="Garamond" w:eastAsia="Times" w:hAnsi="Garamond" w:cs="Times"/>
          <w:color w:val="000000"/>
        </w:rPr>
        <w:t>referenciado en el artículo 347, modificado por el artículo 10 de la Ley 1908 de 2019.</w:t>
      </w:r>
    </w:p>
    <w:p w14:paraId="4D17E9E3" w14:textId="45A0BC58" w:rsidR="008A2F2F" w:rsidRDefault="008A2F2F" w:rsidP="00123069">
      <w:pPr>
        <w:widowControl w:val="0"/>
        <w:spacing w:before="240" w:after="240" w:line="276" w:lineRule="auto"/>
        <w:jc w:val="both"/>
        <w:rPr>
          <w:rFonts w:ascii="Garamond" w:eastAsia="Times" w:hAnsi="Garamond" w:cs="Times"/>
          <w:color w:val="000000"/>
        </w:rPr>
      </w:pPr>
      <w:r>
        <w:rPr>
          <w:rFonts w:ascii="Garamond" w:eastAsia="Times" w:hAnsi="Garamond" w:cs="Times"/>
          <w:color w:val="000000"/>
        </w:rPr>
        <w:lastRenderedPageBreak/>
        <w:t>La presente iniciativa pretende modificar el inciso 2 del Artículo 347 en cuestión, para incluir la expresión “</w:t>
      </w:r>
      <w:r w:rsidRPr="008A2F2F">
        <w:rPr>
          <w:rFonts w:ascii="Garamond" w:eastAsia="Times" w:hAnsi="Garamond" w:cs="Times"/>
          <w:i/>
          <w:color w:val="000000"/>
        </w:rPr>
        <w:t>profesionales de la salud</w:t>
      </w:r>
      <w:r>
        <w:rPr>
          <w:rFonts w:ascii="Garamond" w:eastAsia="Times" w:hAnsi="Garamond" w:cs="Times"/>
          <w:color w:val="000000"/>
        </w:rPr>
        <w:t xml:space="preserve">” sobre el cual recaiga la amenaza o intimidación y sus familiares, de forma que se aumente la pena en una tercera parte para el agresor, semejante a lo establecido frente a hechos de amenaza o intimidación a miembros de una organización sindical y periodistas. El Proyecto de Ley se fundamenta en los hechos de violencia que miembros del personal de la salud han afrontado durante los últimos meses de emergencia sanitaria originada por la Covid-19, donde estos profesionales han sido sujetos de amenazas y agresiones por parte de ciudadanos que consideraron que podrían se foco de contagio a causa de sus labores en la atención y mitigación de la pandemia. </w:t>
      </w:r>
    </w:p>
    <w:p w14:paraId="6285E4A0" w14:textId="53EF8821" w:rsidR="008A2F2F" w:rsidRDefault="008A2F2F" w:rsidP="00123069">
      <w:pPr>
        <w:widowControl w:val="0"/>
        <w:spacing w:before="240" w:after="240" w:line="276" w:lineRule="auto"/>
        <w:jc w:val="both"/>
        <w:rPr>
          <w:rFonts w:ascii="Garamond" w:eastAsia="Times" w:hAnsi="Garamond" w:cs="Times"/>
          <w:color w:val="000000"/>
        </w:rPr>
      </w:pPr>
      <w:r>
        <w:rPr>
          <w:rFonts w:ascii="Garamond" w:eastAsia="Times" w:hAnsi="Garamond" w:cs="Times"/>
          <w:color w:val="000000"/>
        </w:rPr>
        <w:t>La Ley Estatutaria 1751 de 2015 “</w:t>
      </w:r>
      <w:r w:rsidRPr="008A2F2F">
        <w:rPr>
          <w:rFonts w:ascii="Garamond" w:eastAsia="Times" w:hAnsi="Garamond" w:cs="Times"/>
          <w:i/>
          <w:color w:val="000000"/>
        </w:rPr>
        <w:t>Por medio de la cual se regula el derecho fundamental a la salud y se dictan otras disposiciones”</w:t>
      </w:r>
      <w:r>
        <w:rPr>
          <w:rFonts w:ascii="Garamond" w:eastAsia="Times" w:hAnsi="Garamond" w:cs="Times"/>
          <w:i/>
          <w:color w:val="000000"/>
        </w:rPr>
        <w:t xml:space="preserve"> </w:t>
      </w:r>
      <w:r>
        <w:rPr>
          <w:rFonts w:ascii="Garamond" w:eastAsia="Times" w:hAnsi="Garamond" w:cs="Times"/>
          <w:color w:val="000000"/>
        </w:rPr>
        <w:t>establece en el parágrafo primero del artículo decimo, sobre lo deberes de las personas relacionados con el servicio de salud, que lo efectos de incumplimiento de estos deberes solo podrán ser determinados por el legislador. De conformidad</w:t>
      </w:r>
      <w:r w:rsidR="00FB7339">
        <w:rPr>
          <w:rFonts w:ascii="Garamond" w:eastAsia="Times" w:hAnsi="Garamond" w:cs="Times"/>
          <w:color w:val="000000"/>
        </w:rPr>
        <w:t>, el tipo penal ya existe y lo que se pretende es agravar la pena en consideración con el sujeto afecto y dar un mensaje claro a la comunidad en torno a la protección que se debe brindar a los miembros del talento humano en salud que, de una manera equivoca han sido, tanto los profesionales como sus familias, victimas de amenazas e intimidaciones por su condición laboral y su contacto directo con el virus</w:t>
      </w:r>
      <w:r w:rsidR="00FB7339">
        <w:rPr>
          <w:rStyle w:val="Refdenotaalpie"/>
          <w:rFonts w:ascii="Garamond" w:eastAsia="Times" w:hAnsi="Garamond" w:cs="Times"/>
          <w:color w:val="000000"/>
        </w:rPr>
        <w:footnoteReference w:id="7"/>
      </w:r>
      <w:r w:rsidR="00FB7339">
        <w:rPr>
          <w:rFonts w:ascii="Garamond" w:eastAsia="Times" w:hAnsi="Garamond" w:cs="Times"/>
          <w:color w:val="000000"/>
        </w:rPr>
        <w:t xml:space="preserve">. </w:t>
      </w:r>
    </w:p>
    <w:p w14:paraId="08A2F424" w14:textId="11253AC8" w:rsidR="00FB7339" w:rsidRPr="008A2F2F" w:rsidRDefault="00FB7339" w:rsidP="00123069">
      <w:pPr>
        <w:widowControl w:val="0"/>
        <w:spacing w:before="240" w:after="240" w:line="276" w:lineRule="auto"/>
        <w:jc w:val="both"/>
        <w:rPr>
          <w:rFonts w:ascii="Garamond" w:eastAsia="Times" w:hAnsi="Garamond" w:cs="Times"/>
          <w:color w:val="000000"/>
        </w:rPr>
      </w:pPr>
      <w:r>
        <w:rPr>
          <w:rFonts w:ascii="Garamond" w:eastAsia="Times" w:hAnsi="Garamond" w:cs="Times"/>
          <w:color w:val="000000"/>
        </w:rPr>
        <w:t xml:space="preserve">Es necesario la penalización de conductas, dado que los trabajadores en la salud salvan vidas y es primordial y deber del Estado velar por la seguridad y protección de los trabajadores. Es una realidad, como las cifras expuestas por los autores lo indican, el aumento de los incidentes de ataques contra los profesionales de la salud, sus familiares y demás miembros que día a día le han venido dando frente a la pandemia producida por la Covid-19. En consideración, el atenuante que propone la iniciativa va dirigido hacia una protección completa aplicada a la protección del derecho fundamental a la salud, siendo la penalización una garantía a las actuaciones médicas, a la protección del talento humano en salud y </w:t>
      </w:r>
      <w:r w:rsidR="00C36758">
        <w:rPr>
          <w:rFonts w:ascii="Garamond" w:eastAsia="Times" w:hAnsi="Garamond" w:cs="Times"/>
          <w:color w:val="000000"/>
        </w:rPr>
        <w:t>a la dignificación del derecho fundamental a escoger libremente profesión u oficio.</w:t>
      </w:r>
    </w:p>
    <w:p w14:paraId="76E9C73C" w14:textId="57D5A5CF" w:rsidR="002C510C" w:rsidRPr="005143F9" w:rsidRDefault="002C510C" w:rsidP="002C510C">
      <w:pPr>
        <w:pStyle w:val="Prrafodelista"/>
        <w:numPr>
          <w:ilvl w:val="0"/>
          <w:numId w:val="16"/>
        </w:numPr>
        <w:spacing w:before="240" w:after="240" w:line="276" w:lineRule="auto"/>
        <w:jc w:val="both"/>
        <w:rPr>
          <w:rFonts w:ascii="Garamond" w:eastAsia="Times" w:hAnsi="Garamond" w:cs="Times"/>
          <w:b/>
          <w:bCs/>
        </w:rPr>
      </w:pPr>
      <w:r w:rsidRPr="005143F9">
        <w:rPr>
          <w:rFonts w:ascii="Garamond" w:eastAsia="Times" w:hAnsi="Garamond" w:cs="Times"/>
          <w:b/>
          <w:bCs/>
        </w:rPr>
        <w:t>Inclusión de “talento humano en salud”</w:t>
      </w:r>
    </w:p>
    <w:p w14:paraId="1A08CE25" w14:textId="3D4ABAB7" w:rsidR="002C510C" w:rsidRPr="005143F9" w:rsidRDefault="002C510C" w:rsidP="002C510C">
      <w:pPr>
        <w:widowControl w:val="0"/>
        <w:spacing w:before="240" w:after="240" w:line="276" w:lineRule="auto"/>
        <w:jc w:val="both"/>
        <w:rPr>
          <w:rFonts w:ascii="Garamond" w:eastAsia="Times" w:hAnsi="Garamond" w:cs="Times"/>
          <w:color w:val="000000"/>
        </w:rPr>
      </w:pPr>
      <w:r w:rsidRPr="005143F9">
        <w:rPr>
          <w:rFonts w:ascii="Garamond" w:eastAsia="Times" w:hAnsi="Garamond" w:cs="Times"/>
          <w:color w:val="000000"/>
        </w:rPr>
        <w:t xml:space="preserve">Por recomendación del Ministerio de Salud y Protección Social en concepto presentado el 21 de septiembre del 2020 ante la Comisión Primera Constitucional de la Cámara de Representantes se decide hacer la modificación del agravante propuesto ampliando la definición del sujeto pasivo </w:t>
      </w:r>
      <w:r w:rsidRPr="005143F9">
        <w:rPr>
          <w:rFonts w:ascii="Garamond" w:eastAsia="Times" w:hAnsi="Garamond" w:cs="Times"/>
          <w:color w:val="000000"/>
        </w:rPr>
        <w:lastRenderedPageBreak/>
        <w:t>del mismo indicando que la protección se dirigirá a cualquier persona que su actividad se encuentre determinada dentro de la definición de “talento humano en salud”.</w:t>
      </w:r>
    </w:p>
    <w:p w14:paraId="5ED93031" w14:textId="4A7F0A1F" w:rsidR="002C510C" w:rsidRDefault="002C510C" w:rsidP="002C510C">
      <w:pPr>
        <w:widowControl w:val="0"/>
        <w:spacing w:before="240" w:after="240" w:line="276" w:lineRule="auto"/>
        <w:jc w:val="both"/>
        <w:rPr>
          <w:rFonts w:ascii="Garamond" w:eastAsia="Times" w:hAnsi="Garamond" w:cs="Times"/>
          <w:color w:val="000000"/>
        </w:rPr>
      </w:pPr>
      <w:r w:rsidRPr="005143F9">
        <w:rPr>
          <w:rFonts w:ascii="Garamond" w:eastAsia="Times" w:hAnsi="Garamond" w:cs="Times"/>
          <w:color w:val="000000"/>
        </w:rPr>
        <w:t>Al respecto, la Ley 1164 del 2007</w:t>
      </w:r>
      <w:r w:rsidR="00C36758">
        <w:rPr>
          <w:rFonts w:ascii="Garamond" w:eastAsia="Times" w:hAnsi="Garamond" w:cs="Times"/>
          <w:color w:val="000000"/>
        </w:rPr>
        <w:t xml:space="preserve"> “</w:t>
      </w:r>
      <w:r w:rsidR="00C36758" w:rsidRPr="00C36758">
        <w:rPr>
          <w:rFonts w:ascii="Garamond" w:eastAsia="Times" w:hAnsi="Garamond" w:cs="Times"/>
          <w:color w:val="000000"/>
        </w:rPr>
        <w:t>Por la cual se dictan disposiciones en mater</w:t>
      </w:r>
      <w:r w:rsidR="00C36758">
        <w:rPr>
          <w:rFonts w:ascii="Garamond" w:eastAsia="Times" w:hAnsi="Garamond" w:cs="Times"/>
          <w:color w:val="000000"/>
        </w:rPr>
        <w:t>ia del Talento Humano en Salud”</w:t>
      </w:r>
      <w:r w:rsidRPr="005143F9">
        <w:rPr>
          <w:rFonts w:ascii="Garamond" w:eastAsia="Times" w:hAnsi="Garamond" w:cs="Times"/>
          <w:color w:val="000000"/>
        </w:rPr>
        <w:t xml:space="preserve">, por la cual se dictan disposiciones de Talento Humano en Salud dispone lo siguiente: </w:t>
      </w:r>
    </w:p>
    <w:p w14:paraId="3249D506" w14:textId="31F99B0F" w:rsidR="00C36758" w:rsidRPr="00C36758" w:rsidRDefault="00C36758" w:rsidP="00C36758">
      <w:pPr>
        <w:widowControl w:val="0"/>
        <w:spacing w:before="240" w:after="240" w:line="276" w:lineRule="auto"/>
        <w:ind w:left="720"/>
        <w:jc w:val="both"/>
        <w:rPr>
          <w:rFonts w:ascii="Garamond" w:eastAsia="Times" w:hAnsi="Garamond" w:cs="Times"/>
          <w:b/>
          <w:color w:val="000000"/>
        </w:rPr>
      </w:pPr>
      <w:r>
        <w:rPr>
          <w:rFonts w:ascii="Garamond" w:eastAsia="Times" w:hAnsi="Garamond" w:cs="Times"/>
          <w:b/>
          <w:color w:val="000000"/>
        </w:rPr>
        <w:t>“ARTÍCULO 1º. Del Objeto. […]</w:t>
      </w:r>
    </w:p>
    <w:p w14:paraId="4D1A9DF8" w14:textId="71758358" w:rsidR="002C510C" w:rsidRPr="00C36758" w:rsidRDefault="002C510C" w:rsidP="00C36758">
      <w:pPr>
        <w:widowControl w:val="0"/>
        <w:spacing w:before="240" w:after="240" w:line="276" w:lineRule="auto"/>
        <w:ind w:left="720"/>
        <w:jc w:val="both"/>
        <w:rPr>
          <w:rFonts w:ascii="Garamond" w:eastAsia="Times" w:hAnsi="Garamond" w:cs="Times"/>
          <w:color w:val="000000"/>
        </w:rPr>
      </w:pPr>
      <w:r w:rsidRPr="00C36758">
        <w:rPr>
          <w:rFonts w:ascii="Garamond" w:eastAsia="Times" w:hAnsi="Garamond" w:cs="Times"/>
          <w:color w:val="000000"/>
          <w:u w:val="single"/>
        </w:rPr>
        <w:t>Por Talento Humano en Salud se entiende todo el personal que interviene en la promoción, educación, información de la salud, prevención, diagnóstico, tratamiento, rehabilitación y paliación de la enfermedad de todos los habitantes del territorio nacional dentro de la estructura organizacional de la prestación de los servicios de salud.”</w:t>
      </w:r>
      <w:r w:rsidR="00C36758">
        <w:rPr>
          <w:rFonts w:ascii="Garamond" w:eastAsia="Times" w:hAnsi="Garamond" w:cs="Times"/>
          <w:color w:val="000000"/>
        </w:rPr>
        <w:t xml:space="preserve"> (Subrayado fuera del texto original)</w:t>
      </w:r>
    </w:p>
    <w:p w14:paraId="112B0897" w14:textId="77777777" w:rsidR="002C510C" w:rsidRPr="005143F9" w:rsidRDefault="002C510C" w:rsidP="002C510C">
      <w:pPr>
        <w:widowControl w:val="0"/>
        <w:spacing w:before="240" w:after="240" w:line="276" w:lineRule="auto"/>
        <w:jc w:val="both"/>
        <w:rPr>
          <w:rFonts w:ascii="Garamond" w:eastAsia="Times" w:hAnsi="Garamond" w:cs="Times"/>
          <w:color w:val="000000"/>
        </w:rPr>
      </w:pPr>
      <w:r w:rsidRPr="005143F9">
        <w:rPr>
          <w:rFonts w:ascii="Garamond" w:eastAsia="Times" w:hAnsi="Garamond" w:cs="Times"/>
          <w:color w:val="000000"/>
        </w:rPr>
        <w:t xml:space="preserve">En ese sentido, la razón de esta inclusión nace de la necesidad de que los efectos de este proyecto de ley efectivamente cobijen a todo el personal que posiblemente sea víctima de este delito, incluyendo no solo a los profesionales de la salud sino también a aquellas ocupaciones de la salud que corresponden por ejemplo a los auxiliares de enfermería o a cualquier persona que dentro de sus funciones se encuentre la ejecución de alguno de los verbos mencionados en el acápite anterior. </w:t>
      </w:r>
    </w:p>
    <w:p w14:paraId="3AF545FF" w14:textId="3E44A870" w:rsidR="002C510C" w:rsidRDefault="002C510C" w:rsidP="002C510C">
      <w:pPr>
        <w:widowControl w:val="0"/>
        <w:spacing w:before="240" w:after="240" w:line="276" w:lineRule="auto"/>
        <w:jc w:val="both"/>
        <w:rPr>
          <w:rFonts w:ascii="Garamond" w:eastAsia="Times" w:hAnsi="Garamond" w:cs="Times"/>
          <w:color w:val="000000"/>
        </w:rPr>
      </w:pPr>
      <w:r w:rsidRPr="005143F9">
        <w:rPr>
          <w:rFonts w:ascii="Garamond" w:eastAsia="Times" w:hAnsi="Garamond" w:cs="Times"/>
          <w:color w:val="000000"/>
        </w:rPr>
        <w:t>El mensaje que se quiere llevar a la sociedad Colombiana con la inclusión de este agravante es claro y corresponde a la necesidad que se ha suscitado con la aparició</w:t>
      </w:r>
      <w:r w:rsidR="00B352B9">
        <w:rPr>
          <w:rFonts w:ascii="Garamond" w:eastAsia="Times" w:hAnsi="Garamond" w:cs="Times"/>
          <w:color w:val="000000"/>
        </w:rPr>
        <w:t>n de la Pandemia por el Covid-</w:t>
      </w:r>
      <w:r w:rsidRPr="005143F9">
        <w:rPr>
          <w:rFonts w:ascii="Garamond" w:eastAsia="Times" w:hAnsi="Garamond" w:cs="Times"/>
          <w:color w:val="000000"/>
        </w:rPr>
        <w:t xml:space="preserve">19 de brindar protección a los trabajadores de la salud para que estos se encuentren en total libertad de ejercer sus funciones sin que por esta razón se les estigmatice o agreda, entendiendo que por el contrario merecen un trato digno y un reconocimiento nacional por la extenuante labor que realizan al prestar la atención correspondiente a sus pacientes y en muchos casos salvarles la vida dentro de una situación anómala que los pone también en riesgo a ellos. </w:t>
      </w:r>
    </w:p>
    <w:p w14:paraId="6FE95886" w14:textId="5D5D0833" w:rsidR="00C36758" w:rsidRPr="005143F9" w:rsidRDefault="00C36758" w:rsidP="002C510C">
      <w:pPr>
        <w:widowControl w:val="0"/>
        <w:spacing w:before="240" w:after="240" w:line="276" w:lineRule="auto"/>
        <w:jc w:val="both"/>
        <w:rPr>
          <w:rFonts w:ascii="Garamond" w:eastAsia="Times" w:hAnsi="Garamond" w:cs="Times"/>
          <w:color w:val="000000"/>
        </w:rPr>
      </w:pPr>
      <w:r>
        <w:rPr>
          <w:rFonts w:ascii="Garamond" w:eastAsia="Times" w:hAnsi="Garamond" w:cs="Times"/>
          <w:color w:val="000000"/>
        </w:rPr>
        <w:t xml:space="preserve">De conformidad y teniendo en consideración las razones expuestas con anterioridad, en mi condición de ponente considero conveniente y oportuna la iniciativa, siempre y cuando se amplié y </w:t>
      </w:r>
      <w:r w:rsidR="00B352B9">
        <w:rPr>
          <w:rFonts w:ascii="Garamond" w:eastAsia="Times" w:hAnsi="Garamond" w:cs="Times"/>
          <w:color w:val="000000"/>
        </w:rPr>
        <w:t>modifiqué</w:t>
      </w:r>
      <w:r>
        <w:rPr>
          <w:rFonts w:ascii="Garamond" w:eastAsia="Times" w:hAnsi="Garamond" w:cs="Times"/>
          <w:color w:val="000000"/>
        </w:rPr>
        <w:t xml:space="preserve"> el </w:t>
      </w:r>
      <w:r w:rsidR="00B352B9">
        <w:rPr>
          <w:rFonts w:ascii="Garamond" w:eastAsia="Times" w:hAnsi="Garamond" w:cs="Times"/>
          <w:color w:val="000000"/>
        </w:rPr>
        <w:t>sujeto pasivo de acuerdo con la redacción propuesta en el pliego de modificaciones. Al igual de corregir un error de forma presentando por nosotros los</w:t>
      </w:r>
      <w:r w:rsidR="000770D0">
        <w:rPr>
          <w:rFonts w:ascii="Garamond" w:eastAsia="Times" w:hAnsi="Garamond" w:cs="Times"/>
          <w:color w:val="000000"/>
        </w:rPr>
        <w:t xml:space="preserve"> autores, </w:t>
      </w:r>
      <w:r w:rsidR="00B352B9">
        <w:rPr>
          <w:rFonts w:ascii="Garamond" w:eastAsia="Times" w:hAnsi="Garamond" w:cs="Times"/>
          <w:color w:val="000000"/>
        </w:rPr>
        <w:t xml:space="preserve">donde se </w:t>
      </w:r>
      <w:r w:rsidR="000770D0">
        <w:rPr>
          <w:rFonts w:ascii="Garamond" w:eastAsia="Times" w:hAnsi="Garamond" w:cs="Times"/>
          <w:color w:val="000000"/>
        </w:rPr>
        <w:t>manifiesta</w:t>
      </w:r>
      <w:r w:rsidR="00B352B9">
        <w:rPr>
          <w:rFonts w:ascii="Garamond" w:eastAsia="Times" w:hAnsi="Garamond" w:cs="Times"/>
          <w:color w:val="000000"/>
        </w:rPr>
        <w:t xml:space="preserve"> modificar un artículo del Código Penal [artículo 162 de la Ley 599 de 2000] totalmente ajeno al objeto de la iniciativa, hecho que requiere corrección para evitar posibles imprecisiones. </w:t>
      </w:r>
    </w:p>
    <w:p w14:paraId="33CE7D85" w14:textId="717332F9" w:rsidR="00B352B9" w:rsidRPr="005143F9" w:rsidRDefault="00B352B9" w:rsidP="00725466">
      <w:pPr>
        <w:pBdr>
          <w:top w:val="nil"/>
          <w:left w:val="nil"/>
          <w:bottom w:val="nil"/>
          <w:right w:val="nil"/>
          <w:between w:val="nil"/>
        </w:pBdr>
        <w:spacing w:after="200" w:line="276" w:lineRule="auto"/>
        <w:rPr>
          <w:rFonts w:ascii="Garamond" w:eastAsia="Century Gothic" w:hAnsi="Garamond" w:cs="Century Gothic"/>
          <w:b/>
          <w:color w:val="000000"/>
        </w:rPr>
      </w:pPr>
    </w:p>
    <w:p w14:paraId="39FCE373" w14:textId="1121F964" w:rsidR="00663F7D" w:rsidRDefault="00663F7D" w:rsidP="00725466">
      <w:pPr>
        <w:pBdr>
          <w:top w:val="nil"/>
          <w:left w:val="nil"/>
          <w:bottom w:val="nil"/>
          <w:right w:val="nil"/>
          <w:between w:val="nil"/>
        </w:pBdr>
        <w:spacing w:after="200" w:line="276" w:lineRule="auto"/>
        <w:rPr>
          <w:rFonts w:ascii="Garamond" w:eastAsia="Century Gothic" w:hAnsi="Garamond" w:cs="Century Gothic"/>
          <w:b/>
          <w:color w:val="000000"/>
        </w:rPr>
      </w:pPr>
      <w:r>
        <w:rPr>
          <w:rFonts w:ascii="Garamond" w:eastAsia="Century Gothic" w:hAnsi="Garamond" w:cs="Century Gothic"/>
          <w:b/>
          <w:color w:val="000000"/>
        </w:rPr>
        <w:lastRenderedPageBreak/>
        <w:t>CONFLICTO DE INTERÉS</w:t>
      </w:r>
    </w:p>
    <w:p w14:paraId="099B5821" w14:textId="29FBDA0C" w:rsidR="00663F7D" w:rsidRPr="00663F7D" w:rsidRDefault="00663F7D" w:rsidP="00663F7D">
      <w:pPr>
        <w:pBdr>
          <w:top w:val="nil"/>
          <w:left w:val="nil"/>
          <w:bottom w:val="nil"/>
          <w:right w:val="nil"/>
          <w:between w:val="nil"/>
        </w:pBdr>
        <w:spacing w:after="200" w:line="276" w:lineRule="auto"/>
        <w:jc w:val="both"/>
        <w:rPr>
          <w:rFonts w:ascii="Garamond" w:eastAsia="Century Gothic" w:hAnsi="Garamond" w:cs="Century Gothic"/>
          <w:color w:val="000000"/>
          <w:lang w:val="es-ES_tradnl"/>
        </w:rPr>
      </w:pPr>
      <w:r w:rsidRPr="00663F7D">
        <w:rPr>
          <w:rFonts w:ascii="Garamond" w:eastAsia="Century Gothic" w:hAnsi="Garamond" w:cs="Century Gothic"/>
          <w:color w:val="000000"/>
          <w:lang w:val="es-ES_tradnl"/>
        </w:rPr>
        <w:t>Dando cumplimiento a lo establecido en el artículo 3º de la Ley 2003</w:t>
      </w:r>
      <w:r>
        <w:rPr>
          <w:rFonts w:ascii="Garamond" w:eastAsia="Century Gothic" w:hAnsi="Garamond" w:cs="Century Gothic"/>
          <w:color w:val="000000"/>
          <w:lang w:val="es-ES_tradnl"/>
        </w:rPr>
        <w:t xml:space="preserve"> de 2019 </w:t>
      </w:r>
      <w:r w:rsidRPr="00663F7D">
        <w:rPr>
          <w:rFonts w:ascii="Garamond" w:eastAsia="Century Gothic" w:hAnsi="Garamond" w:cs="Century Gothic"/>
          <w:color w:val="000000"/>
          <w:lang w:val="es-ES_tradnl"/>
        </w:rPr>
        <w:t xml:space="preserve">por la cual se modifica parcialmente la Ley 5º de 1992, se hacen las siguientes consideraciones: </w:t>
      </w:r>
    </w:p>
    <w:p w14:paraId="71B0B301" w14:textId="5B915D87" w:rsidR="00663F7D" w:rsidRDefault="00663F7D" w:rsidP="00663F7D">
      <w:pPr>
        <w:pBdr>
          <w:top w:val="nil"/>
          <w:left w:val="nil"/>
          <w:bottom w:val="nil"/>
          <w:right w:val="nil"/>
          <w:between w:val="nil"/>
        </w:pBdr>
        <w:spacing w:after="200" w:line="276" w:lineRule="auto"/>
        <w:jc w:val="both"/>
        <w:rPr>
          <w:rFonts w:ascii="Garamond" w:eastAsia="Century Gothic" w:hAnsi="Garamond" w:cs="Century Gothic"/>
          <w:color w:val="000000"/>
          <w:lang w:val="es-ES_tradnl"/>
        </w:rPr>
      </w:pPr>
      <w:r w:rsidRPr="00663F7D">
        <w:rPr>
          <w:rFonts w:ascii="Garamond" w:eastAsia="Century Gothic" w:hAnsi="Garamond" w:cs="Century Gothic"/>
          <w:color w:val="000000"/>
          <w:lang w:val="es-ES_tradnl"/>
        </w:rPr>
        <w:t xml:space="preserve">Se estima que </w:t>
      </w:r>
      <w:r w:rsidR="00156E92">
        <w:rPr>
          <w:rFonts w:ascii="Garamond" w:eastAsia="Century Gothic" w:hAnsi="Garamond" w:cs="Century Gothic"/>
          <w:color w:val="000000"/>
          <w:lang w:val="es-ES_tradnl"/>
        </w:rPr>
        <w:t>existirá</w:t>
      </w:r>
      <w:r w:rsidRPr="00663F7D">
        <w:rPr>
          <w:rFonts w:ascii="Garamond" w:eastAsia="Century Gothic" w:hAnsi="Garamond" w:cs="Century Gothic"/>
          <w:color w:val="000000"/>
          <w:lang w:val="es-ES_tradnl"/>
        </w:rPr>
        <w:t xml:space="preserve"> conflicto de interés, </w:t>
      </w:r>
      <w:r w:rsidR="00156E92">
        <w:rPr>
          <w:rFonts w:ascii="Garamond" w:eastAsia="Century Gothic" w:hAnsi="Garamond" w:cs="Century Gothic"/>
          <w:color w:val="000000"/>
          <w:lang w:val="es-ES_tradnl"/>
        </w:rPr>
        <w:t xml:space="preserve">siempre y cuando se genere </w:t>
      </w:r>
      <w:r w:rsidRPr="00663F7D">
        <w:rPr>
          <w:rFonts w:ascii="Garamond" w:eastAsia="Century Gothic" w:hAnsi="Garamond" w:cs="Century Gothic"/>
          <w:color w:val="000000"/>
          <w:lang w:val="es-ES_tradnl"/>
        </w:rPr>
        <w:t>beneficios particulares, actuales y directos</w:t>
      </w:r>
      <w:r w:rsidR="00156E92">
        <w:rPr>
          <w:rFonts w:ascii="Garamond" w:eastAsia="Century Gothic" w:hAnsi="Garamond" w:cs="Century Gothic"/>
          <w:color w:val="000000"/>
          <w:lang w:val="es-ES_tradnl"/>
        </w:rPr>
        <w:t xml:space="preserve"> de</w:t>
      </w:r>
      <w:bookmarkStart w:id="4" w:name="_GoBack"/>
      <w:bookmarkEnd w:id="4"/>
      <w:r w:rsidR="00156E92">
        <w:rPr>
          <w:rFonts w:ascii="Garamond" w:eastAsia="Century Gothic" w:hAnsi="Garamond" w:cs="Century Gothic"/>
          <w:color w:val="000000"/>
          <w:lang w:val="es-ES_tradnl"/>
        </w:rPr>
        <w:t xml:space="preserve"> los Congresistas</w:t>
      </w:r>
      <w:r w:rsidRPr="00663F7D">
        <w:rPr>
          <w:rFonts w:ascii="Garamond" w:eastAsia="Century Gothic" w:hAnsi="Garamond" w:cs="Century Gothic"/>
          <w:color w:val="000000"/>
          <w:lang w:val="es-ES_tradnl"/>
        </w:rPr>
        <w:t xml:space="preserve">, conforme a lo dispuesto en la </w:t>
      </w:r>
      <w:r>
        <w:rPr>
          <w:rFonts w:ascii="Garamond" w:eastAsia="Century Gothic" w:hAnsi="Garamond" w:cs="Century Gothic"/>
          <w:color w:val="000000"/>
          <w:lang w:val="es-ES_tradnl"/>
        </w:rPr>
        <w:t>Ley.</w:t>
      </w:r>
      <w:r w:rsidRPr="00663F7D">
        <w:rPr>
          <w:rFonts w:ascii="Garamond" w:eastAsia="Century Gothic" w:hAnsi="Garamond" w:cs="Century Gothic"/>
          <w:color w:val="000000"/>
          <w:lang w:val="es-ES_tradnl"/>
        </w:rPr>
        <w:t xml:space="preserve"> </w:t>
      </w:r>
      <w:r w:rsidR="00156E92" w:rsidRPr="00663F7D">
        <w:rPr>
          <w:rFonts w:ascii="Garamond" w:eastAsia="Century Gothic" w:hAnsi="Garamond" w:cs="Century Gothic"/>
          <w:color w:val="000000"/>
          <w:lang w:val="es-ES_tradnl"/>
        </w:rPr>
        <w:t>De igual forma, es pertinente señalar lo que la Ley 5 de 1992 dispone sobre la materia en el artículo 286, modificado por el artículo</w:t>
      </w:r>
      <w:r w:rsidR="00156E92" w:rsidRPr="00663F7D">
        <w:rPr>
          <w:rFonts w:ascii="Garamond" w:eastAsia="Century Gothic" w:hAnsi="Garamond" w:cs="Century Gothic"/>
          <w:color w:val="000000" w:themeColor="text1"/>
          <w:lang w:val="es-ES_tradnl"/>
        </w:rPr>
        <w:t> </w:t>
      </w:r>
      <w:hyperlink r:id="rId9" w:anchor="1">
        <w:r w:rsidR="00156E92" w:rsidRPr="00663F7D">
          <w:rPr>
            <w:rStyle w:val="Hipervnculo"/>
            <w:rFonts w:ascii="Garamond" w:eastAsia="Century Gothic" w:hAnsi="Garamond" w:cs="Century Gothic"/>
            <w:color w:val="000000" w:themeColor="text1"/>
            <w:u w:val="none"/>
            <w:lang w:val="es-ES_tradnl"/>
          </w:rPr>
          <w:t>1</w:t>
        </w:r>
      </w:hyperlink>
      <w:r w:rsidR="00156E92" w:rsidRPr="00663F7D">
        <w:rPr>
          <w:rFonts w:ascii="Garamond" w:eastAsia="Century Gothic" w:hAnsi="Garamond" w:cs="Century Gothic"/>
          <w:color w:val="000000" w:themeColor="text1"/>
          <w:lang w:val="es-ES_tradnl"/>
        </w:rPr>
        <w:t> </w:t>
      </w:r>
      <w:r w:rsidR="00156E92" w:rsidRPr="00663F7D">
        <w:rPr>
          <w:rFonts w:ascii="Garamond" w:eastAsia="Century Gothic" w:hAnsi="Garamond" w:cs="Century Gothic"/>
          <w:color w:val="000000"/>
          <w:lang w:val="es-ES_tradnl"/>
        </w:rPr>
        <w:t xml:space="preserve">de la Ley 2003 de 2019: </w:t>
      </w:r>
    </w:p>
    <w:p w14:paraId="07897548" w14:textId="77777777" w:rsidR="00156E92" w:rsidRPr="00663F7D" w:rsidRDefault="00156E92" w:rsidP="00156E92">
      <w:pPr>
        <w:pBdr>
          <w:top w:val="nil"/>
          <w:left w:val="nil"/>
          <w:bottom w:val="nil"/>
          <w:right w:val="nil"/>
          <w:between w:val="nil"/>
        </w:pBdr>
        <w:spacing w:after="200" w:line="276" w:lineRule="auto"/>
        <w:ind w:left="285"/>
        <w:jc w:val="both"/>
        <w:rPr>
          <w:rFonts w:ascii="Garamond" w:eastAsia="Century Gothic" w:hAnsi="Garamond" w:cs="Century Gothic"/>
          <w:i/>
          <w:color w:val="000000"/>
          <w:lang w:val="es-ES_tradnl"/>
        </w:rPr>
      </w:pPr>
      <w:r w:rsidRPr="00663F7D">
        <w:rPr>
          <w:rFonts w:ascii="Garamond" w:eastAsia="Century Gothic" w:hAnsi="Garamond" w:cs="Century Gothic"/>
          <w:i/>
          <w:color w:val="000000"/>
          <w:lang w:val="es-ES_tradnl"/>
        </w:rPr>
        <w:t>“Se entiende como conflicto de interés una situación donde la discusión o votación de un proyecto de ley o acto legislativo o artículo, pueda resultar en un beneficio particular, actual y directo a favor del congresista. </w:t>
      </w:r>
    </w:p>
    <w:p w14:paraId="3F64FF15" w14:textId="77777777" w:rsidR="00156E92" w:rsidRPr="00663F7D" w:rsidRDefault="00156E92" w:rsidP="00156E92">
      <w:pPr>
        <w:numPr>
          <w:ilvl w:val="0"/>
          <w:numId w:val="18"/>
        </w:numPr>
        <w:pBdr>
          <w:top w:val="nil"/>
          <w:left w:val="nil"/>
          <w:bottom w:val="nil"/>
          <w:right w:val="nil"/>
          <w:between w:val="nil"/>
        </w:pBdr>
        <w:spacing w:after="200" w:line="276" w:lineRule="auto"/>
        <w:ind w:left="929"/>
        <w:jc w:val="both"/>
        <w:rPr>
          <w:rFonts w:ascii="Garamond" w:eastAsia="Century Gothic" w:hAnsi="Garamond" w:cs="Century Gothic"/>
          <w:i/>
          <w:color w:val="000000"/>
          <w:lang w:val="es-ES_tradnl"/>
        </w:rPr>
      </w:pPr>
      <w:r w:rsidRPr="00663F7D">
        <w:rPr>
          <w:rFonts w:ascii="Garamond" w:eastAsia="Century Gothic" w:hAnsi="Garamond" w:cs="Century Gothic"/>
          <w:b/>
          <w:i/>
          <w:color w:val="000000"/>
          <w:lang w:val="es-ES_tradnl"/>
        </w:rPr>
        <w:t>Beneficio particular:</w:t>
      </w:r>
      <w:r w:rsidRPr="00663F7D">
        <w:rPr>
          <w:rFonts w:ascii="Garamond" w:eastAsia="Century Gothic" w:hAnsi="Garamond" w:cs="Century Gothic"/>
          <w:i/>
          <w:color w:val="000000"/>
          <w:lang w:val="es-ES_tradnl"/>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09A9DC0" w14:textId="77777777" w:rsidR="00156E92" w:rsidRPr="00663F7D" w:rsidRDefault="00156E92" w:rsidP="00156E92">
      <w:pPr>
        <w:numPr>
          <w:ilvl w:val="0"/>
          <w:numId w:val="18"/>
        </w:numPr>
        <w:pBdr>
          <w:top w:val="nil"/>
          <w:left w:val="nil"/>
          <w:bottom w:val="nil"/>
          <w:right w:val="nil"/>
          <w:between w:val="nil"/>
        </w:pBdr>
        <w:spacing w:after="200" w:line="276" w:lineRule="auto"/>
        <w:ind w:left="929"/>
        <w:jc w:val="both"/>
        <w:rPr>
          <w:rFonts w:ascii="Garamond" w:eastAsia="Century Gothic" w:hAnsi="Garamond" w:cs="Century Gothic"/>
          <w:i/>
          <w:color w:val="000000"/>
          <w:lang w:val="es-ES_tradnl"/>
        </w:rPr>
      </w:pPr>
      <w:r w:rsidRPr="00663F7D">
        <w:rPr>
          <w:rFonts w:ascii="Garamond" w:eastAsia="Century Gothic" w:hAnsi="Garamond" w:cs="Century Gothic"/>
          <w:b/>
          <w:i/>
          <w:color w:val="000000"/>
          <w:lang w:val="es-ES_tradnl"/>
        </w:rPr>
        <w:t>Beneficio actual:</w:t>
      </w:r>
      <w:r w:rsidRPr="00663F7D">
        <w:rPr>
          <w:rFonts w:ascii="Garamond" w:eastAsia="Century Gothic" w:hAnsi="Garamond" w:cs="Century Gothic"/>
          <w:i/>
          <w:color w:val="000000"/>
          <w:lang w:val="es-ES_tradnl"/>
        </w:rPr>
        <w:t xml:space="preserve"> aquel que efectivamente se configura en las circunstancias presentes y existentes al momento en el que el congresista participa de la decisión. </w:t>
      </w:r>
    </w:p>
    <w:p w14:paraId="0286532C" w14:textId="0C7422E3" w:rsidR="00156E92" w:rsidRPr="00156E92" w:rsidRDefault="00156E92" w:rsidP="00663F7D">
      <w:pPr>
        <w:numPr>
          <w:ilvl w:val="0"/>
          <w:numId w:val="18"/>
        </w:numPr>
        <w:pBdr>
          <w:top w:val="nil"/>
          <w:left w:val="nil"/>
          <w:bottom w:val="nil"/>
          <w:right w:val="nil"/>
          <w:between w:val="nil"/>
        </w:pBdr>
        <w:spacing w:after="200" w:line="276" w:lineRule="auto"/>
        <w:ind w:left="929"/>
        <w:jc w:val="both"/>
        <w:rPr>
          <w:rFonts w:ascii="Garamond" w:eastAsia="Century Gothic" w:hAnsi="Garamond" w:cs="Century Gothic"/>
          <w:i/>
          <w:color w:val="000000"/>
          <w:lang w:val="es-ES_tradnl"/>
        </w:rPr>
      </w:pPr>
      <w:r w:rsidRPr="00663F7D">
        <w:rPr>
          <w:rFonts w:ascii="Garamond" w:eastAsia="Century Gothic" w:hAnsi="Garamond" w:cs="Century Gothic"/>
          <w:b/>
          <w:i/>
          <w:color w:val="000000"/>
          <w:lang w:val="es-ES_tradnl"/>
        </w:rPr>
        <w:t>Beneficio directo:</w:t>
      </w:r>
      <w:r w:rsidRPr="00663F7D">
        <w:rPr>
          <w:rFonts w:ascii="Garamond" w:eastAsia="Century Gothic" w:hAnsi="Garamond" w:cs="Century Gothic"/>
          <w:i/>
          <w:color w:val="000000"/>
          <w:lang w:val="es-ES_tradnl"/>
        </w:rPr>
        <w:t xml:space="preserve"> aquel que se produzca de forma específica respecto del congresista, de su cónyuge, compañero o compañera permanente, o parientes dentro del segundo grado de consanguinidad, segundo de afinidad o primero civil.”</w:t>
      </w:r>
    </w:p>
    <w:p w14:paraId="24F2C223" w14:textId="08CCB628" w:rsidR="00663F7D" w:rsidRPr="00663F7D" w:rsidRDefault="00663F7D" w:rsidP="00663F7D">
      <w:pPr>
        <w:pBdr>
          <w:top w:val="nil"/>
          <w:left w:val="nil"/>
          <w:bottom w:val="nil"/>
          <w:right w:val="nil"/>
          <w:between w:val="nil"/>
        </w:pBdr>
        <w:spacing w:after="200" w:line="276" w:lineRule="auto"/>
        <w:jc w:val="both"/>
        <w:rPr>
          <w:rFonts w:ascii="Garamond" w:eastAsia="Century Gothic" w:hAnsi="Garamond" w:cs="Century Gothic"/>
          <w:color w:val="000000"/>
          <w:lang w:val="es-ES_tradnl"/>
        </w:rPr>
      </w:pPr>
      <w:r w:rsidRPr="00663F7D">
        <w:rPr>
          <w:rFonts w:ascii="Garamond" w:eastAsia="Century Gothic" w:hAnsi="Garamond" w:cs="Century Gothic"/>
          <w:color w:val="000000"/>
          <w:lang w:val="es-ES_tradnl"/>
        </w:rPr>
        <w:t xml:space="preserve">Sobre este asunto ha señalado el Consejo de Estado (2019): </w:t>
      </w:r>
    </w:p>
    <w:p w14:paraId="14734450" w14:textId="0F286E33" w:rsidR="00663F7D" w:rsidRPr="00663F7D" w:rsidRDefault="00663F7D" w:rsidP="00663F7D">
      <w:pPr>
        <w:pBdr>
          <w:top w:val="nil"/>
          <w:left w:val="nil"/>
          <w:bottom w:val="nil"/>
          <w:right w:val="nil"/>
          <w:between w:val="nil"/>
        </w:pBdr>
        <w:spacing w:after="200" w:line="276" w:lineRule="auto"/>
        <w:ind w:left="720"/>
        <w:jc w:val="both"/>
        <w:rPr>
          <w:rFonts w:ascii="Garamond" w:eastAsia="Century Gothic" w:hAnsi="Garamond" w:cs="Century Gothic"/>
          <w:i/>
          <w:color w:val="000000"/>
          <w:lang w:val="es-ES_tradnl"/>
        </w:rPr>
      </w:pPr>
      <w:r w:rsidRPr="00663F7D">
        <w:rPr>
          <w:rFonts w:ascii="Garamond" w:eastAsia="Century Gothic" w:hAnsi="Garamond" w:cs="Century Gothic"/>
          <w:i/>
          <w:color w:val="000000"/>
          <w:lang w:val="es-ES_tradn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C1B18D2" w14:textId="3CC5EF96" w:rsidR="00663F7D" w:rsidRPr="00156E92" w:rsidRDefault="00663F7D" w:rsidP="00156E92">
      <w:pPr>
        <w:pBdr>
          <w:top w:val="nil"/>
          <w:left w:val="nil"/>
          <w:bottom w:val="nil"/>
          <w:right w:val="nil"/>
          <w:between w:val="nil"/>
        </w:pBdr>
        <w:spacing w:after="200" w:line="276" w:lineRule="auto"/>
        <w:jc w:val="both"/>
        <w:rPr>
          <w:rFonts w:ascii="Garamond" w:eastAsia="Century Gothic" w:hAnsi="Garamond" w:cs="Century Gothic"/>
          <w:color w:val="000000"/>
          <w:lang w:val="es-ES_tradnl"/>
        </w:rPr>
      </w:pPr>
      <w:r w:rsidRPr="00663F7D">
        <w:rPr>
          <w:rFonts w:ascii="Garamond" w:eastAsia="Century Gothic" w:hAnsi="Garamond" w:cs="Century Gothic"/>
          <w:color w:val="000000"/>
          <w:lang w:val="es-ES_tradnl"/>
        </w:rPr>
        <w:t>Se recuerda que la descripción de los posibles conflictos de interés que se puedan presentar frente al trámite del presente Proyecto de Ley, conforme a lo dispuesto en el artículo 291 de la ley 5 de 1992 modificado por la ley 2003 de 2019, no exime del al Congresista de identificar causales adicionales.</w:t>
      </w:r>
    </w:p>
    <w:p w14:paraId="63B40F0E" w14:textId="5232A61A" w:rsidR="00BE3162" w:rsidRPr="005143F9" w:rsidRDefault="00C00C6D" w:rsidP="00725466">
      <w:pPr>
        <w:pBdr>
          <w:top w:val="nil"/>
          <w:left w:val="nil"/>
          <w:bottom w:val="nil"/>
          <w:right w:val="nil"/>
          <w:between w:val="nil"/>
        </w:pBdr>
        <w:spacing w:after="200" w:line="276" w:lineRule="auto"/>
        <w:rPr>
          <w:rFonts w:ascii="Garamond" w:eastAsia="Century Gothic" w:hAnsi="Garamond" w:cs="Century Gothic"/>
          <w:b/>
          <w:color w:val="000000"/>
        </w:rPr>
      </w:pPr>
      <w:r w:rsidRPr="005143F9">
        <w:rPr>
          <w:rFonts w:ascii="Garamond" w:eastAsia="Century Gothic" w:hAnsi="Garamond" w:cs="Century Gothic"/>
          <w:b/>
          <w:color w:val="000000"/>
        </w:rPr>
        <w:lastRenderedPageBreak/>
        <w:t>V</w:t>
      </w:r>
      <w:r w:rsidR="009D0364" w:rsidRPr="005143F9">
        <w:rPr>
          <w:rFonts w:ascii="Garamond" w:eastAsia="Century Gothic" w:hAnsi="Garamond" w:cs="Century Gothic"/>
          <w:b/>
          <w:color w:val="000000"/>
        </w:rPr>
        <w:t>I</w:t>
      </w:r>
      <w:r w:rsidRPr="005143F9">
        <w:rPr>
          <w:rFonts w:ascii="Garamond" w:eastAsia="Century Gothic" w:hAnsi="Garamond" w:cs="Century Gothic"/>
          <w:b/>
          <w:color w:val="000000"/>
        </w:rPr>
        <w:t>. PLIEGO DE MODIFICACIONES</w:t>
      </w:r>
    </w:p>
    <w:tbl>
      <w:tblPr>
        <w:tblStyle w:val="a0"/>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536"/>
      </w:tblGrid>
      <w:tr w:rsidR="00BE3162" w:rsidRPr="005143F9" w14:paraId="647F4708" w14:textId="77777777" w:rsidTr="00134A5B">
        <w:tc>
          <w:tcPr>
            <w:tcW w:w="4390" w:type="dxa"/>
          </w:tcPr>
          <w:p w14:paraId="0DB28566" w14:textId="38D17A99" w:rsidR="00BE3162" w:rsidRPr="005143F9" w:rsidRDefault="00C00C6D" w:rsidP="00725466">
            <w:pPr>
              <w:pBdr>
                <w:top w:val="nil"/>
                <w:left w:val="nil"/>
                <w:bottom w:val="nil"/>
                <w:right w:val="nil"/>
                <w:between w:val="nil"/>
              </w:pBdr>
              <w:spacing w:after="200" w:line="276" w:lineRule="auto"/>
              <w:jc w:val="center"/>
              <w:rPr>
                <w:rFonts w:ascii="Garamond" w:eastAsia="Century Gothic" w:hAnsi="Garamond" w:cs="Century Gothic"/>
                <w:b/>
                <w:color w:val="000000"/>
              </w:rPr>
            </w:pPr>
            <w:r w:rsidRPr="005143F9">
              <w:rPr>
                <w:rFonts w:ascii="Garamond" w:eastAsia="Century Gothic" w:hAnsi="Garamond" w:cs="Century Gothic"/>
                <w:b/>
                <w:color w:val="000000"/>
              </w:rPr>
              <w:t xml:space="preserve">PROYECTO DE LEY </w:t>
            </w:r>
            <w:r w:rsidR="009D0364" w:rsidRPr="005143F9">
              <w:rPr>
                <w:rFonts w:ascii="Garamond" w:eastAsia="Century Gothic" w:hAnsi="Garamond" w:cs="Century Gothic"/>
                <w:b/>
                <w:color w:val="000000"/>
              </w:rPr>
              <w:t>047</w:t>
            </w:r>
            <w:r w:rsidRPr="005143F9">
              <w:rPr>
                <w:rFonts w:ascii="Garamond" w:eastAsia="Century Gothic" w:hAnsi="Garamond" w:cs="Century Gothic"/>
                <w:b/>
                <w:color w:val="000000"/>
              </w:rPr>
              <w:t xml:space="preserve"> DE </w:t>
            </w:r>
            <w:r w:rsidR="009D0364" w:rsidRPr="005143F9">
              <w:rPr>
                <w:rFonts w:ascii="Garamond" w:eastAsia="Century Gothic" w:hAnsi="Garamond" w:cs="Century Gothic"/>
                <w:b/>
                <w:color w:val="000000"/>
              </w:rPr>
              <w:t>2021</w:t>
            </w:r>
            <w:r w:rsidR="00134A5B" w:rsidRPr="005143F9">
              <w:rPr>
                <w:rFonts w:ascii="Garamond" w:eastAsia="Century Gothic" w:hAnsi="Garamond" w:cs="Century Gothic"/>
                <w:b/>
                <w:color w:val="000000"/>
              </w:rPr>
              <w:t xml:space="preserve"> CÁMARA</w:t>
            </w:r>
          </w:p>
        </w:tc>
        <w:tc>
          <w:tcPr>
            <w:tcW w:w="4536" w:type="dxa"/>
          </w:tcPr>
          <w:p w14:paraId="14B45075" w14:textId="77777777" w:rsidR="00BE3162" w:rsidRPr="005143F9" w:rsidRDefault="00C00C6D" w:rsidP="00725466">
            <w:pPr>
              <w:pBdr>
                <w:top w:val="nil"/>
                <w:left w:val="nil"/>
                <w:bottom w:val="nil"/>
                <w:right w:val="nil"/>
                <w:between w:val="nil"/>
              </w:pBdr>
              <w:spacing w:after="200" w:line="276" w:lineRule="auto"/>
              <w:jc w:val="center"/>
              <w:rPr>
                <w:rFonts w:ascii="Garamond" w:eastAsia="Century Gothic" w:hAnsi="Garamond" w:cs="Century Gothic"/>
                <w:b/>
                <w:color w:val="000000"/>
              </w:rPr>
            </w:pPr>
            <w:r w:rsidRPr="005143F9">
              <w:rPr>
                <w:rFonts w:ascii="Garamond" w:eastAsia="Century Gothic" w:hAnsi="Garamond" w:cs="Century Gothic"/>
                <w:b/>
                <w:color w:val="000000"/>
              </w:rPr>
              <w:t>TEXTO PROPUESTO PARA PRIMER DEBATE CÁMARA</w:t>
            </w:r>
          </w:p>
        </w:tc>
      </w:tr>
      <w:tr w:rsidR="00BE3162" w:rsidRPr="005143F9" w14:paraId="3A3A8EBB" w14:textId="77777777" w:rsidTr="00134A5B">
        <w:tc>
          <w:tcPr>
            <w:tcW w:w="4390" w:type="dxa"/>
          </w:tcPr>
          <w:p w14:paraId="21940BE0" w14:textId="547C2249" w:rsidR="009D0364" w:rsidRPr="005143F9" w:rsidRDefault="009D0364" w:rsidP="00725466">
            <w:pPr>
              <w:spacing w:line="276" w:lineRule="auto"/>
              <w:jc w:val="both"/>
              <w:rPr>
                <w:rFonts w:ascii="Garamond" w:eastAsia="Times" w:hAnsi="Garamond" w:cs="Times"/>
                <w:lang w:eastAsia="es-MX"/>
              </w:rPr>
            </w:pPr>
            <w:r w:rsidRPr="005143F9">
              <w:rPr>
                <w:rFonts w:ascii="Garamond" w:eastAsia="Times" w:hAnsi="Garamond" w:cs="Times"/>
                <w:b/>
                <w:lang w:eastAsia="es-MX"/>
              </w:rPr>
              <w:t>Artículo 1°.</w:t>
            </w:r>
            <w:r w:rsidRPr="005143F9">
              <w:rPr>
                <w:rFonts w:ascii="Garamond" w:eastAsia="Times" w:hAnsi="Garamond" w:cs="Times"/>
                <w:lang w:eastAsia="es-MX"/>
              </w:rPr>
              <w:t xml:space="preserve"> Modifíquese el artículo </w:t>
            </w:r>
            <w:r w:rsidR="00FD1D2B" w:rsidRPr="005143F9">
              <w:rPr>
                <w:rFonts w:ascii="Garamond" w:eastAsia="Times" w:hAnsi="Garamond" w:cs="Times"/>
                <w:strike/>
                <w:lang w:eastAsia="es-MX"/>
              </w:rPr>
              <w:t>162</w:t>
            </w:r>
            <w:r w:rsidRPr="005143F9">
              <w:rPr>
                <w:rFonts w:ascii="Garamond" w:eastAsia="Times" w:hAnsi="Garamond" w:cs="Times"/>
                <w:lang w:eastAsia="es-MX"/>
              </w:rPr>
              <w:t xml:space="preserve"> de la ley 599 de 2000 el cual quedará así: </w:t>
            </w:r>
          </w:p>
          <w:p w14:paraId="3A5E121D" w14:textId="07649D16" w:rsidR="009D0364" w:rsidRPr="005143F9" w:rsidRDefault="009D0364" w:rsidP="00725466">
            <w:pPr>
              <w:spacing w:line="276" w:lineRule="auto"/>
              <w:jc w:val="both"/>
              <w:rPr>
                <w:rFonts w:ascii="Garamond" w:eastAsia="Times" w:hAnsi="Garamond" w:cs="Times"/>
                <w:lang w:eastAsia="es-MX"/>
              </w:rPr>
            </w:pPr>
          </w:p>
          <w:p w14:paraId="45E9BA80" w14:textId="77777777" w:rsidR="009D0364" w:rsidRPr="005143F9" w:rsidRDefault="009D0364" w:rsidP="00725466">
            <w:pPr>
              <w:spacing w:line="276" w:lineRule="auto"/>
              <w:jc w:val="both"/>
              <w:rPr>
                <w:rFonts w:ascii="Garamond" w:eastAsia="Times" w:hAnsi="Garamond" w:cs="Times"/>
                <w:i/>
                <w:lang w:eastAsia="es-MX"/>
              </w:rPr>
            </w:pPr>
            <w:r w:rsidRPr="005143F9">
              <w:rPr>
                <w:rFonts w:ascii="Garamond" w:eastAsia="Times" w:hAnsi="Garamond" w:cs="Times"/>
                <w:b/>
                <w:i/>
                <w:lang w:eastAsia="es-MX"/>
              </w:rPr>
              <w:t>ARTICULO 347. AMENAZAS.</w:t>
            </w:r>
            <w:r w:rsidRPr="005143F9">
              <w:rPr>
                <w:rFonts w:ascii="Garamond" w:eastAsia="Times" w:hAnsi="Garamond" w:cs="Times"/>
                <w:i/>
                <w:lang w:eastAsia="es-MX"/>
              </w:rPr>
              <w:t xml:space="preserve"> El que por cualquier medio atemorice o amenace a una persona, familia, comunidad o institución, con el propósito de causar alarma, zozobra o terror en la población o en un sector de ella, incurrirá por esta sola conducta, en prisión de cuatro (4) a ocho (8) años y multa de </w:t>
            </w:r>
            <w:proofErr w:type="gramStart"/>
            <w:r w:rsidRPr="005143F9">
              <w:rPr>
                <w:rFonts w:ascii="Garamond" w:eastAsia="Times" w:hAnsi="Garamond" w:cs="Times"/>
                <w:i/>
                <w:lang w:eastAsia="es-MX"/>
              </w:rPr>
              <w:t>trece punto</w:t>
            </w:r>
            <w:proofErr w:type="gramEnd"/>
            <w:r w:rsidRPr="005143F9">
              <w:rPr>
                <w:rFonts w:ascii="Garamond" w:eastAsia="Times" w:hAnsi="Garamond" w:cs="Times"/>
                <w:i/>
                <w:lang w:eastAsia="es-MX"/>
              </w:rPr>
              <w:t xml:space="preserve"> treinta y tres (13.33) a ciento cincuenta (150) salarios mínimos legales mensuales vigentes.</w:t>
            </w:r>
          </w:p>
          <w:p w14:paraId="32A4A3C8" w14:textId="77777777" w:rsidR="009D0364" w:rsidRPr="005143F9" w:rsidRDefault="009D0364" w:rsidP="00725466">
            <w:pPr>
              <w:spacing w:line="276" w:lineRule="auto"/>
              <w:jc w:val="both"/>
              <w:rPr>
                <w:rFonts w:ascii="Garamond" w:eastAsia="Times" w:hAnsi="Garamond" w:cs="Times"/>
                <w:i/>
                <w:lang w:eastAsia="es-MX"/>
              </w:rPr>
            </w:pPr>
          </w:p>
          <w:p w14:paraId="17B90BCB" w14:textId="481B5B21" w:rsidR="00134A5B" w:rsidRPr="005143F9" w:rsidRDefault="009D0364" w:rsidP="00725466">
            <w:pPr>
              <w:spacing w:line="276" w:lineRule="auto"/>
              <w:jc w:val="both"/>
              <w:rPr>
                <w:rFonts w:ascii="Garamond" w:eastAsia="Times" w:hAnsi="Garamond" w:cs="Times"/>
                <w:i/>
                <w:lang w:eastAsia="es-MX"/>
              </w:rPr>
            </w:pPr>
            <w:r w:rsidRPr="005143F9">
              <w:rPr>
                <w:rFonts w:ascii="Garamond" w:eastAsia="Times" w:hAnsi="Garamond" w:cs="Times"/>
                <w:i/>
                <w:lang w:eastAsia="es-MX"/>
              </w:rPr>
              <w:t xml:space="preserve">Si la amenaza o intimidación recayere sobre un miembro de una organización sindical, periodista, </w:t>
            </w:r>
            <w:r w:rsidRPr="005143F9">
              <w:rPr>
                <w:rFonts w:ascii="Garamond" w:eastAsia="Times" w:hAnsi="Garamond" w:cs="Times"/>
                <w:b/>
                <w:i/>
                <w:strike/>
                <w:u w:val="single"/>
                <w:lang w:eastAsia="es-MX"/>
              </w:rPr>
              <w:t>profesional de la salud</w:t>
            </w:r>
            <w:r w:rsidRPr="005143F9">
              <w:rPr>
                <w:rFonts w:ascii="Garamond" w:eastAsia="Times" w:hAnsi="Garamond" w:cs="Times"/>
                <w:i/>
                <w:lang w:eastAsia="es-MX"/>
              </w:rPr>
              <w:t xml:space="preserve"> o sus familiares, en razón o con ocasión al cargo o función que desempeñe, la pena se aumentará en una tercera parte.</w:t>
            </w:r>
          </w:p>
        </w:tc>
        <w:tc>
          <w:tcPr>
            <w:tcW w:w="4536" w:type="dxa"/>
          </w:tcPr>
          <w:p w14:paraId="2AA97247" w14:textId="0D6B5996" w:rsidR="009D0364" w:rsidRPr="005143F9" w:rsidRDefault="009D0364" w:rsidP="00725466">
            <w:pPr>
              <w:spacing w:line="276" w:lineRule="auto"/>
              <w:jc w:val="both"/>
              <w:rPr>
                <w:rFonts w:ascii="Garamond" w:eastAsia="Times" w:hAnsi="Garamond" w:cs="Times"/>
              </w:rPr>
            </w:pPr>
            <w:r w:rsidRPr="005143F9">
              <w:rPr>
                <w:rFonts w:ascii="Garamond" w:eastAsia="Times" w:hAnsi="Garamond" w:cs="Times"/>
                <w:b/>
              </w:rPr>
              <w:t>Artículo 1°.</w:t>
            </w:r>
            <w:r w:rsidRPr="005143F9">
              <w:rPr>
                <w:rFonts w:ascii="Garamond" w:eastAsia="Times" w:hAnsi="Garamond" w:cs="Times"/>
              </w:rPr>
              <w:t xml:space="preserve"> Modifíquese el artículo </w:t>
            </w:r>
            <w:r w:rsidR="00FD1D2B" w:rsidRPr="005143F9">
              <w:rPr>
                <w:rFonts w:ascii="Garamond" w:eastAsia="Times" w:hAnsi="Garamond" w:cs="Times"/>
                <w:b/>
                <w:u w:val="single"/>
              </w:rPr>
              <w:t>347</w:t>
            </w:r>
            <w:r w:rsidRPr="005143F9">
              <w:rPr>
                <w:rFonts w:ascii="Garamond" w:eastAsia="Times" w:hAnsi="Garamond" w:cs="Times"/>
              </w:rPr>
              <w:t xml:space="preserve"> de la ley 599 de 2000 el cual quedará así: </w:t>
            </w:r>
          </w:p>
          <w:p w14:paraId="3886D268" w14:textId="77777777" w:rsidR="009D0364" w:rsidRPr="005143F9" w:rsidRDefault="009D0364" w:rsidP="00725466">
            <w:pPr>
              <w:spacing w:line="276" w:lineRule="auto"/>
              <w:jc w:val="both"/>
              <w:rPr>
                <w:rFonts w:ascii="Garamond" w:eastAsia="Times" w:hAnsi="Garamond" w:cs="Times"/>
                <w:b/>
                <w:i/>
              </w:rPr>
            </w:pPr>
          </w:p>
          <w:p w14:paraId="546B75B2" w14:textId="1682F1E6" w:rsidR="009D0364" w:rsidRPr="005143F9" w:rsidRDefault="009D0364" w:rsidP="00725466">
            <w:pPr>
              <w:spacing w:line="276" w:lineRule="auto"/>
              <w:jc w:val="both"/>
              <w:rPr>
                <w:rFonts w:ascii="Garamond" w:eastAsia="Times" w:hAnsi="Garamond" w:cs="Times"/>
                <w:i/>
              </w:rPr>
            </w:pPr>
            <w:r w:rsidRPr="005143F9">
              <w:rPr>
                <w:rFonts w:ascii="Garamond" w:eastAsia="Times" w:hAnsi="Garamond" w:cs="Times"/>
                <w:b/>
                <w:i/>
              </w:rPr>
              <w:t>ARTICULO 347. AMENAZAS.</w:t>
            </w:r>
            <w:r w:rsidRPr="005143F9">
              <w:rPr>
                <w:rFonts w:ascii="Garamond" w:eastAsia="Times" w:hAnsi="Garamond" w:cs="Times"/>
                <w:i/>
              </w:rPr>
              <w:t xml:space="preserve"> El que por cualquier medio atemorice o amenace a una persona, familia, comunidad o institución, con el propósito de causar alarma, zozobra o terror en la población o en un sector de ella, incurrirá por esta sola conducta, en prisión de cuatro (4) a ocho (8) años y multa de </w:t>
            </w:r>
            <w:proofErr w:type="gramStart"/>
            <w:r w:rsidRPr="005143F9">
              <w:rPr>
                <w:rFonts w:ascii="Garamond" w:eastAsia="Times" w:hAnsi="Garamond" w:cs="Times"/>
                <w:i/>
              </w:rPr>
              <w:t>trece punto</w:t>
            </w:r>
            <w:proofErr w:type="gramEnd"/>
            <w:r w:rsidRPr="005143F9">
              <w:rPr>
                <w:rFonts w:ascii="Garamond" w:eastAsia="Times" w:hAnsi="Garamond" w:cs="Times"/>
                <w:i/>
              </w:rPr>
              <w:t xml:space="preserve"> treinta y tres (13.33) a ciento cincuenta (150) salarios mínimos legales mensuales vigentes.</w:t>
            </w:r>
          </w:p>
          <w:p w14:paraId="398EFFC9" w14:textId="77777777" w:rsidR="009D0364" w:rsidRPr="005143F9" w:rsidRDefault="009D0364" w:rsidP="00725466">
            <w:pPr>
              <w:spacing w:line="276" w:lineRule="auto"/>
              <w:jc w:val="both"/>
              <w:rPr>
                <w:rFonts w:ascii="Garamond" w:eastAsia="Times" w:hAnsi="Garamond" w:cs="Times"/>
                <w:i/>
              </w:rPr>
            </w:pPr>
          </w:p>
          <w:p w14:paraId="2D0F2CE8" w14:textId="2EF78C04" w:rsidR="00BE3162" w:rsidRPr="005143F9" w:rsidRDefault="009D0364" w:rsidP="00725466">
            <w:pPr>
              <w:spacing w:line="276" w:lineRule="auto"/>
              <w:jc w:val="both"/>
              <w:rPr>
                <w:rFonts w:ascii="Garamond" w:eastAsia="Times" w:hAnsi="Garamond" w:cs="Times"/>
                <w:i/>
              </w:rPr>
            </w:pPr>
            <w:r w:rsidRPr="005143F9">
              <w:rPr>
                <w:rFonts w:ascii="Garamond" w:eastAsia="Times" w:hAnsi="Garamond" w:cs="Times"/>
                <w:i/>
              </w:rPr>
              <w:t xml:space="preserve">Si la amenaza o intimidación recayere sobre un miembro de una organización sindical, periodista, </w:t>
            </w:r>
            <w:r w:rsidRPr="005143F9">
              <w:rPr>
                <w:rFonts w:ascii="Garamond" w:eastAsia="Times" w:hAnsi="Garamond" w:cs="Times"/>
                <w:b/>
                <w:i/>
                <w:u w:val="single"/>
              </w:rPr>
              <w:t>talento humano en salud</w:t>
            </w:r>
            <w:r w:rsidRPr="005143F9">
              <w:rPr>
                <w:rFonts w:ascii="Garamond" w:eastAsia="Times" w:hAnsi="Garamond" w:cs="Times"/>
                <w:i/>
              </w:rPr>
              <w:t xml:space="preserve"> o sus familiares, en razón o con ocasión al cargo o función que desempeñe, la pena se aumentará en una tercera parte.</w:t>
            </w:r>
          </w:p>
        </w:tc>
      </w:tr>
    </w:tbl>
    <w:p w14:paraId="1C20E7E4" w14:textId="206333C3" w:rsidR="00BE3162" w:rsidRPr="005143F9" w:rsidRDefault="00C00C6D" w:rsidP="00725466">
      <w:pPr>
        <w:spacing w:before="100" w:beforeAutospacing="1" w:after="120" w:line="276" w:lineRule="auto"/>
        <w:rPr>
          <w:rFonts w:ascii="Garamond" w:eastAsia="Century Gothic" w:hAnsi="Garamond" w:cs="Century Gothic"/>
          <w:b/>
        </w:rPr>
      </w:pPr>
      <w:r w:rsidRPr="005143F9">
        <w:rPr>
          <w:rFonts w:ascii="Garamond" w:eastAsia="Century Gothic" w:hAnsi="Garamond" w:cs="Century Gothic"/>
          <w:b/>
        </w:rPr>
        <w:t>VI</w:t>
      </w:r>
      <w:r w:rsidR="009D0364" w:rsidRPr="005143F9">
        <w:rPr>
          <w:rFonts w:ascii="Garamond" w:eastAsia="Century Gothic" w:hAnsi="Garamond" w:cs="Century Gothic"/>
          <w:b/>
        </w:rPr>
        <w:t>I</w:t>
      </w:r>
      <w:r w:rsidRPr="005143F9">
        <w:rPr>
          <w:rFonts w:ascii="Garamond" w:eastAsia="Century Gothic" w:hAnsi="Garamond" w:cs="Century Gothic"/>
          <w:b/>
        </w:rPr>
        <w:t>. PROPOSICIÓN</w:t>
      </w:r>
    </w:p>
    <w:p w14:paraId="03F37D5F" w14:textId="74CD4237" w:rsidR="007526D9" w:rsidRPr="000770D0" w:rsidRDefault="00C00C6D" w:rsidP="00725466">
      <w:pPr>
        <w:spacing w:after="160" w:line="276" w:lineRule="auto"/>
        <w:jc w:val="both"/>
        <w:rPr>
          <w:rFonts w:ascii="Garamond" w:eastAsia="Century Gothic" w:hAnsi="Garamond" w:cs="Century Gothic"/>
          <w:i/>
        </w:rPr>
      </w:pPr>
      <w:r w:rsidRPr="005143F9">
        <w:rPr>
          <w:rFonts w:ascii="Garamond" w:eastAsia="Century Gothic" w:hAnsi="Garamond" w:cs="Century Gothic"/>
        </w:rPr>
        <w:t xml:space="preserve">De conformidad con las anteriores consideraciones y en cumplimiento de los requisitos establecidos en la Ley 5ª de 1992, presentamos ponencia favorable y en consecuencia se solicita a los miembros de la Comisión Primera de la Honorable Cámara de Representantes, dar primer debate al Proyecto de Ley número </w:t>
      </w:r>
      <w:r w:rsidR="009D0364" w:rsidRPr="005143F9">
        <w:rPr>
          <w:rFonts w:ascii="Garamond" w:eastAsia="Century Gothic" w:hAnsi="Garamond" w:cs="Century Gothic"/>
        </w:rPr>
        <w:t>047</w:t>
      </w:r>
      <w:r w:rsidRPr="005143F9">
        <w:rPr>
          <w:rFonts w:ascii="Garamond" w:eastAsia="Century Gothic" w:hAnsi="Garamond" w:cs="Century Gothic"/>
        </w:rPr>
        <w:t xml:space="preserve"> de </w:t>
      </w:r>
      <w:r w:rsidR="009D0364" w:rsidRPr="005143F9">
        <w:rPr>
          <w:rFonts w:ascii="Garamond" w:eastAsia="Century Gothic" w:hAnsi="Garamond" w:cs="Century Gothic"/>
        </w:rPr>
        <w:t>2021</w:t>
      </w:r>
      <w:r w:rsidRPr="005143F9">
        <w:rPr>
          <w:rFonts w:ascii="Garamond" w:eastAsia="Century Gothic" w:hAnsi="Garamond" w:cs="Century Gothic"/>
        </w:rPr>
        <w:t xml:space="preserve"> Cámara </w:t>
      </w:r>
      <w:r w:rsidR="009D0364" w:rsidRPr="005143F9">
        <w:rPr>
          <w:rFonts w:ascii="Garamond" w:eastAsia="Century Gothic" w:hAnsi="Garamond" w:cs="Century Gothic"/>
          <w:i/>
        </w:rPr>
        <w:t>“Por medio del cual se modifica el artículo 347 de la ley 599 de 2000”</w:t>
      </w:r>
    </w:p>
    <w:p w14:paraId="0A0782B3" w14:textId="7F67D700" w:rsidR="00BE3162" w:rsidRPr="005143F9" w:rsidRDefault="00C00C6D" w:rsidP="00725466">
      <w:pPr>
        <w:pBdr>
          <w:top w:val="nil"/>
          <w:left w:val="nil"/>
          <w:bottom w:val="nil"/>
          <w:right w:val="nil"/>
          <w:between w:val="nil"/>
        </w:pBdr>
        <w:spacing w:after="200" w:line="276" w:lineRule="auto"/>
        <w:jc w:val="both"/>
        <w:rPr>
          <w:rFonts w:ascii="Garamond" w:eastAsia="Century Gothic" w:hAnsi="Garamond" w:cs="Century Gothic"/>
          <w:color w:val="000000"/>
        </w:rPr>
      </w:pPr>
      <w:r w:rsidRPr="005143F9">
        <w:rPr>
          <w:rFonts w:ascii="Garamond" w:eastAsia="Century Gothic" w:hAnsi="Garamond" w:cs="Century Gothic"/>
          <w:color w:val="000000"/>
        </w:rPr>
        <w:t>De</w:t>
      </w:r>
      <w:r w:rsidR="00BA7E34" w:rsidRPr="005143F9">
        <w:rPr>
          <w:rFonts w:ascii="Garamond" w:eastAsia="Century Gothic" w:hAnsi="Garamond" w:cs="Century Gothic"/>
          <w:color w:val="000000"/>
        </w:rPr>
        <w:t xml:space="preserve">l </w:t>
      </w:r>
      <w:r w:rsidRPr="005143F9">
        <w:rPr>
          <w:rFonts w:ascii="Garamond" w:eastAsia="Century Gothic" w:hAnsi="Garamond" w:cs="Century Gothic"/>
          <w:color w:val="000000"/>
        </w:rPr>
        <w:t>Honorables Representantes:</w:t>
      </w:r>
    </w:p>
    <w:p w14:paraId="4DB016C8" w14:textId="75550D92" w:rsidR="00345FA9" w:rsidRPr="005143F9" w:rsidRDefault="00345FA9" w:rsidP="00725466">
      <w:pPr>
        <w:pBdr>
          <w:top w:val="nil"/>
          <w:left w:val="nil"/>
          <w:bottom w:val="nil"/>
          <w:right w:val="nil"/>
          <w:between w:val="nil"/>
        </w:pBdr>
        <w:spacing w:after="200" w:line="276" w:lineRule="auto"/>
        <w:jc w:val="both"/>
        <w:rPr>
          <w:rFonts w:ascii="Garamond" w:eastAsia="Century Gothic" w:hAnsi="Garamond" w:cs="Century Gothic"/>
          <w:color w:val="000000"/>
        </w:rPr>
      </w:pPr>
    </w:p>
    <w:p w14:paraId="0D80C958" w14:textId="77777777" w:rsidR="00FC1657" w:rsidRPr="005143F9" w:rsidRDefault="00FC1657" w:rsidP="00725466">
      <w:pPr>
        <w:pBdr>
          <w:top w:val="nil"/>
          <w:left w:val="nil"/>
          <w:bottom w:val="nil"/>
          <w:right w:val="nil"/>
          <w:between w:val="nil"/>
        </w:pBdr>
        <w:spacing w:after="200" w:line="276" w:lineRule="auto"/>
        <w:jc w:val="both"/>
        <w:rPr>
          <w:rFonts w:ascii="Garamond" w:eastAsia="Century Gothic" w:hAnsi="Garamond" w:cs="Century Gothic"/>
          <w:color w:val="000000"/>
        </w:rPr>
      </w:pPr>
    </w:p>
    <w:p w14:paraId="50FF30D2" w14:textId="77777777" w:rsidR="00345FA9" w:rsidRPr="005143F9" w:rsidRDefault="00345FA9" w:rsidP="00725466">
      <w:pPr>
        <w:spacing w:before="100" w:beforeAutospacing="1" w:after="120" w:line="276" w:lineRule="auto"/>
        <w:contextualSpacing/>
        <w:jc w:val="both"/>
        <w:rPr>
          <w:rFonts w:ascii="Garamond" w:eastAsia="Century Gothic" w:hAnsi="Garamond" w:cs="Century Gothic"/>
          <w:b/>
        </w:rPr>
      </w:pPr>
      <w:r w:rsidRPr="005143F9">
        <w:rPr>
          <w:rFonts w:ascii="Garamond" w:eastAsia="Century Gothic" w:hAnsi="Garamond" w:cs="Century Gothic"/>
          <w:b/>
        </w:rPr>
        <w:t>JUAN MANUEL DAZA IGUARÁN</w:t>
      </w:r>
    </w:p>
    <w:p w14:paraId="6900D575" w14:textId="77777777" w:rsidR="00345FA9" w:rsidRPr="005143F9" w:rsidRDefault="00345FA9" w:rsidP="00725466">
      <w:pPr>
        <w:spacing w:before="100" w:beforeAutospacing="1" w:after="120" w:line="276" w:lineRule="auto"/>
        <w:contextualSpacing/>
        <w:jc w:val="both"/>
        <w:rPr>
          <w:rFonts w:ascii="Garamond" w:eastAsia="Century Gothic" w:hAnsi="Garamond" w:cs="Century Gothic"/>
        </w:rPr>
      </w:pPr>
      <w:r w:rsidRPr="005143F9">
        <w:rPr>
          <w:rFonts w:ascii="Garamond" w:eastAsia="Century Gothic" w:hAnsi="Garamond" w:cs="Century Gothic"/>
        </w:rPr>
        <w:t>Representante a la Cámara</w:t>
      </w:r>
    </w:p>
    <w:p w14:paraId="45DDBD7F" w14:textId="54134748" w:rsidR="00397011" w:rsidRPr="005143F9" w:rsidRDefault="00345FA9" w:rsidP="00725466">
      <w:pPr>
        <w:pBdr>
          <w:top w:val="nil"/>
          <w:left w:val="nil"/>
          <w:bottom w:val="nil"/>
          <w:right w:val="nil"/>
          <w:between w:val="nil"/>
        </w:pBdr>
        <w:spacing w:after="200" w:line="276" w:lineRule="auto"/>
        <w:jc w:val="both"/>
        <w:rPr>
          <w:rFonts w:ascii="Garamond" w:eastAsia="Century Gothic" w:hAnsi="Garamond" w:cs="Century Gothic"/>
        </w:rPr>
      </w:pPr>
      <w:r w:rsidRPr="005143F9">
        <w:rPr>
          <w:rFonts w:ascii="Garamond" w:eastAsia="Century Gothic" w:hAnsi="Garamond" w:cs="Century Gothic"/>
        </w:rPr>
        <w:t>Partido Centro Democrático</w:t>
      </w:r>
    </w:p>
    <w:tbl>
      <w:tblPr>
        <w:tblStyle w:val="a2"/>
        <w:tblpPr w:leftFromText="141" w:rightFromText="141" w:tblpY="-1022"/>
        <w:tblW w:w="88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15"/>
        <w:gridCol w:w="4340"/>
      </w:tblGrid>
      <w:tr w:rsidR="00345FA9" w:rsidRPr="005143F9" w14:paraId="6DDE1FB0" w14:textId="77777777" w:rsidTr="00120206">
        <w:trPr>
          <w:trHeight w:val="2180"/>
        </w:trPr>
        <w:tc>
          <w:tcPr>
            <w:tcW w:w="4515" w:type="dxa"/>
          </w:tcPr>
          <w:p w14:paraId="6D95A56F" w14:textId="77777777" w:rsidR="00345FA9" w:rsidRPr="005143F9" w:rsidRDefault="00345FA9" w:rsidP="00725466">
            <w:pPr>
              <w:spacing w:line="276" w:lineRule="auto"/>
              <w:jc w:val="both"/>
              <w:rPr>
                <w:rFonts w:ascii="Garamond" w:eastAsia="Century Gothic" w:hAnsi="Garamond" w:cs="Century Gothic"/>
                <w:b/>
              </w:rPr>
            </w:pPr>
          </w:p>
          <w:p w14:paraId="20F88D89" w14:textId="77777777" w:rsidR="00345FA9" w:rsidRPr="005143F9" w:rsidRDefault="00345FA9" w:rsidP="00725466">
            <w:pPr>
              <w:spacing w:line="276" w:lineRule="auto"/>
              <w:jc w:val="both"/>
              <w:rPr>
                <w:rFonts w:ascii="Garamond" w:eastAsia="Century Gothic" w:hAnsi="Garamond" w:cs="Century Gothic"/>
                <w:b/>
              </w:rPr>
            </w:pPr>
          </w:p>
          <w:p w14:paraId="00FBEF0F" w14:textId="71CEAA44" w:rsidR="00345FA9" w:rsidRPr="005143F9" w:rsidRDefault="00345FA9" w:rsidP="00725466">
            <w:pPr>
              <w:spacing w:line="276" w:lineRule="auto"/>
              <w:jc w:val="both"/>
              <w:rPr>
                <w:rFonts w:ascii="Garamond" w:eastAsia="Century Gothic" w:hAnsi="Garamond" w:cs="Century Gothic"/>
              </w:rPr>
            </w:pPr>
          </w:p>
        </w:tc>
        <w:tc>
          <w:tcPr>
            <w:tcW w:w="4340" w:type="dxa"/>
          </w:tcPr>
          <w:p w14:paraId="5C0ED369" w14:textId="77777777" w:rsidR="00345FA9" w:rsidRPr="005143F9" w:rsidRDefault="00345FA9" w:rsidP="00725466">
            <w:pPr>
              <w:spacing w:line="276" w:lineRule="auto"/>
              <w:ind w:left="182" w:hanging="182"/>
              <w:jc w:val="both"/>
              <w:rPr>
                <w:rFonts w:ascii="Garamond" w:eastAsia="Century Gothic" w:hAnsi="Garamond" w:cs="Century Gothic"/>
                <w:b/>
              </w:rPr>
            </w:pPr>
          </w:p>
          <w:p w14:paraId="3FD14F7E" w14:textId="77777777" w:rsidR="00345FA9" w:rsidRPr="005143F9" w:rsidRDefault="00345FA9" w:rsidP="00725466">
            <w:pPr>
              <w:spacing w:line="276" w:lineRule="auto"/>
              <w:ind w:left="182" w:hanging="182"/>
              <w:jc w:val="both"/>
              <w:rPr>
                <w:rFonts w:ascii="Garamond" w:eastAsia="Century Gothic" w:hAnsi="Garamond" w:cs="Century Gothic"/>
                <w:b/>
              </w:rPr>
            </w:pPr>
          </w:p>
          <w:p w14:paraId="5BE36CBD" w14:textId="77777777" w:rsidR="00345FA9" w:rsidRPr="005143F9" w:rsidRDefault="00345FA9" w:rsidP="00725466">
            <w:pPr>
              <w:spacing w:line="276" w:lineRule="auto"/>
              <w:ind w:left="182" w:hanging="182"/>
              <w:jc w:val="both"/>
              <w:rPr>
                <w:rFonts w:ascii="Garamond" w:eastAsia="Century Gothic" w:hAnsi="Garamond" w:cs="Century Gothic"/>
                <w:b/>
              </w:rPr>
            </w:pPr>
          </w:p>
          <w:p w14:paraId="3ECF71F1" w14:textId="77777777" w:rsidR="00345FA9" w:rsidRPr="005143F9" w:rsidRDefault="00345FA9" w:rsidP="00725466">
            <w:pPr>
              <w:spacing w:line="276" w:lineRule="auto"/>
              <w:jc w:val="both"/>
              <w:rPr>
                <w:rFonts w:ascii="Garamond" w:eastAsia="Century Gothic" w:hAnsi="Garamond" w:cs="Century Gothic"/>
                <w:b/>
              </w:rPr>
            </w:pPr>
          </w:p>
          <w:p w14:paraId="3752F7E1" w14:textId="77777777" w:rsidR="00345FA9" w:rsidRPr="005143F9" w:rsidRDefault="00345FA9" w:rsidP="00725466">
            <w:pPr>
              <w:spacing w:line="276" w:lineRule="auto"/>
              <w:jc w:val="both"/>
              <w:rPr>
                <w:rFonts w:ascii="Garamond" w:eastAsia="Century Gothic" w:hAnsi="Garamond" w:cs="Century Gothic"/>
                <w:b/>
              </w:rPr>
            </w:pPr>
          </w:p>
          <w:p w14:paraId="04FC379A" w14:textId="77777777" w:rsidR="00345FA9" w:rsidRPr="005143F9" w:rsidRDefault="00345FA9" w:rsidP="00725466">
            <w:pPr>
              <w:spacing w:line="276" w:lineRule="auto"/>
              <w:jc w:val="both"/>
              <w:rPr>
                <w:rFonts w:ascii="Garamond" w:eastAsia="Century Gothic" w:hAnsi="Garamond" w:cs="Century Gothic"/>
                <w:b/>
              </w:rPr>
            </w:pPr>
          </w:p>
          <w:p w14:paraId="5AEDBFA6" w14:textId="77777777" w:rsidR="00345FA9" w:rsidRPr="005143F9" w:rsidRDefault="00345FA9" w:rsidP="00725466">
            <w:pPr>
              <w:spacing w:line="276" w:lineRule="auto"/>
              <w:ind w:left="182" w:hanging="182"/>
              <w:jc w:val="both"/>
              <w:rPr>
                <w:rFonts w:ascii="Garamond" w:eastAsia="Century Gothic" w:hAnsi="Garamond" w:cs="Century Gothic"/>
                <w:b/>
              </w:rPr>
            </w:pPr>
          </w:p>
        </w:tc>
      </w:tr>
    </w:tbl>
    <w:p w14:paraId="55EC589D" w14:textId="478312AD" w:rsidR="00BE3162" w:rsidRPr="005143F9" w:rsidRDefault="00C00C6D" w:rsidP="00725466">
      <w:pPr>
        <w:pBdr>
          <w:top w:val="nil"/>
          <w:left w:val="nil"/>
          <w:bottom w:val="nil"/>
          <w:right w:val="nil"/>
          <w:between w:val="nil"/>
        </w:pBdr>
        <w:spacing w:after="200" w:line="276" w:lineRule="auto"/>
        <w:jc w:val="center"/>
        <w:rPr>
          <w:rFonts w:ascii="Garamond" w:eastAsia="Century Gothic" w:hAnsi="Garamond" w:cs="Century Gothic"/>
          <w:color w:val="000000"/>
        </w:rPr>
      </w:pPr>
      <w:r w:rsidRPr="005143F9">
        <w:rPr>
          <w:rFonts w:ascii="Garamond" w:eastAsia="Century Gothic" w:hAnsi="Garamond" w:cs="Century Gothic"/>
          <w:b/>
          <w:color w:val="000000"/>
        </w:rPr>
        <w:t>TEXTO PROPUESTO PARA PRIMER DEBATE PROYECTO DE LEY N</w:t>
      </w:r>
      <w:r w:rsidR="00CF17FA" w:rsidRPr="005143F9">
        <w:rPr>
          <w:rFonts w:ascii="Garamond" w:eastAsia="Century Gothic" w:hAnsi="Garamond" w:cs="Century Gothic"/>
          <w:b/>
          <w:color w:val="000000"/>
        </w:rPr>
        <w:t>Ú</w:t>
      </w:r>
      <w:r w:rsidRPr="005143F9">
        <w:rPr>
          <w:rFonts w:ascii="Garamond" w:eastAsia="Century Gothic" w:hAnsi="Garamond" w:cs="Century Gothic"/>
          <w:b/>
          <w:color w:val="000000"/>
        </w:rPr>
        <w:t xml:space="preserve">MERO </w:t>
      </w:r>
      <w:r w:rsidR="009D0364" w:rsidRPr="005143F9">
        <w:rPr>
          <w:rFonts w:ascii="Garamond" w:eastAsia="Century Gothic" w:hAnsi="Garamond" w:cs="Century Gothic"/>
          <w:b/>
          <w:color w:val="000000"/>
        </w:rPr>
        <w:t>047</w:t>
      </w:r>
      <w:r w:rsidRPr="005143F9">
        <w:rPr>
          <w:rFonts w:ascii="Garamond" w:eastAsia="Century Gothic" w:hAnsi="Garamond" w:cs="Century Gothic"/>
          <w:b/>
          <w:color w:val="000000"/>
        </w:rPr>
        <w:t xml:space="preserve"> DE </w:t>
      </w:r>
      <w:r w:rsidR="009D0364" w:rsidRPr="005143F9">
        <w:rPr>
          <w:rFonts w:ascii="Garamond" w:eastAsia="Century Gothic" w:hAnsi="Garamond" w:cs="Century Gothic"/>
          <w:b/>
          <w:color w:val="000000"/>
        </w:rPr>
        <w:t>2021</w:t>
      </w:r>
      <w:r w:rsidRPr="005143F9">
        <w:rPr>
          <w:rFonts w:ascii="Garamond" w:eastAsia="Century Gothic" w:hAnsi="Garamond" w:cs="Century Gothic"/>
          <w:b/>
          <w:color w:val="000000"/>
        </w:rPr>
        <w:t xml:space="preserve"> C</w:t>
      </w:r>
      <w:r w:rsidR="00CF17FA" w:rsidRPr="005143F9">
        <w:rPr>
          <w:rFonts w:ascii="Garamond" w:eastAsia="Century Gothic" w:hAnsi="Garamond" w:cs="Century Gothic"/>
          <w:b/>
          <w:color w:val="000000"/>
        </w:rPr>
        <w:t>Á</w:t>
      </w:r>
      <w:r w:rsidRPr="005143F9">
        <w:rPr>
          <w:rFonts w:ascii="Garamond" w:eastAsia="Century Gothic" w:hAnsi="Garamond" w:cs="Century Gothic"/>
          <w:b/>
          <w:color w:val="000000"/>
        </w:rPr>
        <w:t>MARA</w:t>
      </w:r>
    </w:p>
    <w:p w14:paraId="3202C462" w14:textId="77777777" w:rsidR="009D0364" w:rsidRPr="005143F9" w:rsidRDefault="009D0364" w:rsidP="00725466">
      <w:pPr>
        <w:pBdr>
          <w:top w:val="nil"/>
          <w:left w:val="nil"/>
          <w:bottom w:val="nil"/>
          <w:right w:val="nil"/>
          <w:between w:val="nil"/>
        </w:pBdr>
        <w:spacing w:after="200" w:line="276" w:lineRule="auto"/>
        <w:jc w:val="center"/>
        <w:rPr>
          <w:rFonts w:ascii="Garamond" w:eastAsia="Times" w:hAnsi="Garamond" w:cs="Times"/>
          <w:i/>
          <w:color w:val="000000"/>
          <w:lang w:eastAsia="es-MX"/>
        </w:rPr>
      </w:pPr>
      <w:r w:rsidRPr="005143F9">
        <w:rPr>
          <w:rFonts w:ascii="Garamond" w:eastAsia="Times" w:hAnsi="Garamond" w:cs="Times"/>
          <w:i/>
          <w:color w:val="000000"/>
          <w:lang w:eastAsia="es-MX"/>
        </w:rPr>
        <w:t>“Por medio del cual se modifica el artículo 347 de la ley 599 de 2000”</w:t>
      </w:r>
    </w:p>
    <w:p w14:paraId="7C6D15AB" w14:textId="7F8A8878" w:rsidR="00BE3162" w:rsidRPr="005143F9" w:rsidRDefault="00C00C6D" w:rsidP="00725466">
      <w:pPr>
        <w:pBdr>
          <w:top w:val="nil"/>
          <w:left w:val="nil"/>
          <w:bottom w:val="nil"/>
          <w:right w:val="nil"/>
          <w:between w:val="nil"/>
        </w:pBdr>
        <w:spacing w:after="200" w:line="276" w:lineRule="auto"/>
        <w:jc w:val="center"/>
        <w:rPr>
          <w:rFonts w:ascii="Garamond" w:eastAsia="Century Gothic" w:hAnsi="Garamond" w:cs="Century Gothic"/>
          <w:i/>
        </w:rPr>
      </w:pPr>
      <w:r w:rsidRPr="005143F9">
        <w:rPr>
          <w:rFonts w:ascii="Garamond" w:eastAsia="Century Gothic" w:hAnsi="Garamond" w:cs="Century Gothic"/>
          <w:b/>
          <w:color w:val="000000"/>
        </w:rPr>
        <w:t>El Congreso de Colombia</w:t>
      </w:r>
    </w:p>
    <w:p w14:paraId="7FE53F26" w14:textId="77777777" w:rsidR="00BE3162" w:rsidRPr="005143F9" w:rsidRDefault="00C00C6D" w:rsidP="00725466">
      <w:pPr>
        <w:pBdr>
          <w:top w:val="nil"/>
          <w:left w:val="nil"/>
          <w:bottom w:val="nil"/>
          <w:right w:val="nil"/>
          <w:between w:val="nil"/>
        </w:pBdr>
        <w:spacing w:after="200" w:line="276" w:lineRule="auto"/>
        <w:jc w:val="center"/>
        <w:rPr>
          <w:rFonts w:ascii="Garamond" w:eastAsia="Century Gothic" w:hAnsi="Garamond" w:cs="Century Gothic"/>
          <w:b/>
          <w:color w:val="000000"/>
        </w:rPr>
      </w:pPr>
      <w:r w:rsidRPr="005143F9">
        <w:rPr>
          <w:rFonts w:ascii="Garamond" w:eastAsia="Century Gothic" w:hAnsi="Garamond" w:cs="Century Gothic"/>
          <w:b/>
          <w:color w:val="000000"/>
        </w:rPr>
        <w:t xml:space="preserve">Decreta: </w:t>
      </w:r>
    </w:p>
    <w:p w14:paraId="1B94EE76" w14:textId="26AC97E8" w:rsidR="009D0364" w:rsidRPr="005143F9" w:rsidRDefault="009D0364" w:rsidP="00725466">
      <w:pPr>
        <w:spacing w:line="276" w:lineRule="auto"/>
        <w:jc w:val="both"/>
        <w:rPr>
          <w:rFonts w:ascii="Garamond" w:eastAsia="Times" w:hAnsi="Garamond" w:cs="Times"/>
        </w:rPr>
      </w:pPr>
      <w:r w:rsidRPr="005143F9">
        <w:rPr>
          <w:rFonts w:ascii="Garamond" w:eastAsia="Times" w:hAnsi="Garamond" w:cs="Times"/>
          <w:b/>
        </w:rPr>
        <w:t>Artículo 1°.</w:t>
      </w:r>
      <w:r w:rsidRPr="005143F9">
        <w:rPr>
          <w:rFonts w:ascii="Garamond" w:eastAsia="Times" w:hAnsi="Garamond" w:cs="Times"/>
        </w:rPr>
        <w:t xml:space="preserve"> Modifíquese el artículo </w:t>
      </w:r>
      <w:r w:rsidR="00FD1D2B" w:rsidRPr="000770D0">
        <w:rPr>
          <w:rFonts w:ascii="Garamond" w:eastAsia="Times" w:hAnsi="Garamond" w:cs="Times"/>
          <w:b/>
        </w:rPr>
        <w:t>347</w:t>
      </w:r>
      <w:r w:rsidRPr="005143F9">
        <w:rPr>
          <w:rFonts w:ascii="Garamond" w:eastAsia="Times" w:hAnsi="Garamond" w:cs="Times"/>
        </w:rPr>
        <w:t xml:space="preserve"> de la ley 599 de 2000 el cual quedará así: </w:t>
      </w:r>
    </w:p>
    <w:p w14:paraId="52D5E179" w14:textId="5E9F5CF2" w:rsidR="009D0364" w:rsidRPr="005143F9" w:rsidRDefault="009D0364" w:rsidP="00725466">
      <w:pPr>
        <w:spacing w:line="276" w:lineRule="auto"/>
        <w:jc w:val="both"/>
        <w:rPr>
          <w:rFonts w:ascii="Garamond" w:eastAsia="Times" w:hAnsi="Garamond" w:cs="Times"/>
        </w:rPr>
      </w:pPr>
    </w:p>
    <w:p w14:paraId="794E61E9" w14:textId="3EEEB5BF" w:rsidR="009D0364" w:rsidRPr="005143F9" w:rsidRDefault="009D0364" w:rsidP="00725466">
      <w:pPr>
        <w:spacing w:line="276" w:lineRule="auto"/>
        <w:ind w:left="720"/>
        <w:jc w:val="both"/>
        <w:rPr>
          <w:rFonts w:ascii="Garamond" w:eastAsia="Times" w:hAnsi="Garamond" w:cs="Times"/>
        </w:rPr>
      </w:pPr>
      <w:r w:rsidRPr="005143F9">
        <w:rPr>
          <w:rFonts w:ascii="Garamond" w:eastAsia="Times" w:hAnsi="Garamond" w:cs="Times"/>
          <w:b/>
        </w:rPr>
        <w:t>ARTICULO 347. AMENAZAS.</w:t>
      </w:r>
      <w:r w:rsidRPr="005143F9">
        <w:rPr>
          <w:rFonts w:ascii="Garamond" w:eastAsia="Times" w:hAnsi="Garamond" w:cs="Times"/>
        </w:rPr>
        <w:t xml:space="preserve"> El que por cualquier medio atemorice o amenace a una persona, familia, comunidad o institución, con el propósito de causar alarma, zozobra o terror en la población o en un sector de ella, incurrirá por esta sola conducta, en prisión de cuatro (4) a ocho (8) años y multa de </w:t>
      </w:r>
      <w:proofErr w:type="gramStart"/>
      <w:r w:rsidRPr="005143F9">
        <w:rPr>
          <w:rFonts w:ascii="Garamond" w:eastAsia="Times" w:hAnsi="Garamond" w:cs="Times"/>
        </w:rPr>
        <w:t>trece punto</w:t>
      </w:r>
      <w:proofErr w:type="gramEnd"/>
      <w:r w:rsidRPr="005143F9">
        <w:rPr>
          <w:rFonts w:ascii="Garamond" w:eastAsia="Times" w:hAnsi="Garamond" w:cs="Times"/>
        </w:rPr>
        <w:t xml:space="preserve"> treinta y tres (13.33) a ciento cincuenta (150) salarios mínimos legales mensuales vigentes.</w:t>
      </w:r>
    </w:p>
    <w:p w14:paraId="4F0F21ED" w14:textId="77777777" w:rsidR="009D0364" w:rsidRPr="005143F9" w:rsidRDefault="009D0364" w:rsidP="00725466">
      <w:pPr>
        <w:spacing w:line="276" w:lineRule="auto"/>
        <w:ind w:left="720"/>
        <w:jc w:val="both"/>
        <w:rPr>
          <w:rFonts w:ascii="Garamond" w:eastAsia="Times" w:hAnsi="Garamond" w:cs="Times"/>
        </w:rPr>
      </w:pPr>
    </w:p>
    <w:p w14:paraId="12956BB9" w14:textId="77777777" w:rsidR="009D0364" w:rsidRPr="005143F9" w:rsidRDefault="009D0364" w:rsidP="00725466">
      <w:pPr>
        <w:spacing w:line="276" w:lineRule="auto"/>
        <w:ind w:left="720"/>
        <w:jc w:val="both"/>
        <w:rPr>
          <w:rFonts w:ascii="Garamond" w:eastAsia="Times" w:hAnsi="Garamond" w:cs="Times"/>
        </w:rPr>
      </w:pPr>
      <w:r w:rsidRPr="005143F9">
        <w:rPr>
          <w:rFonts w:ascii="Garamond" w:eastAsia="Times" w:hAnsi="Garamond" w:cs="Times"/>
        </w:rPr>
        <w:t xml:space="preserve">Si la amenaza o intimidación recayere sobre un miembro de una organización sindical, periodista, </w:t>
      </w:r>
      <w:r w:rsidRPr="005143F9">
        <w:rPr>
          <w:rFonts w:ascii="Garamond" w:eastAsia="Times" w:hAnsi="Garamond" w:cs="Times"/>
          <w:b/>
          <w:u w:val="single"/>
        </w:rPr>
        <w:t>talento humano en salud</w:t>
      </w:r>
      <w:r w:rsidRPr="005143F9">
        <w:rPr>
          <w:rFonts w:ascii="Garamond" w:eastAsia="Times" w:hAnsi="Garamond" w:cs="Times"/>
        </w:rPr>
        <w:t xml:space="preserve"> o sus familiares, en razón o con ocasión al cargo o función que desempeñe, la pena se aumentará en una tercera parte.</w:t>
      </w:r>
    </w:p>
    <w:p w14:paraId="78B9AFB4" w14:textId="650B8B8E" w:rsidR="009D0364" w:rsidRPr="005143F9" w:rsidRDefault="009D0364" w:rsidP="00725466">
      <w:pPr>
        <w:spacing w:line="276" w:lineRule="auto"/>
        <w:jc w:val="both"/>
        <w:rPr>
          <w:rFonts w:ascii="Garamond" w:eastAsia="Times" w:hAnsi="Garamond" w:cs="Times"/>
          <w:color w:val="000000"/>
          <w:highlight w:val="white"/>
        </w:rPr>
      </w:pPr>
    </w:p>
    <w:p w14:paraId="06968F4B" w14:textId="77777777" w:rsidR="009D0364" w:rsidRPr="005143F9" w:rsidRDefault="009D0364" w:rsidP="00725466">
      <w:pPr>
        <w:spacing w:line="276" w:lineRule="auto"/>
        <w:jc w:val="both"/>
        <w:rPr>
          <w:rFonts w:ascii="Garamond" w:eastAsia="Times" w:hAnsi="Garamond" w:cs="Times"/>
        </w:rPr>
      </w:pPr>
      <w:r w:rsidRPr="005143F9">
        <w:rPr>
          <w:rFonts w:ascii="Garamond" w:eastAsia="Times" w:hAnsi="Garamond" w:cs="Times"/>
          <w:b/>
          <w:color w:val="000000"/>
          <w:highlight w:val="white"/>
        </w:rPr>
        <w:t>Artículo 2°.</w:t>
      </w:r>
      <w:r w:rsidRPr="005143F9">
        <w:rPr>
          <w:rFonts w:ascii="Garamond" w:eastAsia="Times" w:hAnsi="Garamond" w:cs="Times"/>
          <w:color w:val="000000"/>
          <w:highlight w:val="white"/>
        </w:rPr>
        <w:t xml:space="preserve"> </w:t>
      </w:r>
      <w:r w:rsidRPr="005143F9">
        <w:rPr>
          <w:rFonts w:ascii="Garamond" w:eastAsia="Times" w:hAnsi="Garamond" w:cs="Times"/>
          <w:b/>
          <w:color w:val="000000"/>
          <w:highlight w:val="white"/>
        </w:rPr>
        <w:t>Vigencia.</w:t>
      </w:r>
      <w:r w:rsidRPr="005143F9">
        <w:rPr>
          <w:rFonts w:ascii="Garamond" w:eastAsia="Times" w:hAnsi="Garamond" w:cs="Times"/>
          <w:color w:val="000000"/>
          <w:highlight w:val="white"/>
        </w:rPr>
        <w:t xml:space="preserve"> Esta norma entrará a regir desde el momento de su promulgación.</w:t>
      </w:r>
    </w:p>
    <w:p w14:paraId="088C4156" w14:textId="7704AA16" w:rsidR="00345FA9" w:rsidRPr="005143F9" w:rsidRDefault="00345FA9" w:rsidP="00725466">
      <w:pPr>
        <w:pStyle w:val="Normal2"/>
        <w:spacing w:after="0" w:line="276" w:lineRule="auto"/>
        <w:jc w:val="both"/>
        <w:rPr>
          <w:rFonts w:ascii="Garamond" w:eastAsia="Arial" w:hAnsi="Garamond" w:cs="Arial"/>
          <w:b/>
          <w:sz w:val="24"/>
          <w:szCs w:val="24"/>
        </w:rPr>
      </w:pPr>
    </w:p>
    <w:p w14:paraId="08FDF266" w14:textId="1148F5D2" w:rsidR="009D0364" w:rsidRPr="005143F9" w:rsidRDefault="009D0364" w:rsidP="00725466">
      <w:pPr>
        <w:pStyle w:val="Normal2"/>
        <w:spacing w:after="0" w:line="276" w:lineRule="auto"/>
        <w:jc w:val="both"/>
        <w:rPr>
          <w:rFonts w:ascii="Garamond" w:eastAsia="Arial" w:hAnsi="Garamond" w:cs="Arial"/>
          <w:b/>
          <w:sz w:val="24"/>
          <w:szCs w:val="24"/>
        </w:rPr>
      </w:pPr>
    </w:p>
    <w:p w14:paraId="370B26B2" w14:textId="77777777" w:rsidR="009D0364" w:rsidRPr="005143F9" w:rsidRDefault="009D0364" w:rsidP="00725466">
      <w:pPr>
        <w:pStyle w:val="Normal2"/>
        <w:spacing w:after="0" w:line="276" w:lineRule="auto"/>
        <w:jc w:val="both"/>
        <w:rPr>
          <w:rFonts w:ascii="Garamond" w:eastAsia="Arial" w:hAnsi="Garamond" w:cs="Arial"/>
          <w:sz w:val="24"/>
          <w:szCs w:val="24"/>
        </w:rPr>
      </w:pPr>
    </w:p>
    <w:p w14:paraId="34CFAE7B" w14:textId="729BB794" w:rsidR="00BE3162" w:rsidRPr="005143F9" w:rsidRDefault="00C00C6D" w:rsidP="00725466">
      <w:pPr>
        <w:pBdr>
          <w:top w:val="nil"/>
          <w:left w:val="nil"/>
          <w:bottom w:val="nil"/>
          <w:right w:val="nil"/>
          <w:between w:val="nil"/>
        </w:pBdr>
        <w:spacing w:after="200" w:line="276" w:lineRule="auto"/>
        <w:jc w:val="both"/>
        <w:rPr>
          <w:rFonts w:ascii="Garamond" w:eastAsia="Century Gothic" w:hAnsi="Garamond" w:cs="Century Gothic"/>
          <w:color w:val="000000"/>
        </w:rPr>
      </w:pPr>
      <w:r w:rsidRPr="005143F9">
        <w:rPr>
          <w:rFonts w:ascii="Garamond" w:eastAsia="Century Gothic" w:hAnsi="Garamond" w:cs="Century Gothic"/>
          <w:color w:val="000000"/>
        </w:rPr>
        <w:t>De</w:t>
      </w:r>
      <w:r w:rsidR="00BA7E34" w:rsidRPr="005143F9">
        <w:rPr>
          <w:rFonts w:ascii="Garamond" w:eastAsia="Century Gothic" w:hAnsi="Garamond" w:cs="Century Gothic"/>
          <w:color w:val="000000"/>
        </w:rPr>
        <w:t xml:space="preserve">l </w:t>
      </w:r>
      <w:r w:rsidRPr="005143F9">
        <w:rPr>
          <w:rFonts w:ascii="Garamond" w:eastAsia="Century Gothic" w:hAnsi="Garamond" w:cs="Century Gothic"/>
          <w:color w:val="000000"/>
        </w:rPr>
        <w:t>Honorables Representantes:</w:t>
      </w:r>
    </w:p>
    <w:tbl>
      <w:tblPr>
        <w:tblStyle w:val="a4"/>
        <w:tblW w:w="885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28"/>
        <w:gridCol w:w="4424"/>
      </w:tblGrid>
      <w:tr w:rsidR="00BE3162" w:rsidRPr="005143F9" w14:paraId="55794928" w14:textId="77777777">
        <w:trPr>
          <w:trHeight w:val="2180"/>
        </w:trPr>
        <w:tc>
          <w:tcPr>
            <w:tcW w:w="4428" w:type="dxa"/>
          </w:tcPr>
          <w:p w14:paraId="1E656174" w14:textId="77777777" w:rsidR="00BE3162" w:rsidRPr="005143F9" w:rsidRDefault="00BE3162" w:rsidP="00725466">
            <w:pPr>
              <w:spacing w:line="276" w:lineRule="auto"/>
              <w:jc w:val="both"/>
              <w:rPr>
                <w:rFonts w:ascii="Garamond" w:eastAsia="Century Gothic" w:hAnsi="Garamond" w:cs="Century Gothic"/>
                <w:b/>
              </w:rPr>
            </w:pPr>
          </w:p>
          <w:p w14:paraId="32585E88" w14:textId="77777777" w:rsidR="00BE3162" w:rsidRPr="005143F9" w:rsidRDefault="00BE3162" w:rsidP="00725466">
            <w:pPr>
              <w:spacing w:line="276" w:lineRule="auto"/>
              <w:jc w:val="both"/>
              <w:rPr>
                <w:rFonts w:ascii="Garamond" w:eastAsia="Century Gothic" w:hAnsi="Garamond" w:cs="Century Gothic"/>
                <w:b/>
              </w:rPr>
            </w:pPr>
          </w:p>
          <w:p w14:paraId="032F5483" w14:textId="77777777" w:rsidR="00BE3162" w:rsidRPr="005143F9" w:rsidRDefault="00BE3162" w:rsidP="00725466">
            <w:pPr>
              <w:spacing w:line="276" w:lineRule="auto"/>
              <w:jc w:val="both"/>
              <w:rPr>
                <w:rFonts w:ascii="Garamond" w:eastAsia="Century Gothic" w:hAnsi="Garamond" w:cs="Century Gothic"/>
                <w:b/>
              </w:rPr>
            </w:pPr>
          </w:p>
          <w:p w14:paraId="49C9D58B" w14:textId="77777777" w:rsidR="00BE3162" w:rsidRPr="005143F9" w:rsidRDefault="00E10A6D" w:rsidP="00725466">
            <w:pPr>
              <w:tabs>
                <w:tab w:val="left" w:pos="1427"/>
              </w:tabs>
              <w:spacing w:line="276" w:lineRule="auto"/>
              <w:jc w:val="both"/>
              <w:rPr>
                <w:rFonts w:ascii="Garamond" w:eastAsia="Century Gothic" w:hAnsi="Garamond" w:cs="Century Gothic"/>
                <w:b/>
              </w:rPr>
            </w:pPr>
            <w:r w:rsidRPr="005143F9">
              <w:rPr>
                <w:rFonts w:ascii="Garamond" w:eastAsia="Century Gothic" w:hAnsi="Garamond" w:cs="Century Gothic"/>
                <w:b/>
              </w:rPr>
              <w:tab/>
            </w:r>
          </w:p>
          <w:p w14:paraId="5F1218ED" w14:textId="77777777" w:rsidR="00BE3162" w:rsidRPr="005143F9" w:rsidRDefault="00BE3162" w:rsidP="00725466">
            <w:pPr>
              <w:spacing w:line="276" w:lineRule="auto"/>
              <w:jc w:val="both"/>
              <w:rPr>
                <w:rFonts w:ascii="Garamond" w:eastAsia="Century Gothic" w:hAnsi="Garamond" w:cs="Century Gothic"/>
                <w:b/>
              </w:rPr>
            </w:pPr>
          </w:p>
          <w:p w14:paraId="54532E5D" w14:textId="77777777" w:rsidR="00BE3162" w:rsidRPr="005143F9" w:rsidRDefault="00BE3162" w:rsidP="00725466">
            <w:pPr>
              <w:spacing w:line="276" w:lineRule="auto"/>
              <w:jc w:val="both"/>
              <w:rPr>
                <w:rFonts w:ascii="Garamond" w:eastAsia="Century Gothic" w:hAnsi="Garamond" w:cs="Century Gothic"/>
                <w:b/>
              </w:rPr>
            </w:pPr>
          </w:p>
          <w:p w14:paraId="16267FB4" w14:textId="77777777" w:rsidR="00BE3162" w:rsidRPr="005143F9" w:rsidRDefault="00C00C6D" w:rsidP="00725466">
            <w:pPr>
              <w:spacing w:line="276" w:lineRule="auto"/>
              <w:jc w:val="both"/>
              <w:rPr>
                <w:rFonts w:ascii="Garamond" w:eastAsia="Century Gothic" w:hAnsi="Garamond" w:cs="Century Gothic"/>
                <w:b/>
              </w:rPr>
            </w:pPr>
            <w:r w:rsidRPr="005143F9">
              <w:rPr>
                <w:rFonts w:ascii="Garamond" w:eastAsia="Century Gothic" w:hAnsi="Garamond" w:cs="Century Gothic"/>
                <w:b/>
              </w:rPr>
              <w:t>JUAN MANUEL DAZA IGUARÁN</w:t>
            </w:r>
          </w:p>
          <w:p w14:paraId="5DFDCEAA" w14:textId="77777777" w:rsidR="00BE3162" w:rsidRPr="005143F9" w:rsidRDefault="00C00C6D" w:rsidP="00725466">
            <w:pPr>
              <w:spacing w:line="276" w:lineRule="auto"/>
              <w:jc w:val="both"/>
              <w:rPr>
                <w:rFonts w:ascii="Garamond" w:eastAsia="Century Gothic" w:hAnsi="Garamond" w:cs="Century Gothic"/>
              </w:rPr>
            </w:pPr>
            <w:r w:rsidRPr="005143F9">
              <w:rPr>
                <w:rFonts w:ascii="Garamond" w:eastAsia="Century Gothic" w:hAnsi="Garamond" w:cs="Century Gothic"/>
              </w:rPr>
              <w:t>Representante a la Cámara</w:t>
            </w:r>
          </w:p>
          <w:p w14:paraId="6CEE4B63" w14:textId="77777777" w:rsidR="00BE3162" w:rsidRPr="005143F9" w:rsidRDefault="00C00C6D" w:rsidP="00725466">
            <w:pPr>
              <w:spacing w:line="276" w:lineRule="auto"/>
              <w:jc w:val="both"/>
              <w:rPr>
                <w:rFonts w:ascii="Garamond" w:eastAsia="Century Gothic" w:hAnsi="Garamond" w:cs="Century Gothic"/>
              </w:rPr>
            </w:pPr>
            <w:r w:rsidRPr="005143F9">
              <w:rPr>
                <w:rFonts w:ascii="Garamond" w:eastAsia="Century Gothic" w:hAnsi="Garamond" w:cs="Century Gothic"/>
              </w:rPr>
              <w:t>Partido Centro Democrático</w:t>
            </w:r>
          </w:p>
        </w:tc>
        <w:tc>
          <w:tcPr>
            <w:tcW w:w="4424" w:type="dxa"/>
          </w:tcPr>
          <w:p w14:paraId="0CCF09EE" w14:textId="77777777" w:rsidR="00BE3162" w:rsidRPr="005143F9" w:rsidRDefault="00BE3162" w:rsidP="00725466">
            <w:pPr>
              <w:spacing w:line="276" w:lineRule="auto"/>
              <w:ind w:left="182" w:hanging="182"/>
              <w:jc w:val="both"/>
              <w:rPr>
                <w:rFonts w:ascii="Garamond" w:eastAsia="Century Gothic" w:hAnsi="Garamond" w:cs="Century Gothic"/>
                <w:b/>
              </w:rPr>
            </w:pPr>
          </w:p>
          <w:p w14:paraId="7DBCB7C3" w14:textId="77777777" w:rsidR="00BE3162" w:rsidRPr="005143F9" w:rsidRDefault="00BE3162" w:rsidP="00725466">
            <w:pPr>
              <w:spacing w:line="276" w:lineRule="auto"/>
              <w:ind w:left="182" w:hanging="182"/>
              <w:jc w:val="both"/>
              <w:rPr>
                <w:rFonts w:ascii="Garamond" w:eastAsia="Century Gothic" w:hAnsi="Garamond" w:cs="Century Gothic"/>
                <w:b/>
              </w:rPr>
            </w:pPr>
          </w:p>
          <w:p w14:paraId="4BE2BEE8" w14:textId="77777777" w:rsidR="00BE3162" w:rsidRPr="005143F9" w:rsidRDefault="00BE3162" w:rsidP="00725466">
            <w:pPr>
              <w:spacing w:line="276" w:lineRule="auto"/>
              <w:ind w:left="182" w:hanging="182"/>
              <w:jc w:val="both"/>
              <w:rPr>
                <w:rFonts w:ascii="Garamond" w:eastAsia="Century Gothic" w:hAnsi="Garamond" w:cs="Century Gothic"/>
                <w:b/>
              </w:rPr>
            </w:pPr>
          </w:p>
          <w:p w14:paraId="54C2A8EA" w14:textId="77777777" w:rsidR="00BE3162" w:rsidRPr="005143F9" w:rsidRDefault="00BE3162" w:rsidP="00725466">
            <w:pPr>
              <w:spacing w:line="276" w:lineRule="auto"/>
              <w:ind w:left="182" w:hanging="182"/>
              <w:jc w:val="both"/>
              <w:rPr>
                <w:rFonts w:ascii="Garamond" w:eastAsia="Century Gothic" w:hAnsi="Garamond" w:cs="Century Gothic"/>
                <w:b/>
              </w:rPr>
            </w:pPr>
          </w:p>
          <w:p w14:paraId="4AD702A8" w14:textId="77777777" w:rsidR="00BE3162" w:rsidRPr="005143F9" w:rsidRDefault="00BE3162" w:rsidP="00725466">
            <w:pPr>
              <w:spacing w:line="276" w:lineRule="auto"/>
              <w:jc w:val="both"/>
              <w:rPr>
                <w:rFonts w:ascii="Garamond" w:eastAsia="Century Gothic" w:hAnsi="Garamond" w:cs="Century Gothic"/>
                <w:b/>
              </w:rPr>
            </w:pPr>
          </w:p>
          <w:p w14:paraId="4BB763B7" w14:textId="6A519B47" w:rsidR="00BE3162" w:rsidRPr="005143F9" w:rsidRDefault="00BE3162" w:rsidP="00725466">
            <w:pPr>
              <w:spacing w:line="276" w:lineRule="auto"/>
              <w:ind w:left="182" w:hanging="182"/>
              <w:jc w:val="both"/>
              <w:rPr>
                <w:rFonts w:ascii="Garamond" w:eastAsia="Century Gothic" w:hAnsi="Garamond" w:cs="Century Gothic"/>
                <w:b/>
              </w:rPr>
            </w:pPr>
          </w:p>
        </w:tc>
      </w:tr>
    </w:tbl>
    <w:p w14:paraId="3E5F8DC7" w14:textId="57BEDF83" w:rsidR="00BE3162" w:rsidRPr="005143F9" w:rsidRDefault="00BE3162" w:rsidP="00725466">
      <w:pPr>
        <w:pBdr>
          <w:top w:val="nil"/>
          <w:left w:val="nil"/>
          <w:bottom w:val="nil"/>
          <w:right w:val="nil"/>
          <w:between w:val="nil"/>
        </w:pBdr>
        <w:spacing w:after="200" w:line="276" w:lineRule="auto"/>
        <w:jc w:val="both"/>
        <w:rPr>
          <w:rFonts w:ascii="Garamond" w:eastAsia="Century Gothic" w:hAnsi="Garamond" w:cs="Century Gothic"/>
          <w:color w:val="000000"/>
        </w:rPr>
      </w:pPr>
    </w:p>
    <w:p w14:paraId="509193EF" w14:textId="77777777" w:rsidR="00BA7E34" w:rsidRPr="005143F9" w:rsidRDefault="00BA7E34" w:rsidP="00725466">
      <w:pPr>
        <w:pBdr>
          <w:top w:val="nil"/>
          <w:left w:val="nil"/>
          <w:bottom w:val="nil"/>
          <w:right w:val="nil"/>
          <w:between w:val="nil"/>
        </w:pBdr>
        <w:spacing w:after="200" w:line="276" w:lineRule="auto"/>
        <w:jc w:val="both"/>
        <w:rPr>
          <w:rFonts w:ascii="Garamond" w:eastAsia="Century Gothic" w:hAnsi="Garamond" w:cs="Century Gothic"/>
          <w:color w:val="000000"/>
        </w:rPr>
      </w:pPr>
    </w:p>
    <w:sectPr w:rsidR="00BA7E34" w:rsidRPr="005143F9">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A50BF" w14:textId="77777777" w:rsidR="00D20FFD" w:rsidRDefault="00D20FFD">
      <w:r>
        <w:separator/>
      </w:r>
    </w:p>
  </w:endnote>
  <w:endnote w:type="continuationSeparator" w:id="0">
    <w:p w14:paraId="0A673F6A" w14:textId="77777777" w:rsidR="00D20FFD" w:rsidRDefault="00D2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24AC2" w14:textId="2793FF84" w:rsidR="00B352B9" w:rsidRDefault="00B352B9" w:rsidP="00B352B9">
    <w:pPr>
      <w:pStyle w:val="Piedepgina"/>
      <w:jc w:val="center"/>
      <w:rPr>
        <w:rFonts w:ascii="Century Gothic" w:hAnsi="Century Gothic"/>
        <w:sz w:val="18"/>
        <w:szCs w:val="18"/>
      </w:rPr>
    </w:pPr>
    <w:r w:rsidRPr="005F21C3">
      <w:rPr>
        <w:noProof/>
        <w:sz w:val="16"/>
        <w:szCs w:val="16"/>
        <w:lang w:eastAsia="es-CO"/>
      </w:rPr>
      <w:drawing>
        <wp:inline distT="0" distB="0" distL="0" distR="0" wp14:anchorId="64EBB89A" wp14:editId="4215C87B">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139ADF1A" w14:textId="77777777" w:rsidR="00B352B9" w:rsidRPr="00DB07DF" w:rsidRDefault="00B352B9" w:rsidP="00B352B9">
    <w:pPr>
      <w:pStyle w:val="Piedepgina"/>
      <w:jc w:val="center"/>
      <w:rPr>
        <w:rFonts w:ascii="Century Gothic" w:hAnsi="Century Gothic"/>
        <w:sz w:val="18"/>
        <w:szCs w:val="18"/>
      </w:rPr>
    </w:pPr>
    <w:r w:rsidRPr="00DB07DF">
      <w:rPr>
        <w:rFonts w:ascii="Century Gothic" w:hAnsi="Century Gothic"/>
        <w:sz w:val="18"/>
        <w:szCs w:val="18"/>
      </w:rPr>
      <w:t xml:space="preserve">Edificio Nuevo del Congreso de la República. </w:t>
    </w:r>
  </w:p>
  <w:p w14:paraId="376DAE21" w14:textId="77777777" w:rsidR="00B352B9" w:rsidRPr="00DB07DF" w:rsidRDefault="00B352B9" w:rsidP="00B352B9">
    <w:pPr>
      <w:pStyle w:val="Piedepgina"/>
      <w:jc w:val="center"/>
      <w:rPr>
        <w:rFonts w:ascii="Century Gothic" w:hAnsi="Century Gothic"/>
        <w:sz w:val="18"/>
        <w:szCs w:val="18"/>
      </w:rPr>
    </w:pPr>
    <w:r w:rsidRPr="00DB07DF">
      <w:rPr>
        <w:rFonts w:ascii="Century Gothic" w:hAnsi="Century Gothic"/>
        <w:sz w:val="18"/>
        <w:szCs w:val="18"/>
      </w:rPr>
      <w:t>Carrera 7 # 8 -68 Bogotá D.C – Oficina 417B y 418B – Casillero 77 – Teléfono 4325100 Ext: 3642</w:t>
    </w:r>
  </w:p>
  <w:p w14:paraId="26C1369E" w14:textId="74A29D6A" w:rsidR="0055187D" w:rsidRPr="00B352B9" w:rsidRDefault="00D20FFD" w:rsidP="00B352B9">
    <w:pPr>
      <w:pStyle w:val="Piedepgina"/>
      <w:jc w:val="center"/>
      <w:rPr>
        <w:rFonts w:ascii="Century Gothic" w:hAnsi="Century Gothic"/>
        <w:sz w:val="18"/>
        <w:szCs w:val="18"/>
      </w:rPr>
    </w:pPr>
    <w:hyperlink r:id="rId2" w:history="1">
      <w:r w:rsidR="00B352B9" w:rsidRPr="006B32AC">
        <w:rPr>
          <w:rStyle w:val="Hipervnculo"/>
          <w:rFonts w:ascii="Century Gothic" w:hAnsi="Century Gothic"/>
          <w:sz w:val="18"/>
          <w:szCs w:val="18"/>
        </w:rPr>
        <w:t>juanm.daza@camara.gov.co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1339E" w14:textId="77777777" w:rsidR="00D20FFD" w:rsidRDefault="00D20FFD">
      <w:r>
        <w:separator/>
      </w:r>
    </w:p>
  </w:footnote>
  <w:footnote w:type="continuationSeparator" w:id="0">
    <w:p w14:paraId="05EDAF79" w14:textId="77777777" w:rsidR="00D20FFD" w:rsidRDefault="00D20FFD">
      <w:r>
        <w:continuationSeparator/>
      </w:r>
    </w:p>
  </w:footnote>
  <w:footnote w:id="1">
    <w:p w14:paraId="45B7E70B" w14:textId="77777777" w:rsidR="0002683F" w:rsidRPr="00C64EEA" w:rsidRDefault="0002683F" w:rsidP="0002683F">
      <w:pPr>
        <w:pBdr>
          <w:top w:val="nil"/>
          <w:left w:val="nil"/>
          <w:bottom w:val="nil"/>
          <w:right w:val="nil"/>
          <w:between w:val="nil"/>
        </w:pBdr>
        <w:rPr>
          <w:rFonts w:ascii="Garamond" w:hAnsi="Garamond"/>
          <w:color w:val="000000"/>
          <w:sz w:val="22"/>
        </w:rPr>
      </w:pPr>
      <w:r w:rsidRPr="00C64EEA">
        <w:rPr>
          <w:rFonts w:ascii="Garamond" w:hAnsi="Garamond"/>
          <w:sz w:val="22"/>
          <w:vertAlign w:val="superscript"/>
        </w:rPr>
        <w:footnoteRef/>
      </w:r>
      <w:r w:rsidRPr="00C64EEA">
        <w:rPr>
          <w:rFonts w:ascii="Garamond" w:hAnsi="Garamond"/>
          <w:color w:val="000000"/>
          <w:sz w:val="22"/>
        </w:rPr>
        <w:t xml:space="preserve"> Tomado de http://www.unesco.org/archives/multimedia/document-2800</w:t>
      </w:r>
    </w:p>
  </w:footnote>
  <w:footnote w:id="2">
    <w:p w14:paraId="3B277420" w14:textId="77777777" w:rsidR="0002683F" w:rsidRPr="002C510C" w:rsidRDefault="0002683F" w:rsidP="002C510C">
      <w:pPr>
        <w:pBdr>
          <w:top w:val="nil"/>
          <w:left w:val="nil"/>
          <w:bottom w:val="nil"/>
          <w:right w:val="nil"/>
          <w:between w:val="nil"/>
        </w:pBdr>
        <w:jc w:val="both"/>
        <w:rPr>
          <w:rFonts w:ascii="Garamond" w:hAnsi="Garamond"/>
          <w:color w:val="000000"/>
          <w:sz w:val="22"/>
          <w:szCs w:val="22"/>
        </w:rPr>
      </w:pPr>
      <w:r w:rsidRPr="002C510C">
        <w:rPr>
          <w:rFonts w:ascii="Garamond" w:hAnsi="Garamond"/>
          <w:sz w:val="22"/>
          <w:szCs w:val="22"/>
          <w:vertAlign w:val="superscript"/>
        </w:rPr>
        <w:footnoteRef/>
      </w:r>
      <w:r w:rsidRPr="002C510C">
        <w:rPr>
          <w:rFonts w:ascii="Garamond" w:hAnsi="Garamond"/>
          <w:color w:val="000000"/>
          <w:sz w:val="22"/>
          <w:szCs w:val="22"/>
        </w:rPr>
        <w:t xml:space="preserve"> Tomado de: https://www.policia.gov.co/contenido/amenazas-2020-0</w:t>
      </w:r>
    </w:p>
  </w:footnote>
  <w:footnote w:id="3">
    <w:p w14:paraId="739ED560" w14:textId="77777777" w:rsidR="0002683F" w:rsidRPr="002C510C" w:rsidRDefault="0002683F" w:rsidP="002C510C">
      <w:pPr>
        <w:pBdr>
          <w:top w:val="nil"/>
          <w:left w:val="nil"/>
          <w:bottom w:val="nil"/>
          <w:right w:val="nil"/>
          <w:between w:val="nil"/>
        </w:pBdr>
        <w:jc w:val="both"/>
        <w:rPr>
          <w:rFonts w:ascii="Garamond" w:hAnsi="Garamond"/>
          <w:color w:val="000000"/>
          <w:sz w:val="22"/>
          <w:szCs w:val="22"/>
        </w:rPr>
      </w:pPr>
      <w:r w:rsidRPr="002C510C">
        <w:rPr>
          <w:rFonts w:ascii="Garamond" w:hAnsi="Garamond"/>
          <w:sz w:val="22"/>
          <w:szCs w:val="22"/>
          <w:vertAlign w:val="superscript"/>
        </w:rPr>
        <w:footnoteRef/>
      </w:r>
      <w:r w:rsidRPr="002C510C">
        <w:rPr>
          <w:rFonts w:ascii="Garamond" w:hAnsi="Garamond"/>
          <w:color w:val="000000"/>
          <w:sz w:val="22"/>
          <w:szCs w:val="22"/>
        </w:rPr>
        <w:t xml:space="preserve"> Tomado de: https://noticias.canal1.com.co/nacional/cuantos-medicos-han-sido-amenazados-durante-pandemia/</w:t>
      </w:r>
    </w:p>
  </w:footnote>
  <w:footnote w:id="4">
    <w:p w14:paraId="2F6CB757" w14:textId="77777777" w:rsidR="0002683F" w:rsidRDefault="0002683F" w:rsidP="002C510C">
      <w:pPr>
        <w:pBdr>
          <w:top w:val="nil"/>
          <w:left w:val="nil"/>
          <w:bottom w:val="nil"/>
          <w:right w:val="nil"/>
          <w:between w:val="nil"/>
        </w:pBdr>
        <w:jc w:val="both"/>
        <w:rPr>
          <w:color w:val="000000"/>
          <w:sz w:val="20"/>
          <w:szCs w:val="20"/>
        </w:rPr>
      </w:pPr>
      <w:r w:rsidRPr="002C510C">
        <w:rPr>
          <w:rFonts w:ascii="Garamond" w:hAnsi="Garamond"/>
          <w:sz w:val="22"/>
          <w:szCs w:val="22"/>
          <w:vertAlign w:val="superscript"/>
        </w:rPr>
        <w:footnoteRef/>
      </w:r>
      <w:r w:rsidRPr="002C510C">
        <w:rPr>
          <w:rFonts w:ascii="Garamond" w:hAnsi="Garamond"/>
          <w:color w:val="000000"/>
          <w:sz w:val="22"/>
          <w:szCs w:val="22"/>
        </w:rPr>
        <w:t xml:space="preserve"> Tomado de: https://covid19.minsalud.gov.co</w:t>
      </w:r>
    </w:p>
  </w:footnote>
  <w:footnote w:id="5">
    <w:p w14:paraId="78C25AFF" w14:textId="77777777" w:rsidR="0002683F" w:rsidRPr="005143F9" w:rsidRDefault="0002683F" w:rsidP="005143F9">
      <w:pPr>
        <w:pBdr>
          <w:top w:val="nil"/>
          <w:left w:val="nil"/>
          <w:bottom w:val="nil"/>
          <w:right w:val="nil"/>
          <w:between w:val="nil"/>
        </w:pBdr>
        <w:jc w:val="both"/>
        <w:rPr>
          <w:rFonts w:ascii="Garamond" w:hAnsi="Garamond"/>
          <w:color w:val="000000"/>
          <w:sz w:val="22"/>
          <w:szCs w:val="22"/>
        </w:rPr>
      </w:pPr>
      <w:r w:rsidRPr="005143F9">
        <w:rPr>
          <w:rFonts w:ascii="Garamond" w:hAnsi="Garamond"/>
          <w:sz w:val="22"/>
          <w:szCs w:val="22"/>
          <w:vertAlign w:val="superscript"/>
        </w:rPr>
        <w:footnoteRef/>
      </w:r>
      <w:r w:rsidRPr="005143F9">
        <w:rPr>
          <w:rFonts w:ascii="Garamond" w:hAnsi="Garamond"/>
          <w:color w:val="000000"/>
          <w:sz w:val="22"/>
          <w:szCs w:val="22"/>
        </w:rPr>
        <w:t xml:space="preserve"> </w:t>
      </w:r>
      <w:r w:rsidRPr="005143F9">
        <w:rPr>
          <w:rFonts w:ascii="Garamond" w:eastAsia="Times" w:hAnsi="Garamond" w:cs="Times"/>
          <w:color w:val="2D2D2D"/>
          <w:sz w:val="22"/>
          <w:szCs w:val="22"/>
          <w:highlight w:val="white"/>
        </w:rPr>
        <w:t>Sentencias: T-358 de 2003, M.P. Jaime Araujo Rentería; T-671 de 2009, M.P. Jorge Ignacio Pretelt y T-104 de 2010, M.P. Jorge Iván Palacio.</w:t>
      </w:r>
    </w:p>
  </w:footnote>
  <w:footnote w:id="6">
    <w:p w14:paraId="5329D309" w14:textId="77777777" w:rsidR="0002683F" w:rsidRDefault="0002683F" w:rsidP="005143F9">
      <w:pPr>
        <w:pBdr>
          <w:top w:val="nil"/>
          <w:left w:val="nil"/>
          <w:bottom w:val="nil"/>
          <w:right w:val="nil"/>
          <w:between w:val="nil"/>
        </w:pBdr>
        <w:jc w:val="both"/>
        <w:rPr>
          <w:color w:val="000000"/>
          <w:sz w:val="20"/>
          <w:szCs w:val="20"/>
        </w:rPr>
      </w:pPr>
      <w:r w:rsidRPr="005143F9">
        <w:rPr>
          <w:rFonts w:ascii="Garamond" w:hAnsi="Garamond"/>
          <w:sz w:val="22"/>
          <w:szCs w:val="22"/>
          <w:vertAlign w:val="superscript"/>
        </w:rPr>
        <w:footnoteRef/>
      </w:r>
      <w:r w:rsidRPr="005143F9">
        <w:rPr>
          <w:rFonts w:ascii="Garamond" w:hAnsi="Garamond"/>
          <w:color w:val="000000"/>
          <w:sz w:val="22"/>
          <w:szCs w:val="22"/>
        </w:rPr>
        <w:t xml:space="preserve"> Guzmán, F. 2011, El concepto de riesgo en medicina, Recuperado de: http://www.scielo.org.co/scielo.php?script=sci_arttext&amp;pid=S0121-52562011000200011</w:t>
      </w:r>
    </w:p>
  </w:footnote>
  <w:footnote w:id="7">
    <w:p w14:paraId="27464E0E" w14:textId="5340E64B" w:rsidR="00FB7339" w:rsidRPr="00C36758" w:rsidRDefault="00FB7339">
      <w:pPr>
        <w:pStyle w:val="Textonotapie"/>
        <w:rPr>
          <w:rFonts w:ascii="Garamond" w:hAnsi="Garamond"/>
        </w:rPr>
      </w:pPr>
      <w:r w:rsidRPr="00C36758">
        <w:rPr>
          <w:rStyle w:val="Refdenotaalpie"/>
          <w:rFonts w:ascii="Garamond" w:hAnsi="Garamond"/>
          <w:sz w:val="22"/>
        </w:rPr>
        <w:footnoteRef/>
      </w:r>
      <w:r w:rsidRPr="00C36758">
        <w:rPr>
          <w:rFonts w:ascii="Garamond" w:hAnsi="Garamond"/>
          <w:sz w:val="22"/>
        </w:rPr>
        <w:t xml:space="preserve"> Tomado de: Concepto sobre el PL 259/20C “por medio [de la] cual se modifica el artículo 347 de la Ley 599 de 2000”.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5275B" w14:textId="77777777" w:rsidR="0055187D" w:rsidRDefault="0055187D" w:rsidP="00C51026">
    <w:pPr>
      <w:pBdr>
        <w:top w:val="nil"/>
        <w:left w:val="nil"/>
        <w:bottom w:val="nil"/>
        <w:right w:val="nil"/>
        <w:between w:val="nil"/>
      </w:pBdr>
      <w:tabs>
        <w:tab w:val="center" w:pos="4419"/>
        <w:tab w:val="right" w:pos="8838"/>
      </w:tabs>
      <w:jc w:val="center"/>
      <w:rPr>
        <w:rFonts w:ascii="Arial" w:eastAsia="Arial" w:hAnsi="Arial" w:cs="Arial"/>
        <w:color w:val="000000"/>
      </w:rPr>
    </w:pPr>
    <w:r>
      <w:rPr>
        <w:rFonts w:ascii="Arial" w:eastAsia="Arial" w:hAnsi="Arial" w:cs="Arial"/>
        <w:noProof/>
        <w:color w:val="000000"/>
        <w:lang w:eastAsia="es-CO"/>
      </w:rPr>
      <w:drawing>
        <wp:inline distT="0" distB="0" distL="0" distR="0" wp14:anchorId="674444DA" wp14:editId="411254D5">
          <wp:extent cx="3190880" cy="944240"/>
          <wp:effectExtent l="0" t="0" r="0" b="0"/>
          <wp:docPr id="14" name="image7.png"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7.png" descr="Imagen que contiene dibujo&#10;&#10;Descripción generada automáticamente"/>
                  <pic:cNvPicPr preferRelativeResize="0"/>
                </pic:nvPicPr>
                <pic:blipFill>
                  <a:blip r:embed="rId1"/>
                  <a:srcRect/>
                  <a:stretch>
                    <a:fillRect/>
                  </a:stretch>
                </pic:blipFill>
                <pic:spPr>
                  <a:xfrm>
                    <a:off x="0" y="0"/>
                    <a:ext cx="3190880" cy="944240"/>
                  </a:xfrm>
                  <a:prstGeom prst="rect">
                    <a:avLst/>
                  </a:prstGeom>
                  <a:ln/>
                </pic:spPr>
              </pic:pic>
            </a:graphicData>
          </a:graphic>
        </wp:inline>
      </w:drawing>
    </w:r>
    <w:r>
      <w:rPr>
        <w:rFonts w:ascii="Arial" w:eastAsia="Arial" w:hAnsi="Arial" w:cs="Arial"/>
        <w:color w:val="000000"/>
      </w:rPr>
      <w:t xml:space="preserve">   </w:t>
    </w:r>
    <w:r>
      <w:rPr>
        <w:noProof/>
        <w:lang w:eastAsia="es-CO"/>
      </w:rPr>
      <w:drawing>
        <wp:inline distT="0" distB="0" distL="0" distR="0" wp14:anchorId="774D4FF5" wp14:editId="6C016F60">
          <wp:extent cx="1607127" cy="901268"/>
          <wp:effectExtent l="0" t="0" r="6350" b="635"/>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4-12 a la(s) 3.23.46 p. m..png"/>
                  <pic:cNvPicPr/>
                </pic:nvPicPr>
                <pic:blipFill>
                  <a:blip r:embed="rId2">
                    <a:extLst>
                      <a:ext uri="{28A0092B-C50C-407E-A947-70E740481C1C}">
                        <a14:useLocalDpi xmlns:a14="http://schemas.microsoft.com/office/drawing/2010/main" val="0"/>
                      </a:ext>
                    </a:extLst>
                  </a:blip>
                  <a:stretch>
                    <a:fillRect/>
                  </a:stretch>
                </pic:blipFill>
                <pic:spPr>
                  <a:xfrm>
                    <a:off x="0" y="0"/>
                    <a:ext cx="1649399" cy="924974"/>
                  </a:xfrm>
                  <a:prstGeom prst="rect">
                    <a:avLst/>
                  </a:prstGeom>
                </pic:spPr>
              </pic:pic>
            </a:graphicData>
          </a:graphic>
        </wp:inline>
      </w:drawing>
    </w:r>
  </w:p>
  <w:p w14:paraId="54F38CEC" w14:textId="77777777" w:rsidR="0055187D" w:rsidRDefault="0055187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3D3"/>
    <w:multiLevelType w:val="multilevel"/>
    <w:tmpl w:val="09BE3B30"/>
    <w:lvl w:ilvl="0">
      <w:start w:val="1"/>
      <w:numFmt w:val="lowerLetter"/>
      <w:lvlText w:val="%1)"/>
      <w:lvlJc w:val="left"/>
      <w:pPr>
        <w:ind w:left="720" w:hanging="360"/>
      </w:pPr>
      <w:rPr>
        <w:rFonts w:hint="default"/>
        <w:b/>
        <w:color w:val="52525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3E23B6"/>
    <w:multiLevelType w:val="multilevel"/>
    <w:tmpl w:val="47B69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A82F70"/>
    <w:multiLevelType w:val="multilevel"/>
    <w:tmpl w:val="09BE3B30"/>
    <w:lvl w:ilvl="0">
      <w:start w:val="1"/>
      <w:numFmt w:val="lowerLetter"/>
      <w:lvlText w:val="%1)"/>
      <w:lvlJc w:val="left"/>
      <w:pPr>
        <w:ind w:left="720" w:hanging="360"/>
      </w:pPr>
      <w:rPr>
        <w:rFonts w:hint="default"/>
        <w:b/>
        <w:color w:val="52525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C85420"/>
    <w:multiLevelType w:val="hybridMultilevel"/>
    <w:tmpl w:val="FF84078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2F0B7144"/>
    <w:multiLevelType w:val="hybridMultilevel"/>
    <w:tmpl w:val="239699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283792F"/>
    <w:multiLevelType w:val="multilevel"/>
    <w:tmpl w:val="CB482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E36770"/>
    <w:multiLevelType w:val="hybridMultilevel"/>
    <w:tmpl w:val="85D0E058"/>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E272D67"/>
    <w:multiLevelType w:val="multilevel"/>
    <w:tmpl w:val="EA101114"/>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40937669"/>
    <w:multiLevelType w:val="multilevel"/>
    <w:tmpl w:val="CC60F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AB39FD"/>
    <w:multiLevelType w:val="hybridMultilevel"/>
    <w:tmpl w:val="1062FDC8"/>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E136F21"/>
    <w:multiLevelType w:val="hybridMultilevel"/>
    <w:tmpl w:val="9F76062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5C949A6"/>
    <w:multiLevelType w:val="multilevel"/>
    <w:tmpl w:val="5ED23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86740F2"/>
    <w:multiLevelType w:val="hybridMultilevel"/>
    <w:tmpl w:val="ED2E8DBE"/>
    <w:lvl w:ilvl="0" w:tplc="5B86B6A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A94CDE"/>
    <w:multiLevelType w:val="hybridMultilevel"/>
    <w:tmpl w:val="8514F380"/>
    <w:lvl w:ilvl="0" w:tplc="5B86B6A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4FB2B01"/>
    <w:multiLevelType w:val="multilevel"/>
    <w:tmpl w:val="0534D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B3A70FE"/>
    <w:multiLevelType w:val="hybridMultilevel"/>
    <w:tmpl w:val="09E6180C"/>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6F626212"/>
    <w:multiLevelType w:val="hybridMultilevel"/>
    <w:tmpl w:val="30C8E44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15"/>
  </w:num>
  <w:num w:numId="5">
    <w:abstractNumId w:val="1"/>
  </w:num>
  <w:num w:numId="6">
    <w:abstractNumId w:val="16"/>
  </w:num>
  <w:num w:numId="7">
    <w:abstractNumId w:val="10"/>
  </w:num>
  <w:num w:numId="8">
    <w:abstractNumId w:val="5"/>
  </w:num>
  <w:num w:numId="9">
    <w:abstractNumId w:val="2"/>
  </w:num>
  <w:num w:numId="10">
    <w:abstractNumId w:val="6"/>
  </w:num>
  <w:num w:numId="11">
    <w:abstractNumId w:val="14"/>
  </w:num>
  <w:num w:numId="12">
    <w:abstractNumId w:val="13"/>
  </w:num>
  <w:num w:numId="13">
    <w:abstractNumId w:val="9"/>
  </w:num>
  <w:num w:numId="14">
    <w:abstractNumId w:val="17"/>
  </w:num>
  <w:num w:numId="15">
    <w:abstractNumId w:val="12"/>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62"/>
    <w:rsid w:val="0001036E"/>
    <w:rsid w:val="0002683F"/>
    <w:rsid w:val="000430F5"/>
    <w:rsid w:val="000770D0"/>
    <w:rsid w:val="000A4D83"/>
    <w:rsid w:val="0010279B"/>
    <w:rsid w:val="00105512"/>
    <w:rsid w:val="00123069"/>
    <w:rsid w:val="00124747"/>
    <w:rsid w:val="00125707"/>
    <w:rsid w:val="00134A5B"/>
    <w:rsid w:val="00156E92"/>
    <w:rsid w:val="001D3B72"/>
    <w:rsid w:val="002155A5"/>
    <w:rsid w:val="002469CF"/>
    <w:rsid w:val="00280373"/>
    <w:rsid w:val="002871B4"/>
    <w:rsid w:val="002B4527"/>
    <w:rsid w:val="002C510C"/>
    <w:rsid w:val="002D69A3"/>
    <w:rsid w:val="002D7FEA"/>
    <w:rsid w:val="00345FA9"/>
    <w:rsid w:val="00397011"/>
    <w:rsid w:val="003A31F1"/>
    <w:rsid w:val="003F4A6E"/>
    <w:rsid w:val="00405B37"/>
    <w:rsid w:val="00407762"/>
    <w:rsid w:val="00420EE8"/>
    <w:rsid w:val="00480E59"/>
    <w:rsid w:val="005143F9"/>
    <w:rsid w:val="00516648"/>
    <w:rsid w:val="00542F23"/>
    <w:rsid w:val="0055187D"/>
    <w:rsid w:val="0058350A"/>
    <w:rsid w:val="005A481D"/>
    <w:rsid w:val="005B7B92"/>
    <w:rsid w:val="005E096A"/>
    <w:rsid w:val="00620556"/>
    <w:rsid w:val="006562AD"/>
    <w:rsid w:val="00656588"/>
    <w:rsid w:val="00663F7D"/>
    <w:rsid w:val="006D25AC"/>
    <w:rsid w:val="00725082"/>
    <w:rsid w:val="00725466"/>
    <w:rsid w:val="007526D9"/>
    <w:rsid w:val="00783469"/>
    <w:rsid w:val="007F4599"/>
    <w:rsid w:val="008152D1"/>
    <w:rsid w:val="00837F4C"/>
    <w:rsid w:val="00862070"/>
    <w:rsid w:val="0086280E"/>
    <w:rsid w:val="00864B74"/>
    <w:rsid w:val="00871FED"/>
    <w:rsid w:val="0087506F"/>
    <w:rsid w:val="008A2F2F"/>
    <w:rsid w:val="008C7B8A"/>
    <w:rsid w:val="008F79E4"/>
    <w:rsid w:val="009149BE"/>
    <w:rsid w:val="00925F4F"/>
    <w:rsid w:val="009300AD"/>
    <w:rsid w:val="009C5463"/>
    <w:rsid w:val="009D0364"/>
    <w:rsid w:val="00A272FF"/>
    <w:rsid w:val="00A836BB"/>
    <w:rsid w:val="00AD5B72"/>
    <w:rsid w:val="00B352B9"/>
    <w:rsid w:val="00B6172E"/>
    <w:rsid w:val="00B81A57"/>
    <w:rsid w:val="00B8340D"/>
    <w:rsid w:val="00BA7E34"/>
    <w:rsid w:val="00BC0C1F"/>
    <w:rsid w:val="00BD5B49"/>
    <w:rsid w:val="00BE3162"/>
    <w:rsid w:val="00C00C6D"/>
    <w:rsid w:val="00C36758"/>
    <w:rsid w:val="00C50CE4"/>
    <w:rsid w:val="00C51026"/>
    <w:rsid w:val="00C54CCD"/>
    <w:rsid w:val="00C64EEA"/>
    <w:rsid w:val="00C83088"/>
    <w:rsid w:val="00CB305F"/>
    <w:rsid w:val="00CD7E21"/>
    <w:rsid w:val="00CE3353"/>
    <w:rsid w:val="00CF17FA"/>
    <w:rsid w:val="00D05C84"/>
    <w:rsid w:val="00D146B9"/>
    <w:rsid w:val="00D20FFD"/>
    <w:rsid w:val="00D22157"/>
    <w:rsid w:val="00D94D8C"/>
    <w:rsid w:val="00DA2551"/>
    <w:rsid w:val="00DA2A92"/>
    <w:rsid w:val="00DA5E9F"/>
    <w:rsid w:val="00DF4FBF"/>
    <w:rsid w:val="00E02208"/>
    <w:rsid w:val="00E10A6D"/>
    <w:rsid w:val="00E2588B"/>
    <w:rsid w:val="00E378BF"/>
    <w:rsid w:val="00ED7F68"/>
    <w:rsid w:val="00EF5AA5"/>
    <w:rsid w:val="00F14896"/>
    <w:rsid w:val="00FB7339"/>
    <w:rsid w:val="00FC1657"/>
    <w:rsid w:val="00FD1D2B"/>
    <w:rsid w:val="00FF37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1250F"/>
  <w15:docId w15:val="{AF527F55-CE3E-7840-887E-3B31AE06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E8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F3E08"/>
    <w:pPr>
      <w:spacing w:before="100" w:beforeAutospacing="1" w:after="100" w:afterAutospacing="1"/>
    </w:pPr>
  </w:style>
  <w:style w:type="paragraph" w:styleId="Textodeglobo">
    <w:name w:val="Balloon Text"/>
    <w:basedOn w:val="Normal"/>
    <w:link w:val="TextodegloboCar"/>
    <w:uiPriority w:val="99"/>
    <w:semiHidden/>
    <w:unhideWhenUsed/>
    <w:rsid w:val="00003624"/>
    <w:rPr>
      <w:rFonts w:eastAsiaTheme="minorHAnsi"/>
      <w:noProof/>
      <w:sz w:val="18"/>
      <w:szCs w:val="18"/>
      <w:lang w:val="es-ES" w:eastAsia="en-US"/>
    </w:rPr>
  </w:style>
  <w:style w:type="character" w:customStyle="1" w:styleId="TextodegloboCar">
    <w:name w:val="Texto de globo Car"/>
    <w:basedOn w:val="Fuentedeprrafopredeter"/>
    <w:link w:val="Textodeglobo"/>
    <w:uiPriority w:val="99"/>
    <w:semiHidden/>
    <w:rsid w:val="00003624"/>
    <w:rPr>
      <w:rFonts w:ascii="Times New Roman" w:hAnsi="Times New Roman" w:cs="Times New Roman"/>
      <w:noProof/>
      <w:sz w:val="18"/>
      <w:szCs w:val="18"/>
      <w:lang w:val="es-ES"/>
    </w:rPr>
  </w:style>
  <w:style w:type="character" w:customStyle="1" w:styleId="apple-converted-space">
    <w:name w:val="apple-converted-space"/>
    <w:basedOn w:val="Fuentedeprrafopredeter"/>
    <w:rsid w:val="00025D12"/>
  </w:style>
  <w:style w:type="table" w:styleId="Tablaconcuadrcula">
    <w:name w:val="Table Grid"/>
    <w:basedOn w:val="Tablanormal"/>
    <w:uiPriority w:val="39"/>
    <w:rsid w:val="00EB4E80"/>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407762"/>
    <w:pPr>
      <w:ind w:left="720"/>
      <w:contextualSpacing/>
    </w:pPr>
  </w:style>
  <w:style w:type="paragraph" w:styleId="Textonotapie">
    <w:name w:val="footnote text"/>
    <w:basedOn w:val="Normal"/>
    <w:link w:val="TextonotapieCar"/>
    <w:uiPriority w:val="99"/>
    <w:semiHidden/>
    <w:unhideWhenUsed/>
    <w:rsid w:val="00BC0C1F"/>
    <w:rPr>
      <w:sz w:val="20"/>
      <w:szCs w:val="20"/>
    </w:rPr>
  </w:style>
  <w:style w:type="character" w:customStyle="1" w:styleId="TextonotapieCar">
    <w:name w:val="Texto nota pie Car"/>
    <w:basedOn w:val="Fuentedeprrafopredeter"/>
    <w:link w:val="Textonotapie"/>
    <w:uiPriority w:val="99"/>
    <w:semiHidden/>
    <w:rsid w:val="00BC0C1F"/>
    <w:rPr>
      <w:sz w:val="20"/>
      <w:szCs w:val="20"/>
    </w:rPr>
  </w:style>
  <w:style w:type="character" w:styleId="Refdenotaalpie">
    <w:name w:val="footnote reference"/>
    <w:basedOn w:val="Fuentedeprrafopredeter"/>
    <w:uiPriority w:val="99"/>
    <w:semiHidden/>
    <w:unhideWhenUsed/>
    <w:rsid w:val="00BC0C1F"/>
    <w:rPr>
      <w:vertAlign w:val="superscript"/>
    </w:rPr>
  </w:style>
  <w:style w:type="character" w:styleId="Hipervnculo">
    <w:name w:val="Hyperlink"/>
    <w:basedOn w:val="Fuentedeprrafopredeter"/>
    <w:uiPriority w:val="99"/>
    <w:unhideWhenUsed/>
    <w:rsid w:val="00BC0C1F"/>
    <w:rPr>
      <w:color w:val="0000FF"/>
      <w:u w:val="single"/>
    </w:rPr>
  </w:style>
  <w:style w:type="character" w:customStyle="1" w:styleId="Mencinsinresolver1">
    <w:name w:val="Mención sin resolver1"/>
    <w:basedOn w:val="Fuentedeprrafopredeter"/>
    <w:uiPriority w:val="99"/>
    <w:semiHidden/>
    <w:unhideWhenUsed/>
    <w:rsid w:val="00BC0C1F"/>
    <w:rPr>
      <w:color w:val="605E5C"/>
      <w:shd w:val="clear" w:color="auto" w:fill="E1DFDD"/>
    </w:rPr>
  </w:style>
  <w:style w:type="paragraph" w:styleId="Encabezado">
    <w:name w:val="header"/>
    <w:basedOn w:val="Normal"/>
    <w:link w:val="EncabezadoCar"/>
    <w:uiPriority w:val="99"/>
    <w:unhideWhenUsed/>
    <w:rsid w:val="00C51026"/>
    <w:pPr>
      <w:tabs>
        <w:tab w:val="center" w:pos="4419"/>
        <w:tab w:val="right" w:pos="8838"/>
      </w:tabs>
    </w:pPr>
  </w:style>
  <w:style w:type="character" w:customStyle="1" w:styleId="EncabezadoCar">
    <w:name w:val="Encabezado Car"/>
    <w:basedOn w:val="Fuentedeprrafopredeter"/>
    <w:link w:val="Encabezado"/>
    <w:uiPriority w:val="99"/>
    <w:rsid w:val="00C51026"/>
  </w:style>
  <w:style w:type="paragraph" w:styleId="Piedepgina">
    <w:name w:val="footer"/>
    <w:basedOn w:val="Normal"/>
    <w:link w:val="PiedepginaCar"/>
    <w:uiPriority w:val="99"/>
    <w:unhideWhenUsed/>
    <w:rsid w:val="00C51026"/>
    <w:pPr>
      <w:tabs>
        <w:tab w:val="center" w:pos="4419"/>
        <w:tab w:val="right" w:pos="8838"/>
      </w:tabs>
    </w:pPr>
  </w:style>
  <w:style w:type="character" w:customStyle="1" w:styleId="PiedepginaCar">
    <w:name w:val="Pie de página Car"/>
    <w:basedOn w:val="Fuentedeprrafopredeter"/>
    <w:link w:val="Piedepgina"/>
    <w:uiPriority w:val="99"/>
    <w:rsid w:val="00C51026"/>
  </w:style>
  <w:style w:type="paragraph" w:customStyle="1" w:styleId="Normal2">
    <w:name w:val="Normal2"/>
    <w:rsid w:val="0058350A"/>
    <w:pPr>
      <w:spacing w:after="160" w:line="259" w:lineRule="auto"/>
    </w:pPr>
    <w:rPr>
      <w:rFonts w:ascii="Calibri" w:eastAsia="Calibri" w:hAnsi="Calibri" w:cs="Calibri"/>
      <w:sz w:val="22"/>
      <w:szCs w:val="22"/>
      <w:lang w:eastAsia="es-ES"/>
    </w:rPr>
  </w:style>
  <w:style w:type="paragraph" w:customStyle="1" w:styleId="Default">
    <w:name w:val="Default"/>
    <w:rsid w:val="0002683F"/>
    <w:pPr>
      <w:autoSpaceDE w:val="0"/>
      <w:autoSpaceDN w:val="0"/>
      <w:adjustRightInd w:val="0"/>
    </w:pPr>
    <w:rPr>
      <w:rFonts w:ascii="Bookman Old Style" w:eastAsiaTheme="minorHAnsi" w:hAnsi="Bookman Old Style" w:cs="Bookman Old Style"/>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5039">
      <w:bodyDiv w:val="1"/>
      <w:marLeft w:val="0"/>
      <w:marRight w:val="0"/>
      <w:marTop w:val="0"/>
      <w:marBottom w:val="0"/>
      <w:divBdr>
        <w:top w:val="none" w:sz="0" w:space="0" w:color="auto"/>
        <w:left w:val="none" w:sz="0" w:space="0" w:color="auto"/>
        <w:bottom w:val="none" w:sz="0" w:space="0" w:color="auto"/>
        <w:right w:val="none" w:sz="0" w:space="0" w:color="auto"/>
      </w:divBdr>
    </w:div>
    <w:div w:id="92018118">
      <w:bodyDiv w:val="1"/>
      <w:marLeft w:val="0"/>
      <w:marRight w:val="0"/>
      <w:marTop w:val="0"/>
      <w:marBottom w:val="0"/>
      <w:divBdr>
        <w:top w:val="none" w:sz="0" w:space="0" w:color="auto"/>
        <w:left w:val="none" w:sz="0" w:space="0" w:color="auto"/>
        <w:bottom w:val="none" w:sz="0" w:space="0" w:color="auto"/>
        <w:right w:val="none" w:sz="0" w:space="0" w:color="auto"/>
      </w:divBdr>
    </w:div>
    <w:div w:id="846015955">
      <w:bodyDiv w:val="1"/>
      <w:marLeft w:val="0"/>
      <w:marRight w:val="0"/>
      <w:marTop w:val="0"/>
      <w:marBottom w:val="0"/>
      <w:divBdr>
        <w:top w:val="none" w:sz="0" w:space="0" w:color="auto"/>
        <w:left w:val="none" w:sz="0" w:space="0" w:color="auto"/>
        <w:bottom w:val="none" w:sz="0" w:space="0" w:color="auto"/>
        <w:right w:val="none" w:sz="0" w:space="0" w:color="auto"/>
      </w:divBdr>
    </w:div>
    <w:div w:id="1220703126">
      <w:bodyDiv w:val="1"/>
      <w:marLeft w:val="0"/>
      <w:marRight w:val="0"/>
      <w:marTop w:val="0"/>
      <w:marBottom w:val="0"/>
      <w:divBdr>
        <w:top w:val="none" w:sz="0" w:space="0" w:color="auto"/>
        <w:left w:val="none" w:sz="0" w:space="0" w:color="auto"/>
        <w:bottom w:val="none" w:sz="0" w:space="0" w:color="auto"/>
        <w:right w:val="none" w:sz="0" w:space="0" w:color="auto"/>
      </w:divBdr>
    </w:div>
    <w:div w:id="1306205586">
      <w:bodyDiv w:val="1"/>
      <w:marLeft w:val="0"/>
      <w:marRight w:val="0"/>
      <w:marTop w:val="0"/>
      <w:marBottom w:val="0"/>
      <w:divBdr>
        <w:top w:val="none" w:sz="0" w:space="0" w:color="auto"/>
        <w:left w:val="none" w:sz="0" w:space="0" w:color="auto"/>
        <w:bottom w:val="none" w:sz="0" w:space="0" w:color="auto"/>
        <w:right w:val="none" w:sz="0" w:space="0" w:color="auto"/>
      </w:divBdr>
    </w:div>
    <w:div w:id="1606888980">
      <w:bodyDiv w:val="1"/>
      <w:marLeft w:val="0"/>
      <w:marRight w:val="0"/>
      <w:marTop w:val="0"/>
      <w:marBottom w:val="0"/>
      <w:divBdr>
        <w:top w:val="none" w:sz="0" w:space="0" w:color="auto"/>
        <w:left w:val="none" w:sz="0" w:space="0" w:color="auto"/>
        <w:bottom w:val="none" w:sz="0" w:space="0" w:color="auto"/>
        <w:right w:val="none" w:sz="0" w:space="0" w:color="auto"/>
      </w:divBdr>
    </w:div>
    <w:div w:id="1707484093">
      <w:bodyDiv w:val="1"/>
      <w:marLeft w:val="0"/>
      <w:marRight w:val="0"/>
      <w:marTop w:val="0"/>
      <w:marBottom w:val="0"/>
      <w:divBdr>
        <w:top w:val="none" w:sz="0" w:space="0" w:color="auto"/>
        <w:left w:val="none" w:sz="0" w:space="0" w:color="auto"/>
        <w:bottom w:val="none" w:sz="0" w:space="0" w:color="auto"/>
        <w:right w:val="none" w:sz="0" w:space="0" w:color="auto"/>
      </w:divBdr>
      <w:divsChild>
        <w:div w:id="2033260738">
          <w:marLeft w:val="0"/>
          <w:marRight w:val="0"/>
          <w:marTop w:val="0"/>
          <w:marBottom w:val="0"/>
          <w:divBdr>
            <w:top w:val="none" w:sz="0" w:space="0" w:color="auto"/>
            <w:left w:val="none" w:sz="0" w:space="0" w:color="auto"/>
            <w:bottom w:val="none" w:sz="0" w:space="0" w:color="auto"/>
            <w:right w:val="none" w:sz="0" w:space="0" w:color="auto"/>
          </w:divBdr>
          <w:divsChild>
            <w:div w:id="1279676204">
              <w:marLeft w:val="0"/>
              <w:marRight w:val="0"/>
              <w:marTop w:val="0"/>
              <w:marBottom w:val="0"/>
              <w:divBdr>
                <w:top w:val="none" w:sz="0" w:space="0" w:color="auto"/>
                <w:left w:val="none" w:sz="0" w:space="0" w:color="auto"/>
                <w:bottom w:val="none" w:sz="0" w:space="0" w:color="auto"/>
                <w:right w:val="none" w:sz="0" w:space="0" w:color="auto"/>
              </w:divBdr>
              <w:divsChild>
                <w:div w:id="2396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25868">
      <w:bodyDiv w:val="1"/>
      <w:marLeft w:val="0"/>
      <w:marRight w:val="0"/>
      <w:marTop w:val="0"/>
      <w:marBottom w:val="0"/>
      <w:divBdr>
        <w:top w:val="none" w:sz="0" w:space="0" w:color="auto"/>
        <w:left w:val="none" w:sz="0" w:space="0" w:color="auto"/>
        <w:bottom w:val="none" w:sz="0" w:space="0" w:color="auto"/>
        <w:right w:val="none" w:sz="0" w:space="0" w:color="auto"/>
      </w:divBdr>
    </w:div>
    <w:div w:id="1987709005">
      <w:bodyDiv w:val="1"/>
      <w:marLeft w:val="0"/>
      <w:marRight w:val="0"/>
      <w:marTop w:val="0"/>
      <w:marBottom w:val="0"/>
      <w:divBdr>
        <w:top w:val="none" w:sz="0" w:space="0" w:color="auto"/>
        <w:left w:val="none" w:sz="0" w:space="0" w:color="auto"/>
        <w:bottom w:val="none" w:sz="0" w:space="0" w:color="auto"/>
        <w:right w:val="none" w:sz="0" w:space="0" w:color="auto"/>
      </w:divBdr>
      <w:divsChild>
        <w:div w:id="1166743286">
          <w:marLeft w:val="0"/>
          <w:marRight w:val="0"/>
          <w:marTop w:val="0"/>
          <w:marBottom w:val="0"/>
          <w:divBdr>
            <w:top w:val="none" w:sz="0" w:space="0" w:color="auto"/>
            <w:left w:val="none" w:sz="0" w:space="0" w:color="auto"/>
            <w:bottom w:val="none" w:sz="0" w:space="0" w:color="auto"/>
            <w:right w:val="none" w:sz="0" w:space="0" w:color="auto"/>
          </w:divBdr>
          <w:divsChild>
            <w:div w:id="1524592176">
              <w:marLeft w:val="0"/>
              <w:marRight w:val="0"/>
              <w:marTop w:val="0"/>
              <w:marBottom w:val="0"/>
              <w:divBdr>
                <w:top w:val="none" w:sz="0" w:space="0" w:color="auto"/>
                <w:left w:val="none" w:sz="0" w:space="0" w:color="auto"/>
                <w:bottom w:val="none" w:sz="0" w:space="0" w:color="auto"/>
                <w:right w:val="none" w:sz="0" w:space="0" w:color="auto"/>
              </w:divBdr>
              <w:divsChild>
                <w:div w:id="8966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ecretariasenado.gov.co/senado/basedoc/ley_2003_2019.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uanm.daza@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LSKfl+Nne8EJRuYQG+/ztI6l5w==">AMUW2mUZ6b0QotV5xTGJovo04GUGoVz4PUzbbOz70AD771gTY+1wDrZW3zuUrzb0cUEiAdgpSBBx4t2rCkXk9mg0s+NoHzKCNad/kGedDYBBn8L5qq7O+amQXKEndKn0H2d9NZ5ISvrh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EF33F0-58F0-437A-8A20-829A9C15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3869</Words>
  <Characters>21280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Cesar Mateo Lancheros Cañon</dc:creator>
  <cp:lastModifiedBy>Cesar Mateo lancheros Cañon</cp:lastModifiedBy>
  <cp:revision>5</cp:revision>
  <cp:lastPrinted>2021-08-25T20:44:00Z</cp:lastPrinted>
  <dcterms:created xsi:type="dcterms:W3CDTF">2021-08-25T18:37:00Z</dcterms:created>
  <dcterms:modified xsi:type="dcterms:W3CDTF">2021-08-25T20:45:00Z</dcterms:modified>
</cp:coreProperties>
</file>