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5F431" w14:textId="19959446" w:rsidR="00412E00" w:rsidRPr="00412E00" w:rsidRDefault="00412E00" w:rsidP="00412E00">
      <w:pPr>
        <w:jc w:val="both"/>
        <w:rPr>
          <w:rFonts w:ascii="Candara" w:hAnsi="Candara"/>
          <w:sz w:val="22"/>
          <w:szCs w:val="22"/>
        </w:rPr>
      </w:pPr>
      <w:bookmarkStart w:id="0" w:name="_GoBack"/>
      <w:bookmarkEnd w:id="0"/>
      <w:r w:rsidRPr="00412E00">
        <w:rPr>
          <w:rFonts w:ascii="Candara" w:hAnsi="Candara"/>
          <w:sz w:val="22"/>
          <w:szCs w:val="22"/>
        </w:rPr>
        <w:t xml:space="preserve">Bogotá, </w:t>
      </w:r>
      <w:r w:rsidR="00A4083A">
        <w:rPr>
          <w:rFonts w:ascii="Candara" w:hAnsi="Candara"/>
          <w:sz w:val="22"/>
          <w:szCs w:val="22"/>
        </w:rPr>
        <w:t>22</w:t>
      </w:r>
      <w:r w:rsidR="00514CEE">
        <w:rPr>
          <w:rFonts w:ascii="Candara" w:hAnsi="Candara"/>
          <w:sz w:val="22"/>
          <w:szCs w:val="22"/>
        </w:rPr>
        <w:t xml:space="preserve"> de septiembre de 2021</w:t>
      </w:r>
      <w:r w:rsidRPr="00412E00">
        <w:rPr>
          <w:rFonts w:ascii="Candara" w:hAnsi="Candara"/>
          <w:sz w:val="22"/>
          <w:szCs w:val="22"/>
        </w:rPr>
        <w:t xml:space="preserve"> </w:t>
      </w:r>
    </w:p>
    <w:p w14:paraId="3455FC27" w14:textId="77777777" w:rsidR="00412E00" w:rsidRPr="00412E00" w:rsidRDefault="00412E00" w:rsidP="00412E00">
      <w:pPr>
        <w:jc w:val="both"/>
        <w:rPr>
          <w:rFonts w:ascii="Candara" w:hAnsi="Candara"/>
          <w:sz w:val="22"/>
          <w:szCs w:val="22"/>
        </w:rPr>
      </w:pPr>
    </w:p>
    <w:p w14:paraId="2B29AF0F" w14:textId="77777777" w:rsidR="006F0BEF" w:rsidRPr="00412E00" w:rsidRDefault="006F0BEF" w:rsidP="006F0BEF">
      <w:p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 w:rsidRPr="00455863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Señor </w:t>
      </w:r>
    </w:p>
    <w:p w14:paraId="792D9F9F" w14:textId="3FA9B58C" w:rsidR="006F0BEF" w:rsidRPr="00412E00" w:rsidRDefault="00514CEE" w:rsidP="006F0BEF">
      <w:pPr>
        <w:jc w:val="both"/>
        <w:rPr>
          <w:rFonts w:ascii="Candara" w:eastAsia="Times New Roman" w:hAnsi="Candara" w:cs="Times New Roman"/>
          <w:b/>
          <w:sz w:val="22"/>
          <w:szCs w:val="22"/>
          <w:lang w:val="es-ES_tradnl" w:eastAsia="es-ES_tradnl"/>
        </w:rPr>
      </w:pPr>
      <w:r>
        <w:rPr>
          <w:rFonts w:ascii="Candara" w:eastAsia="Times New Roman" w:hAnsi="Candara" w:cs="Times New Roman"/>
          <w:b/>
          <w:sz w:val="22"/>
          <w:szCs w:val="22"/>
          <w:lang w:val="es-ES_tradnl" w:eastAsia="es-ES_tradnl"/>
        </w:rPr>
        <w:t>JULIO CESAR TRIANA</w:t>
      </w:r>
    </w:p>
    <w:p w14:paraId="66519A69" w14:textId="77777777" w:rsidR="006F0BEF" w:rsidRPr="00412E00" w:rsidRDefault="006F0BEF" w:rsidP="006F0BEF">
      <w:p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 w:rsidRPr="00455863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Presidente Comisión Primera </w:t>
      </w:r>
    </w:p>
    <w:p w14:paraId="639D8D87" w14:textId="77777777" w:rsidR="006F0BEF" w:rsidRPr="00412E00" w:rsidRDefault="006F0BEF" w:rsidP="006F0BEF">
      <w:p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 w:rsidRPr="00455863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CÁMARA DE REPRESENTANTES </w:t>
      </w:r>
    </w:p>
    <w:p w14:paraId="2E4B56A6" w14:textId="77777777" w:rsidR="006F0BEF" w:rsidRPr="00412E00" w:rsidRDefault="006F0BEF" w:rsidP="006F0BEF">
      <w:p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 w:rsidRPr="00455863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Ciudad </w:t>
      </w:r>
    </w:p>
    <w:p w14:paraId="1C0E3790" w14:textId="77777777" w:rsidR="00412E00" w:rsidRPr="00412E00" w:rsidRDefault="00412E00" w:rsidP="00412E00">
      <w:p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</w:p>
    <w:p w14:paraId="6876427D" w14:textId="37EAA10C" w:rsidR="00412E00" w:rsidRPr="00412E00" w:rsidRDefault="00412E00" w:rsidP="00412E00">
      <w:pPr>
        <w:jc w:val="right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 w:rsidRPr="00412E00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Ref. Observaciones</w:t>
      </w:r>
      <w:r w:rsidR="00514CEE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al informe de subcomisión</w:t>
      </w:r>
      <w:r w:rsidRPr="00412E00">
        <w:rPr>
          <w:rFonts w:ascii="Candara" w:hAnsi="Candara"/>
          <w:sz w:val="22"/>
          <w:szCs w:val="22"/>
        </w:rPr>
        <w:t xml:space="preserve"> </w:t>
      </w:r>
      <w:r w:rsidR="00514CEE">
        <w:rPr>
          <w:rFonts w:ascii="Candara" w:hAnsi="Candara"/>
          <w:sz w:val="22"/>
          <w:szCs w:val="22"/>
        </w:rPr>
        <w:t>PL 074/21C “</w:t>
      </w:r>
      <w:r w:rsidR="00514CEE" w:rsidRPr="00514CEE">
        <w:rPr>
          <w:rFonts w:ascii="Candara" w:hAnsi="Candara"/>
          <w:i/>
          <w:sz w:val="22"/>
          <w:szCs w:val="22"/>
        </w:rPr>
        <w:t>Mediante la cual se modifica el tratamiento penal de algunos de los delitos de la Ley 599 de 2000 mediante el mecanismo de negociación, se prioriza a la víctima de conductas delictivas, y se establecen medidas para la disuasión a la reincidencia criminal y su rápida constitución</w:t>
      </w:r>
      <w:r w:rsidR="00514CEE">
        <w:rPr>
          <w:rFonts w:ascii="Candara" w:hAnsi="Candara"/>
          <w:sz w:val="22"/>
          <w:szCs w:val="22"/>
        </w:rPr>
        <w:t xml:space="preserve">”. </w:t>
      </w:r>
    </w:p>
    <w:p w14:paraId="1BE19193" w14:textId="77777777" w:rsidR="00412E00" w:rsidRPr="00412E00" w:rsidRDefault="00412E00" w:rsidP="00412E00">
      <w:p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</w:p>
    <w:p w14:paraId="6A8013C1" w14:textId="1F583A95" w:rsidR="004C7692" w:rsidRDefault="00412E00" w:rsidP="00412E00">
      <w:p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 w:rsidRPr="00412E00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Respecto al Proyecto de Ley </w:t>
      </w:r>
      <w:r w:rsidR="004C7692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074 de 2021 Cámara</w:t>
      </w:r>
      <w:r w:rsidR="00FF04BD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, </w:t>
      </w:r>
      <w:r w:rsidR="004E1F23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durante el debate en la Comisión Primera no se encontraron satisfactorias las respuestas dadas por el autor y ponente sobre cómo la medida propuesta logra ser más atractiva que lo ya existente. Siendo así,</w:t>
      </w:r>
      <w:r w:rsidR="004C7692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la semana del 13 al 17 de septiembre, la subcomisión pudo reunirse en dos oportunidades. Inicialmente, la proposición principal radicada, que versaba sobre el artículo 2 del proyecto de ley tenía un carácter sustitutivo. Posteriormente, con el ánimo de construir sobre las propuestas planteadas en la ponencia, realicé algunas propuestas de modificación a partir de unos elementos que consideramos mínimos para mejorar el propósito del proyecto. </w:t>
      </w:r>
    </w:p>
    <w:p w14:paraId="0A53AEB9" w14:textId="77777777" w:rsidR="004C7692" w:rsidRDefault="004C7692" w:rsidP="00412E00">
      <w:p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</w:p>
    <w:p w14:paraId="379A77EA" w14:textId="30A886FC" w:rsidR="00412E00" w:rsidRDefault="004C7692" w:rsidP="00412E00">
      <w:p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Con base en lo anterior, se plantearon las siguientes observaciones: </w:t>
      </w:r>
    </w:p>
    <w:p w14:paraId="4AF9660A" w14:textId="77777777" w:rsidR="00FC6AA7" w:rsidRDefault="00FC6AA7" w:rsidP="00412E00">
      <w:p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</w:p>
    <w:p w14:paraId="6D562DE3" w14:textId="77777777" w:rsidR="00E33E54" w:rsidRDefault="00E33E54" w:rsidP="00E33E54">
      <w:pPr>
        <w:pStyle w:val="Prrafodelista"/>
        <w:numPr>
          <w:ilvl w:val="0"/>
          <w:numId w:val="14"/>
        </w:num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Como establecí en el debate, el Consejo Superior de Política Criminal dio visto bueno a la iniciativa siempre que “</w:t>
      </w:r>
      <w:r w:rsidRPr="004C7692">
        <w:rPr>
          <w:rFonts w:ascii="Candara" w:eastAsia="Times New Roman" w:hAnsi="Candara" w:cs="Times New Roman"/>
          <w:i/>
          <w:sz w:val="22"/>
          <w:szCs w:val="22"/>
          <w:lang w:val="es-ES_tradnl" w:eastAsia="es-ES_tradnl"/>
        </w:rPr>
        <w:t>se aclare cuáles son las diferencias, las similitudes y la armonización que se debe realizar entre este nuevo mecanismo y las normas procesales establecidas como preacuerdos y negociaciones</w:t>
      </w: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”. Dentro de la proposición sustitutiva presentada, se buscaba armonizar los elementos más importantes de la propuesta del proyecto de ley al capítulo de los preacuerdos y negociaciones en el Código de Procedimiento Penal. </w:t>
      </w:r>
    </w:p>
    <w:p w14:paraId="17C63BBC" w14:textId="3026C7B9" w:rsidR="00DC5B69" w:rsidRDefault="00F76ECC" w:rsidP="00AE25D4">
      <w:pPr>
        <w:pStyle w:val="Prrafodelista"/>
        <w:numPr>
          <w:ilvl w:val="0"/>
          <w:numId w:val="14"/>
        </w:num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El reparo principa</w:t>
      </w:r>
      <w:r w:rsidR="004C7692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l al articulado de la ponencia del proyecto de ley </w:t>
      </w: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se debe a que el mecanismo de negociación propuesto no crea incentivos reales para su uso. </w:t>
      </w:r>
      <w:r w:rsidR="00DC5B69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En ese sentido, hay al menos</w:t>
      </w:r>
      <w:r w:rsidR="00DC5B69" w:rsidRPr="00DC5B69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tres mecanismos que ofrecen mejores condiciones a los investigados</w:t>
      </w:r>
      <w:r w:rsidR="00DC5B69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: </w:t>
      </w:r>
    </w:p>
    <w:p w14:paraId="172227A2" w14:textId="0ED25A40" w:rsidR="00DC5B69" w:rsidRDefault="00DC5B69" w:rsidP="00DC5B69">
      <w:pPr>
        <w:pStyle w:val="Prrafodelista"/>
        <w:numPr>
          <w:ilvl w:val="1"/>
          <w:numId w:val="14"/>
        </w:num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 w:rsidRPr="00DC5B69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La suspensión de procedimiento a </w:t>
      </w: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prueba</w:t>
      </w:r>
      <w:r w:rsidRPr="00DC5B69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para la aplicación del principio de oportunidad</w:t>
      </w: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</w:t>
      </w:r>
      <w:r w:rsidRPr="00DC5B69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(causal 7): en esta figura la persona debe reparar a la víctima y la consecuencia, si cumple, no es una sanción menor, sino </w:t>
      </w:r>
      <w:r w:rsidRPr="00DC5B69">
        <w:rPr>
          <w:rFonts w:ascii="Candara" w:eastAsia="Times New Roman" w:hAnsi="Candara" w:cs="Times New Roman"/>
          <w:b/>
          <w:sz w:val="22"/>
          <w:szCs w:val="22"/>
          <w:lang w:val="es-ES_tradnl" w:eastAsia="es-ES_tradnl"/>
        </w:rPr>
        <w:t>la</w:t>
      </w:r>
      <w:r w:rsidRPr="00DC5B69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</w:t>
      </w:r>
      <w:r w:rsidRPr="00DC5B69">
        <w:rPr>
          <w:rFonts w:ascii="Candara" w:eastAsia="Times New Roman" w:hAnsi="Candara" w:cs="Times New Roman"/>
          <w:b/>
          <w:sz w:val="22"/>
          <w:szCs w:val="22"/>
          <w:lang w:val="es-ES_tradnl" w:eastAsia="es-ES_tradnl"/>
        </w:rPr>
        <w:t>renuncia a la persecución penal</w:t>
      </w:r>
      <w:r w:rsidRPr="00DC5B69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.</w:t>
      </w:r>
    </w:p>
    <w:p w14:paraId="7EB0E602" w14:textId="795E520E" w:rsidR="008B6E48" w:rsidRPr="003F3671" w:rsidRDefault="008B6E48" w:rsidP="00DC5B69">
      <w:pPr>
        <w:pStyle w:val="Prrafodelista"/>
        <w:numPr>
          <w:ilvl w:val="1"/>
          <w:numId w:val="14"/>
        </w:num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 w:rsidRPr="003F3671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En el procedimiento abreviado de la ley 1826 de 2017 (que procede para</w:t>
      </w:r>
      <w:r w:rsidR="007F45BF" w:rsidRPr="003F3671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la mayoría de</w:t>
      </w:r>
      <w:r w:rsidRPr="003F3671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los delitos que contiene el proyecto) establece en el artículo 24 la </w:t>
      </w:r>
      <w:r w:rsidRPr="003F3671">
        <w:rPr>
          <w:rFonts w:ascii="Candara" w:eastAsia="Times New Roman" w:hAnsi="Candara" w:cs="Times New Roman"/>
          <w:b/>
          <w:sz w:val="22"/>
          <w:szCs w:val="22"/>
          <w:lang w:val="es-ES_tradnl" w:eastAsia="es-ES_tradnl"/>
        </w:rPr>
        <w:t xml:space="preserve">extinción de la acción penal </w:t>
      </w:r>
      <w:r w:rsidRPr="003F3671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si se aplican medidas de justicia restaurativa.</w:t>
      </w:r>
    </w:p>
    <w:p w14:paraId="69D401C9" w14:textId="219EE8C1" w:rsidR="00D43387" w:rsidRDefault="00D43387" w:rsidP="00DC5B69">
      <w:pPr>
        <w:pStyle w:val="Prrafodelista"/>
        <w:numPr>
          <w:ilvl w:val="1"/>
          <w:numId w:val="14"/>
        </w:num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 w:rsidRPr="00D43387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lastRenderedPageBreak/>
        <w:t>Al ser delitos donde se puede establecer penas menores a 8 años, proceden subrogados como la prisión domiciliaria</w:t>
      </w: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.</w:t>
      </w:r>
    </w:p>
    <w:p w14:paraId="4A5B7D0D" w14:textId="31CA70FE" w:rsidR="004C7692" w:rsidRDefault="004C7692" w:rsidP="004C7692">
      <w:pPr>
        <w:pStyle w:val="Prrafodelista"/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Estos reparos llevan a la conclusión de que el proyecto de ley resulta inocuo, pues las personas que llegasen a cometer esos delitos pueden optar por otras medidas que les generen más incentivos, con lo que se pierde el propósito del mecanismo. </w:t>
      </w:r>
    </w:p>
    <w:p w14:paraId="58724572" w14:textId="332B987B" w:rsidR="00052C68" w:rsidRDefault="00052C68" w:rsidP="00052C68">
      <w:pPr>
        <w:pStyle w:val="Prrafodelista"/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En la subcomisión</w:t>
      </w:r>
      <w:r w:rsidR="00D43E6A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tampoco </w:t>
      </w: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fue posible aclarar </w:t>
      </w:r>
      <w:r w:rsidR="004C30CC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cómo la salida propuesta era más beneficiosa respecto al </w:t>
      </w:r>
      <w:r w:rsidR="004C30CC" w:rsidRPr="00E201DB">
        <w:rPr>
          <w:rFonts w:ascii="Candara" w:eastAsia="Times New Roman" w:hAnsi="Candara" w:cs="Times New Roman"/>
          <w:b/>
          <w:sz w:val="22"/>
          <w:szCs w:val="22"/>
          <w:lang w:val="es-ES_tradnl" w:eastAsia="es-ES_tradnl"/>
        </w:rPr>
        <w:t>tipo de medida</w:t>
      </w:r>
      <w:r w:rsidR="004C30CC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y no respecto del </w:t>
      </w:r>
      <w:proofErr w:type="spellStart"/>
      <w:r w:rsidR="004C30CC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quatum</w:t>
      </w:r>
      <w:proofErr w:type="spellEnd"/>
      <w:r w:rsidR="004C30CC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punitivo al que se llega.</w:t>
      </w:r>
    </w:p>
    <w:p w14:paraId="1E2B5760" w14:textId="588D935F" w:rsidR="00E33E54" w:rsidRDefault="00E33E54" w:rsidP="00AE25D4">
      <w:pPr>
        <w:pStyle w:val="Prrafodelista"/>
        <w:numPr>
          <w:ilvl w:val="0"/>
          <w:numId w:val="14"/>
        </w:num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En términos de técnica legislativa, el proyecto crea un </w:t>
      </w:r>
      <w:r w:rsidRPr="003F3671">
        <w:rPr>
          <w:rFonts w:ascii="Candara" w:eastAsia="Times New Roman" w:hAnsi="Candara" w:cs="Times New Roman"/>
          <w:b/>
          <w:sz w:val="22"/>
          <w:szCs w:val="22"/>
          <w:lang w:val="es-ES_tradnl" w:eastAsia="es-ES_tradnl"/>
        </w:rPr>
        <w:t>mecanismo procesal</w:t>
      </w: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que debería estar regulado en la Ley 906 y no en el Código Penal. </w:t>
      </w:r>
      <w:r w:rsidR="004C7692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Este tema fue objeto de discusión en el proyecto de ley con igual contenido que tuvo debate la legislatura pasada, sobre el cual varios congresistas presentaron proposiciones. </w:t>
      </w:r>
    </w:p>
    <w:p w14:paraId="1BF60A4D" w14:textId="77777777" w:rsidR="001503BF" w:rsidRDefault="00D127AD" w:rsidP="001503BF">
      <w:pPr>
        <w:pStyle w:val="Prrafodelista"/>
        <w:numPr>
          <w:ilvl w:val="0"/>
          <w:numId w:val="14"/>
        </w:num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La reparación frente al daño debe ser proporcional. El mecanismo de reparación que plantea el proyecto en hasta tres veces el daño sobre pasa incluso el estándar más estricto: la </w:t>
      </w:r>
      <w:proofErr w:type="spellStart"/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restitutio</w:t>
      </w:r>
      <w:proofErr w:type="spellEnd"/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in </w:t>
      </w:r>
      <w:proofErr w:type="spellStart"/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integrum</w:t>
      </w:r>
      <w:proofErr w:type="spellEnd"/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</w:t>
      </w:r>
      <w:r w:rsidR="0081689D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en las violaciones a los derechos humanos. </w:t>
      </w:r>
    </w:p>
    <w:p w14:paraId="34BE5880" w14:textId="36071BEB" w:rsidR="00985706" w:rsidRDefault="00126D1B" w:rsidP="001503BF">
      <w:pPr>
        <w:pStyle w:val="Prrafodelista"/>
        <w:numPr>
          <w:ilvl w:val="0"/>
          <w:numId w:val="14"/>
        </w:num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No existe una justificación </w:t>
      </w:r>
      <w:r w:rsidR="007F45BF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para </w:t>
      </w: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excluir la aplicación de subrogados pe</w:t>
      </w:r>
      <w:r w:rsidR="00985706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nales para estas conductas (artículo 4 del proyecto). La negociación parece un mecanismo que responde a la justicia restaurativa; mientras que mantener la figura de los subrogados tiene otros impactos en términos de humanización de la sanción. </w:t>
      </w:r>
    </w:p>
    <w:p w14:paraId="3BF718BC" w14:textId="58FA24F4" w:rsidR="00412E00" w:rsidRPr="003538C9" w:rsidRDefault="00985706" w:rsidP="00412E00">
      <w:pPr>
        <w:pStyle w:val="Prrafodelista"/>
        <w:numPr>
          <w:ilvl w:val="0"/>
          <w:numId w:val="14"/>
        </w:numPr>
        <w:jc w:val="both"/>
        <w:rPr>
          <w:rFonts w:ascii="Candara" w:eastAsia="Times New Roman" w:hAnsi="Candara" w:cs="Times New Roman"/>
          <w:sz w:val="22"/>
          <w:szCs w:val="22"/>
          <w:lang w:val="es-ES_tradnl" w:eastAsia="es-ES_tradnl"/>
        </w:rPr>
      </w:pP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El artículo</w:t>
      </w:r>
      <w:r w:rsidR="003538C9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7 sobre </w:t>
      </w: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la fianza no tiene unidad de materia con el resto del proyecto; no es claro si es una sanción accesoria a las medidas que plantea el mismo. </w:t>
      </w:r>
    </w:p>
    <w:p w14:paraId="2E8D7CA9" w14:textId="52317DB3" w:rsidR="00514CEE" w:rsidRPr="00C329DC" w:rsidRDefault="003538C9" w:rsidP="00514CEE">
      <w:pPr>
        <w:pStyle w:val="Prrafodelista"/>
        <w:numPr>
          <w:ilvl w:val="0"/>
          <w:numId w:val="14"/>
        </w:numPr>
        <w:jc w:val="both"/>
        <w:rPr>
          <w:rFonts w:ascii="Candara" w:eastAsia="Times New Roman" w:hAnsi="Candara" w:cs="Times New Roman"/>
          <w:sz w:val="22"/>
          <w:szCs w:val="22"/>
        </w:rPr>
      </w:pPr>
      <w:r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El planteamiento del parágrafo del artículo 4 sobre la facultad del fiscal del caso para evaluar cuál es el beneficio que puede conceder al imputado</w:t>
      </w:r>
      <w:r w:rsidR="00412E00" w:rsidRPr="00412E00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</w:t>
      </w:r>
      <w:r w:rsidR="0035365E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pone en manos del fiscal la posibilidad</w:t>
      </w:r>
      <w:r w:rsidR="00C83E5B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de conceder los be</w:t>
      </w:r>
      <w:r w:rsidR="007F45BF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neficios de acuerdo a su propio criterio </w:t>
      </w:r>
      <w:r w:rsidR="004C7692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sobre </w:t>
      </w:r>
      <w:r w:rsidR="00C83E5B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qué conviene más a la víctima,</w:t>
      </w:r>
      <w:r w:rsidR="000E6FCF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estableciéndole facultades de decisión que van más allá de sus funciones constitucionales y</w:t>
      </w:r>
      <w:r w:rsidR="00C83E5B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 xml:space="preserve"> dejando en un segundo plano </w:t>
      </w:r>
      <w:r w:rsidR="007F45BF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la valoració</w:t>
      </w:r>
      <w:r w:rsidR="004C30CC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n del juez</w:t>
      </w:r>
      <w:r w:rsidR="000E6FCF">
        <w:rPr>
          <w:rFonts w:ascii="Candara" w:eastAsia="Times New Roman" w:hAnsi="Candara" w:cs="Times New Roman"/>
          <w:sz w:val="22"/>
          <w:szCs w:val="22"/>
          <w:lang w:val="es-ES_tradnl" w:eastAsia="es-ES_tradnl"/>
        </w:rPr>
        <w:t>.</w:t>
      </w:r>
    </w:p>
    <w:p w14:paraId="26AEBBCC" w14:textId="77777777" w:rsidR="00514CEE" w:rsidRDefault="00514CEE" w:rsidP="00514CEE">
      <w:pPr>
        <w:jc w:val="both"/>
        <w:rPr>
          <w:rFonts w:ascii="Candara" w:eastAsia="Times New Roman" w:hAnsi="Candara" w:cs="Times New Roman"/>
          <w:sz w:val="22"/>
          <w:szCs w:val="22"/>
        </w:rPr>
      </w:pPr>
    </w:p>
    <w:p w14:paraId="4ACB5204" w14:textId="2FA60F79" w:rsidR="00C329DC" w:rsidRDefault="00C329DC" w:rsidP="00514CEE">
      <w:pPr>
        <w:jc w:val="both"/>
        <w:rPr>
          <w:rFonts w:ascii="Candara" w:eastAsia="Times New Roman" w:hAnsi="Candara" w:cs="Times New Roman"/>
          <w:sz w:val="22"/>
          <w:szCs w:val="22"/>
        </w:rPr>
      </w:pPr>
      <w:r>
        <w:rPr>
          <w:rFonts w:ascii="Candara" w:eastAsia="Times New Roman" w:hAnsi="Candara" w:cs="Times New Roman"/>
          <w:sz w:val="22"/>
          <w:szCs w:val="22"/>
        </w:rPr>
        <w:t xml:space="preserve">Teniendo en cuenta que en la subcomisión creada no se pudo llegar a un acuerdo sobre las anteriores </w:t>
      </w:r>
      <w:r w:rsidR="00E201DB">
        <w:rPr>
          <w:rFonts w:ascii="Candara" w:eastAsia="Times New Roman" w:hAnsi="Candara" w:cs="Times New Roman"/>
          <w:sz w:val="22"/>
          <w:szCs w:val="22"/>
        </w:rPr>
        <w:t>observaciones</w:t>
      </w:r>
      <w:r>
        <w:rPr>
          <w:rFonts w:ascii="Candara" w:eastAsia="Times New Roman" w:hAnsi="Candara" w:cs="Times New Roman"/>
          <w:sz w:val="22"/>
          <w:szCs w:val="22"/>
        </w:rPr>
        <w:t>, dejo como</w:t>
      </w:r>
      <w:r w:rsidR="00E201DB">
        <w:rPr>
          <w:rFonts w:ascii="Candara" w:eastAsia="Times New Roman" w:hAnsi="Candara" w:cs="Times New Roman"/>
          <w:sz w:val="22"/>
          <w:szCs w:val="22"/>
        </w:rPr>
        <w:t xml:space="preserve"> constancia mis observaciones y las presento como la justificación de</w:t>
      </w:r>
      <w:r>
        <w:rPr>
          <w:rFonts w:ascii="Candara" w:eastAsia="Times New Roman" w:hAnsi="Candara" w:cs="Times New Roman"/>
          <w:sz w:val="22"/>
          <w:szCs w:val="22"/>
        </w:rPr>
        <w:t xml:space="preserve"> mi abstención a firmar el informe producto de aquella. </w:t>
      </w:r>
    </w:p>
    <w:p w14:paraId="18675B67" w14:textId="77777777" w:rsidR="00514CEE" w:rsidRDefault="00514CEE" w:rsidP="00514CEE">
      <w:pPr>
        <w:jc w:val="both"/>
        <w:rPr>
          <w:rFonts w:ascii="Candara" w:eastAsia="Times New Roman" w:hAnsi="Candara" w:cs="Times New Roman"/>
          <w:sz w:val="22"/>
          <w:szCs w:val="22"/>
        </w:rPr>
      </w:pPr>
    </w:p>
    <w:p w14:paraId="502A2D2C" w14:textId="77777777" w:rsidR="00514CEE" w:rsidRPr="00514CEE" w:rsidRDefault="00514CEE" w:rsidP="00514CEE">
      <w:pPr>
        <w:jc w:val="both"/>
        <w:rPr>
          <w:rFonts w:ascii="Candara" w:eastAsia="Times New Roman" w:hAnsi="Candara" w:cs="Times New Roman"/>
          <w:sz w:val="22"/>
          <w:szCs w:val="22"/>
        </w:rPr>
      </w:pPr>
    </w:p>
    <w:p w14:paraId="502F6CF2" w14:textId="0E79D179" w:rsidR="00980746" w:rsidRPr="00412E00" w:rsidRDefault="00980746" w:rsidP="00980746">
      <w:pPr>
        <w:spacing w:after="240"/>
        <w:jc w:val="both"/>
        <w:rPr>
          <w:rFonts w:ascii="Candara" w:eastAsia="Times New Roman" w:hAnsi="Candara" w:cs="Times New Roman"/>
          <w:sz w:val="22"/>
          <w:szCs w:val="22"/>
        </w:rPr>
      </w:pPr>
      <w:r w:rsidRPr="00412E00">
        <w:rPr>
          <w:rFonts w:ascii="Candara" w:eastAsia="Times New Roman" w:hAnsi="Candara" w:cs="Times New Roman"/>
          <w:sz w:val="22"/>
          <w:szCs w:val="22"/>
        </w:rPr>
        <w:t xml:space="preserve">Cordialmente, </w:t>
      </w:r>
    </w:p>
    <w:p w14:paraId="5D0008A4" w14:textId="599D66D9" w:rsidR="00926E99" w:rsidRDefault="00926E99">
      <w:pPr>
        <w:jc w:val="both"/>
        <w:rPr>
          <w:rFonts w:ascii="Candara" w:eastAsia="Times New Roman" w:hAnsi="Candara" w:cs="Times New Roman"/>
          <w:sz w:val="22"/>
          <w:szCs w:val="22"/>
        </w:rPr>
      </w:pPr>
      <w:bookmarkStart w:id="1" w:name="_heading=h.gxyxdd9vo5e0" w:colFirst="0" w:colLast="0"/>
      <w:bookmarkEnd w:id="1"/>
    </w:p>
    <w:p w14:paraId="36D645E4" w14:textId="77777777" w:rsidR="004C30CC" w:rsidRPr="00412E00" w:rsidRDefault="004C30CC">
      <w:pPr>
        <w:jc w:val="both"/>
        <w:rPr>
          <w:rFonts w:ascii="Candara" w:eastAsia="Times New Roman" w:hAnsi="Candara" w:cs="Times New Roman"/>
          <w:sz w:val="22"/>
          <w:szCs w:val="22"/>
        </w:rPr>
      </w:pPr>
    </w:p>
    <w:p w14:paraId="6558630D" w14:textId="77777777" w:rsidR="00926E99" w:rsidRPr="00412E00" w:rsidRDefault="00455C52">
      <w:pPr>
        <w:jc w:val="both"/>
        <w:rPr>
          <w:rFonts w:ascii="Candara" w:eastAsia="Times New Roman" w:hAnsi="Candara" w:cs="Times New Roman"/>
          <w:sz w:val="22"/>
          <w:szCs w:val="22"/>
        </w:rPr>
      </w:pPr>
      <w:r w:rsidRPr="00412E00">
        <w:rPr>
          <w:rFonts w:ascii="Candara" w:eastAsia="Times New Roman" w:hAnsi="Candara" w:cs="Times New Roman"/>
          <w:sz w:val="22"/>
          <w:szCs w:val="22"/>
        </w:rPr>
        <w:t>Juanita Goebertus Estrada</w:t>
      </w:r>
    </w:p>
    <w:p w14:paraId="0ADCE402" w14:textId="77777777" w:rsidR="00926E99" w:rsidRPr="00412E00" w:rsidRDefault="00455C52">
      <w:pPr>
        <w:spacing w:after="240"/>
        <w:jc w:val="both"/>
        <w:rPr>
          <w:rFonts w:ascii="Candara" w:eastAsia="Times New Roman" w:hAnsi="Candara" w:cs="Times New Roman"/>
          <w:b/>
          <w:sz w:val="22"/>
          <w:szCs w:val="22"/>
        </w:rPr>
      </w:pPr>
      <w:r w:rsidRPr="00412E00">
        <w:rPr>
          <w:rFonts w:ascii="Candara" w:eastAsia="Times New Roman" w:hAnsi="Candara" w:cs="Times New Roman"/>
          <w:b/>
          <w:sz w:val="22"/>
          <w:szCs w:val="22"/>
        </w:rPr>
        <w:t>Representante a la Cámara</w:t>
      </w:r>
    </w:p>
    <w:p w14:paraId="7C31EBCD" w14:textId="31BA7DC5" w:rsidR="00926E99" w:rsidRPr="00412E00" w:rsidRDefault="00455C52" w:rsidP="00980746">
      <w:pPr>
        <w:spacing w:after="240"/>
        <w:jc w:val="both"/>
        <w:rPr>
          <w:rFonts w:ascii="Candara" w:eastAsia="Times New Roman" w:hAnsi="Candara" w:cs="Times New Roman"/>
          <w:sz w:val="22"/>
          <w:szCs w:val="22"/>
        </w:rPr>
      </w:pPr>
      <w:r w:rsidRPr="00412E00">
        <w:rPr>
          <w:rFonts w:ascii="Candara" w:eastAsia="Times New Roman" w:hAnsi="Candara" w:cs="Times New Roman"/>
          <w:b/>
          <w:sz w:val="22"/>
          <w:szCs w:val="22"/>
        </w:rPr>
        <w:t xml:space="preserve"> </w:t>
      </w:r>
    </w:p>
    <w:sectPr w:rsidR="00926E99" w:rsidRPr="00412E00" w:rsidSect="00F76D49">
      <w:headerReference w:type="default" r:id="rId8"/>
      <w:footerReference w:type="default" r:id="rId9"/>
      <w:pgSz w:w="12240" w:h="15840"/>
      <w:pgMar w:top="1417" w:right="1701" w:bottom="1417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3E10F" w14:textId="77777777" w:rsidR="003E4593" w:rsidRDefault="003E4593">
      <w:r>
        <w:separator/>
      </w:r>
    </w:p>
  </w:endnote>
  <w:endnote w:type="continuationSeparator" w:id="0">
    <w:p w14:paraId="0AE64F6D" w14:textId="77777777" w:rsidR="003E4593" w:rsidRDefault="003E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7CDE" w14:textId="77777777" w:rsidR="00926E99" w:rsidRDefault="00926E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4333606" w14:textId="77777777" w:rsidR="00926E99" w:rsidRDefault="00455C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126311"/>
        <w:sz w:val="20"/>
        <w:szCs w:val="20"/>
      </w:rPr>
    </w:pPr>
    <w:r>
      <w:rPr>
        <w:rFonts w:ascii="Verdana" w:eastAsia="Verdana" w:hAnsi="Verdana" w:cs="Verdana"/>
        <w:color w:val="126311"/>
        <w:sz w:val="20"/>
        <w:szCs w:val="20"/>
      </w:rPr>
      <w:t>Carrera 7 # 8-68, Edificio Nuevo del Congreso</w:t>
    </w:r>
  </w:p>
  <w:p w14:paraId="1BAC7B2B" w14:textId="77777777" w:rsidR="00926E99" w:rsidRDefault="00455C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126311"/>
        <w:sz w:val="20"/>
        <w:szCs w:val="20"/>
      </w:rPr>
    </w:pPr>
    <w:r>
      <w:rPr>
        <w:rFonts w:ascii="Verdana" w:eastAsia="Verdana" w:hAnsi="Verdana" w:cs="Verdana"/>
        <w:color w:val="126311"/>
        <w:sz w:val="20"/>
        <w:szCs w:val="20"/>
      </w:rPr>
      <w:t>Oficinas 527B- 537B</w:t>
    </w:r>
  </w:p>
  <w:p w14:paraId="42FDE52E" w14:textId="77777777" w:rsidR="00926E99" w:rsidRDefault="00455C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126311"/>
        <w:sz w:val="20"/>
        <w:szCs w:val="20"/>
      </w:rPr>
    </w:pPr>
    <w:r>
      <w:rPr>
        <w:rFonts w:ascii="Verdana" w:eastAsia="Verdana" w:hAnsi="Verdana" w:cs="Verdana"/>
        <w:color w:val="126311"/>
        <w:sz w:val="20"/>
        <w:szCs w:val="20"/>
      </w:rPr>
      <w:t>Teléfono: 4325100 - Extensiones: 3809- 3810- 3811</w:t>
    </w:r>
  </w:p>
  <w:p w14:paraId="214DF745" w14:textId="77777777" w:rsidR="00926E99" w:rsidRDefault="00455C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126311"/>
        <w:sz w:val="20"/>
        <w:szCs w:val="20"/>
      </w:rPr>
    </w:pPr>
    <w:r>
      <w:rPr>
        <w:rFonts w:ascii="Verdana" w:eastAsia="Verdana" w:hAnsi="Verdana" w:cs="Verdana"/>
        <w:color w:val="126311"/>
        <w:sz w:val="20"/>
        <w:szCs w:val="20"/>
      </w:rPr>
      <w:t>juanitag@juanitaenelcongreso.com</w:t>
    </w:r>
  </w:p>
  <w:p w14:paraId="4713D893" w14:textId="77777777" w:rsidR="00926E99" w:rsidRDefault="00455C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126311"/>
        <w:sz w:val="20"/>
        <w:szCs w:val="20"/>
      </w:rPr>
    </w:pPr>
    <w:r>
      <w:rPr>
        <w:rFonts w:ascii="Verdana" w:eastAsia="Verdana" w:hAnsi="Verdana" w:cs="Verdana"/>
        <w:color w:val="126311"/>
        <w:sz w:val="20"/>
        <w:szCs w:val="20"/>
      </w:rPr>
      <w:t>www.juanitaenelcongreso.com</w:t>
    </w:r>
  </w:p>
  <w:p w14:paraId="5F685651" w14:textId="77777777" w:rsidR="00926E99" w:rsidRDefault="00926E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BC655" w14:textId="77777777" w:rsidR="003E4593" w:rsidRDefault="003E4593">
      <w:r>
        <w:separator/>
      </w:r>
    </w:p>
  </w:footnote>
  <w:footnote w:type="continuationSeparator" w:id="0">
    <w:p w14:paraId="532426DB" w14:textId="77777777" w:rsidR="003E4593" w:rsidRDefault="003E4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2C399" w14:textId="77777777" w:rsidR="00926E99" w:rsidRDefault="00455C52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rPr>
        <w:color w:val="000000"/>
      </w:rPr>
    </w:pPr>
    <w:r>
      <w:rPr>
        <w:color w:val="000000"/>
      </w:rPr>
      <w:tab/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2E6931E8" wp14:editId="14AC4CED">
          <wp:simplePos x="0" y="0"/>
          <wp:positionH relativeFrom="column">
            <wp:posOffset>3891280</wp:posOffset>
          </wp:positionH>
          <wp:positionV relativeFrom="paragraph">
            <wp:posOffset>-125727</wp:posOffset>
          </wp:positionV>
          <wp:extent cx="1939925" cy="96964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9925" cy="969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B68DDC" w14:textId="77777777" w:rsidR="00926E99" w:rsidRDefault="00926E99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rPr>
        <w:color w:val="000000"/>
      </w:rPr>
    </w:pPr>
  </w:p>
  <w:p w14:paraId="606D237C" w14:textId="77777777" w:rsidR="00926E99" w:rsidRDefault="00926E99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rPr>
        <w:color w:val="000000"/>
      </w:rPr>
    </w:pPr>
  </w:p>
  <w:p w14:paraId="55F741E8" w14:textId="77777777" w:rsidR="00926E99" w:rsidRDefault="00926E99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rPr>
        <w:color w:val="000000"/>
      </w:rPr>
    </w:pPr>
  </w:p>
  <w:p w14:paraId="09A856C6" w14:textId="77777777" w:rsidR="00926E99" w:rsidRDefault="00926E99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9784E"/>
    <w:multiLevelType w:val="hybridMultilevel"/>
    <w:tmpl w:val="3ACC2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B3D2D"/>
    <w:multiLevelType w:val="hybridMultilevel"/>
    <w:tmpl w:val="A1C0EA90"/>
    <w:lvl w:ilvl="0" w:tplc="09566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5E76"/>
    <w:multiLevelType w:val="multilevel"/>
    <w:tmpl w:val="5A028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AC4592"/>
    <w:multiLevelType w:val="hybridMultilevel"/>
    <w:tmpl w:val="6624F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B6109"/>
    <w:multiLevelType w:val="hybridMultilevel"/>
    <w:tmpl w:val="E1E0FC58"/>
    <w:lvl w:ilvl="0" w:tplc="D6C4B5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0153D"/>
    <w:multiLevelType w:val="hybridMultilevel"/>
    <w:tmpl w:val="912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D6499"/>
    <w:multiLevelType w:val="hybridMultilevel"/>
    <w:tmpl w:val="2EE8D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944B1"/>
    <w:multiLevelType w:val="hybridMultilevel"/>
    <w:tmpl w:val="C5E445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97138"/>
    <w:multiLevelType w:val="hybridMultilevel"/>
    <w:tmpl w:val="D548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84C48"/>
    <w:multiLevelType w:val="hybridMultilevel"/>
    <w:tmpl w:val="4E847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E3D03"/>
    <w:multiLevelType w:val="hybridMultilevel"/>
    <w:tmpl w:val="2124CF5A"/>
    <w:lvl w:ilvl="0" w:tplc="3634E00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A544B"/>
    <w:multiLevelType w:val="hybridMultilevel"/>
    <w:tmpl w:val="4F2E1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45652"/>
    <w:multiLevelType w:val="hybridMultilevel"/>
    <w:tmpl w:val="A9CA2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C57C0"/>
    <w:multiLevelType w:val="hybridMultilevel"/>
    <w:tmpl w:val="FC0AD4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37FE5"/>
    <w:multiLevelType w:val="hybridMultilevel"/>
    <w:tmpl w:val="31CCAA9A"/>
    <w:lvl w:ilvl="0" w:tplc="ACD6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3"/>
  </w:num>
  <w:num w:numId="11">
    <w:abstractNumId w:val="6"/>
  </w:num>
  <w:num w:numId="12">
    <w:abstractNumId w:val="13"/>
  </w:num>
  <w:num w:numId="13">
    <w:abstractNumId w:val="7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99"/>
    <w:rsid w:val="0005149B"/>
    <w:rsid w:val="00052C68"/>
    <w:rsid w:val="00074243"/>
    <w:rsid w:val="0008611B"/>
    <w:rsid w:val="00086F6A"/>
    <w:rsid w:val="000D0A2F"/>
    <w:rsid w:val="000E3AC4"/>
    <w:rsid w:val="000E42FC"/>
    <w:rsid w:val="000E6FCF"/>
    <w:rsid w:val="00105E50"/>
    <w:rsid w:val="00126D1B"/>
    <w:rsid w:val="001503BF"/>
    <w:rsid w:val="001530B7"/>
    <w:rsid w:val="001A161E"/>
    <w:rsid w:val="001A3C12"/>
    <w:rsid w:val="001E7186"/>
    <w:rsid w:val="0023193B"/>
    <w:rsid w:val="00287AF1"/>
    <w:rsid w:val="002D1A3A"/>
    <w:rsid w:val="002E0EB3"/>
    <w:rsid w:val="0035365E"/>
    <w:rsid w:val="003538C9"/>
    <w:rsid w:val="003E4593"/>
    <w:rsid w:val="003F3671"/>
    <w:rsid w:val="00412E00"/>
    <w:rsid w:val="00455C52"/>
    <w:rsid w:val="00472C31"/>
    <w:rsid w:val="004C30CC"/>
    <w:rsid w:val="004C7692"/>
    <w:rsid w:val="004E1F23"/>
    <w:rsid w:val="004F08CF"/>
    <w:rsid w:val="004F2929"/>
    <w:rsid w:val="00504E4E"/>
    <w:rsid w:val="00514CEE"/>
    <w:rsid w:val="00522543"/>
    <w:rsid w:val="005236B0"/>
    <w:rsid w:val="005821B3"/>
    <w:rsid w:val="0059651C"/>
    <w:rsid w:val="005A3C6A"/>
    <w:rsid w:val="005B519A"/>
    <w:rsid w:val="0060382A"/>
    <w:rsid w:val="006220FE"/>
    <w:rsid w:val="006348C0"/>
    <w:rsid w:val="00642904"/>
    <w:rsid w:val="00665E49"/>
    <w:rsid w:val="006B73E1"/>
    <w:rsid w:val="006E6479"/>
    <w:rsid w:val="006F0BEF"/>
    <w:rsid w:val="00721CDE"/>
    <w:rsid w:val="007C243A"/>
    <w:rsid w:val="007D0111"/>
    <w:rsid w:val="007D046A"/>
    <w:rsid w:val="007F00C1"/>
    <w:rsid w:val="007F45BF"/>
    <w:rsid w:val="00812B36"/>
    <w:rsid w:val="0081689D"/>
    <w:rsid w:val="00897B7F"/>
    <w:rsid w:val="008A4490"/>
    <w:rsid w:val="008A727B"/>
    <w:rsid w:val="008B2160"/>
    <w:rsid w:val="008B6E48"/>
    <w:rsid w:val="008E5EF9"/>
    <w:rsid w:val="00914BD3"/>
    <w:rsid w:val="00926E99"/>
    <w:rsid w:val="00965A49"/>
    <w:rsid w:val="00967CAC"/>
    <w:rsid w:val="009743B4"/>
    <w:rsid w:val="00980746"/>
    <w:rsid w:val="00985706"/>
    <w:rsid w:val="009A2E81"/>
    <w:rsid w:val="009C1D06"/>
    <w:rsid w:val="009F1505"/>
    <w:rsid w:val="009F312E"/>
    <w:rsid w:val="00A4083A"/>
    <w:rsid w:val="00A6738A"/>
    <w:rsid w:val="00A7063E"/>
    <w:rsid w:val="00A84F06"/>
    <w:rsid w:val="00AE25D4"/>
    <w:rsid w:val="00AF1543"/>
    <w:rsid w:val="00B14B14"/>
    <w:rsid w:val="00B66B03"/>
    <w:rsid w:val="00BD587C"/>
    <w:rsid w:val="00BD5FFE"/>
    <w:rsid w:val="00BD689E"/>
    <w:rsid w:val="00C13B32"/>
    <w:rsid w:val="00C31C7B"/>
    <w:rsid w:val="00C329DC"/>
    <w:rsid w:val="00C83A8C"/>
    <w:rsid w:val="00C83E5B"/>
    <w:rsid w:val="00C844CF"/>
    <w:rsid w:val="00D0299B"/>
    <w:rsid w:val="00D127AD"/>
    <w:rsid w:val="00D43387"/>
    <w:rsid w:val="00D43E6A"/>
    <w:rsid w:val="00DC5B69"/>
    <w:rsid w:val="00DD372C"/>
    <w:rsid w:val="00DE0D69"/>
    <w:rsid w:val="00E12EC6"/>
    <w:rsid w:val="00E201DB"/>
    <w:rsid w:val="00E33E54"/>
    <w:rsid w:val="00E34625"/>
    <w:rsid w:val="00E4506D"/>
    <w:rsid w:val="00EC466F"/>
    <w:rsid w:val="00F22304"/>
    <w:rsid w:val="00F23CA4"/>
    <w:rsid w:val="00F24E73"/>
    <w:rsid w:val="00F44CD6"/>
    <w:rsid w:val="00F60D65"/>
    <w:rsid w:val="00F62E11"/>
    <w:rsid w:val="00F76D49"/>
    <w:rsid w:val="00F76ECC"/>
    <w:rsid w:val="00F77593"/>
    <w:rsid w:val="00FC6AA7"/>
    <w:rsid w:val="00FF04BD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92D947"/>
  <w15:docId w15:val="{3DDE04DF-EF16-4489-9DFE-0375F843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74A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A00"/>
  </w:style>
  <w:style w:type="paragraph" w:styleId="Piedepgina">
    <w:name w:val="footer"/>
    <w:basedOn w:val="Normal"/>
    <w:link w:val="PiedepginaCar"/>
    <w:uiPriority w:val="99"/>
    <w:unhideWhenUsed/>
    <w:rsid w:val="00874A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A00"/>
  </w:style>
  <w:style w:type="paragraph" w:styleId="Textodeglobo">
    <w:name w:val="Balloon Text"/>
    <w:basedOn w:val="Normal"/>
    <w:link w:val="TextodegloboCar"/>
    <w:uiPriority w:val="99"/>
    <w:semiHidden/>
    <w:unhideWhenUsed/>
    <w:rsid w:val="00874A0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A00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74A0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5DCE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7F00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0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0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0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0C1"/>
    <w:rPr>
      <w:b/>
      <w:bCs/>
      <w:sz w:val="20"/>
      <w:szCs w:val="20"/>
    </w:rPr>
  </w:style>
  <w:style w:type="paragraph" w:customStyle="1" w:styleId="Predeterminado">
    <w:name w:val="Predeterminado"/>
    <w:rsid w:val="00D4338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cKmRuzhlebCKtdSTClpFOQf/w==">AMUW2mXwgjrYR9StrFFDQdiGObEThD5WfVC5pn6DJUhJ2CoUjJMofCyRRO6DTxyoYGDYy3Uv293lJS4IoqPJX/lij7hgaGuAFnJyLxRFdGjh34Lg0tlUDn4fjIZfkrZWHSCBhX2hEbrHH9SeHrk5V9uokOkRf2QqkGjY9Cb8HETwrD5iUgYlB5Y=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Guerra</dc:creator>
  <cp:lastModifiedBy>Usuario</cp:lastModifiedBy>
  <cp:revision>2</cp:revision>
  <dcterms:created xsi:type="dcterms:W3CDTF">2021-09-22T20:16:00Z</dcterms:created>
  <dcterms:modified xsi:type="dcterms:W3CDTF">2021-09-22T20:16:00Z</dcterms:modified>
</cp:coreProperties>
</file>