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0099" w14:textId="7B6E9FF9" w:rsidR="00483B8D" w:rsidRPr="00086A60" w:rsidRDefault="00483B8D" w:rsidP="00483B8D">
      <w:pPr>
        <w:shd w:val="clear" w:color="auto" w:fill="FFFFFF"/>
        <w:rPr>
          <w:rFonts w:ascii="Century Gothic" w:hAnsi="Century Gothic"/>
        </w:rPr>
      </w:pPr>
      <w:r w:rsidRPr="00086A60">
        <w:rPr>
          <w:rFonts w:ascii="Century Gothic" w:hAnsi="Century Gothic"/>
        </w:rPr>
        <w:t>Bogotá D.C.</w:t>
      </w:r>
      <w:r w:rsidRPr="00086A60">
        <w:rPr>
          <w:rFonts w:ascii="Century Gothic" w:hAnsi="Century Gothic"/>
        </w:rPr>
        <w:t xml:space="preserve"> mayo </w:t>
      </w:r>
      <w:r w:rsidRPr="00086A60">
        <w:rPr>
          <w:rFonts w:ascii="Century Gothic" w:hAnsi="Century Gothic"/>
        </w:rPr>
        <w:t>de 2022</w:t>
      </w:r>
      <w:r w:rsidRPr="00086A60">
        <w:rPr>
          <w:rFonts w:ascii="Century Gothic" w:hAnsi="Century Gothic"/>
        </w:rPr>
        <w:br/>
      </w:r>
    </w:p>
    <w:p w14:paraId="7F105E87" w14:textId="77777777" w:rsidR="00483B8D" w:rsidRPr="00086A60" w:rsidRDefault="00483B8D" w:rsidP="00483B8D">
      <w:pPr>
        <w:shd w:val="clear" w:color="auto" w:fill="FFFFFF"/>
        <w:contextualSpacing/>
        <w:jc w:val="both"/>
        <w:rPr>
          <w:rFonts w:ascii="Century Gothic" w:hAnsi="Century Gothic"/>
        </w:rPr>
      </w:pPr>
      <w:r w:rsidRPr="00086A60">
        <w:rPr>
          <w:rFonts w:ascii="Century Gothic" w:hAnsi="Century Gothic"/>
        </w:rPr>
        <w:t>Doctor</w:t>
      </w:r>
    </w:p>
    <w:p w14:paraId="32074C6B" w14:textId="77777777" w:rsidR="00483B8D" w:rsidRPr="00086A60" w:rsidRDefault="00483B8D" w:rsidP="00483B8D">
      <w:pPr>
        <w:shd w:val="clear" w:color="auto" w:fill="FFFFFF"/>
        <w:contextualSpacing/>
        <w:jc w:val="both"/>
        <w:rPr>
          <w:rFonts w:ascii="Century Gothic" w:hAnsi="Century Gothic"/>
          <w:b/>
        </w:rPr>
      </w:pPr>
      <w:r w:rsidRPr="00086A60">
        <w:rPr>
          <w:rFonts w:ascii="Century Gothic" w:hAnsi="Century Gothic"/>
          <w:b/>
        </w:rPr>
        <w:t>JULIO CESAR TRIANA QUINTERO</w:t>
      </w:r>
    </w:p>
    <w:p w14:paraId="5D0B6396" w14:textId="77777777" w:rsidR="00483B8D" w:rsidRPr="00086A60" w:rsidRDefault="00483B8D" w:rsidP="00483B8D">
      <w:pPr>
        <w:shd w:val="clear" w:color="auto" w:fill="FFFFFF"/>
        <w:contextualSpacing/>
        <w:jc w:val="both"/>
        <w:rPr>
          <w:rFonts w:ascii="Century Gothic" w:hAnsi="Century Gothic"/>
        </w:rPr>
      </w:pPr>
      <w:r w:rsidRPr="00086A60">
        <w:rPr>
          <w:rFonts w:ascii="Century Gothic" w:hAnsi="Century Gothic"/>
        </w:rPr>
        <w:t>Presidente</w:t>
      </w:r>
    </w:p>
    <w:p w14:paraId="18F84C9C" w14:textId="77777777" w:rsidR="00483B8D" w:rsidRPr="00086A60" w:rsidRDefault="00483B8D" w:rsidP="00483B8D">
      <w:pPr>
        <w:shd w:val="clear" w:color="auto" w:fill="FFFFFF"/>
        <w:contextualSpacing/>
        <w:jc w:val="both"/>
        <w:rPr>
          <w:rFonts w:ascii="Century Gothic" w:hAnsi="Century Gothic"/>
          <w:b/>
        </w:rPr>
      </w:pPr>
      <w:r w:rsidRPr="00086A60">
        <w:rPr>
          <w:rFonts w:ascii="Century Gothic" w:hAnsi="Century Gothic"/>
          <w:b/>
        </w:rPr>
        <w:t>COMISIÓN PRIMERA</w:t>
      </w:r>
    </w:p>
    <w:p w14:paraId="089FAB5B" w14:textId="77777777" w:rsidR="00483B8D" w:rsidRPr="00086A60" w:rsidRDefault="00483B8D" w:rsidP="00483B8D">
      <w:pPr>
        <w:shd w:val="clear" w:color="auto" w:fill="FFFFFF"/>
        <w:contextualSpacing/>
        <w:jc w:val="both"/>
        <w:rPr>
          <w:rFonts w:ascii="Century Gothic" w:hAnsi="Century Gothic"/>
          <w:b/>
        </w:rPr>
      </w:pPr>
      <w:r w:rsidRPr="00086A60">
        <w:rPr>
          <w:rFonts w:ascii="Century Gothic" w:hAnsi="Century Gothic"/>
          <w:b/>
        </w:rPr>
        <w:t>CÁMARA DE REPRESENTANTES</w:t>
      </w:r>
    </w:p>
    <w:p w14:paraId="707D7BC0" w14:textId="77777777" w:rsidR="00483B8D" w:rsidRPr="00086A60" w:rsidRDefault="00483B8D" w:rsidP="00483B8D">
      <w:pPr>
        <w:shd w:val="clear" w:color="auto" w:fill="FFFFFF"/>
        <w:contextualSpacing/>
        <w:jc w:val="both"/>
        <w:rPr>
          <w:rFonts w:ascii="Century Gothic" w:hAnsi="Century Gothic"/>
        </w:rPr>
      </w:pPr>
      <w:r w:rsidRPr="00086A60">
        <w:rPr>
          <w:rFonts w:ascii="Century Gothic" w:hAnsi="Century Gothic"/>
        </w:rPr>
        <w:t>Ciudad</w:t>
      </w:r>
    </w:p>
    <w:p w14:paraId="19016FB6" w14:textId="77777777" w:rsidR="00483B8D" w:rsidRPr="00086A60" w:rsidRDefault="00483B8D" w:rsidP="00483B8D">
      <w:pPr>
        <w:shd w:val="clear" w:color="auto" w:fill="FFFFFF"/>
        <w:jc w:val="both"/>
        <w:rPr>
          <w:rFonts w:ascii="Century Gothic" w:hAnsi="Century Gothic"/>
          <w:b/>
        </w:rPr>
      </w:pPr>
    </w:p>
    <w:p w14:paraId="67274F70" w14:textId="77777777" w:rsidR="00483B8D" w:rsidRPr="00086A60" w:rsidRDefault="00483B8D" w:rsidP="00483B8D">
      <w:pPr>
        <w:shd w:val="clear" w:color="auto" w:fill="FFFFFF"/>
        <w:jc w:val="both"/>
        <w:rPr>
          <w:rFonts w:ascii="Century Gothic" w:hAnsi="Century Gothic"/>
        </w:rPr>
      </w:pPr>
      <w:r w:rsidRPr="00086A60">
        <w:rPr>
          <w:rFonts w:ascii="Century Gothic" w:hAnsi="Century Gothic"/>
        </w:rPr>
        <w:t xml:space="preserve">Respetado </w:t>
      </w:r>
      <w:proofErr w:type="gramStart"/>
      <w:r w:rsidRPr="00086A60">
        <w:rPr>
          <w:rFonts w:ascii="Century Gothic" w:hAnsi="Century Gothic"/>
        </w:rPr>
        <w:t>Presidente</w:t>
      </w:r>
      <w:proofErr w:type="gramEnd"/>
      <w:r w:rsidRPr="00086A60">
        <w:rPr>
          <w:rFonts w:ascii="Century Gothic" w:hAnsi="Century Gothic"/>
        </w:rPr>
        <w:t>:</w:t>
      </w:r>
    </w:p>
    <w:p w14:paraId="6A1F6FF9" w14:textId="77777777" w:rsidR="00483B8D" w:rsidRPr="00086A60" w:rsidRDefault="00483B8D" w:rsidP="00483B8D">
      <w:pPr>
        <w:shd w:val="clear" w:color="auto" w:fill="FFFFFF"/>
        <w:jc w:val="both"/>
        <w:rPr>
          <w:rFonts w:ascii="Century Gothic" w:hAnsi="Century Gothic"/>
        </w:rPr>
      </w:pPr>
    </w:p>
    <w:p w14:paraId="5317A010" w14:textId="2F6BA644" w:rsidR="00483B8D" w:rsidRPr="00086A60" w:rsidRDefault="00483B8D" w:rsidP="00483B8D">
      <w:pPr>
        <w:shd w:val="clear" w:color="auto" w:fill="FFFFFF"/>
        <w:jc w:val="both"/>
        <w:rPr>
          <w:rFonts w:ascii="Century Gothic" w:hAnsi="Century Gothic"/>
          <w:i/>
        </w:rPr>
      </w:pPr>
      <w:r w:rsidRPr="00086A60">
        <w:rPr>
          <w:rFonts w:ascii="Century Gothic" w:hAnsi="Century Gothic"/>
        </w:rPr>
        <w:t>En cumplimiento del encargo hecho por la Mesa Directiva de la Comisión Primera de la Cámara de Representantes y de conformidad con lo establecido en el Artículo 156 de la Ley 5ª de 1992, proced</w:t>
      </w:r>
      <w:r w:rsidRPr="00086A60">
        <w:rPr>
          <w:rFonts w:ascii="Century Gothic" w:hAnsi="Century Gothic"/>
        </w:rPr>
        <w:t>o</w:t>
      </w:r>
      <w:r w:rsidRPr="00086A60">
        <w:rPr>
          <w:rFonts w:ascii="Century Gothic" w:hAnsi="Century Gothic"/>
        </w:rPr>
        <w:t xml:space="preserve"> a rendir informe de ponencia para primer debate del Proyecto de Ley</w:t>
      </w:r>
      <w:r w:rsidRPr="00086A60">
        <w:rPr>
          <w:rFonts w:ascii="Century Gothic" w:hAnsi="Century Gothic"/>
        </w:rPr>
        <w:t xml:space="preserve"> </w:t>
      </w:r>
      <w:proofErr w:type="spellStart"/>
      <w:r w:rsidRPr="00086A60">
        <w:rPr>
          <w:rFonts w:ascii="Century Gothic" w:hAnsi="Century Gothic"/>
        </w:rPr>
        <w:t>N°</w:t>
      </w:r>
      <w:proofErr w:type="spellEnd"/>
      <w:r w:rsidRPr="00086A60">
        <w:rPr>
          <w:rFonts w:ascii="Century Gothic" w:hAnsi="Century Gothic"/>
        </w:rPr>
        <w:t xml:space="preserve"> 092 de 2021</w:t>
      </w:r>
      <w:r w:rsidR="00086A60">
        <w:rPr>
          <w:rFonts w:ascii="Century Gothic" w:hAnsi="Century Gothic"/>
        </w:rPr>
        <w:t xml:space="preserve"> Cámara</w:t>
      </w:r>
      <w:r w:rsidRPr="00086A60">
        <w:rPr>
          <w:rFonts w:ascii="Century Gothic" w:hAnsi="Century Gothic"/>
        </w:rPr>
        <w:t xml:space="preserve"> “p</w:t>
      </w:r>
      <w:r w:rsidRPr="00086A60">
        <w:rPr>
          <w:rFonts w:ascii="Century Gothic" w:hAnsi="Century Gothic"/>
        </w:rPr>
        <w:t xml:space="preserve">or medio de la cual se modifica la </w:t>
      </w:r>
      <w:r w:rsidRPr="00086A60">
        <w:rPr>
          <w:rFonts w:ascii="Century Gothic" w:hAnsi="Century Gothic"/>
        </w:rPr>
        <w:t>L</w:t>
      </w:r>
      <w:r w:rsidRPr="00086A60">
        <w:rPr>
          <w:rFonts w:ascii="Century Gothic" w:hAnsi="Century Gothic"/>
        </w:rPr>
        <w:t xml:space="preserve">ey 1801 de 2016, a fin de definir el alcance del comparendo y la multa general en </w:t>
      </w:r>
      <w:r w:rsidRPr="00086A60">
        <w:rPr>
          <w:rFonts w:ascii="Century Gothic" w:hAnsi="Century Gothic"/>
        </w:rPr>
        <w:t xml:space="preserve">Colombia”. </w:t>
      </w:r>
      <w:r w:rsidRPr="00086A60">
        <w:rPr>
          <w:rFonts w:ascii="Century Gothic" w:hAnsi="Century Gothic"/>
        </w:rPr>
        <w:t>El Informe de Ponencia se rinde en los siguientes términos:</w:t>
      </w:r>
    </w:p>
    <w:p w14:paraId="35CC8901" w14:textId="77777777" w:rsidR="00483B8D" w:rsidRPr="00086A60" w:rsidRDefault="00483B8D" w:rsidP="00483B8D">
      <w:pPr>
        <w:pBdr>
          <w:top w:val="nil"/>
          <w:left w:val="nil"/>
          <w:bottom w:val="nil"/>
          <w:right w:val="nil"/>
          <w:between w:val="nil"/>
        </w:pBdr>
        <w:spacing w:after="0"/>
        <w:ind w:left="1080"/>
        <w:jc w:val="both"/>
        <w:rPr>
          <w:rFonts w:ascii="Century Gothic" w:hAnsi="Century Gothic"/>
          <w:b/>
        </w:rPr>
      </w:pPr>
    </w:p>
    <w:p w14:paraId="421AF6D0" w14:textId="0C15A7A1" w:rsidR="00483B8D" w:rsidRPr="00086A60" w:rsidRDefault="00483B8D" w:rsidP="00483B8D">
      <w:pPr>
        <w:numPr>
          <w:ilvl w:val="0"/>
          <w:numId w:val="19"/>
        </w:numPr>
        <w:pBdr>
          <w:top w:val="nil"/>
          <w:left w:val="nil"/>
          <w:bottom w:val="nil"/>
          <w:right w:val="nil"/>
          <w:between w:val="nil"/>
        </w:pBdr>
        <w:spacing w:after="0"/>
        <w:jc w:val="both"/>
        <w:rPr>
          <w:rFonts w:ascii="Century Gothic" w:hAnsi="Century Gothic"/>
          <w:b/>
        </w:rPr>
      </w:pPr>
      <w:r w:rsidRPr="00086A60">
        <w:rPr>
          <w:rFonts w:ascii="Century Gothic" w:hAnsi="Century Gothic"/>
          <w:b/>
        </w:rPr>
        <w:t xml:space="preserve">TRÁMITE DE LA INICIATIVA </w:t>
      </w:r>
    </w:p>
    <w:p w14:paraId="1F7B6C2C" w14:textId="77777777" w:rsidR="00483B8D" w:rsidRPr="00086A60" w:rsidRDefault="00483B8D" w:rsidP="00483B8D">
      <w:pPr>
        <w:pBdr>
          <w:top w:val="nil"/>
          <w:left w:val="nil"/>
          <w:bottom w:val="nil"/>
          <w:right w:val="nil"/>
          <w:between w:val="nil"/>
        </w:pBdr>
        <w:jc w:val="both"/>
        <w:rPr>
          <w:rFonts w:ascii="Century Gothic" w:hAnsi="Century Gothic"/>
          <w:b/>
        </w:rPr>
      </w:pPr>
    </w:p>
    <w:p w14:paraId="5CF188F5" w14:textId="40A2D507" w:rsidR="00483B8D" w:rsidRPr="00086A60" w:rsidRDefault="00483B8D" w:rsidP="00483B8D">
      <w:pPr>
        <w:jc w:val="both"/>
        <w:rPr>
          <w:rFonts w:ascii="Century Gothic" w:hAnsi="Century Gothic"/>
        </w:rPr>
      </w:pPr>
      <w:bookmarkStart w:id="0" w:name="_Hlk68244666"/>
      <w:r w:rsidRPr="00086A60">
        <w:rPr>
          <w:rFonts w:ascii="Century Gothic" w:hAnsi="Century Gothic"/>
        </w:rPr>
        <w:t xml:space="preserve">El Proyecto de Ley No. 092 de 2021 Cámara “por medio de la cual se modifica la Ley 1801 de 2016, a fin de definir el alcance del comparendo y la multa general en Colombia”, es de iniciativa </w:t>
      </w:r>
      <w:proofErr w:type="spellStart"/>
      <w:r w:rsidRPr="00086A60">
        <w:rPr>
          <w:rFonts w:ascii="Century Gothic" w:hAnsi="Century Gothic"/>
        </w:rPr>
        <w:t>congresional</w:t>
      </w:r>
      <w:proofErr w:type="spellEnd"/>
      <w:r w:rsidRPr="00086A60">
        <w:rPr>
          <w:rFonts w:ascii="Century Gothic" w:hAnsi="Century Gothic"/>
        </w:rPr>
        <w:t xml:space="preserve"> y se radicó ante la Cámara de Representante el 2</w:t>
      </w:r>
      <w:r w:rsidRPr="00086A60">
        <w:rPr>
          <w:rFonts w:ascii="Century Gothic" w:hAnsi="Century Gothic"/>
        </w:rPr>
        <w:t>1</w:t>
      </w:r>
      <w:r w:rsidRPr="00086A60">
        <w:rPr>
          <w:rFonts w:ascii="Century Gothic" w:hAnsi="Century Gothic"/>
        </w:rPr>
        <w:t xml:space="preserve"> de julio de 2021, por los Honorables Representantes </w:t>
      </w:r>
      <w:bookmarkEnd w:id="0"/>
      <w:r w:rsidRPr="00086A60">
        <w:rPr>
          <w:rFonts w:ascii="Century Gothic" w:hAnsi="Century Gothic"/>
        </w:rPr>
        <w:fldChar w:fldCharType="begin"/>
      </w:r>
      <w:r w:rsidRPr="00086A60">
        <w:rPr>
          <w:rFonts w:ascii="Century Gothic" w:hAnsi="Century Gothic"/>
        </w:rPr>
        <w:instrText xml:space="preserve"> HYPERLINK "https://www.camara.gov.co/representantes/buenaventura-leon-leon" </w:instrText>
      </w:r>
      <w:r w:rsidRPr="00086A60">
        <w:rPr>
          <w:rFonts w:ascii="Century Gothic" w:hAnsi="Century Gothic"/>
        </w:rPr>
        <w:fldChar w:fldCharType="separate"/>
      </w:r>
      <w:r w:rsidRPr="00086A60">
        <w:rPr>
          <w:rFonts w:ascii="Century Gothic" w:hAnsi="Century Gothic"/>
        </w:rPr>
        <w:t xml:space="preserve">Buenaventura León </w:t>
      </w:r>
      <w:proofErr w:type="spellStart"/>
      <w:r w:rsidRPr="00086A60">
        <w:rPr>
          <w:rFonts w:ascii="Century Gothic" w:hAnsi="Century Gothic"/>
        </w:rPr>
        <w:t>León</w:t>
      </w:r>
      <w:proofErr w:type="spellEnd"/>
      <w:r w:rsidRPr="00086A60">
        <w:rPr>
          <w:rFonts w:ascii="Century Gothic" w:hAnsi="Century Gothic"/>
        </w:rPr>
        <w:fldChar w:fldCharType="end"/>
      </w:r>
      <w:r w:rsidRPr="00086A60">
        <w:rPr>
          <w:rFonts w:ascii="Century Gothic" w:hAnsi="Century Gothic"/>
        </w:rPr>
        <w:t xml:space="preserve">, </w:t>
      </w:r>
      <w:hyperlink r:id="rId7" w:history="1">
        <w:r w:rsidRPr="00086A60">
          <w:rPr>
            <w:rFonts w:ascii="Century Gothic" w:hAnsi="Century Gothic"/>
          </w:rPr>
          <w:t xml:space="preserve">Alfredo </w:t>
        </w:r>
        <w:proofErr w:type="spellStart"/>
        <w:r w:rsidRPr="00086A60">
          <w:rPr>
            <w:rFonts w:ascii="Century Gothic" w:hAnsi="Century Gothic"/>
          </w:rPr>
          <w:t>Ape</w:t>
        </w:r>
        <w:proofErr w:type="spellEnd"/>
        <w:r w:rsidRPr="00086A60">
          <w:rPr>
            <w:rFonts w:ascii="Century Gothic" w:hAnsi="Century Gothic"/>
          </w:rPr>
          <w:t xml:space="preserve"> Cuello Baute</w:t>
        </w:r>
      </w:hyperlink>
      <w:r w:rsidRPr="00086A60">
        <w:rPr>
          <w:rFonts w:ascii="Century Gothic" w:hAnsi="Century Gothic"/>
        </w:rPr>
        <w:t xml:space="preserve">, </w:t>
      </w:r>
      <w:hyperlink r:id="rId8" w:history="1">
        <w:r w:rsidRPr="00086A60">
          <w:rPr>
            <w:rFonts w:ascii="Century Gothic" w:hAnsi="Century Gothic"/>
          </w:rPr>
          <w:t>Ciro Antonio Rodríguez Pinzón</w:t>
        </w:r>
      </w:hyperlink>
      <w:r w:rsidRPr="00086A60">
        <w:rPr>
          <w:rFonts w:ascii="Century Gothic" w:hAnsi="Century Gothic"/>
        </w:rPr>
        <w:t xml:space="preserve">, </w:t>
      </w:r>
      <w:hyperlink r:id="rId9" w:history="1">
        <w:r w:rsidRPr="00086A60">
          <w:rPr>
            <w:rFonts w:ascii="Century Gothic" w:hAnsi="Century Gothic"/>
          </w:rPr>
          <w:t>Adriana Magali Matiz Vargas</w:t>
        </w:r>
      </w:hyperlink>
      <w:r w:rsidRPr="00086A60">
        <w:rPr>
          <w:rFonts w:ascii="Century Gothic" w:hAnsi="Century Gothic"/>
        </w:rPr>
        <w:t xml:space="preserve">, </w:t>
      </w:r>
      <w:hyperlink r:id="rId10" w:history="1">
        <w:r w:rsidRPr="00086A60">
          <w:rPr>
            <w:rFonts w:ascii="Century Gothic" w:hAnsi="Century Gothic"/>
          </w:rPr>
          <w:t xml:space="preserve">Juan Carlos </w:t>
        </w:r>
        <w:proofErr w:type="spellStart"/>
        <w:r w:rsidRPr="00086A60">
          <w:rPr>
            <w:rFonts w:ascii="Century Gothic" w:hAnsi="Century Gothic"/>
          </w:rPr>
          <w:t>Wills</w:t>
        </w:r>
        <w:proofErr w:type="spellEnd"/>
        <w:r w:rsidRPr="00086A60">
          <w:rPr>
            <w:rFonts w:ascii="Century Gothic" w:hAnsi="Century Gothic"/>
          </w:rPr>
          <w:t xml:space="preserve"> Ospina</w:t>
        </w:r>
      </w:hyperlink>
      <w:r w:rsidRPr="00086A60">
        <w:rPr>
          <w:rFonts w:ascii="Century Gothic" w:hAnsi="Century Gothic"/>
        </w:rPr>
        <w:t xml:space="preserve">, </w:t>
      </w:r>
      <w:hyperlink r:id="rId11" w:history="1">
        <w:r w:rsidRPr="00086A60">
          <w:rPr>
            <w:rFonts w:ascii="Century Gothic" w:hAnsi="Century Gothic"/>
          </w:rPr>
          <w:t xml:space="preserve">Armando Antonio </w:t>
        </w:r>
        <w:proofErr w:type="spellStart"/>
        <w:r w:rsidRPr="00086A60">
          <w:rPr>
            <w:rFonts w:ascii="Century Gothic" w:hAnsi="Century Gothic"/>
          </w:rPr>
          <w:t>Zabaraín</w:t>
        </w:r>
        <w:proofErr w:type="spellEnd"/>
        <w:r w:rsidRPr="00086A60">
          <w:rPr>
            <w:rFonts w:ascii="Century Gothic" w:hAnsi="Century Gothic"/>
          </w:rPr>
          <w:t xml:space="preserve"> de Arce</w:t>
        </w:r>
      </w:hyperlink>
      <w:r w:rsidRPr="00086A60">
        <w:rPr>
          <w:rFonts w:ascii="Century Gothic" w:hAnsi="Century Gothic"/>
        </w:rPr>
        <w:t xml:space="preserve">, </w:t>
      </w:r>
      <w:hyperlink r:id="rId12" w:history="1">
        <w:r w:rsidRPr="00086A60">
          <w:rPr>
            <w:rFonts w:ascii="Century Gothic" w:hAnsi="Century Gothic"/>
          </w:rPr>
          <w:t>Juan Carlos Rivera Peña</w:t>
        </w:r>
      </w:hyperlink>
      <w:r w:rsidRPr="00086A60">
        <w:rPr>
          <w:rFonts w:ascii="Century Gothic" w:hAnsi="Century Gothic"/>
        </w:rPr>
        <w:t>, .</w:t>
      </w:r>
      <w:hyperlink r:id="rId13" w:history="1">
        <w:r w:rsidRPr="00086A60">
          <w:rPr>
            <w:rFonts w:ascii="Century Gothic" w:hAnsi="Century Gothic"/>
          </w:rPr>
          <w:t>José Gustavo Padilla Orozco</w:t>
        </w:r>
      </w:hyperlink>
      <w:r w:rsidRPr="00086A60">
        <w:rPr>
          <w:rFonts w:ascii="Century Gothic" w:hAnsi="Century Gothic"/>
        </w:rPr>
        <w:t xml:space="preserve">, </w:t>
      </w:r>
      <w:hyperlink r:id="rId14" w:history="1">
        <w:proofErr w:type="spellStart"/>
        <w:r w:rsidRPr="00086A60">
          <w:rPr>
            <w:rFonts w:ascii="Century Gothic" w:hAnsi="Century Gothic"/>
          </w:rPr>
          <w:t>Wadith</w:t>
        </w:r>
        <w:proofErr w:type="spellEnd"/>
        <w:r w:rsidRPr="00086A60">
          <w:rPr>
            <w:rFonts w:ascii="Century Gothic" w:hAnsi="Century Gothic"/>
          </w:rPr>
          <w:t xml:space="preserve"> Alberto Manzur </w:t>
        </w:r>
        <w:proofErr w:type="spellStart"/>
        <w:r w:rsidRPr="00086A60">
          <w:rPr>
            <w:rFonts w:ascii="Century Gothic" w:hAnsi="Century Gothic"/>
          </w:rPr>
          <w:t>Imbett</w:t>
        </w:r>
        <w:proofErr w:type="spellEnd"/>
      </w:hyperlink>
      <w:r w:rsidRPr="00086A60">
        <w:rPr>
          <w:rFonts w:ascii="Century Gothic" w:hAnsi="Century Gothic"/>
        </w:rPr>
        <w:t xml:space="preserve">, </w:t>
      </w:r>
      <w:hyperlink r:id="rId15" w:history="1">
        <w:r w:rsidRPr="00086A60">
          <w:rPr>
            <w:rFonts w:ascii="Century Gothic" w:hAnsi="Century Gothic"/>
          </w:rPr>
          <w:t>Nidia Marcela Osorio Salgado</w:t>
        </w:r>
      </w:hyperlink>
      <w:r w:rsidRPr="00086A60">
        <w:rPr>
          <w:rFonts w:ascii="Century Gothic" w:hAnsi="Century Gothic"/>
        </w:rPr>
        <w:t xml:space="preserve">, </w:t>
      </w:r>
      <w:hyperlink r:id="rId16" w:history="1">
        <w:proofErr w:type="spellStart"/>
        <w:r w:rsidRPr="00086A60">
          <w:rPr>
            <w:rFonts w:ascii="Century Gothic" w:hAnsi="Century Gothic"/>
          </w:rPr>
          <w:t>Felix</w:t>
        </w:r>
        <w:proofErr w:type="spellEnd"/>
        <w:r w:rsidRPr="00086A60">
          <w:rPr>
            <w:rFonts w:ascii="Century Gothic" w:hAnsi="Century Gothic"/>
          </w:rPr>
          <w:t xml:space="preserve"> Alejandro Chica Correa</w:t>
        </w:r>
      </w:hyperlink>
      <w:r w:rsidRPr="00086A60">
        <w:rPr>
          <w:rFonts w:ascii="Century Gothic" w:hAnsi="Century Gothic"/>
        </w:rPr>
        <w:t xml:space="preserve">, </w:t>
      </w:r>
      <w:hyperlink r:id="rId17" w:history="1">
        <w:r w:rsidRPr="00086A60">
          <w:rPr>
            <w:rFonts w:ascii="Century Gothic" w:hAnsi="Century Gothic"/>
          </w:rPr>
          <w:t>Emeterio José Montes De Castro</w:t>
        </w:r>
      </w:hyperlink>
      <w:r w:rsidRPr="00086A60">
        <w:rPr>
          <w:rFonts w:ascii="Century Gothic" w:hAnsi="Century Gothic"/>
        </w:rPr>
        <w:t xml:space="preserve">, </w:t>
      </w:r>
      <w:hyperlink r:id="rId18" w:history="1">
        <w:r w:rsidRPr="00086A60">
          <w:rPr>
            <w:rFonts w:ascii="Century Gothic" w:hAnsi="Century Gothic"/>
          </w:rPr>
          <w:t xml:space="preserve">José </w:t>
        </w:r>
        <w:proofErr w:type="spellStart"/>
        <w:r w:rsidRPr="00086A60">
          <w:rPr>
            <w:rFonts w:ascii="Century Gothic" w:hAnsi="Century Gothic"/>
          </w:rPr>
          <w:lastRenderedPageBreak/>
          <w:t>Elver</w:t>
        </w:r>
        <w:proofErr w:type="spellEnd"/>
        <w:r w:rsidRPr="00086A60">
          <w:rPr>
            <w:rFonts w:ascii="Century Gothic" w:hAnsi="Century Gothic"/>
          </w:rPr>
          <w:t xml:space="preserve"> Hernández Casas</w:t>
        </w:r>
      </w:hyperlink>
      <w:r w:rsidRPr="00086A60">
        <w:rPr>
          <w:rFonts w:ascii="Century Gothic" w:hAnsi="Century Gothic"/>
        </w:rPr>
        <w:t xml:space="preserve">, </w:t>
      </w:r>
      <w:hyperlink r:id="rId19" w:history="1">
        <w:r w:rsidRPr="00086A60">
          <w:rPr>
            <w:rFonts w:ascii="Century Gothic" w:hAnsi="Century Gothic"/>
          </w:rPr>
          <w:t>Germán Alcides Blanco Álvarez</w:t>
        </w:r>
      </w:hyperlink>
      <w:r w:rsidRPr="00086A60">
        <w:rPr>
          <w:rFonts w:ascii="Century Gothic" w:hAnsi="Century Gothic"/>
        </w:rPr>
        <w:t xml:space="preserve">, </w:t>
      </w:r>
      <w:hyperlink r:id="rId20" w:history="1">
        <w:r w:rsidRPr="00086A60">
          <w:rPr>
            <w:rFonts w:ascii="Century Gothic" w:hAnsi="Century Gothic"/>
          </w:rPr>
          <w:t xml:space="preserve">Nicolás Albeiro Echeverry </w:t>
        </w:r>
        <w:proofErr w:type="spellStart"/>
        <w:r w:rsidRPr="00086A60">
          <w:rPr>
            <w:rFonts w:ascii="Century Gothic" w:hAnsi="Century Gothic"/>
          </w:rPr>
          <w:t>Alvarán</w:t>
        </w:r>
        <w:proofErr w:type="spellEnd"/>
      </w:hyperlink>
      <w:r w:rsidRPr="00086A60">
        <w:rPr>
          <w:rFonts w:ascii="Century Gothic" w:hAnsi="Century Gothic"/>
        </w:rPr>
        <w:t xml:space="preserve">, </w:t>
      </w:r>
      <w:hyperlink r:id="rId21" w:history="1">
        <w:proofErr w:type="spellStart"/>
        <w:r w:rsidRPr="00086A60">
          <w:rPr>
            <w:rFonts w:ascii="Century Gothic" w:hAnsi="Century Gothic"/>
          </w:rPr>
          <w:t>Diela</w:t>
        </w:r>
        <w:proofErr w:type="spellEnd"/>
        <w:r w:rsidRPr="00086A60">
          <w:rPr>
            <w:rFonts w:ascii="Century Gothic" w:hAnsi="Century Gothic"/>
          </w:rPr>
          <w:t xml:space="preserve"> Liliana Benavides Solarte</w:t>
        </w:r>
      </w:hyperlink>
      <w:r w:rsidRPr="00086A60">
        <w:rPr>
          <w:rFonts w:ascii="Century Gothic" w:hAnsi="Century Gothic"/>
        </w:rPr>
        <w:t xml:space="preserve">, </w:t>
      </w:r>
      <w:hyperlink r:id="rId22" w:history="1">
        <w:r w:rsidRPr="00086A60">
          <w:rPr>
            <w:rFonts w:ascii="Century Gothic" w:hAnsi="Century Gothic"/>
          </w:rPr>
          <w:t>María Cristina Soto De Gómez</w:t>
        </w:r>
      </w:hyperlink>
      <w:r w:rsidRPr="00086A60">
        <w:rPr>
          <w:rFonts w:ascii="Century Gothic" w:hAnsi="Century Gothic"/>
        </w:rPr>
        <w:t xml:space="preserve">, </w:t>
      </w:r>
      <w:hyperlink r:id="rId23" w:history="1">
        <w:r w:rsidRPr="00086A60">
          <w:rPr>
            <w:rFonts w:ascii="Century Gothic" w:hAnsi="Century Gothic"/>
          </w:rPr>
          <w:t xml:space="preserve">Yamil Hernando Arana </w:t>
        </w:r>
        <w:proofErr w:type="spellStart"/>
        <w:r w:rsidRPr="00086A60">
          <w:rPr>
            <w:rFonts w:ascii="Century Gothic" w:hAnsi="Century Gothic"/>
          </w:rPr>
          <w:t>Padaui</w:t>
        </w:r>
        <w:proofErr w:type="spellEnd"/>
      </w:hyperlink>
      <w:r w:rsidRPr="00086A60">
        <w:rPr>
          <w:rFonts w:ascii="Century Gothic" w:hAnsi="Century Gothic"/>
        </w:rPr>
        <w:t xml:space="preserve"> y </w:t>
      </w:r>
      <w:hyperlink r:id="rId24" w:history="1">
        <w:r w:rsidRPr="00086A60">
          <w:rPr>
            <w:rFonts w:ascii="Century Gothic" w:hAnsi="Century Gothic"/>
          </w:rPr>
          <w:t>Felipe Andrés Muñoz Delgado</w:t>
        </w:r>
      </w:hyperlink>
      <w:r w:rsidRPr="00086A60">
        <w:rPr>
          <w:rFonts w:ascii="Century Gothic" w:hAnsi="Century Gothic"/>
        </w:rPr>
        <w:t xml:space="preserve">.             </w:t>
      </w:r>
      <w:r w:rsidRPr="00086A60">
        <w:rPr>
          <w:rFonts w:ascii="Century Gothic" w:hAnsi="Century Gothic"/>
        </w:rPr>
        <w:t xml:space="preserve"> </w:t>
      </w:r>
    </w:p>
    <w:p w14:paraId="1D044C57" w14:textId="50D76DDD" w:rsidR="00483B8D" w:rsidRPr="00086A60" w:rsidRDefault="00483B8D" w:rsidP="00483B8D">
      <w:pPr>
        <w:pStyle w:val="Textoindependiente"/>
        <w:spacing w:line="276" w:lineRule="auto"/>
        <w:rPr>
          <w:rFonts w:ascii="Century Gothic" w:hAnsi="Century Gothic" w:cs="Arial"/>
          <w:sz w:val="22"/>
          <w:szCs w:val="22"/>
        </w:rPr>
      </w:pPr>
      <w:bookmarkStart w:id="1" w:name="_Hlk68244687"/>
      <w:r w:rsidRPr="00086A60">
        <w:rPr>
          <w:rFonts w:ascii="Century Gothic" w:hAnsi="Century Gothic" w:cs="Arial"/>
          <w:sz w:val="22"/>
          <w:szCs w:val="22"/>
        </w:rPr>
        <w:t xml:space="preserve">La iniciativa legislativa fue publicada en la Gaceta del Congreso </w:t>
      </w:r>
      <w:proofErr w:type="spellStart"/>
      <w:r w:rsidRPr="00086A60">
        <w:rPr>
          <w:rFonts w:ascii="Century Gothic" w:hAnsi="Century Gothic" w:cs="Arial"/>
          <w:sz w:val="22"/>
          <w:szCs w:val="22"/>
        </w:rPr>
        <w:t>Nª</w:t>
      </w:r>
      <w:proofErr w:type="spellEnd"/>
      <w:r w:rsidRPr="00086A60">
        <w:rPr>
          <w:rFonts w:ascii="Century Gothic" w:hAnsi="Century Gothic" w:cs="Arial"/>
          <w:sz w:val="22"/>
          <w:szCs w:val="22"/>
        </w:rPr>
        <w:t xml:space="preserve"> </w:t>
      </w:r>
      <w:r w:rsidRPr="00086A60">
        <w:rPr>
          <w:rFonts w:ascii="Century Gothic" w:hAnsi="Century Gothic" w:cs="Arial"/>
          <w:sz w:val="22"/>
          <w:szCs w:val="22"/>
        </w:rPr>
        <w:t>955</w:t>
      </w:r>
      <w:r w:rsidRPr="00086A60">
        <w:rPr>
          <w:rFonts w:ascii="Century Gothic" w:hAnsi="Century Gothic" w:cs="Arial"/>
          <w:sz w:val="22"/>
          <w:szCs w:val="22"/>
        </w:rPr>
        <w:t xml:space="preserve"> de </w:t>
      </w:r>
      <w:bookmarkStart w:id="2" w:name="_Hlk68244679"/>
      <w:r w:rsidRPr="00086A60">
        <w:rPr>
          <w:rFonts w:ascii="Century Gothic" w:hAnsi="Century Gothic" w:cs="Arial"/>
          <w:sz w:val="22"/>
          <w:szCs w:val="22"/>
        </w:rPr>
        <w:t xml:space="preserve">2022. </w:t>
      </w:r>
    </w:p>
    <w:bookmarkEnd w:id="1"/>
    <w:bookmarkEnd w:id="2"/>
    <w:p w14:paraId="48F154F6" w14:textId="77777777" w:rsidR="00483B8D" w:rsidRPr="00086A60" w:rsidRDefault="00483B8D" w:rsidP="00483B8D">
      <w:pPr>
        <w:autoSpaceDE w:val="0"/>
        <w:autoSpaceDN w:val="0"/>
        <w:adjustRightInd w:val="0"/>
        <w:jc w:val="both"/>
        <w:rPr>
          <w:rFonts w:ascii="Century Gothic" w:hAnsi="Century Gothic"/>
        </w:rPr>
      </w:pPr>
    </w:p>
    <w:p w14:paraId="78A23F5F" w14:textId="0A4BF872" w:rsidR="00483B8D" w:rsidRDefault="00483B8D" w:rsidP="00483B8D">
      <w:pPr>
        <w:autoSpaceDE w:val="0"/>
        <w:autoSpaceDN w:val="0"/>
        <w:adjustRightInd w:val="0"/>
        <w:jc w:val="both"/>
        <w:rPr>
          <w:rFonts w:ascii="Century Gothic" w:hAnsi="Century Gothic"/>
        </w:rPr>
      </w:pPr>
      <w:r w:rsidRPr="00086A60">
        <w:rPr>
          <w:rFonts w:ascii="Century Gothic" w:hAnsi="Century Gothic"/>
        </w:rPr>
        <w:t>L</w:t>
      </w:r>
      <w:r w:rsidRPr="00086A60">
        <w:rPr>
          <w:rFonts w:ascii="Century Gothic" w:hAnsi="Century Gothic"/>
        </w:rPr>
        <w:t xml:space="preserve">a Mesa Directiva de la Comisión Primera de la Cámara de Representantes, designo como </w:t>
      </w:r>
      <w:r w:rsidRPr="00086A60">
        <w:rPr>
          <w:rFonts w:ascii="Century Gothic" w:hAnsi="Century Gothic"/>
        </w:rPr>
        <w:t>único ponente al Suscrito</w:t>
      </w:r>
      <w:r w:rsidRPr="00086A60">
        <w:rPr>
          <w:rFonts w:ascii="Century Gothic" w:hAnsi="Century Gothic"/>
        </w:rPr>
        <w:t xml:space="preserve"> Buenaventura León </w:t>
      </w:r>
      <w:proofErr w:type="spellStart"/>
      <w:r w:rsidRPr="00086A60">
        <w:rPr>
          <w:rFonts w:ascii="Century Gothic" w:hAnsi="Century Gothic"/>
        </w:rPr>
        <w:t>León</w:t>
      </w:r>
      <w:proofErr w:type="spellEnd"/>
      <w:r w:rsidR="00F76C31" w:rsidRPr="00086A60">
        <w:rPr>
          <w:rFonts w:ascii="Century Gothic" w:hAnsi="Century Gothic"/>
        </w:rPr>
        <w:t xml:space="preserve">. </w:t>
      </w:r>
    </w:p>
    <w:p w14:paraId="03662603" w14:textId="77777777" w:rsidR="00483B8D" w:rsidRPr="00086A60" w:rsidRDefault="00483B8D" w:rsidP="00483B8D">
      <w:pPr>
        <w:numPr>
          <w:ilvl w:val="0"/>
          <w:numId w:val="19"/>
        </w:numPr>
        <w:pBdr>
          <w:top w:val="nil"/>
          <w:left w:val="nil"/>
          <w:bottom w:val="nil"/>
          <w:right w:val="nil"/>
          <w:between w:val="nil"/>
        </w:pBdr>
        <w:spacing w:after="0"/>
        <w:jc w:val="both"/>
        <w:rPr>
          <w:rFonts w:ascii="Century Gothic" w:hAnsi="Century Gothic"/>
          <w:b/>
        </w:rPr>
      </w:pPr>
      <w:r w:rsidRPr="00086A60">
        <w:rPr>
          <w:rFonts w:ascii="Century Gothic" w:hAnsi="Century Gothic"/>
          <w:b/>
        </w:rPr>
        <w:t xml:space="preserve">JUSTIFICACIÓN. </w:t>
      </w:r>
    </w:p>
    <w:p w14:paraId="31CBCD80" w14:textId="77777777" w:rsidR="00C638A0" w:rsidRDefault="00C638A0" w:rsidP="00483B8D">
      <w:pPr>
        <w:jc w:val="both"/>
        <w:rPr>
          <w:rFonts w:ascii="Century Gothic" w:hAnsi="Century Gothic"/>
        </w:rPr>
      </w:pPr>
    </w:p>
    <w:p w14:paraId="52142D3E" w14:textId="140F80C5" w:rsidR="00483B8D" w:rsidRPr="00086A60" w:rsidRDefault="00483B8D" w:rsidP="00483B8D">
      <w:pPr>
        <w:jc w:val="both"/>
        <w:rPr>
          <w:rFonts w:ascii="Century Gothic" w:hAnsi="Century Gothic"/>
        </w:rPr>
      </w:pPr>
      <w:r w:rsidRPr="00086A60">
        <w:rPr>
          <w:rFonts w:ascii="Century Gothic" w:hAnsi="Century Gothic"/>
        </w:rPr>
        <w:t xml:space="preserve">El Proyecto de Ley </w:t>
      </w:r>
      <w:proofErr w:type="spellStart"/>
      <w:r w:rsidRPr="00086A60">
        <w:rPr>
          <w:rFonts w:ascii="Century Gothic" w:hAnsi="Century Gothic"/>
        </w:rPr>
        <w:t>N°</w:t>
      </w:r>
      <w:proofErr w:type="spellEnd"/>
      <w:r w:rsidRPr="00086A60">
        <w:rPr>
          <w:rFonts w:ascii="Century Gothic" w:hAnsi="Century Gothic"/>
        </w:rPr>
        <w:t xml:space="preserve"> </w:t>
      </w:r>
      <w:r w:rsidR="00F76C31" w:rsidRPr="00086A60">
        <w:rPr>
          <w:rFonts w:ascii="Century Gothic" w:hAnsi="Century Gothic"/>
        </w:rPr>
        <w:t>092</w:t>
      </w:r>
      <w:r w:rsidRPr="00086A60">
        <w:rPr>
          <w:rFonts w:ascii="Century Gothic" w:hAnsi="Century Gothic"/>
        </w:rPr>
        <w:t xml:space="preserve"> de 2022 Cámara, fue motivado por sus autores en los siguientes términos: </w:t>
      </w:r>
    </w:p>
    <w:p w14:paraId="3C1C5AEC" w14:textId="77777777" w:rsidR="004A2F91" w:rsidRPr="00086A60"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DED1C0D" w14:textId="77777777" w:rsidR="00F76C31" w:rsidRPr="00086A60" w:rsidRDefault="00F76C31" w:rsidP="00F76C31">
      <w:pPr>
        <w:pStyle w:val="Prrafodelista"/>
        <w:numPr>
          <w:ilvl w:val="0"/>
          <w:numId w:val="20"/>
        </w:numPr>
        <w:jc w:val="both"/>
        <w:rPr>
          <w:rFonts w:ascii="Century Gothic" w:eastAsia="Roboto" w:hAnsi="Century Gothic" w:cs="Roboto"/>
        </w:rPr>
      </w:pPr>
      <w:r w:rsidRPr="00086A60">
        <w:rPr>
          <w:rFonts w:ascii="Century Gothic" w:hAnsi="Century Gothic"/>
          <w:b/>
          <w:lang w:val="es-ES"/>
        </w:rPr>
        <w:t xml:space="preserve">OBJETO. </w:t>
      </w:r>
      <w:r w:rsidRPr="00086A60">
        <w:rPr>
          <w:rFonts w:ascii="Century Gothic" w:eastAsia="Roboto" w:hAnsi="Century Gothic" w:cs="Roboto"/>
        </w:rPr>
        <w:t xml:space="preserve">Definir el alcance del comparendo y la multa general en Colombia y precisar: </w:t>
      </w:r>
    </w:p>
    <w:p w14:paraId="4C59E9F3" w14:textId="77777777" w:rsidR="00F76C31" w:rsidRPr="00086A60" w:rsidRDefault="00F76C31" w:rsidP="00F76C31">
      <w:pPr>
        <w:pStyle w:val="Prrafodelista"/>
        <w:ind w:left="1080"/>
        <w:jc w:val="both"/>
        <w:rPr>
          <w:rFonts w:ascii="Century Gothic" w:eastAsia="Roboto" w:hAnsi="Century Gothic" w:cs="Roboto"/>
        </w:rPr>
      </w:pPr>
    </w:p>
    <w:p w14:paraId="3070F734" w14:textId="77777777" w:rsidR="00F76C31" w:rsidRPr="00086A60" w:rsidRDefault="00F76C31" w:rsidP="00F76C31">
      <w:pPr>
        <w:pStyle w:val="Prrafodelista"/>
        <w:numPr>
          <w:ilvl w:val="0"/>
          <w:numId w:val="11"/>
        </w:numPr>
        <w:jc w:val="both"/>
        <w:rPr>
          <w:rFonts w:ascii="Century Gothic" w:hAnsi="Century Gothic"/>
          <w:bCs/>
        </w:rPr>
      </w:pPr>
      <w:r w:rsidRPr="00086A60">
        <w:rPr>
          <w:rFonts w:ascii="Century Gothic" w:hAnsi="Century Gothic"/>
          <w:bCs/>
        </w:rPr>
        <w:t xml:space="preserve">Que a través del documento oficial denominado comparendo, se puede imponer medida correctiva de multa general. </w:t>
      </w:r>
    </w:p>
    <w:p w14:paraId="78C85D41" w14:textId="77777777" w:rsidR="00F76C31" w:rsidRPr="00086A60" w:rsidRDefault="00F76C31" w:rsidP="00F76C31">
      <w:pPr>
        <w:pStyle w:val="Prrafodelista"/>
        <w:ind w:left="1080"/>
        <w:jc w:val="both"/>
        <w:rPr>
          <w:rFonts w:ascii="Century Gothic" w:hAnsi="Century Gothic"/>
          <w:bCs/>
        </w:rPr>
      </w:pPr>
    </w:p>
    <w:p w14:paraId="39AE7EE0" w14:textId="77777777" w:rsidR="00F76C31" w:rsidRPr="00086A60" w:rsidRDefault="00F76C31" w:rsidP="00F76C31">
      <w:pPr>
        <w:pStyle w:val="Prrafodelista"/>
        <w:numPr>
          <w:ilvl w:val="0"/>
          <w:numId w:val="11"/>
        </w:numPr>
        <w:jc w:val="both"/>
        <w:rPr>
          <w:rFonts w:ascii="Century Gothic" w:hAnsi="Century Gothic"/>
          <w:bCs/>
        </w:rPr>
      </w:pPr>
      <w:r w:rsidRPr="00086A60">
        <w:rPr>
          <w:rFonts w:ascii="Century Gothic" w:hAnsi="Century Gothic" w:cs="Arial"/>
        </w:rPr>
        <w:t xml:space="preserve">En caso de solicitar la conmutación de multa general tipos 1 o 2 por participación en programa comunitario o actividad pedagógica de convivencia, la misma no se podrá objetar. </w:t>
      </w:r>
    </w:p>
    <w:p w14:paraId="76461F61" w14:textId="77777777" w:rsidR="00F76C31" w:rsidRPr="00086A60" w:rsidRDefault="00F76C31" w:rsidP="00F76C31">
      <w:pPr>
        <w:pStyle w:val="Prrafodelista"/>
        <w:ind w:left="1080"/>
        <w:jc w:val="both"/>
        <w:rPr>
          <w:rFonts w:ascii="Century Gothic" w:hAnsi="Century Gothic"/>
          <w:bCs/>
        </w:rPr>
      </w:pPr>
    </w:p>
    <w:p w14:paraId="7B2EBB6E" w14:textId="77777777" w:rsidR="00F76C31" w:rsidRPr="00086A60" w:rsidRDefault="00F76C31" w:rsidP="00F76C31">
      <w:pPr>
        <w:pStyle w:val="Prrafodelista"/>
        <w:numPr>
          <w:ilvl w:val="0"/>
          <w:numId w:val="11"/>
        </w:numPr>
        <w:jc w:val="both"/>
        <w:rPr>
          <w:rFonts w:ascii="Century Gothic" w:hAnsi="Century Gothic"/>
          <w:bCs/>
        </w:rPr>
      </w:pPr>
      <w:r w:rsidRPr="00086A60">
        <w:rPr>
          <w:rFonts w:ascii="Century Gothic" w:hAnsi="Century Gothic" w:cs="Arial"/>
        </w:rPr>
        <w:t>La competencia del personal uniformado de la Policía Nacional para:</w:t>
      </w:r>
    </w:p>
    <w:p w14:paraId="4AD95A14" w14:textId="77777777" w:rsidR="00F76C31" w:rsidRPr="00086A60" w:rsidRDefault="00F76C31" w:rsidP="00F76C31">
      <w:pPr>
        <w:pStyle w:val="Prrafodelista"/>
        <w:rPr>
          <w:rFonts w:ascii="Century Gothic" w:hAnsi="Century Gothic" w:cs="Arial"/>
        </w:rPr>
      </w:pPr>
    </w:p>
    <w:p w14:paraId="0F61997F" w14:textId="77777777" w:rsidR="00F76C31" w:rsidRPr="00086A60" w:rsidRDefault="00F76C31" w:rsidP="00F76C31">
      <w:pPr>
        <w:pStyle w:val="Prrafodelista"/>
        <w:numPr>
          <w:ilvl w:val="0"/>
          <w:numId w:val="13"/>
        </w:numPr>
        <w:jc w:val="both"/>
        <w:rPr>
          <w:rFonts w:ascii="Century Gothic" w:hAnsi="Century Gothic"/>
          <w:bCs/>
        </w:rPr>
      </w:pPr>
      <w:r w:rsidRPr="00086A60">
        <w:rPr>
          <w:rFonts w:ascii="Century Gothic" w:hAnsi="Century Gothic" w:cs="Arial"/>
        </w:rPr>
        <w:t xml:space="preserve">Resolver el incidente de objeción de la medida correctiva de multa general. </w:t>
      </w:r>
    </w:p>
    <w:p w14:paraId="2E4A43A7" w14:textId="77777777" w:rsidR="00F76C31" w:rsidRPr="00086A60" w:rsidRDefault="00F76C31" w:rsidP="00F76C31">
      <w:pPr>
        <w:pStyle w:val="Prrafodelista"/>
        <w:numPr>
          <w:ilvl w:val="0"/>
          <w:numId w:val="13"/>
        </w:numPr>
        <w:jc w:val="both"/>
        <w:rPr>
          <w:rFonts w:ascii="Century Gothic" w:hAnsi="Century Gothic"/>
          <w:bCs/>
        </w:rPr>
      </w:pPr>
      <w:r w:rsidRPr="00086A60">
        <w:rPr>
          <w:rFonts w:ascii="Century Gothic" w:hAnsi="Century Gothic" w:cs="Arial"/>
        </w:rPr>
        <w:t xml:space="preserve">Liquidar y comunicar la multa impuesta al infractor. </w:t>
      </w:r>
    </w:p>
    <w:p w14:paraId="72121F14" w14:textId="77777777" w:rsidR="00F76C31" w:rsidRPr="00086A60" w:rsidRDefault="00F76C31" w:rsidP="00F76C31">
      <w:pPr>
        <w:pStyle w:val="Prrafodelista"/>
        <w:rPr>
          <w:rFonts w:ascii="Century Gothic" w:hAnsi="Century Gothic"/>
          <w:bCs/>
        </w:rPr>
      </w:pPr>
    </w:p>
    <w:p w14:paraId="3C3F320F" w14:textId="77777777" w:rsidR="00F76C31" w:rsidRPr="00086A60" w:rsidRDefault="00F76C31" w:rsidP="00F76C31">
      <w:pPr>
        <w:pStyle w:val="Prrafodelista"/>
        <w:numPr>
          <w:ilvl w:val="0"/>
          <w:numId w:val="11"/>
        </w:numPr>
        <w:jc w:val="both"/>
        <w:rPr>
          <w:rFonts w:ascii="Century Gothic" w:hAnsi="Century Gothic"/>
          <w:bCs/>
        </w:rPr>
      </w:pPr>
      <w:r w:rsidRPr="00086A60">
        <w:rPr>
          <w:rFonts w:ascii="Century Gothic" w:hAnsi="Century Gothic"/>
          <w:bCs/>
        </w:rPr>
        <w:lastRenderedPageBreak/>
        <w:t xml:space="preserve">El termino y procedimiento para resolver el incidente de objeción de la medida correctiva de multa general. </w:t>
      </w:r>
    </w:p>
    <w:p w14:paraId="5F704396" w14:textId="77777777" w:rsidR="00F76C31" w:rsidRPr="00086A60" w:rsidRDefault="00F76C31" w:rsidP="00F76C31">
      <w:pPr>
        <w:pStyle w:val="Prrafodelista"/>
        <w:rPr>
          <w:rFonts w:ascii="Century Gothic" w:hAnsi="Century Gothic"/>
          <w:bCs/>
        </w:rPr>
      </w:pPr>
    </w:p>
    <w:p w14:paraId="70DDBF09" w14:textId="77777777" w:rsidR="00F76C31" w:rsidRPr="00086A60" w:rsidRDefault="00F76C31" w:rsidP="00F76C31">
      <w:pPr>
        <w:pStyle w:val="Prrafodelista"/>
        <w:numPr>
          <w:ilvl w:val="0"/>
          <w:numId w:val="11"/>
        </w:numPr>
        <w:jc w:val="both"/>
        <w:rPr>
          <w:rFonts w:ascii="Century Gothic" w:hAnsi="Century Gothic"/>
          <w:bCs/>
        </w:rPr>
      </w:pPr>
      <w:r w:rsidRPr="00086A60">
        <w:rPr>
          <w:rFonts w:ascii="Century Gothic" w:hAnsi="Century Gothic"/>
          <w:bCs/>
        </w:rPr>
        <w:t xml:space="preserve">La firmeza de la imposición de la medida correctiva de multa general, cuando se impone a través de comparendo. </w:t>
      </w:r>
    </w:p>
    <w:p w14:paraId="05F6AB8B" w14:textId="77777777" w:rsidR="00F76C31" w:rsidRPr="00086A60" w:rsidRDefault="00F76C31" w:rsidP="00F76C31">
      <w:pPr>
        <w:pStyle w:val="Prrafodelista"/>
        <w:rPr>
          <w:rFonts w:ascii="Century Gothic" w:hAnsi="Century Gothic"/>
          <w:bCs/>
        </w:rPr>
      </w:pPr>
    </w:p>
    <w:p w14:paraId="631F9CEE" w14:textId="77777777" w:rsidR="00F76C31" w:rsidRPr="00086A60" w:rsidRDefault="00F76C31" w:rsidP="00F76C31">
      <w:pPr>
        <w:pStyle w:val="Prrafodelista"/>
        <w:numPr>
          <w:ilvl w:val="0"/>
          <w:numId w:val="11"/>
        </w:numPr>
        <w:jc w:val="both"/>
        <w:rPr>
          <w:rFonts w:ascii="Century Gothic" w:hAnsi="Century Gothic"/>
          <w:bCs/>
        </w:rPr>
      </w:pPr>
      <w:r w:rsidRPr="00086A60">
        <w:rPr>
          <w:rFonts w:ascii="Century Gothic" w:hAnsi="Century Gothic"/>
          <w:bCs/>
        </w:rPr>
        <w:t xml:space="preserve">El contenido del documento oficial denominado comparendo. </w:t>
      </w:r>
    </w:p>
    <w:p w14:paraId="4ED44175" w14:textId="7297695C" w:rsidR="00F76C31" w:rsidRDefault="00F76C31" w:rsidP="00F76C31">
      <w:pPr>
        <w:pStyle w:val="Prrafodelista"/>
        <w:rPr>
          <w:rFonts w:ascii="Century Gothic" w:hAnsi="Century Gothic"/>
          <w:bCs/>
        </w:rPr>
      </w:pPr>
    </w:p>
    <w:p w14:paraId="3FE00E07" w14:textId="77777777" w:rsidR="00F76C31" w:rsidRPr="00086A60" w:rsidRDefault="00F76C31" w:rsidP="00F76C31">
      <w:pPr>
        <w:pStyle w:val="Sinespaciado"/>
        <w:numPr>
          <w:ilvl w:val="0"/>
          <w:numId w:val="20"/>
        </w:numPr>
        <w:spacing w:line="276" w:lineRule="auto"/>
        <w:rPr>
          <w:rFonts w:ascii="Century Gothic" w:hAnsi="Century Gothic"/>
          <w:b/>
          <w:lang w:val="es-ES"/>
        </w:rPr>
      </w:pPr>
      <w:r w:rsidRPr="00086A60">
        <w:rPr>
          <w:rFonts w:ascii="Century Gothic" w:hAnsi="Century Gothic"/>
          <w:b/>
          <w:lang w:val="es-ES"/>
        </w:rPr>
        <w:t xml:space="preserve">ANTECEDENTES. </w:t>
      </w:r>
    </w:p>
    <w:p w14:paraId="11870B4C" w14:textId="77777777" w:rsidR="00F76C31" w:rsidRPr="00086A60" w:rsidRDefault="00F76C31" w:rsidP="00F76C31">
      <w:pPr>
        <w:pStyle w:val="Sinespaciado"/>
        <w:spacing w:line="276" w:lineRule="auto"/>
        <w:rPr>
          <w:rFonts w:ascii="Century Gothic" w:hAnsi="Century Gothic"/>
          <w:b/>
          <w:lang w:val="es-ES"/>
        </w:rPr>
      </w:pPr>
    </w:p>
    <w:p w14:paraId="04C9138B" w14:textId="77777777" w:rsidR="00F76C31" w:rsidRPr="00086A60" w:rsidRDefault="00F76C31" w:rsidP="00F76C31">
      <w:pPr>
        <w:pStyle w:val="Sinespaciado"/>
        <w:spacing w:line="276" w:lineRule="auto"/>
        <w:jc w:val="both"/>
        <w:rPr>
          <w:rFonts w:ascii="Century Gothic" w:hAnsi="Century Gothic"/>
          <w:bCs/>
          <w:lang w:val="es-ES"/>
        </w:rPr>
      </w:pPr>
      <w:bookmarkStart w:id="3" w:name="_Hlk76125030"/>
      <w:r w:rsidRPr="00086A60">
        <w:rPr>
          <w:rFonts w:ascii="Century Gothic" w:hAnsi="Century Gothic"/>
          <w:bCs/>
          <w:lang w:val="es-ES"/>
        </w:rPr>
        <w:t xml:space="preserve">Se debe precisar que la presente iniciativa legislativa ya había sido radicada en el </w:t>
      </w:r>
      <w:proofErr w:type="spellStart"/>
      <w:r w:rsidRPr="00086A60">
        <w:rPr>
          <w:rFonts w:ascii="Century Gothic" w:hAnsi="Century Gothic"/>
          <w:bCs/>
          <w:lang w:val="es-ES"/>
        </w:rPr>
        <w:t>ultimo</w:t>
      </w:r>
      <w:proofErr w:type="spellEnd"/>
      <w:r w:rsidRPr="00086A60">
        <w:rPr>
          <w:rFonts w:ascii="Century Gothic" w:hAnsi="Century Gothic"/>
          <w:bCs/>
          <w:lang w:val="es-ES"/>
        </w:rPr>
        <w:t xml:space="preserve"> periodo de la legislatura pasada y fue archivada por no alcázar a surtir el primer debate en dicha legislatura, razón por la cual se radica nuevamente. </w:t>
      </w:r>
    </w:p>
    <w:bookmarkEnd w:id="3"/>
    <w:p w14:paraId="30FF6010" w14:textId="77777777" w:rsidR="00F76C31" w:rsidRPr="00086A60" w:rsidRDefault="00F76C31" w:rsidP="00F76C31">
      <w:pPr>
        <w:pStyle w:val="Sinespaciado"/>
        <w:spacing w:line="276" w:lineRule="auto"/>
        <w:jc w:val="both"/>
        <w:rPr>
          <w:rFonts w:ascii="Century Gothic" w:hAnsi="Century Gothic"/>
          <w:bCs/>
          <w:lang w:val="es-ES"/>
        </w:rPr>
      </w:pPr>
      <w:r w:rsidRPr="00086A60">
        <w:rPr>
          <w:rFonts w:ascii="Century Gothic" w:hAnsi="Century Gothic"/>
          <w:bCs/>
          <w:lang w:val="es-ES"/>
        </w:rPr>
        <w:t xml:space="preserve"> </w:t>
      </w:r>
    </w:p>
    <w:p w14:paraId="501511DD" w14:textId="77777777" w:rsidR="00F76C31" w:rsidRPr="00086A60" w:rsidRDefault="00F76C31" w:rsidP="00F76C31">
      <w:pPr>
        <w:pStyle w:val="Sinespaciado"/>
        <w:spacing w:line="276" w:lineRule="auto"/>
        <w:rPr>
          <w:rFonts w:ascii="Century Gothic" w:hAnsi="Century Gothic"/>
          <w:b/>
          <w:lang w:val="es-ES"/>
        </w:rPr>
      </w:pPr>
    </w:p>
    <w:p w14:paraId="535B3323" w14:textId="1BD1B255" w:rsidR="00F76C31" w:rsidRPr="00086A60" w:rsidRDefault="00F76C31" w:rsidP="00F76C31">
      <w:pPr>
        <w:pStyle w:val="Sinespaciado"/>
        <w:numPr>
          <w:ilvl w:val="0"/>
          <w:numId w:val="20"/>
        </w:numPr>
        <w:spacing w:line="276" w:lineRule="auto"/>
        <w:rPr>
          <w:rFonts w:ascii="Century Gothic" w:hAnsi="Century Gothic"/>
          <w:b/>
          <w:lang w:val="es-ES"/>
        </w:rPr>
      </w:pPr>
      <w:r w:rsidRPr="00086A60">
        <w:rPr>
          <w:rFonts w:ascii="Century Gothic" w:hAnsi="Century Gothic"/>
          <w:b/>
          <w:lang w:val="es-ES"/>
        </w:rPr>
        <w:t xml:space="preserve">ARGUMENTOS DE DEFENSA. </w:t>
      </w:r>
    </w:p>
    <w:p w14:paraId="6CC5961C" w14:textId="77777777" w:rsidR="00F76C31" w:rsidRPr="00086A60" w:rsidRDefault="00F76C31" w:rsidP="00F76C31">
      <w:pPr>
        <w:pStyle w:val="Sinespaciado"/>
        <w:spacing w:line="276" w:lineRule="auto"/>
        <w:ind w:left="1080"/>
        <w:rPr>
          <w:rFonts w:ascii="Century Gothic" w:hAnsi="Century Gothic"/>
          <w:b/>
          <w:lang w:val="es-ES"/>
        </w:rPr>
      </w:pPr>
    </w:p>
    <w:p w14:paraId="731CAC8D"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Inicialmente se debe anotar que en Colombia se conciben tres clases de comparendo a saber:</w:t>
      </w:r>
    </w:p>
    <w:p w14:paraId="2E148B25" w14:textId="77777777" w:rsidR="00F76C31" w:rsidRPr="00086A60" w:rsidRDefault="00F76C31" w:rsidP="00F76C31">
      <w:pPr>
        <w:spacing w:after="0"/>
        <w:jc w:val="both"/>
        <w:rPr>
          <w:rFonts w:ascii="Century Gothic" w:hAnsi="Century Gothic" w:cs="Tahoma"/>
        </w:rPr>
      </w:pPr>
    </w:p>
    <w:p w14:paraId="652ACFE6" w14:textId="77777777" w:rsidR="00F76C31" w:rsidRPr="00086A60" w:rsidRDefault="00F76C31" w:rsidP="00F76C31">
      <w:pPr>
        <w:pStyle w:val="Prrafodelista"/>
        <w:numPr>
          <w:ilvl w:val="0"/>
          <w:numId w:val="12"/>
        </w:numPr>
        <w:spacing w:after="0"/>
        <w:jc w:val="both"/>
        <w:rPr>
          <w:rFonts w:ascii="Century Gothic" w:hAnsi="Century Gothic" w:cs="Tahoma"/>
        </w:rPr>
      </w:pPr>
      <w:r w:rsidRPr="00086A60">
        <w:rPr>
          <w:rFonts w:ascii="Century Gothic" w:hAnsi="Century Gothic" w:cs="Tahoma"/>
        </w:rPr>
        <w:t xml:space="preserve">El comparendo ambiental regulado por el artículo 8° de la Ley 1259 de 2008, que señala: </w:t>
      </w:r>
      <w:bookmarkStart w:id="4" w:name="8"/>
    </w:p>
    <w:p w14:paraId="36769301" w14:textId="77777777" w:rsidR="00F76C31" w:rsidRPr="00086A60" w:rsidRDefault="00F76C31" w:rsidP="00F76C31">
      <w:pPr>
        <w:pStyle w:val="Prrafodelista"/>
        <w:spacing w:after="0"/>
        <w:jc w:val="both"/>
        <w:rPr>
          <w:rFonts w:ascii="Century Gothic" w:hAnsi="Century Gothic" w:cs="Tahoma"/>
        </w:rPr>
      </w:pPr>
    </w:p>
    <w:p w14:paraId="7DF26F24"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w:t>
      </w:r>
      <w:r w:rsidRPr="00086A60">
        <w:rPr>
          <w:rFonts w:ascii="Century Gothic" w:hAnsi="Century Gothic" w:cs="Tahoma"/>
          <w:bCs/>
        </w:rPr>
        <w:t>ARTÍCULO 8o. DE LA INSTAURACIÓN DEL COMPARENDO AMBIENTAL.</w:t>
      </w:r>
      <w:bookmarkEnd w:id="4"/>
      <w:r w:rsidRPr="00086A60">
        <w:rPr>
          <w:rFonts w:ascii="Century Gothic" w:hAnsi="Century Gothic" w:cs="Tahoma"/>
        </w:rPr>
        <w:t> En todos los municipios de Colombia se instaurará el instrumento de Comparendo Ambiental, para lo cual los Concejos Municipales deberán aprobar su reglamentación a través de un acuerdo municipal.</w:t>
      </w:r>
    </w:p>
    <w:p w14:paraId="589EB9DA" w14:textId="77777777" w:rsidR="00F76C31" w:rsidRPr="00086A60" w:rsidRDefault="00F76C31" w:rsidP="00F76C31">
      <w:pPr>
        <w:spacing w:after="0"/>
        <w:jc w:val="both"/>
        <w:rPr>
          <w:rFonts w:ascii="Century Gothic" w:hAnsi="Century Gothic" w:cs="Tahoma"/>
        </w:rPr>
      </w:pPr>
    </w:p>
    <w:p w14:paraId="5C4CD11C"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 xml:space="preserve">Es responsabilidad de las Alcaldías y Concejos Distritales y Municipales que en los actos administrativos expedidos en desarrollo de la presente ley organicen la actividad </w:t>
      </w:r>
      <w:r w:rsidRPr="00086A60">
        <w:rPr>
          <w:rFonts w:ascii="Century Gothic" w:hAnsi="Century Gothic" w:cs="Tahoma"/>
        </w:rPr>
        <w:lastRenderedPageBreak/>
        <w:t>del reciclaje, incentiven la cultura de separación en la fuente y estimulen a la sociedad a entender y proteger la actividad del reciclaje y la recuperación ambiental, así como propender por incentivar la asociatividad y formalización dentro de la población de recuperadores ambientales y hacer expresos esfuerzos en la protección de esta población, quienes deberán hacer la recolección de los residuos en forma organizada y limpia”.</w:t>
      </w:r>
    </w:p>
    <w:p w14:paraId="09FF151D" w14:textId="77777777" w:rsidR="00F76C31" w:rsidRPr="00086A60" w:rsidRDefault="00F76C31" w:rsidP="00F76C31">
      <w:pPr>
        <w:spacing w:after="0"/>
        <w:jc w:val="both"/>
        <w:rPr>
          <w:rFonts w:ascii="Century Gothic" w:hAnsi="Century Gothic" w:cs="Tahoma"/>
        </w:rPr>
      </w:pPr>
    </w:p>
    <w:p w14:paraId="19D9A944" w14:textId="77777777" w:rsidR="00F76C31" w:rsidRPr="00086A60" w:rsidRDefault="00F76C31" w:rsidP="00F76C31">
      <w:pPr>
        <w:pStyle w:val="Prrafodelista"/>
        <w:numPr>
          <w:ilvl w:val="0"/>
          <w:numId w:val="12"/>
        </w:numPr>
        <w:spacing w:after="0"/>
        <w:jc w:val="both"/>
        <w:rPr>
          <w:rFonts w:ascii="Century Gothic" w:hAnsi="Century Gothic" w:cs="Tahoma"/>
        </w:rPr>
      </w:pPr>
      <w:r w:rsidRPr="00086A60">
        <w:rPr>
          <w:rFonts w:ascii="Century Gothic" w:hAnsi="Century Gothic" w:cs="Tahoma"/>
        </w:rPr>
        <w:t>El comparendo de tránsito definido por la Ley 769 de 2002, definido en el artículo segundo así:</w:t>
      </w:r>
    </w:p>
    <w:p w14:paraId="4E3F643A" w14:textId="77777777" w:rsidR="00F76C31" w:rsidRPr="00086A60" w:rsidRDefault="00F76C31" w:rsidP="00F76C31">
      <w:pPr>
        <w:pStyle w:val="Prrafodelista"/>
        <w:spacing w:after="0"/>
        <w:jc w:val="both"/>
        <w:rPr>
          <w:rFonts w:ascii="Century Gothic" w:hAnsi="Century Gothic" w:cs="Tahoma"/>
        </w:rPr>
      </w:pPr>
    </w:p>
    <w:p w14:paraId="70F4ECB2" w14:textId="77777777" w:rsidR="00F76C31" w:rsidRPr="00086A60" w:rsidRDefault="00F76C31" w:rsidP="00F76C31">
      <w:pPr>
        <w:spacing w:after="0"/>
        <w:jc w:val="both"/>
        <w:rPr>
          <w:rFonts w:ascii="Century Gothic" w:hAnsi="Century Gothic" w:cs="Tahoma"/>
        </w:rPr>
      </w:pPr>
      <w:bookmarkStart w:id="5" w:name="2"/>
      <w:r w:rsidRPr="00086A60">
        <w:rPr>
          <w:rFonts w:ascii="Century Gothic" w:hAnsi="Century Gothic" w:cs="Tahoma"/>
          <w:b/>
          <w:bCs/>
        </w:rPr>
        <w:t>“ARTÍCULO 2o. DEFINICIONES.</w:t>
      </w:r>
      <w:bookmarkEnd w:id="5"/>
      <w:r w:rsidRPr="00086A60">
        <w:rPr>
          <w:rFonts w:ascii="Century Gothic" w:hAnsi="Century Gothic" w:cs="Tahoma"/>
        </w:rPr>
        <w:t> Para la aplicación e interpretación de este código, se tendrán en cuenta las siguientes definiciones:</w:t>
      </w:r>
    </w:p>
    <w:p w14:paraId="7F294A84" w14:textId="77777777" w:rsidR="00F76C31" w:rsidRPr="00086A60" w:rsidRDefault="00F76C31" w:rsidP="00F76C31">
      <w:pPr>
        <w:spacing w:after="0"/>
        <w:jc w:val="both"/>
        <w:rPr>
          <w:rFonts w:ascii="Century Gothic" w:hAnsi="Century Gothic" w:cs="Tahoma"/>
        </w:rPr>
      </w:pPr>
    </w:p>
    <w:p w14:paraId="6E1CB2D8"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 xml:space="preserve">“Comparendo: Orden formal de notificación para que el presunto contraventor o implicado se presente ante la autoridad de tránsito por la comisión de una infracción”. </w:t>
      </w:r>
    </w:p>
    <w:p w14:paraId="5E060346" w14:textId="77777777" w:rsidR="00F76C31" w:rsidRPr="00086A60" w:rsidRDefault="00F76C31" w:rsidP="00F76C31">
      <w:pPr>
        <w:spacing w:after="0"/>
        <w:jc w:val="both"/>
        <w:rPr>
          <w:rFonts w:ascii="Century Gothic" w:hAnsi="Century Gothic" w:cs="Tahoma"/>
        </w:rPr>
      </w:pPr>
    </w:p>
    <w:p w14:paraId="27B8898B" w14:textId="77777777" w:rsidR="00F76C31" w:rsidRPr="00086A60" w:rsidRDefault="00F76C31" w:rsidP="00F76C31">
      <w:pPr>
        <w:pStyle w:val="Prrafodelista"/>
        <w:numPr>
          <w:ilvl w:val="0"/>
          <w:numId w:val="12"/>
        </w:numPr>
        <w:spacing w:after="0"/>
        <w:jc w:val="both"/>
        <w:rPr>
          <w:rFonts w:ascii="Century Gothic" w:hAnsi="Century Gothic" w:cs="Tahoma"/>
        </w:rPr>
      </w:pPr>
      <w:r w:rsidRPr="00086A60">
        <w:rPr>
          <w:rFonts w:ascii="Century Gothic" w:hAnsi="Century Gothic" w:cs="Tahoma"/>
        </w:rPr>
        <w:t>El comparendo de convivencia definido y reglamentado su procedimiento en los artículos 218, 219 y en el parágrafo vigente del artículo 180 de la Ley 1801 de 2016, que señalan:</w:t>
      </w:r>
    </w:p>
    <w:p w14:paraId="6D816FA9" w14:textId="77777777" w:rsidR="00F76C31" w:rsidRPr="00086A60" w:rsidRDefault="00F76C31" w:rsidP="00F76C31">
      <w:pPr>
        <w:spacing w:after="0"/>
        <w:jc w:val="both"/>
        <w:rPr>
          <w:rFonts w:ascii="Century Gothic" w:hAnsi="Century Gothic" w:cs="Tahoma"/>
        </w:rPr>
      </w:pPr>
    </w:p>
    <w:p w14:paraId="19A5A241"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 xml:space="preserve">“Artículo 218. Definición de orden de comparendo. Entiéndase por esta, la acción del personal uniformado de la Policía Nacional que consiste en entregar un documento oficial que contiene orden escrita o virtual para presentarse ante autoridad de policía o cumplir medida correctiva”. </w:t>
      </w:r>
    </w:p>
    <w:p w14:paraId="024E54D5" w14:textId="77777777" w:rsidR="00F76C31" w:rsidRPr="00086A60" w:rsidRDefault="00F76C31" w:rsidP="00F76C31">
      <w:pPr>
        <w:spacing w:after="0"/>
        <w:jc w:val="both"/>
        <w:rPr>
          <w:rFonts w:ascii="Century Gothic" w:hAnsi="Century Gothic" w:cs="Tahoma"/>
        </w:rPr>
      </w:pPr>
    </w:p>
    <w:p w14:paraId="12193238"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“Artículo 219. Procedimiento para la imposición de comparendo. Cuando el personal uniformado de la Policía tenga conocimiento comprobado de un comportamiento contrario a la convivencia, podrá expedir orden de comparendo a cualquier persona”.</w:t>
      </w:r>
    </w:p>
    <w:p w14:paraId="6BA842B8" w14:textId="77777777" w:rsidR="00F76C31" w:rsidRPr="00086A60" w:rsidRDefault="00F76C31" w:rsidP="00F76C31">
      <w:pPr>
        <w:spacing w:after="0"/>
        <w:jc w:val="both"/>
        <w:rPr>
          <w:rFonts w:ascii="Century Gothic" w:hAnsi="Century Gothic" w:cs="Tahoma"/>
        </w:rPr>
      </w:pPr>
    </w:p>
    <w:p w14:paraId="31147C6A"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Obsérvese, que el comparendo de tránsito está concebido en su definición así: “Comparendo Orden formal de notificación para que el presunto contraventor o implicado se presente ante la autoridad de tránsito por la comisión de una infracción”. Es decir que éste se encamina a notificar al contraventor de la Ley de Tránsito, para que se presente y sea oído en audiencia de tránsito y ejerza dentro del debido proceso su derecho de defensa, controvirtiendo y aportando las pruebas que consideren, le sean favorables.</w:t>
      </w:r>
    </w:p>
    <w:p w14:paraId="79F5B3D0" w14:textId="77777777" w:rsidR="00F76C31" w:rsidRPr="00086A60" w:rsidRDefault="00F76C31" w:rsidP="00F76C31">
      <w:pPr>
        <w:spacing w:after="0"/>
        <w:jc w:val="both"/>
        <w:rPr>
          <w:rFonts w:ascii="Century Gothic" w:hAnsi="Century Gothic" w:cs="Tahoma"/>
        </w:rPr>
      </w:pPr>
    </w:p>
    <w:p w14:paraId="62003370"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Empero, el comparendo de convivencia goza de características particulares que permiten que su expedición, imposición y aplicación se ejecuten a través del cumplimiento estricto del procedimiento sistemáticamente dispuesto por los artículos 218, 219 y el parágrafo vigente del artículo 180 de la Ley 1801 de 2016. Sin olvidar que a diferencia del de tránsito, el de convivencia tiene dos propósitos fundamentales en el artículo 218 IBIDEM en primer orden, como el de tránsito para que el presunto infractor se presente ante la autoridad competente para el trámite del proceso verbal inmediato o el verbal abreviado según el comportamiento contrario a la convivencia o la medida correctiva a aplicar.</w:t>
      </w:r>
    </w:p>
    <w:p w14:paraId="3CC239B6"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 xml:space="preserve"> </w:t>
      </w:r>
    </w:p>
    <w:p w14:paraId="022CD5C9"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En segundo orden para señalar el cumplimiento de medida correctiva de multa general dentro de un lapso determinado de cinco (5) días. Según lo dispone el inciso segundo del parágrafo vigente del artículo 180 del Código Nacional de Policía, que señala:</w:t>
      </w:r>
    </w:p>
    <w:p w14:paraId="0D122B42" w14:textId="77777777" w:rsidR="00F76C31" w:rsidRPr="00086A60" w:rsidRDefault="00F76C31" w:rsidP="00F76C31">
      <w:pPr>
        <w:spacing w:after="0"/>
        <w:jc w:val="both"/>
        <w:rPr>
          <w:rFonts w:ascii="Century Gothic" w:hAnsi="Century Gothic" w:cs="Tahoma"/>
        </w:rPr>
      </w:pPr>
    </w:p>
    <w:p w14:paraId="0D122F0A"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 xml:space="preserve">“Cuando los uniformados de la Policía Nacional tengan conocimiento de la ocurrencia de un comportamiento, que admita la imposición de multa general, impondrán orden de comparendo al infractor, evidenciando el hecho”. </w:t>
      </w:r>
    </w:p>
    <w:p w14:paraId="0DA3559D" w14:textId="77777777" w:rsidR="00F76C31" w:rsidRPr="00086A60" w:rsidRDefault="00F76C31" w:rsidP="00F76C31">
      <w:pPr>
        <w:spacing w:after="0"/>
        <w:jc w:val="both"/>
        <w:rPr>
          <w:rFonts w:ascii="Century Gothic" w:hAnsi="Century Gothic" w:cs="Tahoma"/>
        </w:rPr>
      </w:pPr>
    </w:p>
    <w:p w14:paraId="4E181B17" w14:textId="77777777" w:rsidR="00F76C31" w:rsidRPr="00086A60" w:rsidRDefault="00F76C31" w:rsidP="00F76C31">
      <w:pPr>
        <w:spacing w:after="0"/>
        <w:jc w:val="both"/>
        <w:rPr>
          <w:rFonts w:ascii="Century Gothic" w:hAnsi="Century Gothic" w:cs="Arial"/>
        </w:rPr>
      </w:pPr>
      <w:r w:rsidRPr="00086A60">
        <w:rPr>
          <w:rFonts w:ascii="Century Gothic" w:hAnsi="Century Gothic" w:cs="Tahoma"/>
        </w:rPr>
        <w:lastRenderedPageBreak/>
        <w:t xml:space="preserve">Así las cosas, es indispensable precisar en el artículo </w:t>
      </w:r>
      <w:r w:rsidRPr="00086A60">
        <w:rPr>
          <w:rFonts w:ascii="Century Gothic" w:hAnsi="Century Gothic" w:cs="Arial"/>
        </w:rPr>
        <w:t xml:space="preserve">218, que establece la definición de orden de comparendo de convivencia, que la media correctiva que puede imponer el personal uniformado de la Policía Nacional, será de multa general, esto, teniendo en cuenta que el articulo no precisa que tipo de medida correctiva es la que se debe imponer, pero como ya se </w:t>
      </w:r>
      <w:proofErr w:type="spellStart"/>
      <w:r w:rsidRPr="00086A60">
        <w:rPr>
          <w:rFonts w:ascii="Century Gothic" w:hAnsi="Century Gothic" w:cs="Arial"/>
        </w:rPr>
        <w:t>explico</w:t>
      </w:r>
      <w:proofErr w:type="spellEnd"/>
      <w:r w:rsidRPr="00086A60">
        <w:rPr>
          <w:rFonts w:ascii="Century Gothic" w:hAnsi="Century Gothic" w:cs="Arial"/>
        </w:rPr>
        <w:t xml:space="preserve"> el articulo 180 en su parágrafo vigente, estableció que la multa es de tipo general. En el mismo sentido, se considera pertinente precisar que solo se podrá expedir el comparendo en el momento en que sucedieron los hechos que motivaron el mismo.  </w:t>
      </w:r>
    </w:p>
    <w:p w14:paraId="0DD41700" w14:textId="77777777" w:rsidR="00F76C31" w:rsidRPr="00086A60" w:rsidRDefault="00F76C31" w:rsidP="00F76C31">
      <w:pPr>
        <w:spacing w:after="0"/>
        <w:jc w:val="both"/>
        <w:rPr>
          <w:rFonts w:ascii="Century Gothic" w:hAnsi="Century Gothic" w:cs="Tahoma"/>
          <w:color w:val="4B4949"/>
        </w:rPr>
      </w:pPr>
    </w:p>
    <w:p w14:paraId="1C832615"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Por otro lado, la figura jurídica de la objeción contenida en el enciso quinto del parágrafo del artículo 180 de la Ley 1801 de 2016,  tiene varios vacíos jurídicos, pues algunas autoridades de policía sostienen que cuando el personal uniformado de la Policía Nacional señala en la orden de comparendo la obligación de cumplir con el pago de la medida correctiva de multa general y está se objeta por el infractor, dicha objeción debe resolverla el inspector de policía y otras aducen que es el uniformado de la Policía Nacional quien debe resolverla por cuanto este último no debe remitirlo al inspector ya que no se trata de un recurso de alzada ni del trámite de un proceso verbal inmediato sino que se trata de un trámite totalmente independiente de competencia del personal uniformado de la Policía Nacional contemplado  en el artículo 219 y 218 de la Ley 1801 de 2016, cuyo procedimiento lo desarrolla el parágrafo vigente del artículo 180 IBIDEM. Que no incorporó dentro de si el recurso de apelación para que lo resuelva un superior.</w:t>
      </w:r>
    </w:p>
    <w:p w14:paraId="6E58A741" w14:textId="77777777" w:rsidR="00F76C31" w:rsidRPr="00086A60" w:rsidRDefault="00F76C31" w:rsidP="00F76C31">
      <w:pPr>
        <w:spacing w:after="0"/>
        <w:jc w:val="both"/>
        <w:rPr>
          <w:rFonts w:ascii="Century Gothic" w:hAnsi="Century Gothic" w:cs="Tahoma"/>
        </w:rPr>
      </w:pPr>
    </w:p>
    <w:p w14:paraId="5A154838"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 xml:space="preserve">Al respecto es necesario precisar en la Ley 1801 de 2016, quien es el competente de resolver la objeción que se interpone contra </w:t>
      </w:r>
      <w:r w:rsidRPr="00086A60">
        <w:rPr>
          <w:rFonts w:ascii="Century Gothic" w:hAnsi="Century Gothic" w:cs="Arial"/>
        </w:rPr>
        <w:t>la multa señalada en una orden de comparendo</w:t>
      </w:r>
      <w:r w:rsidRPr="00086A60">
        <w:rPr>
          <w:rFonts w:ascii="Century Gothic" w:hAnsi="Century Gothic" w:cs="Tahoma"/>
        </w:rPr>
        <w:t xml:space="preserve"> y cuál es el procedimiento que se debe agotar, razón por la cual se adiciona un articulo 180 A, a fin de establecer que el competente para resolver el incidente de objeción es el personal uniformado de la Policía Nacional, esto, atendiendo a que el incidente de objeción no se entiende como un recurso de alzada, pues como lo ha </w:t>
      </w:r>
      <w:r w:rsidRPr="00086A60">
        <w:rPr>
          <w:rFonts w:ascii="Century Gothic" w:hAnsi="Century Gothic" w:cs="Tahoma"/>
        </w:rPr>
        <w:lastRenderedPageBreak/>
        <w:t xml:space="preserve">regulado el legislador en el Código General del Proceso, las objeciones las resuelve de plano la misma autoridad ante quien se interponen (artículo 220 C.G. del P.). </w:t>
      </w:r>
    </w:p>
    <w:p w14:paraId="7D8083DA" w14:textId="77777777" w:rsidR="00F76C31" w:rsidRPr="00086A60" w:rsidRDefault="00F76C31" w:rsidP="00F76C31">
      <w:pPr>
        <w:spacing w:after="0"/>
        <w:jc w:val="both"/>
        <w:rPr>
          <w:rFonts w:ascii="Century Gothic" w:hAnsi="Century Gothic" w:cs="Tahoma"/>
        </w:rPr>
      </w:pPr>
    </w:p>
    <w:p w14:paraId="464F3788"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 xml:space="preserve">El incidente de objeción es una manifestación de inconformidad que presenta el infractor, frente a un </w:t>
      </w:r>
      <w:proofErr w:type="spellStart"/>
      <w:r w:rsidRPr="00086A60">
        <w:rPr>
          <w:rFonts w:ascii="Century Gothic" w:hAnsi="Century Gothic" w:cs="Tahoma"/>
        </w:rPr>
        <w:t>endilgamiento</w:t>
      </w:r>
      <w:proofErr w:type="spellEnd"/>
      <w:r w:rsidRPr="00086A60">
        <w:rPr>
          <w:rFonts w:ascii="Century Gothic" w:hAnsi="Century Gothic" w:cs="Tahoma"/>
        </w:rPr>
        <w:t xml:space="preserve"> que merece una respuesta, que no puede proferir el Inspector ya que, de hacerlo, estaría anticipándose a lo que ha de resolver en el proceso verbal abreviado, por lo que tendría que declararse impedido. De otra parte y para ahondar en más razones, al uniformado que expedí e impone una orden de comparendo señalando el deber de cumplir una multa general, se le debe dar la posibilidad de evaluar su proceder a través del incidente de objeción.  </w:t>
      </w:r>
    </w:p>
    <w:p w14:paraId="681247A0" w14:textId="77777777" w:rsidR="00F76C31" w:rsidRPr="00086A60" w:rsidRDefault="00F76C31" w:rsidP="00F76C31">
      <w:pPr>
        <w:spacing w:after="0"/>
        <w:jc w:val="both"/>
        <w:rPr>
          <w:rFonts w:ascii="Century Gothic" w:hAnsi="Century Gothic" w:cs="Tahoma"/>
        </w:rPr>
      </w:pPr>
    </w:p>
    <w:p w14:paraId="2052C28F" w14:textId="77777777" w:rsidR="00F76C31" w:rsidRPr="00086A60" w:rsidRDefault="00F76C31" w:rsidP="00F76C31">
      <w:pPr>
        <w:spacing w:after="0"/>
        <w:jc w:val="both"/>
        <w:rPr>
          <w:rFonts w:ascii="Century Gothic" w:hAnsi="Century Gothic" w:cs="Arial"/>
        </w:rPr>
      </w:pPr>
      <w:r w:rsidRPr="00086A60">
        <w:rPr>
          <w:rFonts w:ascii="Century Gothic" w:hAnsi="Century Gothic" w:cs="Tahoma"/>
        </w:rPr>
        <w:t xml:space="preserve">Lo anterior, sustentado igualmente en los principios del proceso único de policía; oralidad, gratuidad, inmediatez, oportunidad, celeridad, eficacia, transparencia y buena fe.  En el mismo sentido, no se vulnera el principio procesal de la doble instancia, en el entendido que el recurso de apelación se puede ejercer dentro del proceso </w:t>
      </w:r>
      <w:r w:rsidRPr="00086A60">
        <w:rPr>
          <w:rFonts w:ascii="Century Gothic" w:hAnsi="Century Gothic" w:cs="Arial"/>
        </w:rPr>
        <w:t xml:space="preserve">verbal abreviado que si es de competencia del inspector de policía. </w:t>
      </w:r>
    </w:p>
    <w:p w14:paraId="21FE9DFA" w14:textId="77777777" w:rsidR="00F76C31" w:rsidRPr="00086A60" w:rsidRDefault="00F76C31" w:rsidP="00F76C31">
      <w:pPr>
        <w:spacing w:after="0"/>
        <w:jc w:val="both"/>
        <w:rPr>
          <w:rFonts w:ascii="Century Gothic" w:hAnsi="Century Gothic" w:cs="Arial"/>
        </w:rPr>
      </w:pPr>
    </w:p>
    <w:p w14:paraId="3FFF31DF" w14:textId="77777777" w:rsidR="00F76C31" w:rsidRPr="00086A60" w:rsidRDefault="00F76C31" w:rsidP="00F76C31">
      <w:pPr>
        <w:spacing w:after="0"/>
        <w:jc w:val="both"/>
        <w:rPr>
          <w:rFonts w:ascii="Century Gothic" w:hAnsi="Century Gothic" w:cs="Tahoma"/>
        </w:rPr>
      </w:pPr>
      <w:r w:rsidRPr="00086A60">
        <w:rPr>
          <w:rFonts w:ascii="Century Gothic" w:hAnsi="Century Gothic" w:cs="Tahoma"/>
        </w:rPr>
        <w:t>Así, De los recursos de apelación contra las decisiones de primera instancia tomadas por los inspectores de policía rurales, urbanos y corregidores, conocen en principio las autoridades administrativas en salud, seguridad, ambiente, mineras, de ordenamiento territorial, planeación, vivienda y espacio público y las demás que determinen la ley, las ordenanzas y los acuerdos, según la materia; y en los municipios donde estas no existan, el alcalde municipal (Arts. 205-8 y 207).</w:t>
      </w:r>
    </w:p>
    <w:p w14:paraId="3C291EBD" w14:textId="77777777" w:rsidR="00F76C31" w:rsidRPr="00086A60" w:rsidRDefault="00F76C31" w:rsidP="00F76C31">
      <w:pPr>
        <w:spacing w:after="0"/>
        <w:jc w:val="both"/>
        <w:rPr>
          <w:rFonts w:ascii="Century Gothic" w:hAnsi="Century Gothic" w:cs="Arial"/>
        </w:rPr>
      </w:pPr>
    </w:p>
    <w:p w14:paraId="108D13A0" w14:textId="77777777" w:rsidR="00F76C31" w:rsidRPr="00086A60" w:rsidRDefault="00F76C31" w:rsidP="00F76C31">
      <w:pPr>
        <w:jc w:val="both"/>
        <w:rPr>
          <w:rFonts w:ascii="Century Gothic" w:hAnsi="Century Gothic" w:cs="Arial"/>
        </w:rPr>
      </w:pPr>
      <w:r w:rsidRPr="00086A60">
        <w:rPr>
          <w:rFonts w:ascii="Century Gothic" w:hAnsi="Century Gothic" w:cs="Arial"/>
        </w:rPr>
        <w:t xml:space="preserve">Ahora, el código nacional de policía establecido que una vez conmutada la multa general tipos 1 o 2 por participación en programa comunitario o actividad pedagógica de convivencia, la misma se puede objetar, dejando la posibilidad de que la conmutada sea también objetando, adicionando un trámite innecesario, violando el principio de celeridad en los procesos policivos. </w:t>
      </w:r>
    </w:p>
    <w:p w14:paraId="0F36A83C" w14:textId="77777777" w:rsidR="00F76C31" w:rsidRPr="00086A60" w:rsidRDefault="00F76C31" w:rsidP="00F76C31">
      <w:pPr>
        <w:jc w:val="both"/>
        <w:rPr>
          <w:rFonts w:ascii="Century Gothic" w:hAnsi="Century Gothic" w:cs="Arial"/>
          <w:u w:val="single"/>
        </w:rPr>
      </w:pPr>
      <w:r w:rsidRPr="00086A60">
        <w:rPr>
          <w:rFonts w:ascii="Century Gothic" w:hAnsi="Century Gothic" w:cs="Arial"/>
        </w:rPr>
        <w:lastRenderedPageBreak/>
        <w:t xml:space="preserve">Corolario de lo anterior, surge la necesidad de precisar el momento en que queda en firma la medida correctiva de multa general, impuesta a trasvés de documento oficial denominado comparendo, pues esto depende de si se solicita la conmutación como ya se explicó, de si la medida es objetada o si la multa se cancela dentro de los 5 días siguientes a la expedición del comparendo, razón por la cual se propone que la medida correctiva de multa general cobre firmeza, al sexto (6°) día de la expedición del comparendo, cuando: </w:t>
      </w:r>
    </w:p>
    <w:p w14:paraId="3EE0C7BC" w14:textId="77777777" w:rsidR="00F76C31" w:rsidRPr="00086A60" w:rsidRDefault="00F76C31" w:rsidP="00F76C31">
      <w:pPr>
        <w:pStyle w:val="Prrafodelista"/>
        <w:numPr>
          <w:ilvl w:val="0"/>
          <w:numId w:val="13"/>
        </w:numPr>
        <w:jc w:val="both"/>
        <w:rPr>
          <w:rFonts w:ascii="Century Gothic" w:hAnsi="Century Gothic" w:cs="Arial"/>
        </w:rPr>
      </w:pPr>
      <w:r w:rsidRPr="00086A60">
        <w:rPr>
          <w:rFonts w:ascii="Century Gothic" w:hAnsi="Century Gothic" w:cs="Arial"/>
        </w:rPr>
        <w:t xml:space="preserve">No se solicita la conmutación, en el caso de la muta general tipos 1 o 2, por participación en programa comunitario o de actividad pedagógica de convivencia, en el término establecido en este código.  </w:t>
      </w:r>
    </w:p>
    <w:p w14:paraId="505B4B24" w14:textId="77777777" w:rsidR="00F76C31" w:rsidRPr="00086A60" w:rsidRDefault="00F76C31" w:rsidP="00F76C31">
      <w:pPr>
        <w:pStyle w:val="Prrafodelista"/>
        <w:ind w:left="1440"/>
        <w:jc w:val="both"/>
        <w:rPr>
          <w:rFonts w:ascii="Century Gothic" w:hAnsi="Century Gothic" w:cs="Arial"/>
        </w:rPr>
      </w:pPr>
      <w:r w:rsidRPr="00086A60">
        <w:rPr>
          <w:rFonts w:ascii="Century Gothic" w:hAnsi="Century Gothic" w:cs="Arial"/>
        </w:rPr>
        <w:t xml:space="preserve"> </w:t>
      </w:r>
    </w:p>
    <w:p w14:paraId="595E87BB" w14:textId="77777777" w:rsidR="00F76C31" w:rsidRPr="00086A60" w:rsidRDefault="00F76C31" w:rsidP="00F76C31">
      <w:pPr>
        <w:pStyle w:val="Prrafodelista"/>
        <w:numPr>
          <w:ilvl w:val="0"/>
          <w:numId w:val="13"/>
        </w:numPr>
        <w:jc w:val="both"/>
        <w:rPr>
          <w:rFonts w:ascii="Century Gothic" w:hAnsi="Century Gothic" w:cs="Arial"/>
        </w:rPr>
      </w:pPr>
      <w:r w:rsidRPr="00086A60">
        <w:rPr>
          <w:rFonts w:ascii="Century Gothic" w:hAnsi="Century Gothic" w:cs="Arial"/>
        </w:rPr>
        <w:t xml:space="preserve">No se objeta en los términos establecidos en este código. </w:t>
      </w:r>
    </w:p>
    <w:p w14:paraId="1A8A011B" w14:textId="77777777" w:rsidR="00F76C31" w:rsidRPr="00086A60" w:rsidRDefault="00F76C31" w:rsidP="00F76C31">
      <w:pPr>
        <w:pStyle w:val="Prrafodelista"/>
        <w:rPr>
          <w:rFonts w:ascii="Century Gothic" w:hAnsi="Century Gothic" w:cs="Arial"/>
          <w:u w:val="single"/>
        </w:rPr>
      </w:pPr>
    </w:p>
    <w:p w14:paraId="3B591910" w14:textId="77777777" w:rsidR="00F76C31" w:rsidRPr="00086A60" w:rsidRDefault="00F76C31" w:rsidP="00F76C31">
      <w:pPr>
        <w:pStyle w:val="Prrafodelista"/>
        <w:numPr>
          <w:ilvl w:val="0"/>
          <w:numId w:val="13"/>
        </w:numPr>
        <w:jc w:val="both"/>
        <w:rPr>
          <w:rFonts w:ascii="Century Gothic" w:hAnsi="Century Gothic" w:cs="Arial"/>
        </w:rPr>
      </w:pPr>
      <w:r w:rsidRPr="00086A60">
        <w:rPr>
          <w:rFonts w:ascii="Century Gothic" w:hAnsi="Century Gothic" w:cs="Arial"/>
        </w:rPr>
        <w:t xml:space="preserve">Cuando la medida correctiva de multa general se paga dentro de los 5 días siguientes a la expedición del comparendo, la multa cobrará firmeza de forma inmediata y no será susceptible de objeción ni de conmutación. </w:t>
      </w:r>
    </w:p>
    <w:p w14:paraId="642353C0" w14:textId="7FDCF62D" w:rsidR="00F76C31" w:rsidRPr="00086A60" w:rsidRDefault="00F76C31" w:rsidP="00F76C31">
      <w:pPr>
        <w:jc w:val="both"/>
        <w:rPr>
          <w:rFonts w:ascii="Century Gothic" w:hAnsi="Century Gothic" w:cs="Arial"/>
        </w:rPr>
      </w:pPr>
      <w:r w:rsidRPr="00086A60">
        <w:rPr>
          <w:rFonts w:ascii="Century Gothic" w:hAnsi="Century Gothic" w:cs="Arial"/>
        </w:rPr>
        <w:t xml:space="preserve">Por último, se tiene que el diseño físico del documento oficial orden de comparendo no corresponde a la realidad legal, toda vez que en el mismo se </w:t>
      </w:r>
      <w:r w:rsidRPr="00086A60">
        <w:rPr>
          <w:rFonts w:ascii="Century Gothic" w:hAnsi="Century Gothic" w:cs="Arial"/>
        </w:rPr>
        <w:t>incorporó</w:t>
      </w:r>
      <w:r w:rsidRPr="00086A60">
        <w:rPr>
          <w:rFonts w:ascii="Century Gothic" w:hAnsi="Century Gothic" w:cs="Arial"/>
        </w:rPr>
        <w:t xml:space="preserve"> un recurso de apelación inexistente, documentos anexos, descargos y otros aspectos propios del proceso verbal inmediato, fusionando dos tramites distintos, pues  Ley 1801 de 2016, clasifica al comparendo como un documento oficial, autónomo e independiente, expedido por una autoridad competente, que contiene una orden de pagar una suma de dinero de multa general, que una vez comunicada y liquidada constituye un </w:t>
      </w:r>
      <w:r w:rsidRPr="00086A60">
        <w:rPr>
          <w:rFonts w:ascii="Century Gothic" w:hAnsi="Century Gothic" w:cs="Arial"/>
        </w:rPr>
        <w:t>título</w:t>
      </w:r>
      <w:r w:rsidRPr="00086A60">
        <w:rPr>
          <w:rFonts w:ascii="Century Gothic" w:hAnsi="Century Gothic" w:cs="Arial"/>
        </w:rPr>
        <w:t xml:space="preserve"> ejecutivo que debe ir directamente al respectivo cobro coactivo. </w:t>
      </w:r>
    </w:p>
    <w:p w14:paraId="3A50DDE4" w14:textId="69910CB8" w:rsidR="00F76C31" w:rsidRPr="00086A60" w:rsidRDefault="00F76C31" w:rsidP="00F76C31">
      <w:pPr>
        <w:jc w:val="both"/>
        <w:rPr>
          <w:rFonts w:ascii="Century Gothic" w:hAnsi="Century Gothic" w:cs="Arial"/>
        </w:rPr>
      </w:pPr>
      <w:r w:rsidRPr="00086A60">
        <w:rPr>
          <w:rFonts w:ascii="Century Gothic" w:hAnsi="Century Gothic" w:cs="Arial"/>
        </w:rPr>
        <w:t xml:space="preserve">Así las cosas, se evidencia que la Ley 1801 de 2016 tiene serios vacíos jurídicos en lo que corresponde al comparendo y la medida correctiva de la multa general, situación que imposibilita la unificación de criterios y la seguridad jurídica, justificándose así, la necesidad de promulgar este proyecto de ley, que nace de  los veintisiete años </w:t>
      </w:r>
      <w:r w:rsidRPr="00086A60">
        <w:rPr>
          <w:rFonts w:ascii="Century Gothic" w:hAnsi="Century Gothic" w:cs="Arial"/>
        </w:rPr>
        <w:lastRenderedPageBreak/>
        <w:t xml:space="preserve">de experiencia profesional del Doctor William González Cheves,  abogado de la Secretaria de Gobierno del Departamento de Cundinamarca, redactor de la ordenanza departamental 14 de 2005, integrante de la mesa de trabajo para la redacción del nuevo reglamento de policía y convivencia ciudad a para Cundinamarca, docente universitario (2007, 2008, 2009) en derecho constitucional y derecho policivo en la Universidad Cooperativa de Colombia, coordinador de la dirección de inspección vigilancia y control de la secretaria de salud del Departamento de Cundinamarca, en procesos administrativos sancionatorios (2014, 2015,2016).  </w:t>
      </w:r>
    </w:p>
    <w:p w14:paraId="32A78878" w14:textId="77777777" w:rsidR="00F76C31" w:rsidRPr="00086A60" w:rsidRDefault="00F76C31" w:rsidP="00F76C31">
      <w:pPr>
        <w:numPr>
          <w:ilvl w:val="0"/>
          <w:numId w:val="19"/>
        </w:numPr>
        <w:pBdr>
          <w:top w:val="nil"/>
          <w:left w:val="nil"/>
          <w:bottom w:val="nil"/>
          <w:right w:val="nil"/>
          <w:between w:val="nil"/>
        </w:pBdr>
        <w:spacing w:after="0"/>
        <w:jc w:val="both"/>
        <w:rPr>
          <w:rFonts w:ascii="Century Gothic" w:hAnsi="Century Gothic"/>
          <w:b/>
        </w:rPr>
      </w:pPr>
      <w:r w:rsidRPr="00086A60">
        <w:rPr>
          <w:rFonts w:ascii="Century Gothic" w:hAnsi="Century Gothic"/>
          <w:b/>
        </w:rPr>
        <w:t xml:space="preserve">CONFLICTO DE INTERESES </w:t>
      </w:r>
    </w:p>
    <w:p w14:paraId="602B37BD" w14:textId="77777777" w:rsidR="00F76C31" w:rsidRPr="00086A60" w:rsidRDefault="00F76C31" w:rsidP="00F76C31">
      <w:pPr>
        <w:pBdr>
          <w:top w:val="nil"/>
          <w:left w:val="nil"/>
          <w:bottom w:val="nil"/>
          <w:right w:val="nil"/>
          <w:between w:val="nil"/>
        </w:pBdr>
        <w:jc w:val="both"/>
        <w:rPr>
          <w:rFonts w:ascii="Century Gothic" w:hAnsi="Century Gothic"/>
          <w:b/>
        </w:rPr>
      </w:pPr>
    </w:p>
    <w:p w14:paraId="750626D2" w14:textId="77777777" w:rsidR="00F76C31" w:rsidRPr="00086A60" w:rsidRDefault="00F76C31" w:rsidP="00F76C31">
      <w:pPr>
        <w:ind w:right="49"/>
        <w:jc w:val="both"/>
        <w:rPr>
          <w:rFonts w:ascii="Century Gothic" w:hAnsi="Century Gothic" w:cs="Calibri"/>
        </w:rPr>
      </w:pPr>
      <w:r w:rsidRPr="00086A60">
        <w:rPr>
          <w:rFonts w:ascii="Century Gothic" w:hAnsi="Century Gothic" w:cs="Calibri"/>
        </w:rPr>
        <w:t xml:space="preserve">En cumplimiento de lo dispuesto en el </w:t>
      </w:r>
      <w:r w:rsidRPr="00086A60">
        <w:rPr>
          <w:rFonts w:ascii="Century Gothic" w:hAnsi="Century Gothic" w:cs="Calibri"/>
          <w:spacing w:val="2"/>
        </w:rPr>
        <w:t>a</w:t>
      </w:r>
      <w:r w:rsidRPr="00086A60">
        <w:rPr>
          <w:rFonts w:ascii="Century Gothic" w:hAnsi="Century Gothic" w:cs="Calibri"/>
          <w:spacing w:val="-2"/>
        </w:rPr>
        <w:t>r</w:t>
      </w:r>
      <w:r w:rsidRPr="00086A60">
        <w:rPr>
          <w:rFonts w:ascii="Century Gothic" w:hAnsi="Century Gothic" w:cs="Calibri"/>
          <w:spacing w:val="1"/>
        </w:rPr>
        <w:t>tí</w:t>
      </w:r>
      <w:r w:rsidRPr="00086A60">
        <w:rPr>
          <w:rFonts w:ascii="Century Gothic" w:hAnsi="Century Gothic" w:cs="Calibri"/>
        </w:rPr>
        <w:t>c</w:t>
      </w:r>
      <w:r w:rsidRPr="00086A60">
        <w:rPr>
          <w:rFonts w:ascii="Century Gothic" w:hAnsi="Century Gothic" w:cs="Calibri"/>
          <w:spacing w:val="2"/>
        </w:rPr>
        <w:t>u</w:t>
      </w:r>
      <w:r w:rsidRPr="00086A60">
        <w:rPr>
          <w:rFonts w:ascii="Century Gothic" w:hAnsi="Century Gothic" w:cs="Calibri"/>
          <w:spacing w:val="-6"/>
        </w:rPr>
        <w:t>l</w:t>
      </w:r>
      <w:r w:rsidRPr="00086A60">
        <w:rPr>
          <w:rFonts w:ascii="Century Gothic" w:hAnsi="Century Gothic" w:cs="Calibri"/>
        </w:rPr>
        <w:t>o</w:t>
      </w:r>
      <w:r w:rsidRPr="00086A60">
        <w:rPr>
          <w:rFonts w:ascii="Century Gothic" w:hAnsi="Century Gothic" w:cs="Calibri"/>
          <w:spacing w:val="8"/>
        </w:rPr>
        <w:t xml:space="preserve"> </w:t>
      </w:r>
      <w:r w:rsidRPr="00086A60">
        <w:rPr>
          <w:rFonts w:ascii="Century Gothic" w:hAnsi="Century Gothic" w:cs="Calibri"/>
        </w:rPr>
        <w:t>3</w:t>
      </w:r>
      <w:r w:rsidRPr="00086A60">
        <w:rPr>
          <w:rFonts w:ascii="Century Gothic" w:hAnsi="Century Gothic" w:cs="Calibri"/>
          <w:spacing w:val="3"/>
        </w:rPr>
        <w:t xml:space="preserve"> </w:t>
      </w:r>
      <w:r w:rsidRPr="00086A60">
        <w:rPr>
          <w:rFonts w:ascii="Century Gothic" w:hAnsi="Century Gothic" w:cs="Calibri"/>
          <w:spacing w:val="2"/>
        </w:rPr>
        <w:t>d</w:t>
      </w:r>
      <w:r w:rsidRPr="00086A60">
        <w:rPr>
          <w:rFonts w:ascii="Century Gothic" w:hAnsi="Century Gothic" w:cs="Calibri"/>
        </w:rPr>
        <w:t>e</w:t>
      </w:r>
      <w:r w:rsidRPr="00086A60">
        <w:rPr>
          <w:rFonts w:ascii="Century Gothic" w:hAnsi="Century Gothic" w:cs="Calibri"/>
          <w:spacing w:val="8"/>
        </w:rPr>
        <w:t xml:space="preserve"> </w:t>
      </w:r>
      <w:r w:rsidRPr="00086A60">
        <w:rPr>
          <w:rFonts w:ascii="Century Gothic" w:hAnsi="Century Gothic" w:cs="Calibri"/>
          <w:spacing w:val="-1"/>
        </w:rPr>
        <w:t>l</w:t>
      </w:r>
      <w:r w:rsidRPr="00086A60">
        <w:rPr>
          <w:rFonts w:ascii="Century Gothic" w:hAnsi="Century Gothic" w:cs="Calibri"/>
        </w:rPr>
        <w:t>a</w:t>
      </w:r>
      <w:r w:rsidRPr="00086A60">
        <w:rPr>
          <w:rFonts w:ascii="Century Gothic" w:hAnsi="Century Gothic" w:cs="Calibri"/>
          <w:spacing w:val="8"/>
        </w:rPr>
        <w:t xml:space="preserve"> </w:t>
      </w:r>
      <w:r w:rsidRPr="00086A60">
        <w:rPr>
          <w:rFonts w:ascii="Century Gothic" w:hAnsi="Century Gothic" w:cs="Calibri"/>
          <w:spacing w:val="-3"/>
        </w:rPr>
        <w:t>L</w:t>
      </w:r>
      <w:r w:rsidRPr="00086A60">
        <w:rPr>
          <w:rFonts w:ascii="Century Gothic" w:hAnsi="Century Gothic" w:cs="Calibri"/>
          <w:spacing w:val="2"/>
        </w:rPr>
        <w:t>e</w:t>
      </w:r>
      <w:r w:rsidRPr="00086A60">
        <w:rPr>
          <w:rFonts w:ascii="Century Gothic" w:hAnsi="Century Gothic" w:cs="Calibri"/>
        </w:rPr>
        <w:t>y</w:t>
      </w:r>
      <w:r w:rsidRPr="00086A60">
        <w:rPr>
          <w:rFonts w:ascii="Century Gothic" w:hAnsi="Century Gothic" w:cs="Calibri"/>
          <w:spacing w:val="6"/>
        </w:rPr>
        <w:t xml:space="preserve"> </w:t>
      </w:r>
      <w:r w:rsidRPr="00086A60">
        <w:rPr>
          <w:rFonts w:ascii="Century Gothic" w:hAnsi="Century Gothic" w:cs="Calibri"/>
          <w:spacing w:val="-3"/>
        </w:rPr>
        <w:t>2</w:t>
      </w:r>
      <w:r w:rsidRPr="00086A60">
        <w:rPr>
          <w:rFonts w:ascii="Century Gothic" w:hAnsi="Century Gothic" w:cs="Calibri"/>
          <w:spacing w:val="2"/>
        </w:rPr>
        <w:t>0</w:t>
      </w:r>
      <w:r w:rsidRPr="00086A60">
        <w:rPr>
          <w:rFonts w:ascii="Century Gothic" w:hAnsi="Century Gothic" w:cs="Calibri"/>
          <w:spacing w:val="-3"/>
        </w:rPr>
        <w:t>0</w:t>
      </w:r>
      <w:r w:rsidRPr="00086A60">
        <w:rPr>
          <w:rFonts w:ascii="Century Gothic" w:hAnsi="Century Gothic" w:cs="Calibri"/>
        </w:rPr>
        <w:t>3</w:t>
      </w:r>
      <w:r w:rsidRPr="00086A60">
        <w:rPr>
          <w:rFonts w:ascii="Century Gothic" w:hAnsi="Century Gothic" w:cs="Calibri"/>
          <w:spacing w:val="8"/>
        </w:rPr>
        <w:t xml:space="preserve"> </w:t>
      </w:r>
      <w:r w:rsidRPr="00086A60">
        <w:rPr>
          <w:rFonts w:ascii="Century Gothic" w:hAnsi="Century Gothic" w:cs="Calibri"/>
          <w:spacing w:val="-3"/>
        </w:rPr>
        <w:t>d</w:t>
      </w:r>
      <w:r w:rsidRPr="00086A60">
        <w:rPr>
          <w:rFonts w:ascii="Century Gothic" w:hAnsi="Century Gothic" w:cs="Calibri"/>
          <w:spacing w:val="2"/>
        </w:rPr>
        <w:t>e</w:t>
      </w:r>
      <w:r w:rsidRPr="00086A60">
        <w:rPr>
          <w:rFonts w:ascii="Century Gothic" w:hAnsi="Century Gothic" w:cs="Calibri"/>
        </w:rPr>
        <w:t>l</w:t>
      </w:r>
      <w:r w:rsidRPr="00086A60">
        <w:rPr>
          <w:rFonts w:ascii="Century Gothic" w:hAnsi="Century Gothic" w:cs="Calibri"/>
          <w:spacing w:val="5"/>
        </w:rPr>
        <w:t xml:space="preserve"> </w:t>
      </w:r>
      <w:r w:rsidRPr="00086A60">
        <w:rPr>
          <w:rFonts w:ascii="Century Gothic" w:hAnsi="Century Gothic" w:cs="Calibri"/>
          <w:spacing w:val="2"/>
        </w:rPr>
        <w:t>1</w:t>
      </w:r>
      <w:r w:rsidRPr="00086A60">
        <w:rPr>
          <w:rFonts w:ascii="Century Gothic" w:hAnsi="Century Gothic" w:cs="Calibri"/>
        </w:rPr>
        <w:t>9</w:t>
      </w:r>
      <w:r w:rsidRPr="00086A60">
        <w:rPr>
          <w:rFonts w:ascii="Century Gothic" w:hAnsi="Century Gothic" w:cs="Calibri"/>
          <w:spacing w:val="3"/>
        </w:rPr>
        <w:t xml:space="preserve"> </w:t>
      </w:r>
      <w:r w:rsidRPr="00086A60">
        <w:rPr>
          <w:rFonts w:ascii="Century Gothic" w:hAnsi="Century Gothic" w:cs="Calibri"/>
          <w:spacing w:val="2"/>
        </w:rPr>
        <w:t>d</w:t>
      </w:r>
      <w:r w:rsidRPr="00086A60">
        <w:rPr>
          <w:rFonts w:ascii="Century Gothic" w:hAnsi="Century Gothic" w:cs="Calibri"/>
        </w:rPr>
        <w:t>e</w:t>
      </w:r>
      <w:r w:rsidRPr="00086A60">
        <w:rPr>
          <w:rFonts w:ascii="Century Gothic" w:hAnsi="Century Gothic" w:cs="Calibri"/>
          <w:spacing w:val="3"/>
        </w:rPr>
        <w:t xml:space="preserve"> </w:t>
      </w:r>
      <w:r w:rsidRPr="00086A60">
        <w:rPr>
          <w:rFonts w:ascii="Century Gothic" w:hAnsi="Century Gothic" w:cs="Calibri"/>
          <w:spacing w:val="2"/>
        </w:rPr>
        <w:t>no</w:t>
      </w:r>
      <w:r w:rsidRPr="00086A60">
        <w:rPr>
          <w:rFonts w:ascii="Century Gothic" w:hAnsi="Century Gothic" w:cs="Calibri"/>
        </w:rPr>
        <w:t>v</w:t>
      </w:r>
      <w:r w:rsidRPr="00086A60">
        <w:rPr>
          <w:rFonts w:ascii="Century Gothic" w:hAnsi="Century Gothic" w:cs="Calibri"/>
          <w:spacing w:val="-6"/>
        </w:rPr>
        <w:t>i</w:t>
      </w:r>
      <w:r w:rsidRPr="00086A60">
        <w:rPr>
          <w:rFonts w:ascii="Century Gothic" w:hAnsi="Century Gothic" w:cs="Calibri"/>
          <w:spacing w:val="2"/>
        </w:rPr>
        <w:t>e</w:t>
      </w:r>
      <w:r w:rsidRPr="00086A60">
        <w:rPr>
          <w:rFonts w:ascii="Century Gothic" w:hAnsi="Century Gothic" w:cs="Calibri"/>
          <w:spacing w:val="-2"/>
        </w:rPr>
        <w:t>m</w:t>
      </w:r>
      <w:r w:rsidRPr="00086A60">
        <w:rPr>
          <w:rFonts w:ascii="Century Gothic" w:hAnsi="Century Gothic" w:cs="Calibri"/>
          <w:spacing w:val="2"/>
        </w:rPr>
        <w:t>b</w:t>
      </w:r>
      <w:r w:rsidRPr="00086A60">
        <w:rPr>
          <w:rFonts w:ascii="Century Gothic" w:hAnsi="Century Gothic" w:cs="Calibri"/>
          <w:spacing w:val="-2"/>
        </w:rPr>
        <w:t>r</w:t>
      </w:r>
      <w:r w:rsidRPr="00086A60">
        <w:rPr>
          <w:rFonts w:ascii="Century Gothic" w:hAnsi="Century Gothic" w:cs="Calibri"/>
        </w:rPr>
        <w:t>e</w:t>
      </w:r>
      <w:r w:rsidRPr="00086A60">
        <w:rPr>
          <w:rFonts w:ascii="Century Gothic" w:hAnsi="Century Gothic" w:cs="Calibri"/>
          <w:spacing w:val="8"/>
        </w:rPr>
        <w:t xml:space="preserve"> </w:t>
      </w:r>
      <w:r w:rsidRPr="00086A60">
        <w:rPr>
          <w:rFonts w:ascii="Century Gothic" w:hAnsi="Century Gothic" w:cs="Calibri"/>
          <w:spacing w:val="-3"/>
        </w:rPr>
        <w:t>d</w:t>
      </w:r>
      <w:r w:rsidRPr="00086A60">
        <w:rPr>
          <w:rFonts w:ascii="Century Gothic" w:hAnsi="Century Gothic" w:cs="Calibri"/>
        </w:rPr>
        <w:t xml:space="preserve">e </w:t>
      </w:r>
      <w:r w:rsidRPr="00086A60">
        <w:rPr>
          <w:rFonts w:ascii="Century Gothic" w:hAnsi="Century Gothic" w:cs="Calibri"/>
          <w:spacing w:val="2"/>
        </w:rPr>
        <w:t>2</w:t>
      </w:r>
      <w:r w:rsidRPr="00086A60">
        <w:rPr>
          <w:rFonts w:ascii="Century Gothic" w:hAnsi="Century Gothic" w:cs="Calibri"/>
          <w:spacing w:val="-3"/>
        </w:rPr>
        <w:t>0</w:t>
      </w:r>
      <w:r w:rsidRPr="00086A60">
        <w:rPr>
          <w:rFonts w:ascii="Century Gothic" w:hAnsi="Century Gothic" w:cs="Calibri"/>
          <w:spacing w:val="2"/>
        </w:rPr>
        <w:t>19, q</w:t>
      </w:r>
      <w:r w:rsidRPr="00086A60">
        <w:rPr>
          <w:rFonts w:ascii="Century Gothic" w:hAnsi="Century Gothic" w:cs="Calibri"/>
          <w:spacing w:val="-3"/>
        </w:rPr>
        <w:t>u</w:t>
      </w:r>
      <w:r w:rsidRPr="00086A60">
        <w:rPr>
          <w:rFonts w:ascii="Century Gothic" w:hAnsi="Century Gothic" w:cs="Calibri"/>
        </w:rPr>
        <w:t>e</w:t>
      </w:r>
      <w:r w:rsidRPr="00086A60">
        <w:rPr>
          <w:rFonts w:ascii="Century Gothic" w:hAnsi="Century Gothic" w:cs="Calibri"/>
          <w:spacing w:val="23"/>
        </w:rPr>
        <w:t xml:space="preserve"> </w:t>
      </w:r>
      <w:r w:rsidRPr="00086A60">
        <w:rPr>
          <w:rFonts w:ascii="Century Gothic" w:hAnsi="Century Gothic" w:cs="Calibri"/>
          <w:spacing w:val="-2"/>
        </w:rPr>
        <w:t>m</w:t>
      </w:r>
      <w:r w:rsidRPr="00086A60">
        <w:rPr>
          <w:rFonts w:ascii="Century Gothic" w:hAnsi="Century Gothic" w:cs="Calibri"/>
          <w:spacing w:val="2"/>
        </w:rPr>
        <w:t>od</w:t>
      </w:r>
      <w:r w:rsidRPr="00086A60">
        <w:rPr>
          <w:rFonts w:ascii="Century Gothic" w:hAnsi="Century Gothic" w:cs="Calibri"/>
          <w:spacing w:val="-1"/>
        </w:rPr>
        <w:t>i</w:t>
      </w:r>
      <w:r w:rsidRPr="00086A60">
        <w:rPr>
          <w:rFonts w:ascii="Century Gothic" w:hAnsi="Century Gothic" w:cs="Calibri"/>
          <w:spacing w:val="1"/>
        </w:rPr>
        <w:t>f</w:t>
      </w:r>
      <w:r w:rsidRPr="00086A60">
        <w:rPr>
          <w:rFonts w:ascii="Century Gothic" w:hAnsi="Century Gothic" w:cs="Calibri"/>
          <w:spacing w:val="-1"/>
        </w:rPr>
        <w:t>i</w:t>
      </w:r>
      <w:r w:rsidRPr="00086A60">
        <w:rPr>
          <w:rFonts w:ascii="Century Gothic" w:hAnsi="Century Gothic" w:cs="Calibri"/>
          <w:spacing w:val="-5"/>
        </w:rPr>
        <w:t>c</w:t>
      </w:r>
      <w:r w:rsidRPr="00086A60">
        <w:rPr>
          <w:rFonts w:ascii="Century Gothic" w:hAnsi="Century Gothic" w:cs="Calibri"/>
        </w:rPr>
        <w:t>a</w:t>
      </w:r>
      <w:r w:rsidRPr="00086A60">
        <w:rPr>
          <w:rFonts w:ascii="Century Gothic" w:hAnsi="Century Gothic" w:cs="Calibri"/>
          <w:spacing w:val="23"/>
        </w:rPr>
        <w:t xml:space="preserve"> </w:t>
      </w:r>
      <w:r w:rsidRPr="00086A60">
        <w:rPr>
          <w:rFonts w:ascii="Century Gothic" w:hAnsi="Century Gothic" w:cs="Calibri"/>
          <w:spacing w:val="2"/>
        </w:rPr>
        <w:t>e</w:t>
      </w:r>
      <w:r w:rsidRPr="00086A60">
        <w:rPr>
          <w:rFonts w:ascii="Century Gothic" w:hAnsi="Century Gothic" w:cs="Calibri"/>
        </w:rPr>
        <w:t>l</w:t>
      </w:r>
      <w:r w:rsidRPr="00086A60">
        <w:rPr>
          <w:rFonts w:ascii="Century Gothic" w:hAnsi="Century Gothic" w:cs="Calibri"/>
          <w:spacing w:val="20"/>
        </w:rPr>
        <w:t xml:space="preserve"> </w:t>
      </w:r>
      <w:r w:rsidRPr="00086A60">
        <w:rPr>
          <w:rFonts w:ascii="Century Gothic" w:hAnsi="Century Gothic" w:cs="Calibri"/>
          <w:spacing w:val="2"/>
        </w:rPr>
        <w:t>a</w:t>
      </w:r>
      <w:r w:rsidRPr="00086A60">
        <w:rPr>
          <w:rFonts w:ascii="Century Gothic" w:hAnsi="Century Gothic" w:cs="Calibri"/>
          <w:spacing w:val="-2"/>
        </w:rPr>
        <w:t>r</w:t>
      </w:r>
      <w:r w:rsidRPr="00086A60">
        <w:rPr>
          <w:rFonts w:ascii="Century Gothic" w:hAnsi="Century Gothic" w:cs="Calibri"/>
          <w:spacing w:val="-4"/>
        </w:rPr>
        <w:t>t</w:t>
      </w:r>
      <w:r w:rsidRPr="00086A60">
        <w:rPr>
          <w:rFonts w:ascii="Century Gothic" w:hAnsi="Century Gothic" w:cs="Calibri"/>
          <w:spacing w:val="1"/>
        </w:rPr>
        <w:t>í</w:t>
      </w:r>
      <w:r w:rsidRPr="00086A60">
        <w:rPr>
          <w:rFonts w:ascii="Century Gothic" w:hAnsi="Century Gothic" w:cs="Calibri"/>
        </w:rPr>
        <w:t>c</w:t>
      </w:r>
      <w:r w:rsidRPr="00086A60">
        <w:rPr>
          <w:rFonts w:ascii="Century Gothic" w:hAnsi="Century Gothic" w:cs="Calibri"/>
          <w:spacing w:val="2"/>
        </w:rPr>
        <w:t>u</w:t>
      </w:r>
      <w:r w:rsidRPr="00086A60">
        <w:rPr>
          <w:rFonts w:ascii="Century Gothic" w:hAnsi="Century Gothic" w:cs="Calibri"/>
          <w:spacing w:val="-6"/>
        </w:rPr>
        <w:t>l</w:t>
      </w:r>
      <w:r w:rsidRPr="00086A60">
        <w:rPr>
          <w:rFonts w:ascii="Century Gothic" w:hAnsi="Century Gothic" w:cs="Calibri"/>
        </w:rPr>
        <w:t>o</w:t>
      </w:r>
      <w:r w:rsidRPr="00086A60">
        <w:rPr>
          <w:rFonts w:ascii="Century Gothic" w:hAnsi="Century Gothic" w:cs="Calibri"/>
          <w:spacing w:val="23"/>
        </w:rPr>
        <w:t xml:space="preserve"> </w:t>
      </w:r>
      <w:r w:rsidRPr="00086A60">
        <w:rPr>
          <w:rFonts w:ascii="Century Gothic" w:hAnsi="Century Gothic" w:cs="Calibri"/>
          <w:spacing w:val="2"/>
        </w:rPr>
        <w:t>2</w:t>
      </w:r>
      <w:r w:rsidRPr="00086A60">
        <w:rPr>
          <w:rFonts w:ascii="Century Gothic" w:hAnsi="Century Gothic" w:cs="Calibri"/>
          <w:spacing w:val="-3"/>
        </w:rPr>
        <w:t>9</w:t>
      </w:r>
      <w:r w:rsidRPr="00086A60">
        <w:rPr>
          <w:rFonts w:ascii="Century Gothic" w:hAnsi="Century Gothic" w:cs="Calibri"/>
        </w:rPr>
        <w:t>1</w:t>
      </w:r>
      <w:r w:rsidRPr="00086A60">
        <w:rPr>
          <w:rFonts w:ascii="Century Gothic" w:hAnsi="Century Gothic" w:cs="Calibri"/>
          <w:spacing w:val="23"/>
        </w:rPr>
        <w:t xml:space="preserve"> </w:t>
      </w:r>
      <w:r w:rsidRPr="00086A60">
        <w:rPr>
          <w:rFonts w:ascii="Century Gothic" w:hAnsi="Century Gothic" w:cs="Calibri"/>
          <w:spacing w:val="-3"/>
        </w:rPr>
        <w:t>d</w:t>
      </w:r>
      <w:r w:rsidRPr="00086A60">
        <w:rPr>
          <w:rFonts w:ascii="Century Gothic" w:hAnsi="Century Gothic" w:cs="Calibri"/>
        </w:rPr>
        <w:t>e</w:t>
      </w:r>
      <w:r w:rsidRPr="00086A60">
        <w:rPr>
          <w:rFonts w:ascii="Century Gothic" w:hAnsi="Century Gothic" w:cs="Calibri"/>
          <w:spacing w:val="23"/>
        </w:rPr>
        <w:t xml:space="preserve"> </w:t>
      </w:r>
      <w:r w:rsidRPr="00086A60">
        <w:rPr>
          <w:rFonts w:ascii="Century Gothic" w:hAnsi="Century Gothic" w:cs="Calibri"/>
          <w:spacing w:val="-1"/>
        </w:rPr>
        <w:t>l</w:t>
      </w:r>
      <w:r w:rsidRPr="00086A60">
        <w:rPr>
          <w:rFonts w:ascii="Century Gothic" w:hAnsi="Century Gothic" w:cs="Calibri"/>
        </w:rPr>
        <w:t>a</w:t>
      </w:r>
      <w:r w:rsidRPr="00086A60">
        <w:rPr>
          <w:rFonts w:ascii="Century Gothic" w:hAnsi="Century Gothic" w:cs="Calibri"/>
          <w:spacing w:val="18"/>
        </w:rPr>
        <w:t xml:space="preserve"> </w:t>
      </w:r>
      <w:r w:rsidRPr="00086A60">
        <w:rPr>
          <w:rFonts w:ascii="Century Gothic" w:hAnsi="Century Gothic" w:cs="Calibri"/>
          <w:spacing w:val="2"/>
        </w:rPr>
        <w:t>Le</w:t>
      </w:r>
      <w:r w:rsidRPr="00086A60">
        <w:rPr>
          <w:rFonts w:ascii="Century Gothic" w:hAnsi="Century Gothic" w:cs="Calibri"/>
        </w:rPr>
        <w:t>y</w:t>
      </w:r>
      <w:r w:rsidRPr="00086A60">
        <w:rPr>
          <w:rFonts w:ascii="Century Gothic" w:hAnsi="Century Gothic" w:cs="Calibri"/>
          <w:spacing w:val="21"/>
        </w:rPr>
        <w:t xml:space="preserve"> </w:t>
      </w:r>
      <w:r w:rsidRPr="00086A60">
        <w:rPr>
          <w:rFonts w:ascii="Century Gothic" w:hAnsi="Century Gothic" w:cs="Calibri"/>
        </w:rPr>
        <w:t>5</w:t>
      </w:r>
      <w:r w:rsidRPr="00086A60">
        <w:rPr>
          <w:rFonts w:ascii="Century Gothic" w:hAnsi="Century Gothic" w:cs="Calibri"/>
          <w:spacing w:val="18"/>
        </w:rPr>
        <w:t xml:space="preserve"> </w:t>
      </w:r>
      <w:r w:rsidRPr="00086A60">
        <w:rPr>
          <w:rFonts w:ascii="Century Gothic" w:hAnsi="Century Gothic" w:cs="Calibri"/>
          <w:spacing w:val="2"/>
        </w:rPr>
        <w:t>d</w:t>
      </w:r>
      <w:r w:rsidRPr="00086A60">
        <w:rPr>
          <w:rFonts w:ascii="Century Gothic" w:hAnsi="Century Gothic" w:cs="Calibri"/>
        </w:rPr>
        <w:t>e</w:t>
      </w:r>
      <w:r w:rsidRPr="00086A60">
        <w:rPr>
          <w:rFonts w:ascii="Century Gothic" w:hAnsi="Century Gothic" w:cs="Calibri"/>
          <w:spacing w:val="18"/>
        </w:rPr>
        <w:t xml:space="preserve"> </w:t>
      </w:r>
      <w:r w:rsidRPr="00086A60">
        <w:rPr>
          <w:rFonts w:ascii="Century Gothic" w:hAnsi="Century Gothic" w:cs="Calibri"/>
          <w:spacing w:val="2"/>
        </w:rPr>
        <w:t>1</w:t>
      </w:r>
      <w:r w:rsidRPr="00086A60">
        <w:rPr>
          <w:rFonts w:ascii="Century Gothic" w:hAnsi="Century Gothic" w:cs="Calibri"/>
          <w:spacing w:val="-3"/>
        </w:rPr>
        <w:t>9</w:t>
      </w:r>
      <w:r w:rsidRPr="00086A60">
        <w:rPr>
          <w:rFonts w:ascii="Century Gothic" w:hAnsi="Century Gothic" w:cs="Calibri"/>
          <w:spacing w:val="2"/>
        </w:rPr>
        <w:t>9</w:t>
      </w:r>
      <w:r w:rsidRPr="00086A60">
        <w:rPr>
          <w:rFonts w:ascii="Century Gothic" w:hAnsi="Century Gothic" w:cs="Calibri"/>
          <w:spacing w:val="-3"/>
        </w:rPr>
        <w:t xml:space="preserve">2, disposición por medio de la cual se le imparte a los autores y ponentes la obligación de </w:t>
      </w:r>
      <w:r w:rsidRPr="00086A60">
        <w:rPr>
          <w:rFonts w:ascii="Century Gothic" w:hAnsi="Century Gothic" w:cs="Calibri"/>
        </w:rPr>
        <w:t xml:space="preserve">presentar en el cuerpo de la exposición de motivos un acápite que describa las circunstancias o eventos que podrían generar un conflicto de interés para la discusión y votación del proyecto, me permito argumentar que: </w:t>
      </w:r>
    </w:p>
    <w:p w14:paraId="080C4C57" w14:textId="77777777" w:rsidR="00F76C31" w:rsidRPr="00086A60" w:rsidRDefault="00F76C31" w:rsidP="00F76C31">
      <w:pPr>
        <w:ind w:right="49"/>
        <w:jc w:val="both"/>
        <w:rPr>
          <w:rFonts w:ascii="Century Gothic" w:hAnsi="Century Gothic" w:cs="Calibri"/>
        </w:rPr>
      </w:pPr>
    </w:p>
    <w:p w14:paraId="5AD9576E" w14:textId="77777777" w:rsidR="00F76C31" w:rsidRPr="00086A60" w:rsidRDefault="00F76C31" w:rsidP="00F76C31">
      <w:pPr>
        <w:ind w:right="49"/>
        <w:jc w:val="both"/>
        <w:rPr>
          <w:rFonts w:ascii="Century Gothic" w:hAnsi="Century Gothic" w:cs="Calibri"/>
        </w:rPr>
      </w:pPr>
      <w:r w:rsidRPr="00086A60">
        <w:rPr>
          <w:rFonts w:ascii="Century Gothic" w:hAnsi="Century Gothic" w:cs="Calibri"/>
        </w:rPr>
        <w:t>Para que se configure el conflicto de interés es necesario que exista un beneficio particular, actual y directo a favor del congresista. Sobre este punto, la Ley 2003 de 2019, determina:</w:t>
      </w:r>
    </w:p>
    <w:p w14:paraId="06DDE5C5" w14:textId="77777777" w:rsidR="00F76C31" w:rsidRPr="00086A60" w:rsidRDefault="00F76C31" w:rsidP="00F76C31">
      <w:pPr>
        <w:pStyle w:val="Prrafodelista"/>
        <w:numPr>
          <w:ilvl w:val="0"/>
          <w:numId w:val="21"/>
        </w:numPr>
        <w:spacing w:after="0"/>
        <w:ind w:right="49"/>
        <w:jc w:val="both"/>
        <w:rPr>
          <w:rFonts w:ascii="Century Gothic" w:hAnsi="Century Gothic" w:cs="Calibri"/>
        </w:rPr>
      </w:pPr>
      <w:r w:rsidRPr="00086A60">
        <w:rPr>
          <w:rFonts w:ascii="Century Gothic" w:hAnsi="Century Gothic" w:cs="Calibr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9C47C8E" w14:textId="77777777" w:rsidR="00F76C31" w:rsidRPr="00086A60" w:rsidRDefault="00F76C31" w:rsidP="00F76C31">
      <w:pPr>
        <w:pStyle w:val="Prrafodelista"/>
        <w:ind w:right="49"/>
        <w:jc w:val="both"/>
        <w:rPr>
          <w:rFonts w:ascii="Century Gothic" w:hAnsi="Century Gothic" w:cs="Calibri"/>
        </w:rPr>
      </w:pPr>
    </w:p>
    <w:p w14:paraId="51EAF9B9" w14:textId="77777777" w:rsidR="00F76C31" w:rsidRPr="00086A60" w:rsidRDefault="00F76C31" w:rsidP="00F76C31">
      <w:pPr>
        <w:pStyle w:val="Prrafodelista"/>
        <w:numPr>
          <w:ilvl w:val="0"/>
          <w:numId w:val="21"/>
        </w:numPr>
        <w:spacing w:after="0"/>
        <w:ind w:right="49"/>
        <w:jc w:val="both"/>
        <w:rPr>
          <w:rFonts w:ascii="Century Gothic" w:hAnsi="Century Gothic" w:cs="Calibri"/>
        </w:rPr>
      </w:pPr>
      <w:r w:rsidRPr="00086A60">
        <w:rPr>
          <w:rFonts w:ascii="Century Gothic" w:hAnsi="Century Gothic" w:cs="Calibri"/>
        </w:rPr>
        <w:lastRenderedPageBreak/>
        <w:t xml:space="preserve">Beneficio actual: Aquel que efectivamente se configura en las circunstancias presentes y existentes al momento en el que el congresista participa de la decisión. </w:t>
      </w:r>
    </w:p>
    <w:p w14:paraId="3E7B1981" w14:textId="77777777" w:rsidR="00F76C31" w:rsidRPr="00086A60" w:rsidRDefault="00F76C31" w:rsidP="00F76C31">
      <w:pPr>
        <w:pStyle w:val="Prrafodelista"/>
        <w:rPr>
          <w:rFonts w:ascii="Century Gothic" w:hAnsi="Century Gothic" w:cs="Calibri"/>
        </w:rPr>
      </w:pPr>
    </w:p>
    <w:p w14:paraId="138E47E7" w14:textId="77777777" w:rsidR="00F76C31" w:rsidRPr="00086A60" w:rsidRDefault="00F76C31" w:rsidP="00F76C31">
      <w:pPr>
        <w:pStyle w:val="Prrafodelista"/>
        <w:numPr>
          <w:ilvl w:val="0"/>
          <w:numId w:val="21"/>
        </w:numPr>
        <w:spacing w:after="0"/>
        <w:ind w:right="49"/>
        <w:jc w:val="both"/>
        <w:rPr>
          <w:rFonts w:ascii="Century Gothic" w:hAnsi="Century Gothic" w:cs="Calibri"/>
        </w:rPr>
      </w:pPr>
      <w:r w:rsidRPr="00086A60">
        <w:rPr>
          <w:rFonts w:ascii="Century Gothic" w:hAnsi="Century Gothic" w:cs="Calibri"/>
        </w:rPr>
        <w:t>Beneficio directo: Aquel que se produzca de forma específica respecto del congresista, de su cónyuge, compañero o compañera permanente, o parientes dentro del segundo grado de consanguinidad, segundo de afinidad o primero civil.</w:t>
      </w:r>
    </w:p>
    <w:p w14:paraId="54691AD2" w14:textId="77777777" w:rsidR="00F76C31" w:rsidRPr="00086A60" w:rsidRDefault="00F76C31" w:rsidP="00F76C31">
      <w:pPr>
        <w:ind w:right="49"/>
        <w:jc w:val="both"/>
        <w:rPr>
          <w:rFonts w:ascii="Century Gothic" w:hAnsi="Century Gothic" w:cs="Calibri"/>
        </w:rPr>
      </w:pPr>
    </w:p>
    <w:p w14:paraId="5F36C314" w14:textId="77777777" w:rsidR="00F76C31" w:rsidRPr="00086A60" w:rsidRDefault="00F76C31" w:rsidP="00F76C31">
      <w:pPr>
        <w:ind w:right="49"/>
        <w:jc w:val="both"/>
        <w:rPr>
          <w:rFonts w:ascii="Century Gothic" w:hAnsi="Century Gothic" w:cs="Calibri"/>
        </w:rPr>
      </w:pPr>
      <w:r w:rsidRPr="00086A60">
        <w:rPr>
          <w:rFonts w:ascii="Century Gothic" w:hAnsi="Century Gothic" w:cs="Calibri"/>
        </w:rPr>
        <w:t>Ese interés, con tales características, ha de ser particular, pues si se tratara del interés general, común a todos, resultaría que los congresistas, todos ellos, en todos los casos, se encontrarían en situación de conflicto. La situación de conflicto resulta, pues, del asunto o materia de que se trate, de las particulares circunstancias del congresista o su cónyuge o compañero o compañera permanente, sus parientes o sus socios, y de su conducta, en cada caso.</w:t>
      </w:r>
    </w:p>
    <w:p w14:paraId="78661D50" w14:textId="77777777" w:rsidR="00F76C31" w:rsidRPr="00086A60" w:rsidRDefault="00F76C31" w:rsidP="00F76C31">
      <w:pPr>
        <w:ind w:right="49"/>
        <w:jc w:val="both"/>
        <w:rPr>
          <w:rFonts w:ascii="Century Gothic" w:hAnsi="Century Gothic" w:cs="Calibri"/>
        </w:rPr>
      </w:pPr>
      <w:r w:rsidRPr="00086A60">
        <w:rPr>
          <w:rFonts w:ascii="Century Gothic" w:hAnsi="Century Gothic" w:cs="Calibri"/>
        </w:rPr>
        <w:t>“…si el interés se confunde con el que asiste a todas las personas o a la comunidad en general, en igualdad de condiciones, no existe conflicto, pues en tal caso estaría actuando en interés de la colectividad y no en el suyo propio”</w:t>
      </w:r>
      <w:r w:rsidRPr="00086A60">
        <w:rPr>
          <w:rStyle w:val="Refdenotaalpie"/>
          <w:rFonts w:ascii="Century Gothic" w:hAnsi="Century Gothic" w:cs="Calibri"/>
        </w:rPr>
        <w:footnoteReference w:id="1"/>
      </w:r>
      <w:r w:rsidRPr="00086A60">
        <w:rPr>
          <w:rFonts w:ascii="Century Gothic" w:hAnsi="Century Gothic" w:cs="Calibri"/>
        </w:rPr>
        <w:t>.</w:t>
      </w:r>
    </w:p>
    <w:p w14:paraId="34C7EDA0" w14:textId="4B753BB8" w:rsidR="00F76C31" w:rsidRPr="00086A60" w:rsidRDefault="00F76C31" w:rsidP="00F76C31">
      <w:pPr>
        <w:ind w:right="49"/>
        <w:jc w:val="both"/>
        <w:rPr>
          <w:rFonts w:ascii="Century Gothic" w:hAnsi="Century Gothic" w:cs="Calibri"/>
        </w:rPr>
      </w:pPr>
      <w:r w:rsidRPr="00086A60">
        <w:rPr>
          <w:rFonts w:ascii="Century Gothic" w:hAnsi="Century Gothic" w:cs="Calibri"/>
        </w:rPr>
        <w:t xml:space="preserve">En virtud de lo anterior, es dable argumentar que frente al proyecto de ley objeto de estudio, se considera que los Honorables Congresistas no se encuentran en conflicto de intereses, pues se pretenden modificar disposiciones </w:t>
      </w:r>
      <w:r w:rsidRPr="00086A60">
        <w:rPr>
          <w:rFonts w:ascii="Century Gothic" w:hAnsi="Century Gothic" w:cs="Calibri"/>
        </w:rPr>
        <w:t>que regirán a todos las personas que estén en el territorio nacional e incurran en alguna conducta que permita la imposición de un comparendo</w:t>
      </w:r>
      <w:r w:rsidRPr="00086A60">
        <w:rPr>
          <w:rFonts w:ascii="Century Gothic" w:hAnsi="Century Gothic" w:cs="Calibri"/>
        </w:rPr>
        <w:t xml:space="preserve">, situación que obedece a la regulación de un asunto de interés general. </w:t>
      </w:r>
    </w:p>
    <w:p w14:paraId="4A165C97" w14:textId="77777777" w:rsidR="00F76C31" w:rsidRPr="00086A60" w:rsidRDefault="00F76C31" w:rsidP="00F76C31">
      <w:pPr>
        <w:ind w:right="49"/>
        <w:jc w:val="both"/>
        <w:rPr>
          <w:rFonts w:ascii="Century Gothic" w:hAnsi="Century Gothic" w:cs="Calibri"/>
          <w:spacing w:val="2"/>
        </w:rPr>
      </w:pPr>
      <w:r w:rsidRPr="00086A60">
        <w:rPr>
          <w:rFonts w:ascii="Century Gothic" w:hAnsi="Century Gothic" w:cs="Calibri"/>
          <w:spacing w:val="2"/>
        </w:rPr>
        <w:lastRenderedPageBreak/>
        <w:t xml:space="preserve">En la misma línea, la Honorable Corte Constitucional en Sentencia C -1056/12, ha argumentado en lo que atañe específicamente a la situación de los miembros del Congreso, que de conformidad con el numeral 1° del artículo 183 de la Constitución, para que se hagan acreedores a la pérdida de investidura, se ha requerido la presencia de cuatro elementos, unos objetivos y otros subjetivos, a saber: </w:t>
      </w:r>
    </w:p>
    <w:p w14:paraId="0ADAE0C6" w14:textId="77777777" w:rsidR="00F76C31" w:rsidRPr="00086A60" w:rsidRDefault="00F76C31" w:rsidP="00F76C31">
      <w:pPr>
        <w:ind w:right="49"/>
        <w:jc w:val="both"/>
        <w:rPr>
          <w:rFonts w:ascii="Century Gothic" w:hAnsi="Century Gothic" w:cs="Calibri"/>
          <w:i/>
          <w:spacing w:val="2"/>
        </w:rPr>
      </w:pPr>
      <w:r w:rsidRPr="00086A60">
        <w:rPr>
          <w:rFonts w:ascii="Century Gothic" w:hAnsi="Century Gothic"/>
          <w:shd w:val="clear" w:color="auto" w:fill="FFFFFF"/>
        </w:rPr>
        <w:t>“(…)</w:t>
      </w:r>
      <w:r w:rsidRPr="00086A60">
        <w:rPr>
          <w:rFonts w:ascii="Century Gothic" w:hAnsi="Century Gothic"/>
          <w:i/>
          <w:iCs/>
          <w:shd w:val="clear" w:color="auto" w:fill="FFFFFF"/>
        </w:rPr>
        <w:t xml:space="preserve">1) La participación efectiva del parlamentario en el procedimiento legislativo o en los mecanismos de control; 2) la existencia cierta y demostrable, que de la aprobación de una determinada ley se derivan beneficios morales o económicos para el congresista, sus familiares o sus socios; 3) </w:t>
      </w:r>
      <w:r w:rsidRPr="00086A60">
        <w:rPr>
          <w:rFonts w:ascii="Century Gothic" w:hAnsi="Century Gothic"/>
          <w:b/>
          <w:i/>
          <w:iCs/>
          <w:u w:val="single"/>
          <w:shd w:val="clear" w:color="auto" w:fill="FFFFFF"/>
        </w:rPr>
        <w:t>que el beneficio que persiga o se obtenga con la ley no puede ser catalogado como general, sino de carácter particular</w:t>
      </w:r>
      <w:r w:rsidRPr="00086A60">
        <w:rPr>
          <w:rFonts w:ascii="Century Gothic" w:hAnsi="Century Gothic"/>
          <w:b/>
          <w:i/>
          <w:iCs/>
          <w:shd w:val="clear" w:color="auto" w:fill="FFFFFF"/>
        </w:rPr>
        <w:t>,</w:t>
      </w:r>
      <w:r w:rsidRPr="00086A60">
        <w:rPr>
          <w:rFonts w:ascii="Century Gothic" w:hAnsi="Century Gothic"/>
          <w:i/>
          <w:iCs/>
          <w:shd w:val="clear" w:color="auto" w:fill="FFFFFF"/>
        </w:rPr>
        <w:t xml:space="preserve"> y 4) que el congresista tenga la intención de beneficiar a sus familiares, a sus socios o a sí mismo”(…). </w:t>
      </w:r>
      <w:r w:rsidRPr="00086A60">
        <w:rPr>
          <w:rFonts w:ascii="Century Gothic" w:hAnsi="Century Gothic" w:cs="Calibri"/>
          <w:i/>
          <w:spacing w:val="2"/>
        </w:rPr>
        <w:t>(SUBRAYADO FUERA DE TEXTO).</w:t>
      </w:r>
    </w:p>
    <w:p w14:paraId="009B4D0B" w14:textId="77777777" w:rsidR="00F76C31" w:rsidRPr="00086A60" w:rsidRDefault="00F76C31" w:rsidP="00F76C31">
      <w:pPr>
        <w:pBdr>
          <w:top w:val="nil"/>
          <w:left w:val="nil"/>
          <w:bottom w:val="nil"/>
          <w:right w:val="nil"/>
          <w:between w:val="nil"/>
        </w:pBdr>
        <w:jc w:val="both"/>
        <w:rPr>
          <w:rFonts w:ascii="Century Gothic" w:hAnsi="Century Gothic" w:cs="Calibri"/>
        </w:rPr>
      </w:pPr>
      <w:r w:rsidRPr="00086A60">
        <w:rPr>
          <w:rFonts w:ascii="Century Gothic" w:hAnsi="Century Gothic" w:cs="Calibri"/>
        </w:rPr>
        <w:t>Así mismo, “…Para que se configure la causal de pérdida de investidura es necesario haber conformado el quórum o haber participado el congresista en el debate o votación del asunto”. SI EL CONGRESISTA SE RETIRA Y NO VOTA, NO SE CONFIGURA LA CAUSAL.</w:t>
      </w:r>
    </w:p>
    <w:p w14:paraId="62839255" w14:textId="740C2D73" w:rsidR="00453E02" w:rsidRPr="00086A60" w:rsidRDefault="00453E02" w:rsidP="00086A60">
      <w:pPr>
        <w:pStyle w:val="Prrafodelista"/>
        <w:numPr>
          <w:ilvl w:val="0"/>
          <w:numId w:val="19"/>
        </w:numPr>
        <w:pBdr>
          <w:top w:val="nil"/>
          <w:left w:val="nil"/>
          <w:bottom w:val="nil"/>
          <w:right w:val="nil"/>
          <w:between w:val="nil"/>
        </w:pBdr>
        <w:spacing w:after="0"/>
        <w:jc w:val="both"/>
        <w:rPr>
          <w:rFonts w:ascii="Century Gothic" w:hAnsi="Century Gothic"/>
          <w:b/>
        </w:rPr>
      </w:pPr>
      <w:r w:rsidRPr="00086A60">
        <w:rPr>
          <w:rFonts w:ascii="Century Gothic" w:hAnsi="Century Gothic"/>
          <w:b/>
        </w:rPr>
        <w:t xml:space="preserve">PROPOSICIÓN. </w:t>
      </w:r>
    </w:p>
    <w:p w14:paraId="6C91AEE1" w14:textId="77777777" w:rsidR="00453E02" w:rsidRPr="00086A60" w:rsidRDefault="00453E02" w:rsidP="00453E02">
      <w:pPr>
        <w:rPr>
          <w:rFonts w:ascii="Century Gothic" w:hAnsi="Century Gothic"/>
        </w:rPr>
      </w:pPr>
    </w:p>
    <w:p w14:paraId="2BEECC13" w14:textId="0DF3BD3F" w:rsidR="00453E02" w:rsidRPr="00086A60" w:rsidRDefault="00453E02" w:rsidP="00453E02">
      <w:pPr>
        <w:shd w:val="clear" w:color="auto" w:fill="FFFFFF"/>
        <w:jc w:val="both"/>
        <w:rPr>
          <w:rFonts w:ascii="Century Gothic" w:eastAsia="Times New Roman" w:hAnsi="Century Gothic" w:cs="Calibri"/>
        </w:rPr>
      </w:pPr>
      <w:r w:rsidRPr="00086A60">
        <w:rPr>
          <w:rFonts w:ascii="Century Gothic" w:hAnsi="Century Gothic"/>
        </w:rPr>
        <w:t>Considerando los argumentos expuestos y en cumplimiento de los requisitos establecidos en la Ley 5 de 1992, present</w:t>
      </w:r>
      <w:r w:rsidR="00086A60" w:rsidRPr="00086A60">
        <w:rPr>
          <w:rFonts w:ascii="Century Gothic" w:hAnsi="Century Gothic"/>
        </w:rPr>
        <w:t>o</w:t>
      </w:r>
      <w:r w:rsidRPr="00086A60">
        <w:rPr>
          <w:rFonts w:ascii="Century Gothic" w:hAnsi="Century Gothic"/>
        </w:rPr>
        <w:t xml:space="preserve"> ponencia favorable y, en consecuencia, solicit</w:t>
      </w:r>
      <w:r w:rsidR="00086A60" w:rsidRPr="00086A60">
        <w:rPr>
          <w:rFonts w:ascii="Century Gothic" w:hAnsi="Century Gothic"/>
        </w:rPr>
        <w:t>o</w:t>
      </w:r>
      <w:r w:rsidRPr="00086A60">
        <w:rPr>
          <w:rFonts w:ascii="Century Gothic" w:hAnsi="Century Gothic"/>
        </w:rPr>
        <w:t xml:space="preserve"> a los miembros de la</w:t>
      </w:r>
      <w:r w:rsidR="00086A60" w:rsidRPr="00086A60">
        <w:rPr>
          <w:rFonts w:ascii="Century Gothic" w:hAnsi="Century Gothic"/>
        </w:rPr>
        <w:t xml:space="preserve"> Comisión Primera de la</w:t>
      </w:r>
      <w:r w:rsidRPr="00086A60">
        <w:rPr>
          <w:rFonts w:ascii="Century Gothic" w:hAnsi="Century Gothic"/>
        </w:rPr>
        <w:t xml:space="preserve"> Cámara de Representantes, dar primer debate al Proyecto de Ley</w:t>
      </w:r>
      <w:r w:rsidR="00086A60" w:rsidRPr="00086A60">
        <w:rPr>
          <w:rFonts w:ascii="Century Gothic" w:hAnsi="Century Gothic"/>
        </w:rPr>
        <w:t xml:space="preserve"> </w:t>
      </w:r>
      <w:proofErr w:type="spellStart"/>
      <w:r w:rsidR="00086A60" w:rsidRPr="00086A60">
        <w:rPr>
          <w:rFonts w:ascii="Century Gothic" w:hAnsi="Century Gothic"/>
        </w:rPr>
        <w:t>N°</w:t>
      </w:r>
      <w:proofErr w:type="spellEnd"/>
      <w:r w:rsidR="00086A60" w:rsidRPr="00086A60">
        <w:rPr>
          <w:rFonts w:ascii="Century Gothic" w:hAnsi="Century Gothic"/>
        </w:rPr>
        <w:t xml:space="preserve"> 092 de 2021</w:t>
      </w:r>
      <w:r w:rsidR="00086A60" w:rsidRPr="00086A60">
        <w:rPr>
          <w:rFonts w:ascii="Century Gothic" w:hAnsi="Century Gothic"/>
        </w:rPr>
        <w:t xml:space="preserve"> Cámara</w:t>
      </w:r>
      <w:r w:rsidR="00086A60" w:rsidRPr="00086A60">
        <w:rPr>
          <w:rFonts w:ascii="Century Gothic" w:hAnsi="Century Gothic"/>
        </w:rPr>
        <w:t xml:space="preserve"> “por medio de la cual se modifica la Ley 1801 de 2016, a fin de definir el alcance del comparendo y la multa general en Colombia”</w:t>
      </w:r>
      <w:r w:rsidR="00086A60" w:rsidRPr="00086A60">
        <w:rPr>
          <w:rFonts w:ascii="Century Gothic" w:hAnsi="Century Gothic"/>
        </w:rPr>
        <w:t xml:space="preserve">. </w:t>
      </w:r>
    </w:p>
    <w:p w14:paraId="2AF09451" w14:textId="77777777" w:rsidR="00C638A0" w:rsidRDefault="00C638A0" w:rsidP="00453E02">
      <w:pPr>
        <w:rPr>
          <w:rFonts w:ascii="Century Gothic" w:hAnsi="Century Gothic"/>
        </w:rPr>
      </w:pPr>
    </w:p>
    <w:p w14:paraId="3E10ABDF" w14:textId="64945E3F" w:rsidR="00453E02" w:rsidRPr="00086A60" w:rsidRDefault="00453E02" w:rsidP="00453E02">
      <w:pPr>
        <w:rPr>
          <w:rFonts w:ascii="Century Gothic" w:hAnsi="Century Gothic"/>
        </w:rPr>
      </w:pPr>
      <w:r w:rsidRPr="00086A60">
        <w:rPr>
          <w:rFonts w:ascii="Century Gothic" w:hAnsi="Century Gothic"/>
        </w:rPr>
        <w:t>Cordialmente,</w:t>
      </w:r>
    </w:p>
    <w:p w14:paraId="7114B68A" w14:textId="77777777" w:rsidR="00453E02" w:rsidRPr="00086A60" w:rsidRDefault="00453E02" w:rsidP="00453E02">
      <w:pPr>
        <w:rPr>
          <w:rFonts w:ascii="Century Gothic" w:hAnsi="Century Gothic"/>
          <w:b/>
        </w:rPr>
      </w:pPr>
    </w:p>
    <w:p w14:paraId="2FB8A8AE" w14:textId="77777777" w:rsidR="00086A60" w:rsidRPr="00086A60" w:rsidRDefault="00453E02" w:rsidP="00086A60">
      <w:pPr>
        <w:contextualSpacing/>
        <w:rPr>
          <w:rFonts w:ascii="Century Gothic" w:hAnsi="Century Gothic"/>
          <w:b/>
        </w:rPr>
      </w:pPr>
      <w:r w:rsidRPr="00086A60">
        <w:rPr>
          <w:rFonts w:ascii="Century Gothic" w:hAnsi="Century Gothic"/>
          <w:b/>
        </w:rPr>
        <w:t xml:space="preserve">BUENAVENTURA LEÓN </w:t>
      </w:r>
      <w:proofErr w:type="spellStart"/>
      <w:r w:rsidRPr="00086A60">
        <w:rPr>
          <w:rFonts w:ascii="Century Gothic" w:hAnsi="Century Gothic"/>
          <w:b/>
        </w:rPr>
        <w:t>LEÓN</w:t>
      </w:r>
      <w:proofErr w:type="spellEnd"/>
      <w:r w:rsidRPr="00086A60">
        <w:rPr>
          <w:rFonts w:ascii="Century Gothic" w:hAnsi="Century Gothic"/>
          <w:b/>
        </w:rPr>
        <w:t xml:space="preserve"> – C                         </w:t>
      </w:r>
    </w:p>
    <w:p w14:paraId="7CA1D664" w14:textId="18C74542" w:rsidR="00F76C31" w:rsidRPr="00086A60" w:rsidRDefault="00453E02" w:rsidP="00086A60">
      <w:pPr>
        <w:contextualSpacing/>
        <w:rPr>
          <w:rFonts w:ascii="Century Gothic" w:hAnsi="Century Gothic"/>
          <w:b/>
        </w:rPr>
      </w:pPr>
      <w:r w:rsidRPr="00086A60">
        <w:rPr>
          <w:rFonts w:ascii="Century Gothic" w:hAnsi="Century Gothic"/>
        </w:rPr>
        <w:t xml:space="preserve">Representante a la Cámara  </w:t>
      </w:r>
    </w:p>
    <w:p w14:paraId="26D8F304" w14:textId="6A76C3CF" w:rsidR="004A2F91" w:rsidRDefault="004A2F91"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942DAFA" w14:textId="44D78F8C" w:rsidR="00C638A0" w:rsidRDefault="00C638A0"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CAAC8D3" w14:textId="5EE70DC2" w:rsidR="00C638A0" w:rsidRDefault="00C638A0"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107B3C6" w14:textId="77777777" w:rsidR="00C638A0" w:rsidRPr="00086A60" w:rsidRDefault="00C638A0" w:rsidP="004A2F91">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5397E32" w14:textId="543A1098" w:rsidR="004A2F91" w:rsidRPr="00086A60" w:rsidRDefault="00086A60" w:rsidP="00086A60">
      <w:pPr>
        <w:widowControl w:val="0"/>
        <w:pBdr>
          <w:top w:val="nil"/>
          <w:left w:val="nil"/>
          <w:bottom w:val="nil"/>
          <w:right w:val="nil"/>
          <w:between w:val="nil"/>
        </w:pBdr>
        <w:spacing w:after="0"/>
        <w:ind w:hanging="2"/>
        <w:jc w:val="center"/>
        <w:rPr>
          <w:rStyle w:val="Ninguno"/>
          <w:rFonts w:ascii="Century Gothic" w:eastAsia="Arial Unicode MS" w:hAnsi="Century Gothic" w:cs="Arial Unicode MS"/>
          <w:b/>
          <w:bCs/>
          <w:u w:color="000000"/>
          <w:bdr w:val="nil"/>
          <w:lang w:eastAsia="es-CO"/>
        </w:rPr>
      </w:pPr>
      <w:r w:rsidRPr="00086A60">
        <w:rPr>
          <w:rStyle w:val="Ninguno"/>
          <w:rFonts w:ascii="Century Gothic" w:eastAsia="Arial Unicode MS" w:hAnsi="Century Gothic" w:cs="Arial Unicode MS"/>
          <w:b/>
          <w:bCs/>
          <w:u w:color="000000"/>
          <w:bdr w:val="nil"/>
          <w:lang w:eastAsia="es-CO"/>
        </w:rPr>
        <w:t>TEXTO PROPUESTO PARA PRIMER DEBATE</w:t>
      </w:r>
    </w:p>
    <w:p w14:paraId="61845EA1" w14:textId="2E2F22A7" w:rsidR="00086A60" w:rsidRPr="00086A60" w:rsidRDefault="00086A60" w:rsidP="00086A60">
      <w:pPr>
        <w:widowControl w:val="0"/>
        <w:pBdr>
          <w:top w:val="nil"/>
          <w:left w:val="nil"/>
          <w:bottom w:val="nil"/>
          <w:right w:val="nil"/>
          <w:between w:val="nil"/>
        </w:pBdr>
        <w:spacing w:after="0"/>
        <w:ind w:hanging="2"/>
        <w:jc w:val="center"/>
        <w:rPr>
          <w:rStyle w:val="Ninguno"/>
          <w:rFonts w:ascii="Century Gothic" w:eastAsia="Arial Unicode MS" w:hAnsi="Century Gothic" w:cs="Arial Unicode MS"/>
          <w:b/>
          <w:bCs/>
          <w:u w:color="000000"/>
          <w:bdr w:val="nil"/>
          <w:lang w:eastAsia="es-CO"/>
        </w:rPr>
      </w:pPr>
    </w:p>
    <w:p w14:paraId="00E5C571" w14:textId="38A72E86"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086A60">
        <w:rPr>
          <w:rStyle w:val="Ninguno"/>
          <w:rFonts w:ascii="Century Gothic" w:hAnsi="Century Gothic"/>
          <w:b/>
          <w:color w:val="auto"/>
        </w:rPr>
        <w:t xml:space="preserve">PROYECTO DE LEY </w:t>
      </w:r>
      <w:r w:rsidRPr="00086A60">
        <w:rPr>
          <w:rStyle w:val="Ninguno"/>
          <w:rFonts w:ascii="Century Gothic" w:hAnsi="Century Gothic"/>
          <w:b/>
          <w:color w:val="auto"/>
        </w:rPr>
        <w:t>092</w:t>
      </w:r>
      <w:r w:rsidRPr="00086A60">
        <w:rPr>
          <w:rStyle w:val="Ninguno"/>
          <w:rFonts w:ascii="Century Gothic" w:hAnsi="Century Gothic"/>
          <w:b/>
          <w:color w:val="auto"/>
        </w:rPr>
        <w:t xml:space="preserve"> DE 2021 CÁMARA</w:t>
      </w:r>
    </w:p>
    <w:p w14:paraId="09D43388" w14:textId="77777777"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2CC993B8" w14:textId="77777777"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rPr>
      </w:pPr>
      <w:r w:rsidRPr="00086A60">
        <w:rPr>
          <w:rFonts w:ascii="Century Gothic" w:eastAsia="Times New Roman" w:hAnsi="Century Gothic" w:cs="Calibri"/>
          <w:b/>
          <w:bCs/>
          <w:color w:val="auto"/>
        </w:rPr>
        <w:t>“</w:t>
      </w:r>
      <w:r w:rsidRPr="00086A60">
        <w:rPr>
          <w:rFonts w:ascii="Century Gothic" w:eastAsia="Roboto" w:hAnsi="Century Gothic" w:cs="Roboto"/>
          <w:b/>
          <w:bCs/>
        </w:rPr>
        <w:t>POR MEDIO DE LA CUAL SE MODIFICA LA LEY 1801 DE 2016, A FIN DE DEFINIR EL ALCANCE DEL COMPARENDO Y LA MULTA GENERAL EN COLOMBIA</w:t>
      </w:r>
    </w:p>
    <w:p w14:paraId="4C34B85F" w14:textId="77777777"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rPr>
      </w:pPr>
    </w:p>
    <w:p w14:paraId="1D91F163" w14:textId="77777777"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086A60">
        <w:rPr>
          <w:rStyle w:val="Ninguno"/>
          <w:rFonts w:ascii="Century Gothic" w:hAnsi="Century Gothic"/>
          <w:color w:val="auto"/>
        </w:rPr>
        <w:t>El Congreso de Colombia</w:t>
      </w:r>
    </w:p>
    <w:p w14:paraId="02E62F19" w14:textId="77777777"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3A9742C" w14:textId="77777777"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086A60">
        <w:rPr>
          <w:rFonts w:ascii="Century Gothic" w:eastAsia="Roboto" w:hAnsi="Century Gothic" w:cs="Roboto"/>
          <w:b/>
          <w:color w:val="auto"/>
          <w:lang w:val="es-CO"/>
        </w:rPr>
        <w:t>DECRETA</w:t>
      </w:r>
    </w:p>
    <w:p w14:paraId="26DAAEA1" w14:textId="77777777" w:rsidR="00086A60" w:rsidRPr="00086A60" w:rsidRDefault="00086A60" w:rsidP="00086A6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2E6A1D86" w14:textId="100FC141" w:rsidR="00086A60" w:rsidRPr="00086A60" w:rsidRDefault="00086A60" w:rsidP="00086A60">
      <w:pPr>
        <w:jc w:val="both"/>
        <w:rPr>
          <w:rFonts w:ascii="Century Gothic" w:hAnsi="Century Gothic"/>
        </w:rPr>
      </w:pPr>
      <w:r w:rsidRPr="00086A60">
        <w:rPr>
          <w:rFonts w:ascii="Century Gothic" w:hAnsi="Century Gothic"/>
          <w:b/>
          <w:bCs/>
        </w:rPr>
        <w:t>ARTÍCULO 1º</w:t>
      </w:r>
      <w:r w:rsidRPr="00086A60">
        <w:rPr>
          <w:rFonts w:ascii="Century Gothic" w:hAnsi="Century Gothic"/>
          <w:b/>
          <w:bCs/>
        </w:rPr>
        <w:t xml:space="preserve">. </w:t>
      </w:r>
      <w:r w:rsidRPr="00086A60">
        <w:rPr>
          <w:rFonts w:ascii="Century Gothic" w:hAnsi="Century Gothic"/>
        </w:rPr>
        <w:t xml:space="preserve">Modifíquese el artículo 180 de la Ley 1801 de 2016, el cual quedara así: </w:t>
      </w:r>
    </w:p>
    <w:p w14:paraId="37FB58A6"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bookmarkStart w:id="6" w:name="180"/>
      <w:r w:rsidRPr="00086A60">
        <w:rPr>
          <w:rFonts w:ascii="Century Gothic" w:eastAsia="Times New Roman" w:hAnsi="Century Gothic" w:cs="Arial"/>
          <w:b/>
          <w:bCs/>
          <w:lang w:eastAsia="es-CO"/>
        </w:rPr>
        <w:t>ARTÍCULO 180. MULTAS.</w:t>
      </w:r>
      <w:bookmarkEnd w:id="6"/>
      <w:r w:rsidRPr="00086A60">
        <w:rPr>
          <w:rFonts w:ascii="Century Gothic" w:eastAsia="Times New Roman" w:hAnsi="Century Gothic" w:cs="Arial"/>
          <w:lang w:eastAsia="es-CO"/>
        </w:rPr>
        <w:t>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14:paraId="4084B045"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Las multas se clasifican en generales y especiales.</w:t>
      </w:r>
    </w:p>
    <w:p w14:paraId="3D6B2A59"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Las multas generales se clasifican de la siguiente manera:</w:t>
      </w:r>
    </w:p>
    <w:p w14:paraId="534465A8"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Multa Tipo 1: Cuatro (4) salarios mínimos diarios legales vigentes (</w:t>
      </w:r>
      <w:proofErr w:type="spellStart"/>
      <w:r w:rsidRPr="00086A60">
        <w:rPr>
          <w:rFonts w:ascii="Century Gothic" w:eastAsia="Times New Roman" w:hAnsi="Century Gothic" w:cs="Arial"/>
          <w:lang w:eastAsia="es-CO"/>
        </w:rPr>
        <w:t>smdlv</w:t>
      </w:r>
      <w:proofErr w:type="spellEnd"/>
      <w:r w:rsidRPr="00086A60">
        <w:rPr>
          <w:rFonts w:ascii="Century Gothic" w:eastAsia="Times New Roman" w:hAnsi="Century Gothic" w:cs="Arial"/>
          <w:lang w:eastAsia="es-CO"/>
        </w:rPr>
        <w:t>).</w:t>
      </w:r>
    </w:p>
    <w:p w14:paraId="01FCC942"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Multa Tipo 2: Ocho (8) salarios mínimos diarios legales vigentes (</w:t>
      </w:r>
      <w:proofErr w:type="spellStart"/>
      <w:r w:rsidRPr="00086A60">
        <w:rPr>
          <w:rFonts w:ascii="Century Gothic" w:eastAsia="Times New Roman" w:hAnsi="Century Gothic" w:cs="Arial"/>
          <w:lang w:eastAsia="es-CO"/>
        </w:rPr>
        <w:t>smdlv</w:t>
      </w:r>
      <w:proofErr w:type="spellEnd"/>
      <w:r w:rsidRPr="00086A60">
        <w:rPr>
          <w:rFonts w:ascii="Century Gothic" w:eastAsia="Times New Roman" w:hAnsi="Century Gothic" w:cs="Arial"/>
          <w:lang w:eastAsia="es-CO"/>
        </w:rPr>
        <w:t>).</w:t>
      </w:r>
    </w:p>
    <w:p w14:paraId="59C199AE"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Multa Tipo 3: Dieciséis (16) salarios mínimos diarios legales vigentes (</w:t>
      </w:r>
      <w:proofErr w:type="spellStart"/>
      <w:r w:rsidRPr="00086A60">
        <w:rPr>
          <w:rFonts w:ascii="Century Gothic" w:eastAsia="Times New Roman" w:hAnsi="Century Gothic" w:cs="Arial"/>
          <w:lang w:eastAsia="es-CO"/>
        </w:rPr>
        <w:t>smdlv</w:t>
      </w:r>
      <w:proofErr w:type="spellEnd"/>
      <w:r w:rsidRPr="00086A60">
        <w:rPr>
          <w:rFonts w:ascii="Century Gothic" w:eastAsia="Times New Roman" w:hAnsi="Century Gothic" w:cs="Arial"/>
          <w:lang w:eastAsia="es-CO"/>
        </w:rPr>
        <w:t>).</w:t>
      </w:r>
    </w:p>
    <w:p w14:paraId="73318499"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Multa Tipo 4: Treinta y dos (32) salarios mínimos diarios legales vigentes (</w:t>
      </w:r>
      <w:proofErr w:type="spellStart"/>
      <w:r w:rsidRPr="00086A60">
        <w:rPr>
          <w:rFonts w:ascii="Century Gothic" w:eastAsia="Times New Roman" w:hAnsi="Century Gothic" w:cs="Arial"/>
          <w:lang w:eastAsia="es-CO"/>
        </w:rPr>
        <w:t>smdlv</w:t>
      </w:r>
      <w:proofErr w:type="spellEnd"/>
      <w:r w:rsidRPr="00086A60">
        <w:rPr>
          <w:rFonts w:ascii="Century Gothic" w:eastAsia="Times New Roman" w:hAnsi="Century Gothic" w:cs="Arial"/>
          <w:lang w:eastAsia="es-CO"/>
        </w:rPr>
        <w:t>).</w:t>
      </w:r>
    </w:p>
    <w:p w14:paraId="4DB8D100"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Las multas especiales son de tres tipos:</w:t>
      </w:r>
    </w:p>
    <w:p w14:paraId="4636CABC"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1. Comportamientos de los organizadores de actividades que involucran aglomeraciones de público complejas.</w:t>
      </w:r>
    </w:p>
    <w:p w14:paraId="3F0C710E"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2. Infracción urbanística.</w:t>
      </w:r>
    </w:p>
    <w:p w14:paraId="5B59E8FF"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lang w:eastAsia="es-CO"/>
        </w:rPr>
      </w:pPr>
      <w:r w:rsidRPr="00086A60">
        <w:rPr>
          <w:rFonts w:ascii="Century Gothic" w:eastAsia="Times New Roman" w:hAnsi="Century Gothic" w:cs="Arial"/>
          <w:lang w:eastAsia="es-CO"/>
        </w:rPr>
        <w:t>3. Contaminación visual.</w:t>
      </w:r>
    </w:p>
    <w:p w14:paraId="234C6058" w14:textId="77777777" w:rsidR="00086A60" w:rsidRPr="00086A60" w:rsidRDefault="00086A60" w:rsidP="00086A60">
      <w:pPr>
        <w:pStyle w:val="NormalWeb"/>
        <w:spacing w:line="270" w:lineRule="atLeast"/>
        <w:jc w:val="both"/>
        <w:rPr>
          <w:rFonts w:ascii="Century Gothic" w:hAnsi="Century Gothic" w:cs="Arial"/>
          <w:sz w:val="22"/>
          <w:szCs w:val="22"/>
        </w:rPr>
      </w:pPr>
      <w:r w:rsidRPr="00086A60">
        <w:rPr>
          <w:rStyle w:val="baj"/>
          <w:rFonts w:ascii="Century Gothic" w:hAnsi="Century Gothic" w:cs="Arial"/>
          <w:b/>
          <w:bCs/>
          <w:sz w:val="22"/>
          <w:szCs w:val="22"/>
        </w:rPr>
        <w:t>PARÁGRAFO PRIMERO.</w:t>
      </w:r>
      <w:r w:rsidRPr="00086A60">
        <w:rPr>
          <w:rFonts w:ascii="Century Gothic" w:hAnsi="Century Gothic" w:cs="Arial"/>
          <w:sz w:val="22"/>
          <w:szCs w:val="22"/>
        </w:rPr>
        <w:t> Las multas serán consignadas en la cuenta que para el efecto dispongan las administraciones distritales y municipales, y se destinarán a 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14:paraId="4418E46A" w14:textId="77777777" w:rsidR="00086A60" w:rsidRPr="00086A60" w:rsidRDefault="00086A60" w:rsidP="00086A60">
      <w:pPr>
        <w:pStyle w:val="NormalWeb"/>
        <w:spacing w:line="270" w:lineRule="atLeast"/>
        <w:jc w:val="both"/>
        <w:rPr>
          <w:rFonts w:ascii="Century Gothic" w:hAnsi="Century Gothic" w:cs="Arial"/>
          <w:sz w:val="22"/>
          <w:szCs w:val="22"/>
        </w:rPr>
      </w:pPr>
      <w:r w:rsidRPr="00086A60">
        <w:rPr>
          <w:rFonts w:ascii="Century Gothic" w:hAnsi="Century Gothic" w:cs="Arial"/>
          <w:sz w:val="22"/>
          <w:szCs w:val="22"/>
        </w:rPr>
        <w:t>En todo caso, mínimo el sesenta por ciento (60%) del Fondo deberá ser destinado a la cultura ciudadana, pedagogía y prevención en materia de seguridad.</w:t>
      </w:r>
    </w:p>
    <w:p w14:paraId="09FF8530" w14:textId="77777777" w:rsidR="00086A60" w:rsidRPr="00086A60" w:rsidRDefault="00086A60" w:rsidP="00086A60">
      <w:pPr>
        <w:pStyle w:val="NormalWeb"/>
        <w:spacing w:line="270" w:lineRule="atLeast"/>
        <w:jc w:val="both"/>
        <w:rPr>
          <w:rFonts w:ascii="Century Gothic" w:hAnsi="Century Gothic" w:cs="Arial"/>
          <w:sz w:val="22"/>
          <w:szCs w:val="22"/>
        </w:rPr>
      </w:pPr>
      <w:r w:rsidRPr="00086A60">
        <w:rPr>
          <w:rFonts w:ascii="Century Gothic" w:hAnsi="Century Gothic" w:cs="Arial"/>
          <w:sz w:val="22"/>
          <w:szCs w:val="22"/>
        </w:rPr>
        <w:t>Cuando los Uniformados de la Policía Nacional tengan conocimiento de la ocurrencia de un comportamiento, que admita la imposición de multa general, impondrán orden de comparendo al infractor, evidenciando el hecho.</w:t>
      </w:r>
    </w:p>
    <w:p w14:paraId="2AA52B46" w14:textId="77777777" w:rsidR="00086A60" w:rsidRPr="00086A60" w:rsidRDefault="00086A60" w:rsidP="00086A60">
      <w:pPr>
        <w:pStyle w:val="NormalWeb"/>
        <w:spacing w:line="270" w:lineRule="atLeast"/>
        <w:jc w:val="both"/>
        <w:rPr>
          <w:rFonts w:ascii="Century Gothic" w:hAnsi="Century Gothic" w:cs="Arial"/>
          <w:sz w:val="22"/>
          <w:szCs w:val="22"/>
        </w:rPr>
      </w:pPr>
      <w:r w:rsidRPr="00086A60">
        <w:rPr>
          <w:rFonts w:ascii="Century Gothic" w:hAnsi="Century Gothic" w:cs="Arial"/>
          <w:sz w:val="22"/>
          <w:szCs w:val="22"/>
        </w:rPr>
        <w:t>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cinco (5) días hábiles siguientes a la expedición del comparendo, se le disminuirá el valor de la multa en un cincuenta (50%) por ciento, lo cual constituye un descuento por pronto pago.</w:t>
      </w:r>
    </w:p>
    <w:p w14:paraId="1D79F60C" w14:textId="77777777" w:rsidR="00086A60" w:rsidRPr="00086A60" w:rsidRDefault="00086A60" w:rsidP="00086A60">
      <w:pPr>
        <w:pStyle w:val="NormalWeb"/>
        <w:spacing w:line="270" w:lineRule="atLeast"/>
        <w:jc w:val="both"/>
        <w:rPr>
          <w:rFonts w:ascii="Century Gothic" w:hAnsi="Century Gothic" w:cs="Arial"/>
          <w:sz w:val="22"/>
          <w:szCs w:val="22"/>
        </w:rPr>
      </w:pPr>
      <w:r w:rsidRPr="00086A60">
        <w:rPr>
          <w:rFonts w:ascii="Century Gothic" w:hAnsi="Century Gothic" w:cs="Arial"/>
          <w:sz w:val="22"/>
          <w:szCs w:val="22"/>
        </w:rPr>
        <w:t>A cambio del pago de la Multa General tipos 1 y 2 la persona podrá, dentro de un plazo máximo de cinco (5) días hábiles siguientes a la expedición del comparendo, solicitar a la autoridad de policía que se conmute la multa por la participación en programa comunitario o actividad pedagógica de convivencia.</w:t>
      </w:r>
    </w:p>
    <w:p w14:paraId="6AE0E720" w14:textId="77777777" w:rsidR="00086A60" w:rsidRPr="00086A60" w:rsidRDefault="00086A60" w:rsidP="00086A60">
      <w:pPr>
        <w:pStyle w:val="NormalWeb"/>
        <w:spacing w:line="270" w:lineRule="atLeast"/>
        <w:jc w:val="both"/>
        <w:rPr>
          <w:rFonts w:ascii="Century Gothic" w:hAnsi="Century Gothic" w:cs="Arial"/>
          <w:sz w:val="22"/>
          <w:szCs w:val="22"/>
        </w:rPr>
      </w:pPr>
      <w:r w:rsidRPr="00086A60">
        <w:rPr>
          <w:rFonts w:ascii="Century Gothic" w:hAnsi="Century Gothic" w:cs="Arial"/>
          <w:sz w:val="22"/>
          <w:szCs w:val="22"/>
        </w:rPr>
        <w:t xml:space="preserve">Si la persona no está de acuerdo con la aplicación de la multa señalada en la orden de comparendo, podrá presentarse dentro de los tres (3) días hábiles siguientes ante </w:t>
      </w:r>
      <w:r w:rsidRPr="00086A60">
        <w:rPr>
          <w:rFonts w:ascii="Century Gothic" w:hAnsi="Century Gothic" w:cs="Arial"/>
          <w:b/>
          <w:sz w:val="22"/>
          <w:szCs w:val="22"/>
          <w:u w:val="single"/>
        </w:rPr>
        <w:t>el personal uniformado de la Policía Nacional</w:t>
      </w:r>
      <w:r w:rsidRPr="00086A60">
        <w:rPr>
          <w:rFonts w:ascii="Century Gothic" w:hAnsi="Century Gothic" w:cs="Arial"/>
          <w:sz w:val="22"/>
          <w:szCs w:val="22"/>
        </w:rPr>
        <w:t>, para objetar la medida mediante el procedimiento establecido en este Código.</w:t>
      </w:r>
    </w:p>
    <w:p w14:paraId="510F9C60" w14:textId="77777777" w:rsidR="00086A60" w:rsidRPr="00086A60" w:rsidRDefault="00086A60" w:rsidP="00086A60">
      <w:pPr>
        <w:pStyle w:val="NormalWeb"/>
        <w:spacing w:line="270" w:lineRule="atLeast"/>
        <w:jc w:val="both"/>
        <w:rPr>
          <w:rFonts w:ascii="Century Gothic" w:hAnsi="Century Gothic" w:cs="Arial"/>
          <w:sz w:val="22"/>
          <w:szCs w:val="22"/>
        </w:rPr>
      </w:pPr>
      <w:r w:rsidRPr="00086A60">
        <w:rPr>
          <w:rFonts w:ascii="Century Gothic" w:hAnsi="Century Gothic" w:cs="Arial"/>
          <w:sz w:val="22"/>
          <w:szCs w:val="22"/>
        </w:rPr>
        <w:t>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14:paraId="5EEF027D" w14:textId="77777777" w:rsidR="00086A60" w:rsidRPr="00086A60" w:rsidRDefault="00086A60" w:rsidP="00086A60">
      <w:pPr>
        <w:spacing w:before="100" w:beforeAutospacing="1" w:after="100" w:afterAutospacing="1" w:line="270" w:lineRule="atLeast"/>
        <w:jc w:val="both"/>
        <w:rPr>
          <w:rFonts w:ascii="Century Gothic" w:eastAsia="Times New Roman" w:hAnsi="Century Gothic" w:cs="Arial"/>
          <w:b/>
          <w:bCs/>
          <w:u w:val="single"/>
          <w:lang w:eastAsia="es-CO"/>
        </w:rPr>
      </w:pPr>
      <w:r w:rsidRPr="00086A60">
        <w:rPr>
          <w:rFonts w:ascii="Century Gothic" w:eastAsia="Times New Roman" w:hAnsi="Century Gothic" w:cs="Arial"/>
          <w:b/>
          <w:bCs/>
          <w:u w:val="single"/>
          <w:lang w:eastAsia="es-CO"/>
        </w:rPr>
        <w:t xml:space="preserve">PARÁGRAFO SEGUNDO. </w:t>
      </w:r>
      <w:r w:rsidRPr="00086A60">
        <w:rPr>
          <w:rFonts w:ascii="Century Gothic" w:eastAsia="Times New Roman" w:hAnsi="Century Gothic" w:cs="Arial"/>
          <w:u w:val="single"/>
          <w:lang w:eastAsia="es-CO"/>
        </w:rPr>
        <w:t xml:space="preserve">Cuando la Multa General tipos 1 o 2 sea conmutada por participación en programa comunitario o actividad pedagógica de convivencia, no procederá la objeción y deberá cumplirse conforme a lo dispuesto por la administración distrital o municipal. </w:t>
      </w:r>
    </w:p>
    <w:p w14:paraId="0D9565A2" w14:textId="77777777" w:rsidR="00086A60" w:rsidRPr="00086A60" w:rsidRDefault="00086A60" w:rsidP="00086A60">
      <w:pPr>
        <w:jc w:val="both"/>
        <w:rPr>
          <w:rFonts w:ascii="Century Gothic" w:hAnsi="Century Gothic"/>
          <w:b/>
          <w:bCs/>
        </w:rPr>
      </w:pPr>
    </w:p>
    <w:p w14:paraId="4789CFC8" w14:textId="77777777" w:rsidR="00086A60" w:rsidRPr="00086A60" w:rsidRDefault="00086A60" w:rsidP="00086A60">
      <w:pPr>
        <w:jc w:val="both"/>
        <w:rPr>
          <w:rFonts w:ascii="Century Gothic" w:hAnsi="Century Gothic"/>
          <w:b/>
          <w:bCs/>
        </w:rPr>
      </w:pPr>
    </w:p>
    <w:p w14:paraId="123F59AB" w14:textId="3F875378" w:rsidR="00086A60" w:rsidRPr="00086A60" w:rsidRDefault="00086A60" w:rsidP="00086A60">
      <w:pPr>
        <w:jc w:val="both"/>
        <w:rPr>
          <w:rFonts w:ascii="Century Gothic" w:hAnsi="Century Gothic"/>
        </w:rPr>
      </w:pPr>
      <w:r w:rsidRPr="00086A60">
        <w:rPr>
          <w:rFonts w:ascii="Century Gothic" w:hAnsi="Century Gothic"/>
          <w:b/>
          <w:bCs/>
        </w:rPr>
        <w:t>ARTÍCULO 2º.</w:t>
      </w:r>
      <w:r w:rsidRPr="00086A60">
        <w:rPr>
          <w:rFonts w:ascii="Century Gothic" w:hAnsi="Century Gothic"/>
        </w:rPr>
        <w:t xml:space="preserve"> </w:t>
      </w:r>
      <w:r w:rsidRPr="00086A60">
        <w:rPr>
          <w:rFonts w:ascii="Century Gothic" w:hAnsi="Century Gothic"/>
          <w:bCs/>
        </w:rPr>
        <w:t xml:space="preserve">Adiciónese un articulo </w:t>
      </w:r>
      <w:r w:rsidRPr="00086A60">
        <w:rPr>
          <w:rFonts w:ascii="Century Gothic" w:hAnsi="Century Gothic"/>
        </w:rPr>
        <w:t>180 A, a la Ley 1801 de 2016. El cual quedara así:</w:t>
      </w:r>
    </w:p>
    <w:p w14:paraId="235FA9F3" w14:textId="40CEF07A" w:rsidR="00086A60" w:rsidRPr="00086A60" w:rsidRDefault="00086A60" w:rsidP="00086A60">
      <w:pPr>
        <w:jc w:val="both"/>
        <w:rPr>
          <w:rFonts w:ascii="Century Gothic" w:hAnsi="Century Gothic" w:cs="Arial"/>
          <w:b/>
          <w:u w:val="single"/>
        </w:rPr>
      </w:pPr>
      <w:r w:rsidRPr="00086A60">
        <w:rPr>
          <w:rFonts w:ascii="Century Gothic" w:hAnsi="Century Gothic"/>
          <w:b/>
          <w:u w:val="single"/>
        </w:rPr>
        <w:t xml:space="preserve">ARTICULO 180 A. </w:t>
      </w:r>
      <w:r w:rsidRPr="00086A60">
        <w:rPr>
          <w:rFonts w:ascii="Century Gothic" w:hAnsi="Century Gothic"/>
          <w:b/>
          <w:u w:val="single"/>
        </w:rPr>
        <w:t xml:space="preserve">Procedimiento para objetar la </w:t>
      </w:r>
      <w:r w:rsidRPr="00086A60">
        <w:rPr>
          <w:rFonts w:ascii="Century Gothic" w:hAnsi="Century Gothic" w:cs="Arial"/>
          <w:b/>
          <w:u w:val="single"/>
        </w:rPr>
        <w:t>medida correctiva de multa general, impuesta mediante comparendo.</w:t>
      </w:r>
    </w:p>
    <w:p w14:paraId="280784EE" w14:textId="77777777" w:rsidR="00086A60" w:rsidRPr="00086A60" w:rsidRDefault="00086A60" w:rsidP="00086A60">
      <w:pPr>
        <w:jc w:val="both"/>
        <w:rPr>
          <w:rFonts w:ascii="Century Gothic" w:hAnsi="Century Gothic" w:cs="Arial"/>
          <w:u w:val="single"/>
        </w:rPr>
      </w:pPr>
      <w:r w:rsidRPr="00086A60">
        <w:rPr>
          <w:rFonts w:ascii="Century Gothic" w:hAnsi="Century Gothic" w:cs="Arial"/>
          <w:u w:val="single"/>
        </w:rPr>
        <w:t>Objetada la medida correctiva de multa general, el</w:t>
      </w:r>
      <w:r w:rsidRPr="00086A60">
        <w:rPr>
          <w:rFonts w:ascii="Century Gothic" w:hAnsi="Century Gothic" w:cs="Arial"/>
          <w:b/>
          <w:u w:val="single"/>
        </w:rPr>
        <w:t xml:space="preserve"> </w:t>
      </w:r>
      <w:r w:rsidRPr="00086A60">
        <w:rPr>
          <w:rFonts w:ascii="Century Gothic" w:hAnsi="Century Gothic" w:cs="Arial"/>
          <w:u w:val="single"/>
        </w:rPr>
        <w:t>personal uniformado de la Policía Nacional, dentro de los 5 días siguientes a la interposición del incidente de objeción,</w:t>
      </w:r>
      <w:r w:rsidRPr="00086A60">
        <w:rPr>
          <w:rFonts w:ascii="Century Gothic" w:hAnsi="Century Gothic" w:cs="Arial"/>
          <w:b/>
          <w:u w:val="single"/>
        </w:rPr>
        <w:t xml:space="preserve"> </w:t>
      </w:r>
      <w:r w:rsidRPr="00086A60">
        <w:rPr>
          <w:rFonts w:ascii="Century Gothic" w:hAnsi="Century Gothic" w:cs="Arial"/>
          <w:u w:val="single"/>
        </w:rPr>
        <w:t xml:space="preserve">mediante acto de policía motivado, decidirá si confirma o revoca la multa. Revocada la medida se procede a su archivo; confirmada la multa, se remitirá al inspector o corregidor, al primer día hábil siguiente a la expedición del acto de policía, con la correspondiente evidencia. </w:t>
      </w:r>
    </w:p>
    <w:p w14:paraId="43835409" w14:textId="77777777" w:rsidR="00086A60" w:rsidRPr="00086A60" w:rsidRDefault="00086A60" w:rsidP="00086A60">
      <w:pPr>
        <w:jc w:val="both"/>
        <w:rPr>
          <w:rFonts w:ascii="Century Gothic" w:hAnsi="Century Gothic" w:cs="Arial"/>
        </w:rPr>
      </w:pPr>
      <w:r w:rsidRPr="00086A60">
        <w:rPr>
          <w:rFonts w:ascii="Century Gothic" w:hAnsi="Century Gothic" w:cs="Arial"/>
          <w:u w:val="single"/>
        </w:rPr>
        <w:t>Mediante el proceso verbal abreviado, el inspector o corregidor, decidirá en primera instancia, si hay lugar a la imposición o no de la medida correctiva de multa, en los términos señalados en este código.</w:t>
      </w:r>
      <w:r w:rsidRPr="00086A60">
        <w:rPr>
          <w:rFonts w:ascii="Century Gothic" w:hAnsi="Century Gothic" w:cs="Arial"/>
        </w:rPr>
        <w:t xml:space="preserve"> </w:t>
      </w:r>
    </w:p>
    <w:p w14:paraId="7E798FD5" w14:textId="77777777" w:rsidR="00086A60" w:rsidRPr="00086A60" w:rsidRDefault="00086A60" w:rsidP="00086A60">
      <w:pPr>
        <w:jc w:val="both"/>
        <w:rPr>
          <w:rFonts w:ascii="Century Gothic" w:hAnsi="Century Gothic"/>
          <w:b/>
          <w:bCs/>
        </w:rPr>
      </w:pPr>
    </w:p>
    <w:p w14:paraId="203BB23E" w14:textId="42513249" w:rsidR="00086A60" w:rsidRPr="00086A60" w:rsidRDefault="00086A60" w:rsidP="00086A60">
      <w:pPr>
        <w:jc w:val="both"/>
        <w:rPr>
          <w:rFonts w:ascii="Century Gothic" w:hAnsi="Century Gothic"/>
        </w:rPr>
      </w:pPr>
      <w:r w:rsidRPr="00086A60">
        <w:rPr>
          <w:rFonts w:ascii="Century Gothic" w:hAnsi="Century Gothic"/>
          <w:b/>
          <w:bCs/>
        </w:rPr>
        <w:t>ARTÍCULO 3º.</w:t>
      </w:r>
      <w:r w:rsidRPr="00086A60">
        <w:rPr>
          <w:rFonts w:ascii="Century Gothic" w:hAnsi="Century Gothic"/>
        </w:rPr>
        <w:t xml:space="preserve"> </w:t>
      </w:r>
      <w:r w:rsidRPr="00086A60">
        <w:rPr>
          <w:rFonts w:ascii="Century Gothic" w:hAnsi="Century Gothic"/>
          <w:bCs/>
        </w:rPr>
        <w:t xml:space="preserve">Adiciónese un articulo </w:t>
      </w:r>
      <w:r w:rsidRPr="00086A60">
        <w:rPr>
          <w:rFonts w:ascii="Century Gothic" w:hAnsi="Century Gothic"/>
        </w:rPr>
        <w:t xml:space="preserve">180 B, a la Ley 1801 de 2016, el cual quedara así: </w:t>
      </w:r>
    </w:p>
    <w:p w14:paraId="2D31A740" w14:textId="21DAAB89" w:rsidR="00086A60" w:rsidRPr="00086A60" w:rsidRDefault="00086A60" w:rsidP="00086A60">
      <w:pPr>
        <w:jc w:val="both"/>
        <w:rPr>
          <w:rFonts w:ascii="Century Gothic" w:hAnsi="Century Gothic" w:cs="Arial"/>
          <w:u w:val="single"/>
        </w:rPr>
      </w:pPr>
      <w:r w:rsidRPr="00086A60">
        <w:rPr>
          <w:rFonts w:ascii="Century Gothic" w:hAnsi="Century Gothic"/>
          <w:b/>
          <w:u w:val="single"/>
        </w:rPr>
        <w:t>ARTÍCULO 180 B.</w:t>
      </w:r>
      <w:r w:rsidRPr="00086A60">
        <w:rPr>
          <w:rFonts w:ascii="Century Gothic" w:hAnsi="Century Gothic"/>
          <w:u w:val="single"/>
        </w:rPr>
        <w:t xml:space="preserve"> </w:t>
      </w:r>
      <w:r w:rsidRPr="00086A60">
        <w:rPr>
          <w:rFonts w:ascii="Century Gothic" w:hAnsi="Century Gothic"/>
          <w:b/>
          <w:u w:val="single"/>
        </w:rPr>
        <w:t xml:space="preserve">Firmeza de la </w:t>
      </w:r>
      <w:r w:rsidRPr="00086A60">
        <w:rPr>
          <w:rFonts w:ascii="Century Gothic" w:hAnsi="Century Gothic" w:cs="Arial"/>
          <w:b/>
          <w:u w:val="single"/>
        </w:rPr>
        <w:t xml:space="preserve">medida correctiva de multa general, impuesta mediante comparendo. </w:t>
      </w:r>
    </w:p>
    <w:p w14:paraId="64EA1AF7" w14:textId="77777777" w:rsidR="00086A60" w:rsidRPr="00086A60" w:rsidRDefault="00086A60" w:rsidP="00086A60">
      <w:pPr>
        <w:jc w:val="both"/>
        <w:rPr>
          <w:rFonts w:ascii="Century Gothic" w:hAnsi="Century Gothic" w:cs="Arial"/>
          <w:u w:val="single"/>
        </w:rPr>
      </w:pPr>
      <w:r w:rsidRPr="00086A60">
        <w:rPr>
          <w:rFonts w:ascii="Century Gothic" w:hAnsi="Century Gothic" w:cs="Arial"/>
          <w:u w:val="single"/>
        </w:rPr>
        <w:t xml:space="preserve">La medida correctiva de multa general cobrará firmeza, al sexto (6°) día de la expedición del comparendo, cuando: </w:t>
      </w:r>
    </w:p>
    <w:p w14:paraId="041951F9" w14:textId="77777777" w:rsidR="00086A60" w:rsidRPr="00086A60" w:rsidRDefault="00086A60" w:rsidP="00086A60">
      <w:pPr>
        <w:pStyle w:val="Prrafodelista"/>
        <w:numPr>
          <w:ilvl w:val="0"/>
          <w:numId w:val="9"/>
        </w:numPr>
        <w:jc w:val="both"/>
        <w:rPr>
          <w:rFonts w:ascii="Century Gothic" w:hAnsi="Century Gothic" w:cs="Arial"/>
          <w:u w:val="single"/>
        </w:rPr>
      </w:pPr>
      <w:r w:rsidRPr="00086A60">
        <w:rPr>
          <w:rFonts w:ascii="Century Gothic" w:hAnsi="Century Gothic" w:cs="Arial"/>
          <w:u w:val="single"/>
        </w:rPr>
        <w:t xml:space="preserve"> No se solicita la conmutación, en el caso de la muta general tipos 1 o 2, por participación en programa comunitario o de actividad pedagógica de convivencia, en el término establecido en este código.  </w:t>
      </w:r>
    </w:p>
    <w:p w14:paraId="5A6A6192" w14:textId="77777777" w:rsidR="00086A60" w:rsidRPr="00086A60" w:rsidRDefault="00086A60" w:rsidP="00086A60">
      <w:pPr>
        <w:pStyle w:val="Prrafodelista"/>
        <w:jc w:val="both"/>
        <w:rPr>
          <w:rFonts w:ascii="Century Gothic" w:hAnsi="Century Gothic" w:cs="Arial"/>
          <w:u w:val="single"/>
        </w:rPr>
      </w:pPr>
    </w:p>
    <w:p w14:paraId="3E2E0D02" w14:textId="77777777" w:rsidR="00086A60" w:rsidRPr="00086A60" w:rsidRDefault="00086A60" w:rsidP="00086A60">
      <w:pPr>
        <w:pStyle w:val="Prrafodelista"/>
        <w:numPr>
          <w:ilvl w:val="0"/>
          <w:numId w:val="9"/>
        </w:numPr>
        <w:jc w:val="both"/>
        <w:rPr>
          <w:rFonts w:ascii="Century Gothic" w:hAnsi="Century Gothic" w:cs="Arial"/>
          <w:u w:val="single"/>
        </w:rPr>
      </w:pPr>
      <w:r w:rsidRPr="00086A60">
        <w:rPr>
          <w:rFonts w:ascii="Century Gothic" w:hAnsi="Century Gothic" w:cs="Arial"/>
          <w:u w:val="single"/>
        </w:rPr>
        <w:t xml:space="preserve">No se objeta en los términos establecidos en este código. </w:t>
      </w:r>
    </w:p>
    <w:p w14:paraId="07B5DFF2" w14:textId="77777777" w:rsidR="00086A60" w:rsidRPr="00086A60" w:rsidRDefault="00086A60" w:rsidP="00086A60">
      <w:pPr>
        <w:jc w:val="both"/>
        <w:rPr>
          <w:rFonts w:ascii="Century Gothic" w:hAnsi="Century Gothic" w:cs="Arial"/>
          <w:u w:val="single"/>
        </w:rPr>
      </w:pPr>
      <w:r w:rsidRPr="00086A60">
        <w:rPr>
          <w:rFonts w:ascii="Century Gothic" w:hAnsi="Century Gothic" w:cs="Arial"/>
          <w:b/>
          <w:u w:val="single"/>
        </w:rPr>
        <w:t>PARÁGRAFO PRIMERO</w:t>
      </w:r>
      <w:r w:rsidRPr="00086A60">
        <w:rPr>
          <w:rFonts w:ascii="Century Gothic" w:hAnsi="Century Gothic" w:cs="Arial"/>
          <w:u w:val="single"/>
        </w:rPr>
        <w:t xml:space="preserve">. Cuando la medida correctiva de multa general se pague dentro de los 5 días siguientes a la expedición del comparendo, la multa cobrará firmeza de forma inmediata y no será susceptible de objeción ni de conmutación. </w:t>
      </w:r>
    </w:p>
    <w:p w14:paraId="675CEEB3" w14:textId="77777777" w:rsidR="00086A60" w:rsidRPr="00086A60" w:rsidRDefault="00086A60" w:rsidP="00086A60">
      <w:pPr>
        <w:jc w:val="both"/>
        <w:rPr>
          <w:rFonts w:ascii="Century Gothic" w:hAnsi="Century Gothic" w:cs="Arial"/>
          <w:b/>
          <w:u w:val="single"/>
        </w:rPr>
      </w:pPr>
      <w:r w:rsidRPr="00086A60">
        <w:rPr>
          <w:rFonts w:ascii="Century Gothic" w:hAnsi="Century Gothic" w:cs="Arial"/>
          <w:b/>
          <w:u w:val="single"/>
        </w:rPr>
        <w:t>PARÁGRAFO SEGUNDO</w:t>
      </w:r>
      <w:r w:rsidRPr="00086A60">
        <w:rPr>
          <w:rFonts w:ascii="Century Gothic" w:hAnsi="Century Gothic" w:cs="Arial"/>
          <w:u w:val="single"/>
        </w:rPr>
        <w:t xml:space="preserve">. En firme la medida correctiva de multa general, el personal uniformado de la Policía Nacional, liquidará y comunicará la multa impuesta al infractor. Una vez liquidada y comunicada la multa, se remitirá para el cobro coactivo en los términos de este código. </w:t>
      </w:r>
      <w:r w:rsidRPr="00086A60">
        <w:rPr>
          <w:rFonts w:ascii="Century Gothic" w:hAnsi="Century Gothic" w:cs="Arial"/>
          <w:b/>
          <w:u w:val="single"/>
        </w:rPr>
        <w:t xml:space="preserve"> </w:t>
      </w:r>
    </w:p>
    <w:p w14:paraId="019FF49F" w14:textId="77777777" w:rsidR="00086A60" w:rsidRPr="00086A60" w:rsidRDefault="00086A60" w:rsidP="00086A60">
      <w:pPr>
        <w:rPr>
          <w:rFonts w:ascii="Century Gothic" w:hAnsi="Century Gothic"/>
          <w:b/>
          <w:bCs/>
        </w:rPr>
      </w:pPr>
    </w:p>
    <w:p w14:paraId="733E342C" w14:textId="5326DF2C" w:rsidR="00086A60" w:rsidRPr="00086A60" w:rsidRDefault="00086A60" w:rsidP="00086A60">
      <w:pPr>
        <w:rPr>
          <w:rFonts w:ascii="Century Gothic" w:hAnsi="Century Gothic"/>
        </w:rPr>
      </w:pPr>
      <w:r w:rsidRPr="00086A60">
        <w:rPr>
          <w:rFonts w:ascii="Century Gothic" w:hAnsi="Century Gothic"/>
          <w:b/>
          <w:bCs/>
        </w:rPr>
        <w:t>ARTÍCULO 4º.</w:t>
      </w:r>
      <w:r w:rsidRPr="00086A60">
        <w:rPr>
          <w:rFonts w:ascii="Century Gothic" w:hAnsi="Century Gothic"/>
        </w:rPr>
        <w:t xml:space="preserve"> </w:t>
      </w:r>
      <w:r w:rsidRPr="00086A60">
        <w:rPr>
          <w:rFonts w:ascii="Century Gothic" w:hAnsi="Century Gothic"/>
        </w:rPr>
        <w:t xml:space="preserve">Modifíquese el artículo 218 de la Ley 1801 de 2016, el cual quedara así: </w:t>
      </w:r>
    </w:p>
    <w:p w14:paraId="34647272" w14:textId="77777777" w:rsidR="00086A60" w:rsidRPr="00086A60" w:rsidRDefault="00086A60" w:rsidP="00086A60">
      <w:pPr>
        <w:jc w:val="both"/>
        <w:rPr>
          <w:rFonts w:ascii="Century Gothic" w:hAnsi="Century Gothic" w:cs="Arial"/>
          <w:b/>
          <w:bCs/>
          <w:u w:val="single"/>
        </w:rPr>
      </w:pPr>
      <w:bookmarkStart w:id="7" w:name="218"/>
      <w:r w:rsidRPr="00086A60">
        <w:rPr>
          <w:rFonts w:ascii="Century Gothic" w:hAnsi="Century Gothic" w:cs="Arial"/>
          <w:b/>
          <w:bCs/>
        </w:rPr>
        <w:t>ARTÍCULO 218. DEFINICIÓN DE ORDEN DE COMPARENDO.</w:t>
      </w:r>
      <w:bookmarkEnd w:id="7"/>
      <w:r w:rsidRPr="00086A60">
        <w:rPr>
          <w:rFonts w:ascii="Century Gothic" w:hAnsi="Century Gothic" w:cs="Arial"/>
        </w:rPr>
        <w:t xml:space="preserve"> Entiéndase por esta, la acción del personal uniformado de la Policía Nacional, que consiste en entregar un documento oficial que contiene orden escrita o virtual para presentarse ante autoridad de Policía o cumplir medida correctiva </w:t>
      </w:r>
      <w:r w:rsidRPr="00086A60">
        <w:rPr>
          <w:rFonts w:ascii="Century Gothic" w:hAnsi="Century Gothic" w:cs="Arial"/>
          <w:u w:val="single"/>
        </w:rPr>
        <w:t>de multa general y</w:t>
      </w:r>
      <w:r w:rsidRPr="00086A60">
        <w:rPr>
          <w:rFonts w:ascii="Century Gothic" w:hAnsi="Century Gothic" w:cs="Arial"/>
          <w:b/>
          <w:bCs/>
          <w:u w:val="single"/>
        </w:rPr>
        <w:t xml:space="preserve"> </w:t>
      </w:r>
      <w:r w:rsidRPr="00086A60">
        <w:rPr>
          <w:rFonts w:ascii="Century Gothic" w:hAnsi="Century Gothic" w:cs="Arial"/>
          <w:bCs/>
          <w:u w:val="single"/>
        </w:rPr>
        <w:t>solo podrá imponerse en el momento en el que se sucede el motivo.</w:t>
      </w:r>
    </w:p>
    <w:p w14:paraId="0C876000" w14:textId="77777777" w:rsidR="00086A60" w:rsidRPr="00086A60" w:rsidRDefault="00086A60" w:rsidP="00086A60">
      <w:pPr>
        <w:jc w:val="both"/>
        <w:rPr>
          <w:rFonts w:ascii="Century Gothic" w:hAnsi="Century Gothic" w:cs="Arial"/>
          <w:bCs/>
          <w:u w:val="single"/>
        </w:rPr>
      </w:pPr>
      <w:r w:rsidRPr="00086A60">
        <w:rPr>
          <w:rFonts w:ascii="Century Gothic" w:hAnsi="Century Gothic" w:cs="Arial"/>
          <w:bCs/>
          <w:u w:val="single"/>
        </w:rPr>
        <w:t xml:space="preserve">Cuando el personal uniformado de la Policía Nacional, tenga conocimiento de un comportamiento contrario a la convivencia que no sea de su competencia, podrá expedir orden de comparendo para presentarse ante la autoridad competente dentro de los 5 días siguientes, para la celebración de la correspondiente audiencia. </w:t>
      </w:r>
    </w:p>
    <w:p w14:paraId="407A98A5" w14:textId="77777777" w:rsidR="00086A60" w:rsidRPr="00086A60" w:rsidRDefault="00086A60" w:rsidP="00086A60">
      <w:pPr>
        <w:jc w:val="both"/>
        <w:rPr>
          <w:rFonts w:ascii="Century Gothic" w:hAnsi="Century Gothic" w:cs="Arial"/>
          <w:u w:val="single"/>
        </w:rPr>
      </w:pPr>
      <w:r w:rsidRPr="00086A60">
        <w:rPr>
          <w:rFonts w:ascii="Century Gothic" w:hAnsi="Century Gothic" w:cs="Arial"/>
          <w:u w:val="single"/>
        </w:rPr>
        <w:t xml:space="preserve">En todo caso, en el comparendo señalará; </w:t>
      </w:r>
    </w:p>
    <w:p w14:paraId="3A3ED812"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u w:val="single"/>
        </w:rPr>
        <w:t xml:space="preserve">fecha, hora y lugar de la expedición del comparendo. </w:t>
      </w:r>
    </w:p>
    <w:p w14:paraId="17F3F41F"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u w:val="single"/>
        </w:rPr>
        <w:t xml:space="preserve">Identificación del </w:t>
      </w:r>
      <w:r w:rsidRPr="00086A60">
        <w:rPr>
          <w:rFonts w:ascii="Century Gothic" w:hAnsi="Century Gothic" w:cs="Arial"/>
          <w:bCs/>
          <w:u w:val="single"/>
        </w:rPr>
        <w:t xml:space="preserve">uniformado de la Policía Nacional que lo expide. </w:t>
      </w:r>
    </w:p>
    <w:p w14:paraId="04E90AFA"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u w:val="single"/>
        </w:rPr>
        <w:t xml:space="preserve">Relato sucinto de los hechos. </w:t>
      </w:r>
    </w:p>
    <w:p w14:paraId="7B56D7C2"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bCs/>
          <w:u w:val="single"/>
        </w:rPr>
        <w:t>Prueba o evidencia de la ocurrencia del hecho.</w:t>
      </w:r>
    </w:p>
    <w:p w14:paraId="4DA01D7E"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u w:val="single"/>
        </w:rPr>
        <w:t xml:space="preserve">El comportamiento contrario a la convivencia y su correspondiente multa general. </w:t>
      </w:r>
    </w:p>
    <w:p w14:paraId="129859E5"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bCs/>
          <w:u w:val="single"/>
        </w:rPr>
        <w:t xml:space="preserve">Manifestación expresa por parte del infractor, de objeción o no objeción, de la medida correctiva de multa general. </w:t>
      </w:r>
    </w:p>
    <w:p w14:paraId="79BD67FA"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u w:val="single"/>
        </w:rPr>
        <w:t xml:space="preserve">Cuando se trate de multa general tipos 1 o 2, si se conmuta o no. </w:t>
      </w:r>
    </w:p>
    <w:p w14:paraId="724ACE17"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bCs/>
          <w:u w:val="single"/>
        </w:rPr>
        <w:t>Nombre, identificación y huella dactilar del infractor.</w:t>
      </w:r>
    </w:p>
    <w:p w14:paraId="3AD13454" w14:textId="77777777" w:rsidR="00086A60" w:rsidRPr="00086A60" w:rsidRDefault="00086A60" w:rsidP="00086A60">
      <w:pPr>
        <w:pStyle w:val="Prrafodelista"/>
        <w:numPr>
          <w:ilvl w:val="0"/>
          <w:numId w:val="16"/>
        </w:numPr>
        <w:jc w:val="both"/>
        <w:rPr>
          <w:rFonts w:ascii="Century Gothic" w:hAnsi="Century Gothic" w:cs="Arial"/>
          <w:u w:val="single"/>
        </w:rPr>
      </w:pPr>
      <w:r w:rsidRPr="00086A60">
        <w:rPr>
          <w:rFonts w:ascii="Century Gothic" w:hAnsi="Century Gothic" w:cs="Arial"/>
          <w:bCs/>
          <w:u w:val="single"/>
        </w:rPr>
        <w:t xml:space="preserve">Dirección física, electrónica o número de teléfono celular y/o fijo del infractor.  </w:t>
      </w:r>
    </w:p>
    <w:p w14:paraId="06D14A9E" w14:textId="77777777" w:rsidR="00086A60" w:rsidRPr="00086A60" w:rsidRDefault="00086A60" w:rsidP="00086A60">
      <w:pPr>
        <w:shd w:val="clear" w:color="auto" w:fill="FFFFFF"/>
        <w:spacing w:before="150"/>
        <w:jc w:val="both"/>
        <w:rPr>
          <w:rFonts w:ascii="Century Gothic" w:eastAsia="Times New Roman" w:hAnsi="Century Gothic"/>
          <w:bCs/>
          <w:u w:val="single"/>
          <w:lang w:eastAsia="es-CO"/>
        </w:rPr>
      </w:pPr>
      <w:r w:rsidRPr="00086A60">
        <w:rPr>
          <w:rFonts w:ascii="Century Gothic" w:eastAsia="Times New Roman" w:hAnsi="Century Gothic"/>
          <w:b/>
          <w:lang w:eastAsia="es-CO"/>
        </w:rPr>
        <w:t xml:space="preserve">PARÁGRAFO PRIMERO. </w:t>
      </w:r>
      <w:r w:rsidRPr="00086A60">
        <w:rPr>
          <w:rFonts w:ascii="Century Gothic" w:eastAsia="Times New Roman" w:hAnsi="Century Gothic"/>
          <w:bCs/>
          <w:u w:val="single"/>
          <w:lang w:eastAsia="es-CO"/>
        </w:rPr>
        <w:t xml:space="preserve">En caso de no ser posible la toma de la huella dactilar o la firma del infractor, el documento oficial de comparendo se firmará a ruego o por dos testigos. </w:t>
      </w:r>
    </w:p>
    <w:p w14:paraId="2628498B" w14:textId="77777777" w:rsidR="00086A60" w:rsidRPr="00086A60" w:rsidRDefault="00086A60" w:rsidP="00086A60">
      <w:pPr>
        <w:shd w:val="clear" w:color="auto" w:fill="FFFFFF"/>
        <w:spacing w:before="150"/>
        <w:jc w:val="both"/>
        <w:rPr>
          <w:rFonts w:ascii="Century Gothic" w:eastAsia="Times New Roman" w:hAnsi="Century Gothic"/>
          <w:bCs/>
          <w:u w:val="single"/>
          <w:lang w:eastAsia="es-CO"/>
        </w:rPr>
      </w:pPr>
      <w:r w:rsidRPr="00086A60">
        <w:rPr>
          <w:rFonts w:ascii="Century Gothic" w:eastAsia="Times New Roman" w:hAnsi="Century Gothic"/>
          <w:bCs/>
          <w:u w:val="single"/>
          <w:lang w:eastAsia="es-CO"/>
        </w:rPr>
        <w:t xml:space="preserve">Si se cuenta con instrumentos biométricos para la identificación de personas, estos podrán utilizarse para tal efecto, sin perjuicio de la identificación material o física.  </w:t>
      </w:r>
    </w:p>
    <w:p w14:paraId="729A3189" w14:textId="77777777" w:rsidR="00086A60" w:rsidRPr="00086A60" w:rsidRDefault="00086A60" w:rsidP="00086A60">
      <w:pPr>
        <w:shd w:val="clear" w:color="auto" w:fill="FFFFFF"/>
        <w:spacing w:before="150"/>
        <w:jc w:val="both"/>
        <w:rPr>
          <w:rFonts w:ascii="Century Gothic" w:eastAsia="Times New Roman" w:hAnsi="Century Gothic"/>
          <w:b/>
          <w:u w:val="single"/>
          <w:lang w:eastAsia="es-CO"/>
        </w:rPr>
      </w:pPr>
      <w:r w:rsidRPr="00086A60">
        <w:rPr>
          <w:rFonts w:ascii="Century Gothic" w:eastAsia="Times New Roman" w:hAnsi="Century Gothic"/>
          <w:b/>
          <w:u w:val="single"/>
          <w:lang w:eastAsia="es-CO"/>
        </w:rPr>
        <w:t xml:space="preserve">PARÁGRAFO SEGUNDO. </w:t>
      </w:r>
      <w:r w:rsidRPr="00086A60">
        <w:rPr>
          <w:rFonts w:ascii="Century Gothic" w:eastAsia="Times New Roman" w:hAnsi="Century Gothic"/>
          <w:bCs/>
          <w:u w:val="single"/>
          <w:lang w:eastAsia="es-CO"/>
        </w:rPr>
        <w:t>Sin perjuicio de solicitar conmutación o la objeción dentro de los términos establecidos en la Ley 1801 de 2016, estas se podrán solicitar al momento de expedición y entrega del comparendo.</w:t>
      </w:r>
      <w:r w:rsidRPr="00086A60">
        <w:rPr>
          <w:rFonts w:ascii="Century Gothic" w:eastAsia="Times New Roman" w:hAnsi="Century Gothic"/>
          <w:b/>
          <w:u w:val="single"/>
          <w:lang w:eastAsia="es-CO"/>
        </w:rPr>
        <w:t xml:space="preserve">   </w:t>
      </w:r>
    </w:p>
    <w:p w14:paraId="09EEFFA9" w14:textId="77777777" w:rsidR="00086A60" w:rsidRPr="00086A60" w:rsidRDefault="00086A60" w:rsidP="00086A60">
      <w:pPr>
        <w:shd w:val="clear" w:color="auto" w:fill="FFFFFF"/>
        <w:spacing w:before="150"/>
        <w:jc w:val="both"/>
        <w:rPr>
          <w:rFonts w:ascii="Century Gothic" w:eastAsia="Times New Roman" w:hAnsi="Century Gothic"/>
          <w:b/>
          <w:lang w:eastAsia="es-CO"/>
        </w:rPr>
      </w:pPr>
    </w:p>
    <w:p w14:paraId="206B3F05" w14:textId="0865F815" w:rsidR="00086A60" w:rsidRPr="00086A60" w:rsidRDefault="00086A60" w:rsidP="00086A60">
      <w:pPr>
        <w:shd w:val="clear" w:color="auto" w:fill="FFFFFF"/>
        <w:spacing w:before="150"/>
        <w:jc w:val="both"/>
        <w:rPr>
          <w:rFonts w:ascii="Century Gothic" w:eastAsia="Times New Roman" w:hAnsi="Century Gothic"/>
          <w:u w:val="single"/>
          <w:lang w:eastAsia="es-CO"/>
        </w:rPr>
      </w:pPr>
      <w:r w:rsidRPr="00086A60">
        <w:rPr>
          <w:rFonts w:ascii="Century Gothic" w:eastAsia="Times New Roman" w:hAnsi="Century Gothic"/>
          <w:b/>
          <w:lang w:eastAsia="es-CO"/>
        </w:rPr>
        <w:t>ARTÍCULO 5°. VIGENCIA Y DEROGATORIAS.</w:t>
      </w:r>
      <w:r w:rsidRPr="00086A60">
        <w:rPr>
          <w:rFonts w:ascii="Century Gothic" w:eastAsia="Times New Roman" w:hAnsi="Century Gothic"/>
          <w:lang w:eastAsia="es-CO"/>
        </w:rPr>
        <w:t xml:space="preserve"> </w:t>
      </w:r>
      <w:r w:rsidRPr="00086A60">
        <w:rPr>
          <w:rFonts w:ascii="Century Gothic" w:eastAsia="Times New Roman" w:hAnsi="Century Gothic"/>
          <w:lang w:eastAsia="es-CO"/>
        </w:rPr>
        <w:t>La presente ley rige a partir de su promulgación y deroga las disposiciones que le sean contrarias.</w:t>
      </w:r>
    </w:p>
    <w:p w14:paraId="1AC638F7" w14:textId="77777777" w:rsidR="00086A60" w:rsidRPr="00086A60" w:rsidRDefault="00086A60" w:rsidP="00086A60">
      <w:pPr>
        <w:shd w:val="clear" w:color="auto" w:fill="FFFFFF"/>
        <w:spacing w:before="100" w:beforeAutospacing="1" w:after="100" w:afterAutospacing="1"/>
        <w:jc w:val="both"/>
        <w:rPr>
          <w:rFonts w:ascii="Century Gothic" w:eastAsia="Times New Roman" w:hAnsi="Century Gothic" w:cs="Calibri"/>
          <w:lang w:eastAsia="es-CO"/>
        </w:rPr>
      </w:pPr>
    </w:p>
    <w:p w14:paraId="2F3C0A69" w14:textId="30D29C62" w:rsidR="00086A60" w:rsidRPr="00086A60" w:rsidRDefault="00086A60" w:rsidP="00086A60">
      <w:pPr>
        <w:shd w:val="clear" w:color="auto" w:fill="FFFFFF"/>
        <w:spacing w:before="100" w:beforeAutospacing="1" w:after="100" w:afterAutospacing="1"/>
        <w:jc w:val="both"/>
        <w:rPr>
          <w:rFonts w:ascii="Century Gothic" w:eastAsia="Times New Roman" w:hAnsi="Century Gothic" w:cs="Calibri"/>
          <w:lang w:eastAsia="es-CO"/>
        </w:rPr>
      </w:pPr>
      <w:r w:rsidRPr="00086A60">
        <w:rPr>
          <w:rFonts w:ascii="Century Gothic" w:eastAsia="Times New Roman" w:hAnsi="Century Gothic" w:cs="Calibri"/>
          <w:lang w:eastAsia="es-CO"/>
        </w:rPr>
        <w:t xml:space="preserve">Cordialmente, </w:t>
      </w:r>
    </w:p>
    <w:p w14:paraId="04256076" w14:textId="50140DEE" w:rsidR="00086A60" w:rsidRPr="00086A60" w:rsidRDefault="00086A60" w:rsidP="00086A60">
      <w:pPr>
        <w:shd w:val="clear" w:color="auto" w:fill="FFFFFF"/>
        <w:spacing w:before="100" w:beforeAutospacing="1" w:after="100" w:afterAutospacing="1"/>
        <w:jc w:val="both"/>
        <w:rPr>
          <w:rStyle w:val="Ninguno"/>
          <w:rFonts w:ascii="Century Gothic" w:eastAsia="Arial Unicode MS" w:hAnsi="Century Gothic" w:cs="Arial Unicode MS"/>
          <w:b/>
          <w:bCs/>
          <w:u w:color="000000"/>
          <w:bdr w:val="nil"/>
          <w:lang w:eastAsia="es-CO"/>
        </w:rPr>
      </w:pPr>
    </w:p>
    <w:p w14:paraId="2C6752E1" w14:textId="77777777" w:rsidR="00086A60" w:rsidRPr="00086A60" w:rsidRDefault="00086A60" w:rsidP="00086A60">
      <w:pPr>
        <w:shd w:val="clear" w:color="auto" w:fill="FFFFFF"/>
        <w:spacing w:before="100" w:beforeAutospacing="1" w:after="100" w:afterAutospacing="1"/>
        <w:jc w:val="both"/>
        <w:rPr>
          <w:rStyle w:val="Ninguno"/>
          <w:rFonts w:ascii="Century Gothic" w:eastAsia="Arial Unicode MS" w:hAnsi="Century Gothic" w:cs="Arial Unicode MS"/>
          <w:b/>
          <w:bCs/>
          <w:u w:color="000000"/>
          <w:bdr w:val="nil"/>
          <w:lang w:eastAsia="es-CO"/>
        </w:rPr>
      </w:pPr>
    </w:p>
    <w:p w14:paraId="1E1874D6" w14:textId="41841BA5" w:rsidR="00086A60" w:rsidRPr="00086A60" w:rsidRDefault="00086A60" w:rsidP="00086A60">
      <w:pPr>
        <w:shd w:val="clear" w:color="auto" w:fill="FFFFFF"/>
        <w:spacing w:before="100" w:beforeAutospacing="1" w:after="100" w:afterAutospacing="1"/>
        <w:contextualSpacing/>
        <w:jc w:val="both"/>
        <w:rPr>
          <w:rStyle w:val="Ninguno"/>
          <w:rFonts w:ascii="Century Gothic" w:eastAsia="Times New Roman" w:hAnsi="Century Gothic" w:cs="Calibri"/>
          <w:lang w:val="es-CO" w:eastAsia="es-CO"/>
        </w:rPr>
      </w:pPr>
      <w:r w:rsidRPr="00086A60">
        <w:rPr>
          <w:rStyle w:val="Ninguno"/>
          <w:rFonts w:ascii="Century Gothic" w:eastAsia="Arial Unicode MS" w:hAnsi="Century Gothic" w:cs="Arial Unicode MS"/>
          <w:b/>
          <w:bCs/>
          <w:u w:color="000000"/>
          <w:bdr w:val="nil"/>
          <w:lang w:eastAsia="es-CO"/>
        </w:rPr>
        <w:t>BUENAVENTURA LEÓN LEÓN</w:t>
      </w:r>
      <w:r w:rsidRPr="00086A60">
        <w:rPr>
          <w:rStyle w:val="Ninguno"/>
          <w:rFonts w:ascii="Century Gothic" w:eastAsia="Arial Unicode MS" w:hAnsi="Century Gothic" w:cs="Arial Unicode MS"/>
          <w:b/>
          <w:bCs/>
          <w:u w:color="000000"/>
          <w:bdr w:val="nil"/>
          <w:lang w:eastAsia="es-CO"/>
        </w:rPr>
        <w:tab/>
      </w:r>
      <w:r w:rsidRPr="00086A60">
        <w:rPr>
          <w:rStyle w:val="Ninguno"/>
          <w:rFonts w:ascii="Century Gothic" w:eastAsia="Arial Unicode MS" w:hAnsi="Century Gothic" w:cs="Arial Unicode MS"/>
          <w:b/>
          <w:bCs/>
          <w:u w:color="000000"/>
          <w:bdr w:val="nil"/>
          <w:lang w:eastAsia="es-CO"/>
        </w:rPr>
        <w:tab/>
        <w:t xml:space="preserve">            </w:t>
      </w:r>
    </w:p>
    <w:p w14:paraId="6151242D" w14:textId="2B46FE46" w:rsidR="00086A60" w:rsidRPr="00086A60" w:rsidRDefault="00086A60" w:rsidP="00086A60">
      <w:pPr>
        <w:widowControl w:val="0"/>
        <w:pBdr>
          <w:top w:val="nil"/>
          <w:left w:val="nil"/>
          <w:bottom w:val="nil"/>
          <w:right w:val="nil"/>
          <w:between w:val="nil"/>
        </w:pBdr>
        <w:spacing w:after="0"/>
        <w:ind w:hanging="2"/>
        <w:contextualSpacing/>
        <w:rPr>
          <w:rStyle w:val="Ninguno"/>
          <w:rFonts w:ascii="Century Gothic" w:eastAsia="Arial Unicode MS" w:hAnsi="Century Gothic" w:cs="Arial Unicode MS"/>
          <w:b/>
          <w:bCs/>
          <w:u w:color="000000"/>
          <w:bdr w:val="nil"/>
          <w:lang w:eastAsia="es-CO"/>
        </w:rPr>
      </w:pPr>
      <w:r w:rsidRPr="00086A60">
        <w:rPr>
          <w:rStyle w:val="Ninguno"/>
          <w:rFonts w:ascii="Century Gothic" w:eastAsia="Arial Unicode MS" w:hAnsi="Century Gothic" w:cs="Arial Unicode MS"/>
          <w:u w:color="000000"/>
          <w:bdr w:val="nil"/>
          <w:lang w:eastAsia="es-CO"/>
        </w:rPr>
        <w:t>Representante a la Cámara</w:t>
      </w:r>
    </w:p>
    <w:p w14:paraId="49AB2B44" w14:textId="77777777" w:rsidR="004A2F91" w:rsidRPr="00086A60" w:rsidRDefault="004A2F91" w:rsidP="00086A60">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6A7A725" w14:textId="77777777" w:rsidR="004A2F91" w:rsidRPr="00086A60" w:rsidRDefault="004A2F91" w:rsidP="00086A60">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8C40F4F" w14:textId="77777777" w:rsidR="004A2F91" w:rsidRPr="00086A60" w:rsidRDefault="004A2F91" w:rsidP="00086A60">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48C0D83" w14:textId="77777777" w:rsidR="004A2F91" w:rsidRPr="00086A60" w:rsidRDefault="004A2F91" w:rsidP="00086A60">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BEF1CD4" w14:textId="77777777" w:rsidR="004A2F91" w:rsidRPr="00086A60" w:rsidRDefault="004A2F91" w:rsidP="00086A60">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086A60">
        <w:rPr>
          <w:rStyle w:val="Ninguno"/>
          <w:rFonts w:ascii="Century Gothic" w:eastAsia="Arial Unicode MS" w:hAnsi="Century Gothic" w:cs="Arial Unicode MS"/>
          <w:u w:color="000000"/>
          <w:bdr w:val="nil"/>
          <w:lang w:eastAsia="es-CO"/>
        </w:rPr>
        <w:t xml:space="preserve">    </w:t>
      </w:r>
    </w:p>
    <w:p w14:paraId="7F4F2290" w14:textId="24999AD7" w:rsidR="00100797" w:rsidRPr="00086A60" w:rsidRDefault="00100797" w:rsidP="00086A60">
      <w:pPr>
        <w:widowControl w:val="0"/>
        <w:pBdr>
          <w:top w:val="nil"/>
          <w:left w:val="nil"/>
          <w:bottom w:val="nil"/>
          <w:right w:val="nil"/>
          <w:between w:val="nil"/>
        </w:pBdr>
        <w:spacing w:after="0"/>
        <w:ind w:hanging="2"/>
        <w:rPr>
          <w:rFonts w:ascii="Century Gothic" w:hAnsi="Century Gothic"/>
        </w:rPr>
      </w:pPr>
      <w:r w:rsidRPr="00086A60">
        <w:rPr>
          <w:rFonts w:ascii="Century Gothic" w:eastAsia="Century Gothic" w:hAnsi="Century Gothic" w:cs="Century Gothic"/>
          <w:b/>
        </w:rPr>
        <w:tab/>
        <w:t xml:space="preserve">              </w:t>
      </w:r>
    </w:p>
    <w:p w14:paraId="19EDF7E2" w14:textId="77777777" w:rsidR="00100797" w:rsidRPr="00086A60"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F62E0E8" w14:textId="5F5AD26F" w:rsidR="004A2F91" w:rsidRPr="00086A60"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A47E855" w14:textId="73A8CFF4" w:rsidR="004A2F91" w:rsidRPr="00086A60"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E3EC3FF" w14:textId="77777777" w:rsidR="004A2F91" w:rsidRPr="00086A60" w:rsidRDefault="004A2F91"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D392D87" w14:textId="739E9B76" w:rsidR="00100797" w:rsidRPr="00086A60"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6BEF874" w14:textId="77777777" w:rsidR="00483B8D" w:rsidRPr="00086A60" w:rsidRDefault="00483B8D"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sectPr w:rsidR="00483B8D" w:rsidRPr="00086A60">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55F8" w14:textId="77777777" w:rsidR="00F84A2F" w:rsidRDefault="00F84A2F" w:rsidP="00100797">
      <w:pPr>
        <w:spacing w:after="0" w:line="240" w:lineRule="auto"/>
      </w:pPr>
      <w:r>
        <w:separator/>
      </w:r>
    </w:p>
  </w:endnote>
  <w:endnote w:type="continuationSeparator" w:id="0">
    <w:p w14:paraId="03344E5B" w14:textId="77777777" w:rsidR="00F84A2F" w:rsidRDefault="00F84A2F"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289" w14:textId="6EE24C9D" w:rsidR="008B29F8" w:rsidRPr="004E3B30" w:rsidRDefault="008B29F8"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8B29F8" w:rsidRPr="004E3B30" w:rsidRDefault="008B29F8"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8B29F8" w:rsidRDefault="008B29F8" w:rsidP="00100797">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8B29F8" w:rsidRPr="005145DB" w:rsidRDefault="008B29F8" w:rsidP="00100797">
    <w:pPr>
      <w:pStyle w:val="Piedepgina"/>
      <w:jc w:val="center"/>
      <w:rPr>
        <w:color w:val="000000"/>
        <w:spacing w:val="60"/>
        <w:sz w:val="16"/>
        <w:szCs w:val="16"/>
      </w:rPr>
    </w:pPr>
    <w:r w:rsidRPr="005145DB">
      <w:rPr>
        <w:color w:val="000000"/>
        <w:spacing w:val="60"/>
        <w:sz w:val="16"/>
        <w:szCs w:val="16"/>
      </w:rPr>
      <w:t>buenaventura.leon@camara.gov.co</w:t>
    </w:r>
  </w:p>
  <w:p w14:paraId="21E2042F" w14:textId="77777777" w:rsidR="008B29F8" w:rsidRDefault="008B29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EA4E" w14:textId="77777777" w:rsidR="00F84A2F" w:rsidRDefault="00F84A2F" w:rsidP="00100797">
      <w:pPr>
        <w:spacing w:after="0" w:line="240" w:lineRule="auto"/>
      </w:pPr>
      <w:r>
        <w:separator/>
      </w:r>
    </w:p>
  </w:footnote>
  <w:footnote w:type="continuationSeparator" w:id="0">
    <w:p w14:paraId="6E5EC72D" w14:textId="77777777" w:rsidR="00F84A2F" w:rsidRDefault="00F84A2F" w:rsidP="00100797">
      <w:pPr>
        <w:spacing w:after="0" w:line="240" w:lineRule="auto"/>
      </w:pPr>
      <w:r>
        <w:continuationSeparator/>
      </w:r>
    </w:p>
  </w:footnote>
  <w:footnote w:id="1">
    <w:p w14:paraId="60E757B7" w14:textId="77777777" w:rsidR="00F76C31" w:rsidRPr="00E8553D" w:rsidRDefault="00F76C31" w:rsidP="00F76C31">
      <w:pPr>
        <w:pStyle w:val="Textonotapie"/>
        <w:rPr>
          <w:sz w:val="16"/>
          <w:szCs w:val="16"/>
        </w:rPr>
      </w:pPr>
      <w:r>
        <w:rPr>
          <w:sz w:val="16"/>
          <w:szCs w:val="16"/>
          <w:lang w:val="es-MX"/>
        </w:rPr>
        <w:t>1</w:t>
      </w:r>
      <w:r w:rsidRPr="00E8553D">
        <w:rPr>
          <w:sz w:val="16"/>
          <w:szCs w:val="16"/>
          <w:lang w:val="es-MX"/>
        </w:rPr>
        <w:t>Consejo de Estado, Sala de lo Contencioso Administrativo, sentencia de 10 de noviembre de 2009, radicado No. FI. 01180-00 (Concejera Ponente: Martha Teresa Briceño de Valencia).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7FC4" w14:textId="33B65E01" w:rsidR="008B29F8" w:rsidRDefault="008B29F8" w:rsidP="00100797">
    <w:pPr>
      <w:pStyle w:val="Encabezado"/>
      <w:jc w:val="center"/>
    </w:pPr>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331"/>
    <w:multiLevelType w:val="hybridMultilevel"/>
    <w:tmpl w:val="38C088E2"/>
    <w:lvl w:ilvl="0" w:tplc="B9384A5C">
      <w:numFmt w:val="bullet"/>
      <w:lvlText w:val="-"/>
      <w:lvlJc w:val="left"/>
      <w:pPr>
        <w:ind w:left="720" w:hanging="360"/>
      </w:pPr>
      <w:rPr>
        <w:rFonts w:ascii="Century Gothic" w:eastAsia="Roboto" w:hAnsi="Century Gothic" w:cs="Roboto"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E919D3"/>
    <w:multiLevelType w:val="hybridMultilevel"/>
    <w:tmpl w:val="6B284D44"/>
    <w:lvl w:ilvl="0" w:tplc="D4C64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990F71"/>
    <w:multiLevelType w:val="hybridMultilevel"/>
    <w:tmpl w:val="97EA6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5E5266"/>
    <w:multiLevelType w:val="multilevel"/>
    <w:tmpl w:val="C8F884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085E6E"/>
    <w:multiLevelType w:val="hybridMultilevel"/>
    <w:tmpl w:val="39C0D8F2"/>
    <w:lvl w:ilvl="0" w:tplc="BB009E6C">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AD20F1"/>
    <w:multiLevelType w:val="hybridMultilevel"/>
    <w:tmpl w:val="6FCC85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9E49C0"/>
    <w:multiLevelType w:val="hybridMultilevel"/>
    <w:tmpl w:val="CBFADA6E"/>
    <w:lvl w:ilvl="0" w:tplc="5B287624">
      <w:start w:val="2"/>
      <w:numFmt w:val="bullet"/>
      <w:lvlText w:val="-"/>
      <w:lvlJc w:val="left"/>
      <w:pPr>
        <w:ind w:left="1080" w:hanging="360"/>
      </w:pPr>
      <w:rPr>
        <w:rFonts w:ascii="Century Gothic" w:eastAsia="Times New Roman" w:hAnsi="Century Gothic"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38C77BCD"/>
    <w:multiLevelType w:val="hybridMultilevel"/>
    <w:tmpl w:val="3E629688"/>
    <w:lvl w:ilvl="0" w:tplc="555C1B9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B43E35"/>
    <w:multiLevelType w:val="hybridMultilevel"/>
    <w:tmpl w:val="260293A0"/>
    <w:lvl w:ilvl="0" w:tplc="59E8A890">
      <w:start w:val="19"/>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9396039"/>
    <w:multiLevelType w:val="hybridMultilevel"/>
    <w:tmpl w:val="96941C18"/>
    <w:lvl w:ilvl="0" w:tplc="AF664B06">
      <w:start w:val="3"/>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DF0467"/>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123CBC"/>
    <w:multiLevelType w:val="multilevel"/>
    <w:tmpl w:val="C8F884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AF7C17"/>
    <w:multiLevelType w:val="hybridMultilevel"/>
    <w:tmpl w:val="B5C4BBEC"/>
    <w:lvl w:ilvl="0" w:tplc="675E183A">
      <w:start w:val="3"/>
      <w:numFmt w:val="bullet"/>
      <w:lvlText w:val="-"/>
      <w:lvlJc w:val="left"/>
      <w:pPr>
        <w:ind w:left="1068" w:hanging="360"/>
      </w:pPr>
      <w:rPr>
        <w:rFonts w:ascii="Century Gothic" w:eastAsia="Calibri" w:hAnsi="Century Gothic" w:cs="Arial" w:hint="default"/>
        <w:b w:val="0"/>
      </w:rPr>
    </w:lvl>
    <w:lvl w:ilvl="1" w:tplc="240A0003" w:tentative="1">
      <w:start w:val="1"/>
      <w:numFmt w:val="bullet"/>
      <w:lvlText w:val="o"/>
      <w:lvlJc w:val="left"/>
      <w:pPr>
        <w:ind w:left="2442" w:hanging="360"/>
      </w:pPr>
      <w:rPr>
        <w:rFonts w:ascii="Courier New" w:hAnsi="Courier New" w:cs="Courier New" w:hint="default"/>
      </w:rPr>
    </w:lvl>
    <w:lvl w:ilvl="2" w:tplc="240A0005" w:tentative="1">
      <w:start w:val="1"/>
      <w:numFmt w:val="bullet"/>
      <w:lvlText w:val=""/>
      <w:lvlJc w:val="left"/>
      <w:pPr>
        <w:ind w:left="3162" w:hanging="360"/>
      </w:pPr>
      <w:rPr>
        <w:rFonts w:ascii="Wingdings" w:hAnsi="Wingdings" w:hint="default"/>
      </w:rPr>
    </w:lvl>
    <w:lvl w:ilvl="3" w:tplc="240A0001" w:tentative="1">
      <w:start w:val="1"/>
      <w:numFmt w:val="bullet"/>
      <w:lvlText w:val=""/>
      <w:lvlJc w:val="left"/>
      <w:pPr>
        <w:ind w:left="3882" w:hanging="360"/>
      </w:pPr>
      <w:rPr>
        <w:rFonts w:ascii="Symbol" w:hAnsi="Symbol" w:hint="default"/>
      </w:rPr>
    </w:lvl>
    <w:lvl w:ilvl="4" w:tplc="240A0003" w:tentative="1">
      <w:start w:val="1"/>
      <w:numFmt w:val="bullet"/>
      <w:lvlText w:val="o"/>
      <w:lvlJc w:val="left"/>
      <w:pPr>
        <w:ind w:left="4602" w:hanging="360"/>
      </w:pPr>
      <w:rPr>
        <w:rFonts w:ascii="Courier New" w:hAnsi="Courier New" w:cs="Courier New" w:hint="default"/>
      </w:rPr>
    </w:lvl>
    <w:lvl w:ilvl="5" w:tplc="240A0005" w:tentative="1">
      <w:start w:val="1"/>
      <w:numFmt w:val="bullet"/>
      <w:lvlText w:val=""/>
      <w:lvlJc w:val="left"/>
      <w:pPr>
        <w:ind w:left="5322" w:hanging="360"/>
      </w:pPr>
      <w:rPr>
        <w:rFonts w:ascii="Wingdings" w:hAnsi="Wingdings" w:hint="default"/>
      </w:rPr>
    </w:lvl>
    <w:lvl w:ilvl="6" w:tplc="240A0001" w:tentative="1">
      <w:start w:val="1"/>
      <w:numFmt w:val="bullet"/>
      <w:lvlText w:val=""/>
      <w:lvlJc w:val="left"/>
      <w:pPr>
        <w:ind w:left="6042" w:hanging="360"/>
      </w:pPr>
      <w:rPr>
        <w:rFonts w:ascii="Symbol" w:hAnsi="Symbol" w:hint="default"/>
      </w:rPr>
    </w:lvl>
    <w:lvl w:ilvl="7" w:tplc="240A0003" w:tentative="1">
      <w:start w:val="1"/>
      <w:numFmt w:val="bullet"/>
      <w:lvlText w:val="o"/>
      <w:lvlJc w:val="left"/>
      <w:pPr>
        <w:ind w:left="6762" w:hanging="360"/>
      </w:pPr>
      <w:rPr>
        <w:rFonts w:ascii="Courier New" w:hAnsi="Courier New" w:cs="Courier New" w:hint="default"/>
      </w:rPr>
    </w:lvl>
    <w:lvl w:ilvl="8" w:tplc="240A0005" w:tentative="1">
      <w:start w:val="1"/>
      <w:numFmt w:val="bullet"/>
      <w:lvlText w:val=""/>
      <w:lvlJc w:val="left"/>
      <w:pPr>
        <w:ind w:left="7482" w:hanging="360"/>
      </w:pPr>
      <w:rPr>
        <w:rFonts w:ascii="Wingdings" w:hAnsi="Wingdings" w:hint="default"/>
      </w:rPr>
    </w:lvl>
  </w:abstractNum>
  <w:abstractNum w:abstractNumId="16" w15:restartNumberingAfterBreak="0">
    <w:nsid w:val="60706DE0"/>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7" w15:restartNumberingAfterBreak="0">
    <w:nsid w:val="61176914"/>
    <w:multiLevelType w:val="hybridMultilevel"/>
    <w:tmpl w:val="9176CF7E"/>
    <w:lvl w:ilvl="0" w:tplc="8C76366E">
      <w:start w:val="1"/>
      <w:numFmt w:val="upperRoman"/>
      <w:lvlText w:val="%1."/>
      <w:lvlJc w:val="left"/>
      <w:pPr>
        <w:ind w:left="720" w:hanging="720"/>
      </w:pPr>
      <w:rPr>
        <w:rFonts w:eastAsia="Calibri"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2A22553"/>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94A0B9F"/>
    <w:multiLevelType w:val="hybridMultilevel"/>
    <w:tmpl w:val="DFBCD5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2A45F6D"/>
    <w:multiLevelType w:val="hybridMultilevel"/>
    <w:tmpl w:val="A0AEC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91731FD"/>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7"/>
  </w:num>
  <w:num w:numId="2">
    <w:abstractNumId w:val="2"/>
  </w:num>
  <w:num w:numId="3">
    <w:abstractNumId w:val="10"/>
  </w:num>
  <w:num w:numId="4">
    <w:abstractNumId w:val="1"/>
  </w:num>
  <w:num w:numId="5">
    <w:abstractNumId w:val="20"/>
  </w:num>
  <w:num w:numId="6">
    <w:abstractNumId w:val="8"/>
  </w:num>
  <w:num w:numId="7">
    <w:abstractNumId w:val="5"/>
  </w:num>
  <w:num w:numId="8">
    <w:abstractNumId w:val="11"/>
  </w:num>
  <w:num w:numId="9">
    <w:abstractNumId w:val="13"/>
  </w:num>
  <w:num w:numId="10">
    <w:abstractNumId w:val="0"/>
  </w:num>
  <w:num w:numId="11">
    <w:abstractNumId w:val="21"/>
  </w:num>
  <w:num w:numId="12">
    <w:abstractNumId w:val="3"/>
  </w:num>
  <w:num w:numId="13">
    <w:abstractNumId w:val="15"/>
  </w:num>
  <w:num w:numId="14">
    <w:abstractNumId w:val="17"/>
  </w:num>
  <w:num w:numId="15">
    <w:abstractNumId w:val="12"/>
  </w:num>
  <w:num w:numId="16">
    <w:abstractNumId w:val="9"/>
  </w:num>
  <w:num w:numId="17">
    <w:abstractNumId w:val="16"/>
  </w:num>
  <w:num w:numId="18">
    <w:abstractNumId w:val="18"/>
  </w:num>
  <w:num w:numId="19">
    <w:abstractNumId w:val="4"/>
  </w:num>
  <w:num w:numId="20">
    <w:abstractNumId w:val="6"/>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5"/>
    <w:rsid w:val="00005493"/>
    <w:rsid w:val="00006B94"/>
    <w:rsid w:val="000127DF"/>
    <w:rsid w:val="0002399D"/>
    <w:rsid w:val="0004654B"/>
    <w:rsid w:val="00051202"/>
    <w:rsid w:val="00053698"/>
    <w:rsid w:val="00074E3D"/>
    <w:rsid w:val="00086A60"/>
    <w:rsid w:val="0009000F"/>
    <w:rsid w:val="00092857"/>
    <w:rsid w:val="000A3E3E"/>
    <w:rsid w:val="000A4634"/>
    <w:rsid w:val="000A5B3A"/>
    <w:rsid w:val="000B6D32"/>
    <w:rsid w:val="000C4722"/>
    <w:rsid w:val="000C70A5"/>
    <w:rsid w:val="000C7E15"/>
    <w:rsid w:val="000D0D53"/>
    <w:rsid w:val="000E249C"/>
    <w:rsid w:val="000E49F4"/>
    <w:rsid w:val="000E7CC4"/>
    <w:rsid w:val="00100797"/>
    <w:rsid w:val="001024DF"/>
    <w:rsid w:val="00111890"/>
    <w:rsid w:val="00115B57"/>
    <w:rsid w:val="001163F3"/>
    <w:rsid w:val="0015619A"/>
    <w:rsid w:val="001F7212"/>
    <w:rsid w:val="00230AE8"/>
    <w:rsid w:val="00241633"/>
    <w:rsid w:val="00241D01"/>
    <w:rsid w:val="00256783"/>
    <w:rsid w:val="00272C62"/>
    <w:rsid w:val="00287A28"/>
    <w:rsid w:val="0029036A"/>
    <w:rsid w:val="00295326"/>
    <w:rsid w:val="002966E6"/>
    <w:rsid w:val="002B44E1"/>
    <w:rsid w:val="002B7D39"/>
    <w:rsid w:val="002C3EC6"/>
    <w:rsid w:val="002E66CB"/>
    <w:rsid w:val="002F077B"/>
    <w:rsid w:val="002F342A"/>
    <w:rsid w:val="00323924"/>
    <w:rsid w:val="00333A4A"/>
    <w:rsid w:val="003517B2"/>
    <w:rsid w:val="0035704C"/>
    <w:rsid w:val="0036482D"/>
    <w:rsid w:val="00373992"/>
    <w:rsid w:val="00374546"/>
    <w:rsid w:val="00375D3A"/>
    <w:rsid w:val="00380B61"/>
    <w:rsid w:val="003A2862"/>
    <w:rsid w:val="003D05F8"/>
    <w:rsid w:val="003D6532"/>
    <w:rsid w:val="003E3797"/>
    <w:rsid w:val="003F2FBE"/>
    <w:rsid w:val="00400441"/>
    <w:rsid w:val="00401BFA"/>
    <w:rsid w:val="00414216"/>
    <w:rsid w:val="00453E02"/>
    <w:rsid w:val="0046292E"/>
    <w:rsid w:val="00483B8D"/>
    <w:rsid w:val="004856D2"/>
    <w:rsid w:val="00492754"/>
    <w:rsid w:val="004A2F91"/>
    <w:rsid w:val="004B0D53"/>
    <w:rsid w:val="004B3DBF"/>
    <w:rsid w:val="004D238F"/>
    <w:rsid w:val="004D36DB"/>
    <w:rsid w:val="004E7B32"/>
    <w:rsid w:val="00504C41"/>
    <w:rsid w:val="00514C8F"/>
    <w:rsid w:val="0052485C"/>
    <w:rsid w:val="00546904"/>
    <w:rsid w:val="00550579"/>
    <w:rsid w:val="0056606A"/>
    <w:rsid w:val="00574C18"/>
    <w:rsid w:val="00583DC2"/>
    <w:rsid w:val="00585981"/>
    <w:rsid w:val="0059605E"/>
    <w:rsid w:val="005A43DE"/>
    <w:rsid w:val="005A71C3"/>
    <w:rsid w:val="005B249A"/>
    <w:rsid w:val="005C5DD2"/>
    <w:rsid w:val="00607F6A"/>
    <w:rsid w:val="00642016"/>
    <w:rsid w:val="00643AF3"/>
    <w:rsid w:val="00652D9A"/>
    <w:rsid w:val="006659DB"/>
    <w:rsid w:val="00675077"/>
    <w:rsid w:val="00684ACB"/>
    <w:rsid w:val="006878C1"/>
    <w:rsid w:val="006A5DC0"/>
    <w:rsid w:val="006B3C4E"/>
    <w:rsid w:val="006C6603"/>
    <w:rsid w:val="006E16CA"/>
    <w:rsid w:val="006E31E7"/>
    <w:rsid w:val="006F713E"/>
    <w:rsid w:val="00712799"/>
    <w:rsid w:val="00725F9F"/>
    <w:rsid w:val="00727BFD"/>
    <w:rsid w:val="0073633C"/>
    <w:rsid w:val="007573DE"/>
    <w:rsid w:val="00774676"/>
    <w:rsid w:val="007754D8"/>
    <w:rsid w:val="00775ADF"/>
    <w:rsid w:val="007B6F67"/>
    <w:rsid w:val="007C387A"/>
    <w:rsid w:val="007D710D"/>
    <w:rsid w:val="007F48A4"/>
    <w:rsid w:val="00833C51"/>
    <w:rsid w:val="00836402"/>
    <w:rsid w:val="00843C70"/>
    <w:rsid w:val="00846DDA"/>
    <w:rsid w:val="00846EA7"/>
    <w:rsid w:val="00847C4B"/>
    <w:rsid w:val="0085324E"/>
    <w:rsid w:val="00853F58"/>
    <w:rsid w:val="008566A7"/>
    <w:rsid w:val="00874A7F"/>
    <w:rsid w:val="008873A6"/>
    <w:rsid w:val="008902E8"/>
    <w:rsid w:val="008B29F8"/>
    <w:rsid w:val="008C1B09"/>
    <w:rsid w:val="008D4107"/>
    <w:rsid w:val="008F07F9"/>
    <w:rsid w:val="0091182B"/>
    <w:rsid w:val="00922D8D"/>
    <w:rsid w:val="00927DB0"/>
    <w:rsid w:val="00930BA1"/>
    <w:rsid w:val="00953E18"/>
    <w:rsid w:val="009726FA"/>
    <w:rsid w:val="00976A55"/>
    <w:rsid w:val="009860B2"/>
    <w:rsid w:val="009E4B7F"/>
    <w:rsid w:val="009E70E3"/>
    <w:rsid w:val="009F0124"/>
    <w:rsid w:val="009F153B"/>
    <w:rsid w:val="00A1214E"/>
    <w:rsid w:val="00A25B76"/>
    <w:rsid w:val="00A278B8"/>
    <w:rsid w:val="00A71E85"/>
    <w:rsid w:val="00A8506D"/>
    <w:rsid w:val="00A92147"/>
    <w:rsid w:val="00AA6C43"/>
    <w:rsid w:val="00AB4CC0"/>
    <w:rsid w:val="00AB5762"/>
    <w:rsid w:val="00AB6D2F"/>
    <w:rsid w:val="00AC0652"/>
    <w:rsid w:val="00AE1F38"/>
    <w:rsid w:val="00AF4A84"/>
    <w:rsid w:val="00AF7B03"/>
    <w:rsid w:val="00B0007C"/>
    <w:rsid w:val="00B0757A"/>
    <w:rsid w:val="00B13B0A"/>
    <w:rsid w:val="00B4559F"/>
    <w:rsid w:val="00B50D75"/>
    <w:rsid w:val="00B614D9"/>
    <w:rsid w:val="00B86DF6"/>
    <w:rsid w:val="00BA288B"/>
    <w:rsid w:val="00BC4029"/>
    <w:rsid w:val="00BE481B"/>
    <w:rsid w:val="00BF4BCB"/>
    <w:rsid w:val="00C076DA"/>
    <w:rsid w:val="00C10661"/>
    <w:rsid w:val="00C36DAC"/>
    <w:rsid w:val="00C441CA"/>
    <w:rsid w:val="00C562E3"/>
    <w:rsid w:val="00C638A0"/>
    <w:rsid w:val="00C72B79"/>
    <w:rsid w:val="00C74323"/>
    <w:rsid w:val="00C80600"/>
    <w:rsid w:val="00CA140A"/>
    <w:rsid w:val="00CA15E9"/>
    <w:rsid w:val="00CA3748"/>
    <w:rsid w:val="00CB0CA1"/>
    <w:rsid w:val="00CB670A"/>
    <w:rsid w:val="00CD41BA"/>
    <w:rsid w:val="00CD693F"/>
    <w:rsid w:val="00CD7EE8"/>
    <w:rsid w:val="00CE19FE"/>
    <w:rsid w:val="00D27E76"/>
    <w:rsid w:val="00D32277"/>
    <w:rsid w:val="00D52B0D"/>
    <w:rsid w:val="00D63D8F"/>
    <w:rsid w:val="00D701A0"/>
    <w:rsid w:val="00D7567F"/>
    <w:rsid w:val="00DC2D6A"/>
    <w:rsid w:val="00DD4475"/>
    <w:rsid w:val="00DE666C"/>
    <w:rsid w:val="00E16D6F"/>
    <w:rsid w:val="00E85EB5"/>
    <w:rsid w:val="00E8720A"/>
    <w:rsid w:val="00E87908"/>
    <w:rsid w:val="00EA25F5"/>
    <w:rsid w:val="00EE7417"/>
    <w:rsid w:val="00F315F2"/>
    <w:rsid w:val="00F33915"/>
    <w:rsid w:val="00F34E2F"/>
    <w:rsid w:val="00F41582"/>
    <w:rsid w:val="00F42397"/>
    <w:rsid w:val="00F518D8"/>
    <w:rsid w:val="00F63852"/>
    <w:rsid w:val="00F671DA"/>
    <w:rsid w:val="00F735CE"/>
    <w:rsid w:val="00F76C31"/>
    <w:rsid w:val="00F84A2F"/>
    <w:rsid w:val="00FA05BD"/>
    <w:rsid w:val="00FA2A87"/>
    <w:rsid w:val="00FA333E"/>
    <w:rsid w:val="00FA4583"/>
    <w:rsid w:val="00FC6983"/>
    <w:rsid w:val="00FE2DEB"/>
    <w:rsid w:val="00FF1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aliases w:val="Ha,Resume Title,Bullets,Segundo nivel de viñetas,List Paragraph1,titulo 3,Lista vistosa - Énfasis 11,Segundo nivel de vi–etas,Bullet List,FooterText,numbered,Paragraphe de liste1,Bulletr List Paragraph,列出段落,列出段落1,List Paragraph2,HOJA,BOLA"/>
    <w:basedOn w:val="Normal"/>
    <w:link w:val="PrrafodelistaCar"/>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 w:type="paragraph" w:styleId="Textoindependiente">
    <w:name w:val="Body Text"/>
    <w:basedOn w:val="Normal"/>
    <w:link w:val="TextoindependienteCar"/>
    <w:rsid w:val="00483B8D"/>
    <w:pPr>
      <w:suppressAutoHyphens/>
      <w:spacing w:after="120" w:line="240" w:lineRule="auto"/>
    </w:pPr>
    <w:rPr>
      <w:rFonts w:ascii="Times New Roman" w:eastAsia="Times New Roman" w:hAnsi="Times New Roman"/>
      <w:sz w:val="24"/>
      <w:szCs w:val="24"/>
      <w:lang w:val="es-ES" w:eastAsia="ar-SA"/>
    </w:rPr>
  </w:style>
  <w:style w:type="character" w:customStyle="1" w:styleId="TextoindependienteCar">
    <w:name w:val="Texto independiente Car"/>
    <w:basedOn w:val="Fuentedeprrafopredeter"/>
    <w:link w:val="Textoindependiente"/>
    <w:rsid w:val="00483B8D"/>
    <w:rPr>
      <w:rFonts w:ascii="Times New Roman" w:eastAsia="Times New Roman" w:hAnsi="Times New Roman" w:cs="Times New Roman"/>
      <w:sz w:val="24"/>
      <w:szCs w:val="24"/>
      <w:lang w:val="es-ES" w:eastAsia="ar-SA"/>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r,Footnote Text Cha"/>
    <w:basedOn w:val="Normal"/>
    <w:link w:val="TextonotapieCar"/>
    <w:uiPriority w:val="99"/>
    <w:unhideWhenUsed/>
    <w:rsid w:val="00F76C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uiPriority w:val="99"/>
    <w:rsid w:val="00F76C31"/>
    <w:rPr>
      <w:rFonts w:ascii="Calibri" w:eastAsia="Calibri" w:hAnsi="Calibri" w:cs="Times New Roman"/>
      <w:sz w:val="20"/>
      <w:szCs w:val="20"/>
    </w:rPr>
  </w:style>
  <w:style w:type="character" w:styleId="Refdenotaalpie">
    <w:name w:val="footnote reference"/>
    <w:aliases w:val="referencia nota al pie,Appel note de bas de page,Ref. de nota al pie 2,Texto de nota al pie,Footnotes refss,Footnote number,BVI fnr,f,4_G,16 Point,Superscript 6 Point,Texto nota al pie,Pie de Página,FC,Texto de nota al pi,Nota de pie"/>
    <w:uiPriority w:val="99"/>
    <w:unhideWhenUsed/>
    <w:qFormat/>
    <w:rsid w:val="00F76C31"/>
    <w:rPr>
      <w:vertAlign w:val="superscript"/>
    </w:rPr>
  </w:style>
  <w:style w:type="character" w:customStyle="1" w:styleId="PrrafodelistaCar">
    <w:name w:val="Párrafo de lista Car"/>
    <w:aliases w:val="Ha Car,Resume Title Car,Bullets Car,Segundo nivel de viñetas Car,List Paragraph1 Car,titulo 3 Car,Lista vistosa - Énfasis 11 Car,Segundo nivel de vi–etas Car,Bullet List Car,FooterText Car,numbered Car,Paragraphe de liste1 Car"/>
    <w:link w:val="Prrafodelista"/>
    <w:uiPriority w:val="34"/>
    <w:qFormat/>
    <w:locked/>
    <w:rsid w:val="00F76C3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207370898">
      <w:bodyDiv w:val="1"/>
      <w:marLeft w:val="0"/>
      <w:marRight w:val="0"/>
      <w:marTop w:val="0"/>
      <w:marBottom w:val="0"/>
      <w:divBdr>
        <w:top w:val="none" w:sz="0" w:space="0" w:color="auto"/>
        <w:left w:val="none" w:sz="0" w:space="0" w:color="auto"/>
        <w:bottom w:val="none" w:sz="0" w:space="0" w:color="auto"/>
        <w:right w:val="none" w:sz="0" w:space="0" w:color="auto"/>
      </w:divBdr>
    </w:div>
    <w:div w:id="2003271127">
      <w:bodyDiv w:val="1"/>
      <w:marLeft w:val="0"/>
      <w:marRight w:val="0"/>
      <w:marTop w:val="0"/>
      <w:marBottom w:val="0"/>
      <w:divBdr>
        <w:top w:val="none" w:sz="0" w:space="0" w:color="auto"/>
        <w:left w:val="none" w:sz="0" w:space="0" w:color="auto"/>
        <w:bottom w:val="none" w:sz="0" w:space="0" w:color="auto"/>
        <w:right w:val="none" w:sz="0" w:space="0" w:color="auto"/>
      </w:divBdr>
    </w:div>
    <w:div w:id="20109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ciro-antonio-rodriguez-pinzon" TargetMode="External"/><Relationship Id="rId13" Type="http://schemas.openxmlformats.org/officeDocument/2006/relationships/hyperlink" Target="https://www.camara.gov.co/representantes/jose-gustavo-padilla-orozco" TargetMode="External"/><Relationship Id="rId18" Type="http://schemas.openxmlformats.org/officeDocument/2006/relationships/hyperlink" Target="https://www.camara.gov.co/representantes/jose-elver-hernandez-casa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amara.gov.co/representantes/diela-liliana-benavides-solarte" TargetMode="External"/><Relationship Id="rId7" Type="http://schemas.openxmlformats.org/officeDocument/2006/relationships/hyperlink" Target="https://www.camara.gov.co/representantes/alfredo-ape-cuello-baute" TargetMode="External"/><Relationship Id="rId12" Type="http://schemas.openxmlformats.org/officeDocument/2006/relationships/hyperlink" Target="https://www.camara.gov.co/representantes/juan-carlos-rivera-pena" TargetMode="External"/><Relationship Id="rId17" Type="http://schemas.openxmlformats.org/officeDocument/2006/relationships/hyperlink" Target="https://www.camara.gov.co/representantes/emeterio-jose-montes-de-castr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mara.gov.co/representantes/felix-alejandro-chica-correa" TargetMode="External"/><Relationship Id="rId20" Type="http://schemas.openxmlformats.org/officeDocument/2006/relationships/hyperlink" Target="https://www.camara.gov.co/representantes/nicolas-albeiro-echeverry-alvar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armando-antonio-zabarain-de-arce" TargetMode="External"/><Relationship Id="rId24" Type="http://schemas.openxmlformats.org/officeDocument/2006/relationships/hyperlink" Target="https://www.camara.gov.co/representantes/felipe-andres-munoz-delgado" TargetMode="External"/><Relationship Id="rId5" Type="http://schemas.openxmlformats.org/officeDocument/2006/relationships/footnotes" Target="footnotes.xml"/><Relationship Id="rId15" Type="http://schemas.openxmlformats.org/officeDocument/2006/relationships/hyperlink" Target="https://www.camara.gov.co/representantes/nidia-marcela-osorio-salgado" TargetMode="External"/><Relationship Id="rId23" Type="http://schemas.openxmlformats.org/officeDocument/2006/relationships/hyperlink" Target="https://www.camara.gov.co/representantes/yamil-hernando-arana-padaui" TargetMode="External"/><Relationship Id="rId28" Type="http://schemas.openxmlformats.org/officeDocument/2006/relationships/theme" Target="theme/theme1.xml"/><Relationship Id="rId10" Type="http://schemas.openxmlformats.org/officeDocument/2006/relationships/hyperlink" Target="https://www.camara.gov.co/representantes/juan-carlos-wills-ospina" TargetMode="External"/><Relationship Id="rId19" Type="http://schemas.openxmlformats.org/officeDocument/2006/relationships/hyperlink" Target="https://www.camara.gov.co/representantes/german-alcides-blanco-alvarez" TargetMode="External"/><Relationship Id="rId4" Type="http://schemas.openxmlformats.org/officeDocument/2006/relationships/webSettings" Target="webSettings.xml"/><Relationship Id="rId9" Type="http://schemas.openxmlformats.org/officeDocument/2006/relationships/hyperlink" Target="https://www.camara.gov.co/representantes/adriana-magali-matiz-vargas" TargetMode="External"/><Relationship Id="rId14" Type="http://schemas.openxmlformats.org/officeDocument/2006/relationships/hyperlink" Target="https://www.camara.gov.co/representantes/wadith-alberto-manzur-imbett" TargetMode="External"/><Relationship Id="rId22" Type="http://schemas.openxmlformats.org/officeDocument/2006/relationships/hyperlink" Target="https://www.camara.gov.co/representantes/maria-cristina-soto-de-gomez"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14</Pages>
  <Words>4236</Words>
  <Characters>23299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Kelly Viviana  Enciso Martinez UTL</cp:lastModifiedBy>
  <cp:revision>12</cp:revision>
  <cp:lastPrinted>2022-05-04T15:22:00Z</cp:lastPrinted>
  <dcterms:created xsi:type="dcterms:W3CDTF">2021-07-02T00:23:00Z</dcterms:created>
  <dcterms:modified xsi:type="dcterms:W3CDTF">2022-05-04T15:23:00Z</dcterms:modified>
</cp:coreProperties>
</file>